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41" w:rsidRPr="00C362E9" w:rsidRDefault="00ED5541" w:rsidP="00ED5541">
      <w:pPr>
        <w:pStyle w:val="Heading1"/>
        <w:spacing w:before="360"/>
        <w:jc w:val="center"/>
        <w:rPr>
          <w:szCs w:val="36"/>
        </w:rPr>
      </w:pPr>
      <w:r w:rsidRPr="00C362E9">
        <w:rPr>
          <w:szCs w:val="36"/>
        </w:rPr>
        <w:t>AT</w:t>
      </w:r>
      <w:r w:rsidR="006C0D34" w:rsidRPr="00C362E9">
        <w:rPr>
          <w:szCs w:val="36"/>
        </w:rPr>
        <w:t>T</w:t>
      </w:r>
      <w:r w:rsidRPr="00C362E9">
        <w:rPr>
          <w:szCs w:val="36"/>
        </w:rPr>
        <w:t xml:space="preserve">ACHMENT 3: </w:t>
      </w:r>
      <w:r w:rsidRPr="00C362E9">
        <w:rPr>
          <w:i/>
          <w:szCs w:val="36"/>
        </w:rPr>
        <w:t>Education Code</w:t>
      </w:r>
      <w:r w:rsidRPr="00C362E9">
        <w:rPr>
          <w:szCs w:val="36"/>
        </w:rPr>
        <w:t xml:space="preserve"> Sections </w:t>
      </w:r>
      <w:r w:rsidRPr="00C362E9">
        <w:rPr>
          <w:szCs w:val="36"/>
        </w:rPr>
        <w:br/>
        <w:t>53070–53076.4</w:t>
      </w:r>
    </w:p>
    <w:p w:rsidR="00ED5541" w:rsidRPr="00C362E9" w:rsidRDefault="00ED5541" w:rsidP="00ED5541">
      <w:pPr>
        <w:pStyle w:val="Heading2"/>
        <w:spacing w:before="0"/>
        <w:rPr>
          <w:sz w:val="24"/>
        </w:rPr>
      </w:pPr>
      <w:r w:rsidRPr="00C362E9">
        <w:rPr>
          <w:i/>
          <w:sz w:val="24"/>
        </w:rPr>
        <w:t>Education Code</w:t>
      </w:r>
      <w:r w:rsidRPr="00C362E9">
        <w:rPr>
          <w:sz w:val="24"/>
        </w:rPr>
        <w:t xml:space="preserve"> - EDC</w:t>
      </w:r>
    </w:p>
    <w:p w:rsidR="00ED5541" w:rsidRPr="00C362E9" w:rsidRDefault="00ED5541" w:rsidP="00ED5541">
      <w:pPr>
        <w:spacing w:after="240"/>
        <w:contextualSpacing/>
      </w:pPr>
      <w:r w:rsidRPr="00C362E9">
        <w:t>TITLE 2. ELEMENTARY AND SECONDARY EDUCATIO</w:t>
      </w:r>
      <w:bookmarkStart w:id="0" w:name="_GoBack"/>
      <w:bookmarkEnd w:id="0"/>
      <w:r w:rsidRPr="00C362E9">
        <w:t>N [33000 - 64100]</w:t>
      </w:r>
    </w:p>
    <w:p w:rsidR="00ED5541" w:rsidRPr="00C362E9" w:rsidRDefault="00ED5541" w:rsidP="00ED5541">
      <w:pPr>
        <w:spacing w:after="240"/>
        <w:contextualSpacing/>
        <w:rPr>
          <w:bCs/>
          <w:i/>
        </w:rPr>
      </w:pPr>
      <w:r w:rsidRPr="00C362E9">
        <w:rPr>
          <w:i/>
        </w:rPr>
        <w:t>(Title 2 enacted by Stats. 1976, Ch. 1010.)</w:t>
      </w:r>
    </w:p>
    <w:p w:rsidR="00ED5541" w:rsidRPr="00C362E9" w:rsidRDefault="00ED5541" w:rsidP="00ED5541">
      <w:pPr>
        <w:spacing w:after="240"/>
        <w:contextualSpacing/>
      </w:pPr>
      <w:r w:rsidRPr="00C362E9">
        <w:t>DIVISION 4. INSTRUCTION AND SERVICES [46000 - 65001]</w:t>
      </w:r>
    </w:p>
    <w:p w:rsidR="00ED5541" w:rsidRPr="00C362E9" w:rsidRDefault="00ED5541" w:rsidP="00ED5541">
      <w:pPr>
        <w:spacing w:after="240"/>
        <w:contextualSpacing/>
        <w:rPr>
          <w:i/>
        </w:rPr>
      </w:pPr>
      <w:r w:rsidRPr="00C362E9">
        <w:rPr>
          <w:i/>
        </w:rPr>
        <w:t>(Division 4 enacted by Stats. 1976, Ch. 1010.)</w:t>
      </w:r>
    </w:p>
    <w:p w:rsidR="00ED5541" w:rsidRPr="00C362E9" w:rsidRDefault="00ED5541" w:rsidP="00ED5541">
      <w:pPr>
        <w:spacing w:after="240"/>
        <w:contextualSpacing/>
      </w:pPr>
      <w:r w:rsidRPr="00C362E9">
        <w:t>PART 28. GENERAL INSTRUCTIONAL PROGRAMS [51000 - 53315]</w:t>
      </w:r>
    </w:p>
    <w:p w:rsidR="00ED5541" w:rsidRPr="00C362E9" w:rsidRDefault="00ED5541" w:rsidP="00ED5541">
      <w:pPr>
        <w:spacing w:after="240"/>
        <w:contextualSpacing/>
        <w:rPr>
          <w:i/>
        </w:rPr>
      </w:pPr>
      <w:r w:rsidRPr="00C362E9">
        <w:rPr>
          <w:i/>
        </w:rPr>
        <w:t>(Part 28 enacted by Stats. 1976, Ch. 1010.)</w:t>
      </w:r>
    </w:p>
    <w:p w:rsidR="00ED5541" w:rsidRPr="00C362E9" w:rsidRDefault="00ED5541" w:rsidP="00ED5541">
      <w:pPr>
        <w:spacing w:after="240"/>
        <w:contextualSpacing/>
        <w:rPr>
          <w:bdr w:val="none" w:sz="0" w:space="0" w:color="auto" w:frame="1"/>
        </w:rPr>
      </w:pPr>
      <w:r w:rsidRPr="00C362E9">
        <w:rPr>
          <w:bdr w:val="none" w:sz="0" w:space="0" w:color="auto" w:frame="1"/>
        </w:rPr>
        <w:t>CHAPTER 16.5. California Career Technical Education Incentive Grant Program [53070 - 53076.4]</w:t>
      </w:r>
    </w:p>
    <w:p w:rsidR="00ED5541" w:rsidRPr="00C362E9" w:rsidRDefault="00ED5541" w:rsidP="00ED5541">
      <w:pPr>
        <w:spacing w:after="240"/>
        <w:contextualSpacing/>
        <w:textAlignment w:val="baseline"/>
        <w:rPr>
          <w:rFonts w:cs="Arial"/>
          <w:bdr w:val="none" w:sz="0" w:space="0" w:color="auto" w:frame="1"/>
        </w:rPr>
      </w:pPr>
      <w:r w:rsidRPr="00C362E9">
        <w:rPr>
          <w:rFonts w:cs="Arial"/>
          <w:i/>
          <w:iCs/>
          <w:bdr w:val="none" w:sz="0" w:space="0" w:color="auto" w:frame="1"/>
        </w:rPr>
        <w:t>(Chapter 16.5 added by Stats. 2015, Ch. 13, Sec. 36.)</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53070.</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The California Career Technical Education Incentive Grant Program is hereby established as a state education, economic, and workforce development initiative with the goal of providing pupils in kindergarten and grades 1 to 12, inclusive, with the knowledge and skills necessary to transition to employment and postsecondary education. The purpose of this program is to encourage, maintain, and strengthen the delivery of high-quality career technical education programs.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There is hereby appropriated to the department from the General Fund for the program established pursuant to this chapter the following amounts: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(1)</w:t>
      </w:r>
      <w:r w:rsidR="00C362E9">
        <w:rPr>
          <w:rFonts w:cs="Arial"/>
          <w:bdr w:val="none" w:sz="0" w:space="0" w:color="auto" w:frame="1"/>
        </w:rPr>
        <w:t xml:space="preserve"> </w:t>
      </w:r>
      <w:r w:rsidRPr="00C362E9">
        <w:rPr>
          <w:rFonts w:cs="Arial"/>
          <w:bdr w:val="none" w:sz="0" w:space="0" w:color="auto" w:frame="1"/>
        </w:rPr>
        <w:t>For the 2015–16 fiscal year, four hundred million dollars ($400,000,000).</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(2)</w:t>
      </w:r>
      <w:r w:rsidR="00C362E9">
        <w:rPr>
          <w:rFonts w:cs="Arial"/>
          <w:bdr w:val="none" w:sz="0" w:space="0" w:color="auto" w:frame="1"/>
        </w:rPr>
        <w:t xml:space="preserve"> </w:t>
      </w:r>
      <w:r w:rsidRPr="00C362E9">
        <w:rPr>
          <w:rFonts w:cs="Arial"/>
          <w:bdr w:val="none" w:sz="0" w:space="0" w:color="auto" w:frame="1"/>
        </w:rPr>
        <w:t>For the 2016–17 fiscal year, three hundred million dollars ($300,000,000).</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(3)</w:t>
      </w:r>
      <w:r w:rsidR="00C362E9">
        <w:rPr>
          <w:rFonts w:cs="Arial"/>
          <w:bdr w:val="none" w:sz="0" w:space="0" w:color="auto" w:frame="1"/>
        </w:rPr>
        <w:t xml:space="preserve"> </w:t>
      </w:r>
      <w:r w:rsidRPr="00C362E9">
        <w:rPr>
          <w:rFonts w:cs="Arial"/>
          <w:bdr w:val="none" w:sz="0" w:space="0" w:color="auto" w:frame="1"/>
        </w:rPr>
        <w:t>For the 2017–18 fiscal year, two hundred million dollars ($200,000,000).</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For the 2018–19 fiscal year and each fiscal year thereafter, one hundred fifty million dollars ($150,000,000) shall be made available to the department, upon appropriation by the Legislature in the annual Budget Act or another statute, for the program established pursuant to this chapter.</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(d)</w:t>
      </w:r>
      <w:r w:rsidR="00C362E9">
        <w:rPr>
          <w:rFonts w:cs="Arial"/>
          <w:bdr w:val="none" w:sz="0" w:space="0" w:color="auto" w:frame="1"/>
        </w:rPr>
        <w:t xml:space="preserve"> </w:t>
      </w:r>
      <w:r w:rsidRPr="00C362E9">
        <w:rPr>
          <w:rFonts w:cs="Arial"/>
          <w:bdr w:val="none" w:sz="0" w:space="0" w:color="auto" w:frame="1"/>
        </w:rPr>
        <w:t xml:space="preserve">Of the amounts appropriated pursuant to subdivisions (b) and (c), 4 percent is designated for applicants with average daily attendance of less than or equal to 140, 8 percent is designated for applicants with average daily attendance of more than 140 and less than or equal to 550, and 88 percent is designated for applicants with average daily attendance of more than 550, unless otherwise determined by the Superintendent in collaboration with the executive director of the state board. For purposes of this section, average daily attendance shall be those figures that are reported at the time of </w:t>
      </w:r>
      <w:r w:rsidRPr="00C362E9">
        <w:rPr>
          <w:rFonts w:cs="Arial"/>
          <w:bdr w:val="none" w:sz="0" w:space="0" w:color="auto" w:frame="1"/>
        </w:rPr>
        <w:lastRenderedPageBreak/>
        <w:t>the second principal apportionment for the previous fiscal year for pupils in grades 7 to 12, inclusive. For any applicant consisting of more than one school district, county office of education, charter school, or regional occupational center or program (ROCP) operated by a joint powers authority or county office of education, or of any combination of those entities, the sum of the average daily attendance for each of the constituent entities shall be used for purposes of this subdivision.</w:t>
      </w:r>
    </w:p>
    <w:p w:rsidR="00ED5541" w:rsidRPr="00C362E9" w:rsidRDefault="00ED5541" w:rsidP="00ED5541">
      <w:pPr>
        <w:spacing w:after="240"/>
        <w:textAlignment w:val="baseline"/>
        <w:rPr>
          <w:rFonts w:cs="Arial"/>
          <w:bdr w:val="none" w:sz="0" w:space="0" w:color="auto" w:frame="1"/>
        </w:rPr>
      </w:pPr>
      <w:r w:rsidRPr="00C362E9">
        <w:rPr>
          <w:rFonts w:cs="Arial"/>
          <w:i/>
          <w:iCs/>
          <w:bdr w:val="none" w:sz="0" w:space="0" w:color="auto" w:frame="1"/>
        </w:rPr>
        <w:t>(Amended by Stats. 2019, Ch. 51, Sec. 41. (SB 75) Effective July 1, 2019.)</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53070.1.</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Commencing July 1, 2018, before awarding any grants under the program, the department shall report to the appropriate policy and fiscal committees of the Legislature, the Department of Finance, and the Governor on how it will determine that an applicant has met the minimum eligibility standards of the program. This report shall include, but not necessarily be limited to, all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(1)</w:t>
      </w:r>
      <w:r w:rsidR="00C362E9">
        <w:rPr>
          <w:rFonts w:cs="Arial"/>
          <w:bdr w:val="none" w:sz="0" w:space="0" w:color="auto" w:frame="1"/>
        </w:rPr>
        <w:t xml:space="preserve"> </w:t>
      </w:r>
      <w:r w:rsidRPr="00C362E9">
        <w:rPr>
          <w:rFonts w:cs="Arial"/>
          <w:bdr w:val="none" w:sz="0" w:space="0" w:color="auto" w:frame="1"/>
        </w:rPr>
        <w:t>The components that need to be contained in the written commitment required to meet the requirements of subdivision (b) of Section 53071 and the process that will be used to determine if a grant recipient has upheld the agreement.</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(2)</w:t>
      </w:r>
      <w:r w:rsidR="00C362E9">
        <w:rPr>
          <w:rFonts w:cs="Arial"/>
          <w:bdr w:val="none" w:sz="0" w:space="0" w:color="auto" w:frame="1"/>
        </w:rPr>
        <w:t xml:space="preserve"> </w:t>
      </w:r>
      <w:r w:rsidRPr="00C362E9">
        <w:rPr>
          <w:rFonts w:cs="Arial"/>
          <w:bdr w:val="none" w:sz="0" w:space="0" w:color="auto" w:frame="1"/>
        </w:rPr>
        <w:t>The process that will be used to determine that an applicant, or an applicant’s career technical education program, meets all of the minimum eligibility standards specified in subdivision (c) of Section 53071, including, but not necessarily limited to, all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The components that need to be contained in the written agreements required to meet the requirements of paragraphs (4) and (5) of subdivision (c) of Section 53071 and the process that will be used to verify that the partnerships are ongoing and structural.</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The process for determining that programs reflect regional or local labor market demands and focus on current or emerging high-skill, high-wage, or high-demand occupations.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The process for determining that programs are informed by the regional plan developed by their Strong Workforce Program consortium and in effect during the period for which the grant is awarded.</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(D)</w:t>
      </w:r>
      <w:r w:rsidR="00C362E9">
        <w:rPr>
          <w:rFonts w:cs="Arial"/>
          <w:bdr w:val="none" w:sz="0" w:space="0" w:color="auto" w:frame="1"/>
        </w:rPr>
        <w:t xml:space="preserve"> </w:t>
      </w:r>
      <w:r w:rsidRPr="00C362E9">
        <w:rPr>
          <w:rFonts w:cs="Arial"/>
          <w:bdr w:val="none" w:sz="0" w:space="0" w:color="auto" w:frame="1"/>
        </w:rPr>
        <w:t>The mechanisms that will be used by the department to collect and report data submitted pursuant to paragraph (11) of subdivision (c) of Section 53071.</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(E)</w:t>
      </w:r>
      <w:r w:rsidR="00C362E9">
        <w:rPr>
          <w:rFonts w:cs="Arial"/>
          <w:bdr w:val="none" w:sz="0" w:space="0" w:color="auto" w:frame="1"/>
        </w:rPr>
        <w:t xml:space="preserve"> </w:t>
      </w:r>
      <w:r w:rsidRPr="00C362E9">
        <w:rPr>
          <w:rFonts w:cs="Arial"/>
          <w:bdr w:val="none" w:sz="0" w:space="0" w:color="auto" w:frame="1"/>
        </w:rPr>
        <w:t>The process that will be used by the department to verify that an applicant receiving a renewal grant includes career technical education programs in its local control and accountability plan and annual update.</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The department shall notify the appropriate policy and fiscal committees of the Legislature, the Department of Finance, and the Governor of any changes to the information reported pursuant to subdivision (a).</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lastRenderedPageBreak/>
        <w:t>(c)</w:t>
      </w:r>
      <w:r w:rsidR="00C362E9">
        <w:rPr>
          <w:rFonts w:cs="Arial"/>
          <w:bdr w:val="none" w:sz="0" w:space="0" w:color="auto" w:frame="1"/>
        </w:rPr>
        <w:t xml:space="preserve"> </w:t>
      </w:r>
      <w:r w:rsidRPr="00C362E9">
        <w:rPr>
          <w:rFonts w:cs="Arial"/>
          <w:bdr w:val="none" w:sz="0" w:space="0" w:color="auto" w:frame="1"/>
        </w:rPr>
        <w:t>Before awarding grants for the 2018–19 fiscal year only, the Superintendent shall provide the Department of Finance and the appropriate policy and fiscal committees of the Legislature with the outcome measures from the California Career Pathways Trust Program that were required to be reported by December 1, 2016, pursuant to Section 86 of Chapter 48 of the Statutes of 2013, but that were excluded from the report submitted in November 2017, including all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(1)</w:t>
      </w:r>
      <w:r w:rsidR="00C362E9">
        <w:rPr>
          <w:rFonts w:cs="Arial"/>
          <w:bdr w:val="none" w:sz="0" w:space="0" w:color="auto" w:frame="1"/>
        </w:rPr>
        <w:t xml:space="preserve"> </w:t>
      </w:r>
      <w:r w:rsidRPr="00C362E9">
        <w:rPr>
          <w:rFonts w:cs="Arial"/>
          <w:bdr w:val="none" w:sz="0" w:space="0" w:color="auto" w:frame="1"/>
        </w:rPr>
        <w:t>The number and rate of school or program graduates.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(2)</w:t>
      </w:r>
      <w:r w:rsidR="00C362E9">
        <w:rPr>
          <w:rFonts w:cs="Arial"/>
          <w:bdr w:val="none" w:sz="0" w:space="0" w:color="auto" w:frame="1"/>
        </w:rPr>
        <w:t xml:space="preserve"> </w:t>
      </w:r>
      <w:r w:rsidRPr="00C362E9">
        <w:rPr>
          <w:rFonts w:cs="Arial"/>
          <w:bdr w:val="none" w:sz="0" w:space="0" w:color="auto" w:frame="1"/>
        </w:rPr>
        <w:t>The number of persons attaining certificates, transfer readiness, and enrollment in postsecondary educational institutions.</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(3)</w:t>
      </w:r>
      <w:r w:rsidR="00C362E9">
        <w:rPr>
          <w:rFonts w:cs="Arial"/>
          <w:bdr w:val="none" w:sz="0" w:space="0" w:color="auto" w:frame="1"/>
        </w:rPr>
        <w:t xml:space="preserve"> </w:t>
      </w:r>
      <w:r w:rsidRPr="00C362E9">
        <w:rPr>
          <w:rFonts w:cs="Arial"/>
          <w:bdr w:val="none" w:sz="0" w:space="0" w:color="auto" w:frame="1"/>
        </w:rPr>
        <w:t>The number of persons transitioning to appropriate employment, apprenticeships, or job training.</w:t>
      </w:r>
    </w:p>
    <w:p w:rsidR="00ED5541" w:rsidRPr="00C362E9" w:rsidRDefault="00ED5541" w:rsidP="00ED5541">
      <w:pPr>
        <w:spacing w:after="240"/>
        <w:textAlignment w:val="baseline"/>
        <w:rPr>
          <w:rFonts w:cs="Arial"/>
          <w:i/>
          <w:iCs/>
          <w:bdr w:val="none" w:sz="0" w:space="0" w:color="auto" w:frame="1"/>
        </w:rPr>
      </w:pPr>
      <w:r w:rsidRPr="00C362E9">
        <w:rPr>
          <w:rFonts w:cs="Arial"/>
          <w:i/>
          <w:iCs/>
          <w:bdr w:val="none" w:sz="0" w:space="0" w:color="auto" w:frame="1"/>
        </w:rPr>
        <w:t>(Added by Stats. 2018, Ch. 32, Sec. 79. (AB 1808) Effective June 27, 2018.)</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53071.</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The department shall administer this program as a competitive grant program. An applicant shall demonstrate all of the following to be considered for a grant award:</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(1)</w:t>
      </w:r>
      <w:r w:rsidR="00C362E9">
        <w:rPr>
          <w:rFonts w:cs="Arial"/>
          <w:bdr w:val="none" w:sz="0" w:space="0" w:color="auto" w:frame="1"/>
        </w:rPr>
        <w:t xml:space="preserve"> </w:t>
      </w:r>
      <w:r w:rsidRPr="00C362E9">
        <w:rPr>
          <w:rFonts w:cs="Arial"/>
          <w:bdr w:val="none" w:sz="0" w:space="0" w:color="auto" w:frame="1"/>
        </w:rPr>
        <w:t>A proportional dollar-for-dollar match as follows for any funding received from this program: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For the fiscal year beginning July 1, 2015, one dollar ($1) for every one dollar ($1) received from this program.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For the fiscal year beginning July 1, 2016, one dollar and fifty cents ($1.50) for every one dollar ($1) received from this program.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For the fiscal year beginning July 1, 2017, two dollars ($2) for every one dollar ($1) received from this program.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(D)</w:t>
      </w:r>
      <w:r w:rsidR="00C362E9">
        <w:rPr>
          <w:rFonts w:cs="Arial"/>
          <w:bdr w:val="none" w:sz="0" w:space="0" w:color="auto" w:frame="1"/>
        </w:rPr>
        <w:t xml:space="preserve"> </w:t>
      </w:r>
      <w:r w:rsidRPr="00C362E9">
        <w:rPr>
          <w:rFonts w:cs="Arial"/>
          <w:bdr w:val="none" w:sz="0" w:space="0" w:color="auto" w:frame="1"/>
        </w:rPr>
        <w:t>For the fiscal year beginning July 1, 2018, and each fiscal year thereafter, two dollars ($2) for every one dollar ($1) received from this program.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(2)</w:t>
      </w:r>
      <w:r w:rsidR="00C362E9">
        <w:rPr>
          <w:rFonts w:cs="Arial"/>
          <w:bdr w:val="none" w:sz="0" w:space="0" w:color="auto" w:frame="1"/>
        </w:rPr>
        <w:t xml:space="preserve"> </w:t>
      </w:r>
      <w:r w:rsidRPr="00C362E9">
        <w:rPr>
          <w:rFonts w:cs="Arial"/>
          <w:bdr w:val="none" w:sz="0" w:space="0" w:color="auto" w:frame="1"/>
        </w:rPr>
        <w:t>That local match may include funding from school district and charter school local control funding formula apportionments pursuant to Section 42238.02, the federal Strengthening Career and Technical Education for the 21st Century Act (Perkins V) (Public Law 115-224), the California Partnership Academies, the Agricultural Career Technical Education Incentive Grant, or any other allowable source except as provided in paragraph (3).</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(3)</w:t>
      </w:r>
      <w:r w:rsidR="00C362E9">
        <w:rPr>
          <w:rFonts w:cs="Arial"/>
          <w:bdr w:val="none" w:sz="0" w:space="0" w:color="auto" w:frame="1"/>
        </w:rPr>
        <w:t xml:space="preserve"> </w:t>
      </w:r>
      <w:r w:rsidRPr="00C362E9">
        <w:rPr>
          <w:rFonts w:cs="Arial"/>
          <w:bdr w:val="none" w:sz="0" w:space="0" w:color="auto" w:frame="1"/>
        </w:rPr>
        <w:t>That local match shall not include funding from the California Career Pathways Trust established pursuant to Section 53010, the K–12 component of the Strong Workforce Program established pursuant to Section 88827, or the Career Technical Education Facilities Program established pursuant to Section 17078.72.</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lastRenderedPageBreak/>
        <w:t>(4)</w:t>
      </w:r>
      <w:r w:rsidR="00C362E9">
        <w:rPr>
          <w:rFonts w:cs="Arial"/>
          <w:bdr w:val="none" w:sz="0" w:space="0" w:color="auto" w:frame="1"/>
        </w:rPr>
        <w:t xml:space="preserve"> </w:t>
      </w:r>
      <w:r w:rsidRPr="00C362E9">
        <w:rPr>
          <w:rFonts w:cs="Arial"/>
          <w:bdr w:val="none" w:sz="0" w:space="0" w:color="auto" w:frame="1"/>
        </w:rPr>
        <w:t>An applicant’s matching funds shall be used to support the program or programs for which the applicant was awarded a grant.</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A three-year plan for continued financial and administrative support of career technical education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career technical education programs and a written commitment to do so. If an applicant consisting of more than one school district, county office of education, charter school, or regional occupational center or program operated by a joint powers authority or county office of education, or any combination of these entities, is applying for grant funding from this program, identification of available funding and a written commitment shall be demonstrated by each participating constituent entity.</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The applicant, or the applicant’s career technical education program, as applicable, meets all of the following minimum eligibility standards: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(1)</w:t>
      </w:r>
      <w:r w:rsidR="00C362E9">
        <w:rPr>
          <w:rFonts w:cs="Arial"/>
          <w:bdr w:val="none" w:sz="0" w:space="0" w:color="auto" w:frame="1"/>
        </w:rPr>
        <w:t xml:space="preserve"> </w:t>
      </w:r>
      <w:r w:rsidRPr="00C362E9">
        <w:rPr>
          <w:rFonts w:cs="Arial"/>
          <w:bdr w:val="none" w:sz="0" w:space="0" w:color="auto" w:frame="1"/>
        </w:rPr>
        <w:t>Offers high quality curriculum and instruction aligned with the California Career Technical Education Model Curriculum Standards, including, but not limited to, providing a coherent sequence of career technical education courses that enable pupils to transition to postsecondary education programs that lead to a career pathway or attain employment upon graduation from high school.</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(2)</w:t>
      </w:r>
      <w:r w:rsidR="00C362E9">
        <w:rPr>
          <w:rFonts w:cs="Arial"/>
          <w:bdr w:val="none" w:sz="0" w:space="0" w:color="auto" w:frame="1"/>
        </w:rPr>
        <w:t xml:space="preserve"> </w:t>
      </w:r>
      <w:r w:rsidRPr="00C362E9">
        <w:rPr>
          <w:rFonts w:cs="Arial"/>
          <w:bdr w:val="none" w:sz="0" w:space="0" w:color="auto" w:frame="1"/>
        </w:rPr>
        <w:t>Provides pupils with quality career exploration and guidance.</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(3)</w:t>
      </w:r>
      <w:r w:rsidR="00C362E9">
        <w:rPr>
          <w:rFonts w:cs="Arial"/>
          <w:bdr w:val="none" w:sz="0" w:space="0" w:color="auto" w:frame="1"/>
        </w:rPr>
        <w:t xml:space="preserve"> </w:t>
      </w:r>
      <w:r w:rsidRPr="00C362E9">
        <w:rPr>
          <w:rFonts w:cs="Arial"/>
          <w:bdr w:val="none" w:sz="0" w:space="0" w:color="auto" w:frame="1"/>
        </w:rPr>
        <w:t>Provides pupil support services, including counseling and leadership development.</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(4)</w:t>
      </w:r>
      <w:r w:rsidR="00C362E9">
        <w:rPr>
          <w:rFonts w:cs="Arial"/>
          <w:bdr w:val="none" w:sz="0" w:space="0" w:color="auto" w:frame="1"/>
        </w:rPr>
        <w:t xml:space="preserve"> </w:t>
      </w:r>
      <w:r w:rsidRPr="00C362E9">
        <w:rPr>
          <w:rFonts w:cs="Arial"/>
          <w:bdr w:val="none" w:sz="0" w:space="0" w:color="auto" w:frame="1"/>
        </w:rPr>
        <w:t>Provides for system alignment, coherence, and articulation, including ongoing and structural regional or local partnerships with postsecondary educational institutions, documented through formal written agreements.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(5)</w:t>
      </w:r>
      <w:r w:rsidR="00C362E9">
        <w:rPr>
          <w:rFonts w:cs="Arial"/>
          <w:bdr w:val="none" w:sz="0" w:space="0" w:color="auto" w:frame="1"/>
        </w:rPr>
        <w:t xml:space="preserve"> </w:t>
      </w:r>
      <w:r w:rsidRPr="00C362E9">
        <w:rPr>
          <w:rFonts w:cs="Arial"/>
          <w:bdr w:val="none" w:sz="0" w:space="0" w:color="auto" w:frame="1"/>
        </w:rPr>
        <w:t>Forms ongoing and meaningful industry and labor partnerships, evidenced by written agreements and through participation on advisory committees and collaboration with business and labor organizations to provide opportunities for pupils to gain access to pre</w:t>
      </w:r>
      <w:r w:rsidR="00EF158D" w:rsidRPr="00C362E9">
        <w:rPr>
          <w:rFonts w:cs="Arial"/>
          <w:bdr w:val="none" w:sz="0" w:space="0" w:color="auto" w:frame="1"/>
        </w:rPr>
        <w:t>-</w:t>
      </w:r>
      <w:r w:rsidRPr="00C362E9">
        <w:rPr>
          <w:rFonts w:cs="Arial"/>
          <w:bdr w:val="none" w:sz="0" w:space="0" w:color="auto" w:frame="1"/>
        </w:rPr>
        <w:t>apprenticeships, internships, industry certifications, and work-based learning opportunities as well as opportunities for industry to provide input to the career technical education programs and curriculum.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(6)</w:t>
      </w:r>
      <w:r w:rsidR="00C362E9">
        <w:rPr>
          <w:rFonts w:cs="Arial"/>
          <w:bdr w:val="none" w:sz="0" w:space="0" w:color="auto" w:frame="1"/>
        </w:rPr>
        <w:t xml:space="preserve"> </w:t>
      </w:r>
      <w:r w:rsidRPr="00C362E9">
        <w:rPr>
          <w:rFonts w:cs="Arial"/>
          <w:bdr w:val="none" w:sz="0" w:space="0" w:color="auto" w:frame="1"/>
        </w:rPr>
        <w:t>Provides opportunities for pupils to participate in after school, extended day, and out-of-school internships, competitions, leadership development opportunities, career and technical education student organizations, and other work-based learning opportunities.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(7)</w:t>
      </w:r>
      <w:r w:rsidR="00C362E9">
        <w:rPr>
          <w:rFonts w:cs="Arial"/>
          <w:bdr w:val="none" w:sz="0" w:space="0" w:color="auto" w:frame="1"/>
        </w:rPr>
        <w:t xml:space="preserve"> </w:t>
      </w:r>
      <w:r w:rsidRPr="00C362E9">
        <w:rPr>
          <w:rFonts w:cs="Arial"/>
          <w:bdr w:val="none" w:sz="0" w:space="0" w:color="auto" w:frame="1"/>
        </w:rPr>
        <w:t>Reflects regional or local labor market demands, and focuses on current or emerging high-skill, high-wage, or high-demand occupations, and is informed by the regional plan of the local Strong Workforce Program consortium.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lastRenderedPageBreak/>
        <w:t>(8)</w:t>
      </w:r>
      <w:r w:rsidR="00C362E9">
        <w:rPr>
          <w:rFonts w:cs="Arial"/>
          <w:bdr w:val="none" w:sz="0" w:space="0" w:color="auto" w:frame="1"/>
        </w:rPr>
        <w:t xml:space="preserve"> </w:t>
      </w:r>
      <w:r w:rsidRPr="00C362E9">
        <w:rPr>
          <w:rFonts w:cs="Arial"/>
          <w:bdr w:val="none" w:sz="0" w:space="0" w:color="auto" w:frame="1"/>
        </w:rPr>
        <w:t>Leads to an industry-recognized credential or certificate, or appropriate postsecondary education or training, employment, or a postsecondary degree.</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(9)</w:t>
      </w:r>
      <w:r w:rsidR="00C362E9">
        <w:rPr>
          <w:rFonts w:cs="Arial"/>
          <w:bdr w:val="none" w:sz="0" w:space="0" w:color="auto" w:frame="1"/>
        </w:rPr>
        <w:t xml:space="preserve"> </w:t>
      </w:r>
      <w:r w:rsidRPr="00C362E9">
        <w:rPr>
          <w:rFonts w:cs="Arial"/>
          <w:bdr w:val="none" w:sz="0" w:space="0" w:color="auto" w:frame="1"/>
        </w:rPr>
        <w:t>Is staffed by skilled teachers or faculty, and provides professional development opportunities for those teachers or faculty members.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(10)</w:t>
      </w:r>
      <w:r w:rsidR="00C362E9">
        <w:rPr>
          <w:rFonts w:cs="Arial"/>
          <w:bdr w:val="none" w:sz="0" w:space="0" w:color="auto" w:frame="1"/>
        </w:rPr>
        <w:t xml:space="preserve"> </w:t>
      </w:r>
      <w:r w:rsidRPr="00C362E9">
        <w:rPr>
          <w:rFonts w:cs="Arial"/>
          <w:bdr w:val="none" w:sz="0" w:space="0" w:color="auto" w:frame="1"/>
        </w:rPr>
        <w:t>Provides opportunities for pupils who are individuals with exceptional needs to participate in all programs.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(11)(A)</w:t>
      </w:r>
      <w:r w:rsidR="00C362E9">
        <w:rPr>
          <w:rFonts w:cs="Arial"/>
          <w:bdr w:val="none" w:sz="0" w:space="0" w:color="auto" w:frame="1"/>
        </w:rPr>
        <w:t xml:space="preserve"> </w:t>
      </w:r>
      <w:r w:rsidRPr="00C362E9">
        <w:rPr>
          <w:rFonts w:cs="Arial"/>
          <w:bdr w:val="none" w:sz="0" w:space="0" w:color="auto" w:frame="1"/>
        </w:rPr>
        <w:t>Reports data to the Superintendent, no later than November 1 of each fiscal year, as a program participation requirement, to allow for an evaluation of the program.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Data reported pursuant to this paragraph shall include, but not be limited to, the quality indicators described in the California State Plan for Career Technical Education required by the federal Strengthening Career and Technical Education for the 21st Century Act (Perkins V), and each of the following metrics: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w:t>
      </w:r>
      <w:r w:rsidR="00C362E9">
        <w:rPr>
          <w:rFonts w:cs="Arial"/>
          <w:bdr w:val="none" w:sz="0" w:space="0" w:color="auto" w:frame="1"/>
        </w:rPr>
        <w:t xml:space="preserve"> </w:t>
      </w:r>
      <w:r w:rsidRPr="00C362E9">
        <w:rPr>
          <w:rFonts w:cs="Arial"/>
          <w:bdr w:val="none" w:sz="0" w:space="0" w:color="auto" w:frame="1"/>
        </w:rPr>
        <w:t>The high school graduation rate.</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(ii)</w:t>
      </w:r>
      <w:r w:rsidR="00C362E9">
        <w:rPr>
          <w:rFonts w:cs="Arial"/>
          <w:bdr w:val="none" w:sz="0" w:space="0" w:color="auto" w:frame="1"/>
        </w:rPr>
        <w:t xml:space="preserve"> </w:t>
      </w:r>
      <w:r w:rsidRPr="00C362E9">
        <w:rPr>
          <w:rFonts w:cs="Arial"/>
          <w:bdr w:val="none" w:sz="0" w:space="0" w:color="auto" w:frame="1"/>
        </w:rPr>
        <w:t>The number of pupils completing career technical education coursework.</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(iii)</w:t>
      </w:r>
      <w:r w:rsidR="00C362E9">
        <w:rPr>
          <w:rFonts w:cs="Arial"/>
          <w:bdr w:val="none" w:sz="0" w:space="0" w:color="auto" w:frame="1"/>
        </w:rPr>
        <w:t xml:space="preserve"> </w:t>
      </w:r>
      <w:r w:rsidRPr="00C362E9">
        <w:rPr>
          <w:rFonts w:cs="Arial"/>
          <w:bdr w:val="none" w:sz="0" w:space="0" w:color="auto" w:frame="1"/>
        </w:rPr>
        <w:t>The number of pupils meeting academic and career-readiness standards as defined in the College/Career Indicator associated with the California School Dashboard.</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(iv)</w:t>
      </w:r>
      <w:r w:rsidR="00C362E9">
        <w:rPr>
          <w:rFonts w:cs="Arial"/>
          <w:bdr w:val="none" w:sz="0" w:space="0" w:color="auto" w:frame="1"/>
        </w:rPr>
        <w:t xml:space="preserve"> </w:t>
      </w:r>
      <w:r w:rsidRPr="00C362E9">
        <w:rPr>
          <w:rFonts w:cs="Arial"/>
          <w:bdr w:val="none" w:sz="0" w:space="0" w:color="auto" w:frame="1"/>
        </w:rPr>
        <w:t>The number of pupils obtaining an industry-recognized credential, certificate, license, or other measure of technical skill attainment.</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(v)</w:t>
      </w:r>
      <w:r w:rsidR="00C362E9">
        <w:rPr>
          <w:rFonts w:cs="Arial"/>
          <w:bdr w:val="none" w:sz="0" w:space="0" w:color="auto" w:frame="1"/>
        </w:rPr>
        <w:t xml:space="preserve"> </w:t>
      </w:r>
      <w:r w:rsidRPr="00C362E9">
        <w:rPr>
          <w:rFonts w:cs="Arial"/>
          <w:bdr w:val="none" w:sz="0" w:space="0" w:color="auto" w:frame="1"/>
        </w:rPr>
        <w:t>The number of former pupils employed and the types of businesses in which they are employed.</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(vi)</w:t>
      </w:r>
      <w:r w:rsidR="00C362E9">
        <w:rPr>
          <w:rFonts w:cs="Arial"/>
          <w:bdr w:val="none" w:sz="0" w:space="0" w:color="auto" w:frame="1"/>
        </w:rPr>
        <w:t xml:space="preserve"> </w:t>
      </w:r>
      <w:r w:rsidRPr="00C362E9">
        <w:rPr>
          <w:rFonts w:cs="Arial"/>
          <w:bdr w:val="none" w:sz="0" w:space="0" w:color="auto" w:frame="1"/>
        </w:rPr>
        <w:t>The number of former pupils enrolled in each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w:t>
      </w:r>
      <w:r w:rsidR="00C362E9">
        <w:rPr>
          <w:rFonts w:cs="Arial"/>
          <w:bdr w:val="none" w:sz="0" w:space="0" w:color="auto" w:frame="1"/>
        </w:rPr>
        <w:t xml:space="preserve"> </w:t>
      </w:r>
      <w:r w:rsidRPr="00C362E9">
        <w:rPr>
          <w:rFonts w:cs="Arial"/>
          <w:bdr w:val="none" w:sz="0" w:space="0" w:color="auto" w:frame="1"/>
        </w:rPr>
        <w:t>A postsecondary educational institution.</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(II)</w:t>
      </w:r>
      <w:r w:rsidR="00C362E9">
        <w:rPr>
          <w:rFonts w:cs="Arial"/>
          <w:bdr w:val="none" w:sz="0" w:space="0" w:color="auto" w:frame="1"/>
        </w:rPr>
        <w:t xml:space="preserve"> </w:t>
      </w:r>
      <w:r w:rsidRPr="00C362E9">
        <w:rPr>
          <w:rFonts w:cs="Arial"/>
          <w:bdr w:val="none" w:sz="0" w:space="0" w:color="auto" w:frame="1"/>
        </w:rPr>
        <w:t>A state apprenticeship program.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(III)</w:t>
      </w:r>
      <w:r w:rsidR="00C362E9">
        <w:rPr>
          <w:rFonts w:cs="Arial"/>
          <w:bdr w:val="none" w:sz="0" w:space="0" w:color="auto" w:frame="1"/>
        </w:rPr>
        <w:t xml:space="preserve"> </w:t>
      </w:r>
      <w:r w:rsidRPr="00C362E9">
        <w:rPr>
          <w:rFonts w:cs="Arial"/>
          <w:bdr w:val="none" w:sz="0" w:space="0" w:color="auto" w:frame="1"/>
        </w:rPr>
        <w:t>A form of job training other than a state apprenticeship program.</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No later than November 30 of each fiscal year, the California Workforce Pathways Joint Advisory Committee, established pursuant to Section 12053, shall review the data metrics specified in subparagraph (B) and make recommendations to the Department of Finance, the Governor, and the appropriate policy and fiscal committees of the Legislature as to both of the following topics: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w:t>
      </w:r>
      <w:r w:rsidR="00C362E9">
        <w:rPr>
          <w:rFonts w:cs="Arial"/>
          <w:bdr w:val="none" w:sz="0" w:space="0" w:color="auto" w:frame="1"/>
        </w:rPr>
        <w:t xml:space="preserve"> </w:t>
      </w:r>
      <w:r w:rsidRPr="00C362E9">
        <w:rPr>
          <w:rFonts w:cs="Arial"/>
          <w:bdr w:val="none" w:sz="0" w:space="0" w:color="auto" w:frame="1"/>
        </w:rPr>
        <w:t>Whether these data metrics remain the most appropriate metrics to measure and evaluate program outcomes for both new and renewal applicants.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(ii)</w:t>
      </w:r>
      <w:r w:rsidR="00C362E9">
        <w:rPr>
          <w:rFonts w:cs="Arial"/>
          <w:bdr w:val="none" w:sz="0" w:space="0" w:color="auto" w:frame="1"/>
        </w:rPr>
        <w:t xml:space="preserve"> </w:t>
      </w:r>
      <w:r w:rsidRPr="00C362E9">
        <w:rPr>
          <w:rFonts w:cs="Arial"/>
          <w:bdr w:val="none" w:sz="0" w:space="0" w:color="auto" w:frame="1"/>
        </w:rPr>
        <w:t>Whether other metrics should be included.</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lastRenderedPageBreak/>
        <w:t>(D)</w:t>
      </w:r>
      <w:r w:rsidR="00C362E9">
        <w:rPr>
          <w:rFonts w:cs="Arial"/>
          <w:bdr w:val="none" w:sz="0" w:space="0" w:color="auto" w:frame="1"/>
        </w:rPr>
        <w:t xml:space="preserve"> </w:t>
      </w:r>
      <w:r w:rsidRPr="00C362E9">
        <w:rPr>
          <w:rFonts w:cs="Arial"/>
          <w:bdr w:val="none" w:sz="0" w:space="0" w:color="auto" w:frame="1"/>
        </w:rPr>
        <w:t>The department shall make the data reported pursuant to subparagraph (B) available to the office of the Chancellor of the California Community Colleges on a date to be determined jointly by the department and the chancellor’s office to ensure that data is included in the California Community Colleges LaunchBoard data platform.</w:t>
      </w:r>
    </w:p>
    <w:p w:rsidR="00ED5541" w:rsidRPr="00C362E9" w:rsidRDefault="00ED5541" w:rsidP="00ED5541">
      <w:pPr>
        <w:spacing w:after="240"/>
        <w:textAlignment w:val="baseline"/>
        <w:rPr>
          <w:rFonts w:cs="Arial"/>
          <w:bdr w:val="none" w:sz="0" w:space="0" w:color="auto" w:frame="1"/>
        </w:rPr>
      </w:pPr>
      <w:r w:rsidRPr="00C362E9">
        <w:rPr>
          <w:rFonts w:cs="Arial"/>
          <w:i/>
          <w:iCs/>
          <w:bdr w:val="none" w:sz="0" w:space="0" w:color="auto" w:frame="1"/>
        </w:rPr>
        <w:t>(Amended by Stats. 2019, Ch. 51, Sec. 42. (SB 75) Effective July 1, 2019.)</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53071.1.</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Commencing July 1, 2019, as part of the application process, the department shall ask applicants to indicate whether they have received a grant under the K–12 component of the Strong Workforce Program.</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For each fiscal year, the department shall work with the office of the Chancellor of the California Community Colleges to produce a list of grant recipients that receive funding under this program as well as through the K–12 component of the Strong Workforce Program, including the grant amounts awarded through each program and the purpose for which each grant was awarded.</w:t>
      </w:r>
    </w:p>
    <w:p w:rsidR="00ED5541" w:rsidRPr="00C362E9" w:rsidRDefault="00ED5541" w:rsidP="00ED5541">
      <w:pPr>
        <w:spacing w:after="240"/>
        <w:textAlignment w:val="baseline"/>
        <w:rPr>
          <w:rFonts w:cs="Arial"/>
          <w:bdr w:val="none" w:sz="0" w:space="0" w:color="auto" w:frame="1"/>
        </w:rPr>
      </w:pPr>
      <w:r w:rsidRPr="00C362E9">
        <w:rPr>
          <w:rFonts w:cs="Arial"/>
          <w:i/>
          <w:iCs/>
          <w:bdr w:val="none" w:sz="0" w:space="0" w:color="auto" w:frame="1"/>
        </w:rPr>
        <w:t>(Added by Stats. 2018, Ch. 32, Sec. 81. (AB 1808) Effective June 27, 2018.)</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53072.</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 grant recipient under this chapter may consist of one or more, or any combination,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School districts.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County offices of education.</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Charter schools.</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(d)</w:t>
      </w:r>
      <w:r w:rsidR="00C362E9">
        <w:rPr>
          <w:rFonts w:cs="Arial"/>
          <w:bdr w:val="none" w:sz="0" w:space="0" w:color="auto" w:frame="1"/>
        </w:rPr>
        <w:t xml:space="preserve"> </w:t>
      </w:r>
      <w:r w:rsidRPr="00C362E9">
        <w:rPr>
          <w:rFonts w:cs="Arial"/>
          <w:bdr w:val="none" w:sz="0" w:space="0" w:color="auto" w:frame="1"/>
        </w:rPr>
        <w:t>Regional occupational centers or programs operated by joint powers authorities or county offices of education, provided that the application has the written consent of each participating local educational agency.</w:t>
      </w:r>
    </w:p>
    <w:p w:rsidR="00ED5541" w:rsidRPr="00C362E9" w:rsidRDefault="00ED5541" w:rsidP="00ED5541">
      <w:pPr>
        <w:spacing w:after="240"/>
        <w:textAlignment w:val="baseline"/>
        <w:rPr>
          <w:rFonts w:cs="Arial"/>
          <w:bdr w:val="none" w:sz="0" w:space="0" w:color="auto" w:frame="1"/>
        </w:rPr>
      </w:pPr>
      <w:r w:rsidRPr="00C362E9">
        <w:rPr>
          <w:rFonts w:cs="Arial"/>
          <w:i/>
          <w:iCs/>
          <w:bdr w:val="none" w:sz="0" w:space="0" w:color="auto" w:frame="1"/>
        </w:rPr>
        <w:t>(Amended by Stats. 2019, Ch. 51, Sec. 43. (SB 75) Effective July 1, 2019.)</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53073.</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An applicant receiving a grant from this program in a prior fiscal year shall be eligible to apply to receive a renewal grant if the applicant’s career technical education program meets the requirements specified in Section 53071, and has been evaluated and deemed successful by the Superintendent, in collaboration with the state board, based on the metrics specified in paragraph (1) of subdivision (b).</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(1)</w:t>
      </w:r>
      <w:r w:rsidR="00C362E9">
        <w:rPr>
          <w:rFonts w:cs="Arial"/>
          <w:bdr w:val="none" w:sz="0" w:space="0" w:color="auto" w:frame="1"/>
        </w:rPr>
        <w:t xml:space="preserve"> T</w:t>
      </w:r>
      <w:r w:rsidRPr="00C362E9">
        <w:rPr>
          <w:rFonts w:cs="Arial"/>
          <w:bdr w:val="none" w:sz="0" w:space="0" w:color="auto" w:frame="1"/>
        </w:rPr>
        <w:t>he department, in collaboration with the state board, shall determine reporting requirements and renewal grant eligibility using metrics identified pursuant to paragraph (11) of subdivision (c) of Section 53071.</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lastRenderedPageBreak/>
        <w:t>(2)</w:t>
      </w:r>
      <w:r w:rsidR="00C362E9">
        <w:rPr>
          <w:rFonts w:cs="Arial"/>
          <w:bdr w:val="none" w:sz="0" w:space="0" w:color="auto" w:frame="1"/>
        </w:rPr>
        <w:t xml:space="preserve"> </w:t>
      </w:r>
      <w:r w:rsidRPr="00C362E9">
        <w:rPr>
          <w:rFonts w:cs="Arial"/>
          <w:bdr w:val="none" w:sz="0" w:space="0" w:color="auto" w:frame="1"/>
        </w:rPr>
        <w:t>If an applicant for a renewal grant is subject to the requirements of Sections 52060 and 52061, Sections 52066 and 52067, or Section 47606.5, the inclusion of career technical education programs in the applicant’s local control and accountability plan and annual update shall be required to be eligible for a renewal grant.</w:t>
      </w:r>
    </w:p>
    <w:p w:rsidR="00ED5541" w:rsidRPr="00C362E9" w:rsidRDefault="00ED5541" w:rsidP="00ED5541">
      <w:pPr>
        <w:spacing w:after="240"/>
        <w:textAlignment w:val="baseline"/>
        <w:rPr>
          <w:rFonts w:cs="Arial"/>
          <w:bdr w:val="none" w:sz="0" w:space="0" w:color="auto" w:frame="1"/>
        </w:rPr>
      </w:pPr>
      <w:r w:rsidRPr="00C362E9">
        <w:rPr>
          <w:rFonts w:cs="Arial"/>
          <w:i/>
          <w:iCs/>
          <w:bdr w:val="none" w:sz="0" w:space="0" w:color="auto" w:frame="1"/>
        </w:rPr>
        <w:t>(Amended by Stats. 2019, Ch. 51, Sec. 44. (SB 75) Effective July 1, 2019.)</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53074.</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The department shall consult with entities having career technical education expertise, including, but not necessarily limited to, the Chancellor of the California Community Colleges, state workforce investment organizations, and organizations representing business in the development of the request for grant applications and in the consideration of grant applications under this chapter. The department shall annually submit its list of recommended new and renewal grant recipients to the state board for review and approval before making annual grant awards.</w:t>
      </w:r>
    </w:p>
    <w:p w:rsidR="00ED5541" w:rsidRPr="00C362E9" w:rsidRDefault="00ED5541" w:rsidP="00ED5541">
      <w:pPr>
        <w:spacing w:after="240"/>
        <w:textAlignment w:val="baseline"/>
        <w:rPr>
          <w:rFonts w:cs="Arial"/>
          <w:bdr w:val="none" w:sz="0" w:space="0" w:color="auto" w:frame="1"/>
        </w:rPr>
      </w:pPr>
      <w:r w:rsidRPr="00C362E9">
        <w:rPr>
          <w:rFonts w:cs="Arial"/>
          <w:i/>
          <w:iCs/>
          <w:bdr w:val="none" w:sz="0" w:space="0" w:color="auto" w:frame="1"/>
        </w:rPr>
        <w:t>(Added by Stats. 2015, Ch. 13, Sec. 36. (AB 104) Effective June 24, 2015.)</w:t>
      </w:r>
    </w:p>
    <w:p w:rsidR="00ED5541" w:rsidRPr="00C362E9" w:rsidRDefault="0027290F" w:rsidP="00ED5541">
      <w:pPr>
        <w:pStyle w:val="Heading2"/>
        <w:spacing w:before="0"/>
        <w:rPr>
          <w:rFonts w:cs="Arial"/>
          <w:bCs/>
          <w:sz w:val="24"/>
          <w:bdr w:val="none" w:sz="0" w:space="0" w:color="auto" w:frame="1"/>
        </w:rPr>
      </w:pPr>
      <w:hyperlink r:id="rId7" w:history="1">
        <w:r w:rsidR="00ED5541" w:rsidRPr="00C362E9">
          <w:rPr>
            <w:rFonts w:cs="Arial"/>
            <w:bCs/>
            <w:sz w:val="24"/>
            <w:bdr w:val="none" w:sz="0" w:space="0" w:color="auto" w:frame="1"/>
          </w:rPr>
          <w:t>53075.</w:t>
        </w:r>
      </w:hyperlink>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When determining grant recipients, the department and the state board shall do both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(1)</w:t>
      </w:r>
      <w:r w:rsidR="00C362E9">
        <w:rPr>
          <w:rFonts w:cs="Arial"/>
          <w:bdr w:val="none" w:sz="0" w:space="0" w:color="auto" w:frame="1"/>
        </w:rPr>
        <w:t xml:space="preserve"> </w:t>
      </w:r>
      <w:r w:rsidRPr="00C362E9">
        <w:rPr>
          <w:rFonts w:cs="Arial"/>
          <w:bdr w:val="none" w:sz="0" w:space="0" w:color="auto" w:frame="1"/>
        </w:rPr>
        <w:t>Give positive consideration to each of the following characteristics in an applicant:</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Serving unduplicated pupils, as defined in Section 42238.02.</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Serving pupil subgroups that have higher than average dropout rates as identified by the Superintendent.</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Located in an area of the state with a high unemployment rate.</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(2)</w:t>
      </w:r>
      <w:r w:rsidR="00C362E9">
        <w:rPr>
          <w:rFonts w:cs="Arial"/>
          <w:bdr w:val="none" w:sz="0" w:space="0" w:color="auto" w:frame="1"/>
        </w:rPr>
        <w:t xml:space="preserve"> </w:t>
      </w:r>
      <w:r w:rsidRPr="00C362E9">
        <w:rPr>
          <w:rFonts w:cs="Arial"/>
          <w:bdr w:val="none" w:sz="0" w:space="0" w:color="auto" w:frame="1"/>
        </w:rPr>
        <w:t>Give positive consideration to programs to the extent they do any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Successfully leverage one or both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w:t>
      </w:r>
      <w:r w:rsidR="00C362E9">
        <w:rPr>
          <w:rFonts w:cs="Arial"/>
          <w:bdr w:val="none" w:sz="0" w:space="0" w:color="auto" w:frame="1"/>
        </w:rPr>
        <w:t xml:space="preserve"> </w:t>
      </w:r>
      <w:r w:rsidRPr="00C362E9">
        <w:rPr>
          <w:rFonts w:cs="Arial"/>
          <w:bdr w:val="none" w:sz="0" w:space="0" w:color="auto" w:frame="1"/>
        </w:rPr>
        <w:t>Existing structures, requirements, and resources of the federal Strengthening Career and Technical Education for the 21st Century Act (Perkins V) (Public Law 115-224), California Partnership Academies, California Career Pathways Trust, or Agricultural Career Technical Education Incentive Grants.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(ii)</w:t>
      </w:r>
      <w:r w:rsidR="00C362E9">
        <w:rPr>
          <w:rFonts w:cs="Arial"/>
          <w:bdr w:val="none" w:sz="0" w:space="0" w:color="auto" w:frame="1"/>
        </w:rPr>
        <w:t xml:space="preserve"> </w:t>
      </w:r>
      <w:r w:rsidRPr="00C362E9">
        <w:rPr>
          <w:rFonts w:cs="Arial"/>
          <w:bdr w:val="none" w:sz="0" w:space="0" w:color="auto" w:frame="1"/>
        </w:rPr>
        <w:t>Contributions from industry, labor, and philanthropic sources.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lastRenderedPageBreak/>
        <w:t>(C)</w:t>
      </w:r>
      <w:r w:rsidR="00C362E9">
        <w:rPr>
          <w:rFonts w:cs="Arial"/>
          <w:bdr w:val="none" w:sz="0" w:space="0" w:color="auto" w:frame="1"/>
        </w:rPr>
        <w:t xml:space="preserve"> </w:t>
      </w:r>
      <w:r w:rsidRPr="00C362E9">
        <w:rPr>
          <w:rFonts w:cs="Arial"/>
          <w:bdr w:val="none" w:sz="0" w:space="0" w:color="auto" w:frame="1"/>
        </w:rPr>
        <w:t>Make significant investment in career technical education infrastructure, equipment, and facilities.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(D)</w:t>
      </w:r>
      <w:r w:rsidR="00C362E9">
        <w:rPr>
          <w:rFonts w:cs="Arial"/>
          <w:bdr w:val="none" w:sz="0" w:space="0" w:color="auto" w:frame="1"/>
        </w:rPr>
        <w:t xml:space="preserve"> </w:t>
      </w:r>
      <w:r w:rsidRPr="00C362E9">
        <w:rPr>
          <w:rFonts w:cs="Arial"/>
          <w:bdr w:val="none" w:sz="0" w:space="0" w:color="auto" w:frame="1"/>
        </w:rPr>
        <w:t>Operate within rural school districts.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(E)</w:t>
      </w:r>
      <w:r w:rsidR="00C362E9">
        <w:rPr>
          <w:rFonts w:cs="Arial"/>
          <w:bdr w:val="none" w:sz="0" w:space="0" w:color="auto" w:frame="1"/>
        </w:rPr>
        <w:t xml:space="preserve"> </w:t>
      </w:r>
      <w:r w:rsidRPr="00C362E9">
        <w:rPr>
          <w:rFonts w:cs="Arial"/>
          <w:bdr w:val="none" w:sz="0" w:space="0" w:color="auto" w:frame="1"/>
        </w:rPr>
        <w:t>Offer an existing high-quality regional-based career technical education program as a joint powers agency.</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When determining grant recipients, the department and the state board shall give greatest weight to the applicant characteristics included in paragraph (1) of subdivision (a).</w:t>
      </w:r>
    </w:p>
    <w:p w:rsidR="00ED5541" w:rsidRPr="00C362E9" w:rsidRDefault="00ED5541" w:rsidP="00ED5541">
      <w:pPr>
        <w:spacing w:after="240"/>
        <w:textAlignment w:val="baseline"/>
        <w:rPr>
          <w:rFonts w:cs="Arial"/>
          <w:bdr w:val="none" w:sz="0" w:space="0" w:color="auto" w:frame="1"/>
        </w:rPr>
      </w:pPr>
      <w:r w:rsidRPr="00C362E9">
        <w:rPr>
          <w:rFonts w:cs="Arial"/>
          <w:i/>
          <w:iCs/>
          <w:bdr w:val="none" w:sz="0" w:space="0" w:color="auto" w:frame="1"/>
        </w:rPr>
        <w:t>(Amended by Stats. 2019, Ch. 51, Sec. 45. (SB 75) Effective July 1, 2019.)</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53076.</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For purposes of administering the program established by this chapter, the Superintendent shall do all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Determine, in collaboration with the executive director of the state board, and make public at a regularly scheduled meeting of the state board, the allocation formula, specific funding amounts, the purposes for which grant funds may be used, allowable and nonallowable expenditures, and the number of grants to be awarded. The information specified in this subdivision shall also be provided in writing to the appropriate policy and fiscal committees of the Legislature, the Department of Finance, and the Governor.</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Distribute funding on a multiyear schedule, establish a process for monitoring the use of the funding, and, if necessary, cease distribution of funding and recover previously distributed funding in the case of a recipient’s failure to report the specified data to the Superintendent or comply with a grant prerequisite or minimum standard.</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Annually review grant recipients’ expenditures on career technical education programs for purposes of determining if the grant recipients have met the dollar-for-dollar match requirement specified in subdivision (a) of Section 53071. If, after review, the Superintendent determines that a grant recipient failed to meet the matching funds requirement, the Superintendent shall reduce the following year’s grant allocation in an amount equal to the unmet portion of the match requirement. The reduction shall not reduce the grant recipient’s match requirement for the year in which the Superintendent reduces the allocation.</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(d)</w:t>
      </w:r>
      <w:r w:rsidR="00C362E9">
        <w:rPr>
          <w:rFonts w:cs="Arial"/>
          <w:bdr w:val="none" w:sz="0" w:space="0" w:color="auto" w:frame="1"/>
        </w:rPr>
        <w:t xml:space="preserve"> </w:t>
      </w:r>
      <w:r w:rsidRPr="00C362E9">
        <w:rPr>
          <w:rFonts w:cs="Arial"/>
          <w:bdr w:val="none" w:sz="0" w:space="0" w:color="auto" w:frame="1"/>
        </w:rPr>
        <w:t>Require grant recipients to submit program reports pursuant to paragraph (11) of subdivision (c) of Section 53071.</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(e)</w:t>
      </w:r>
      <w:r w:rsidR="00C362E9">
        <w:rPr>
          <w:rFonts w:cs="Arial"/>
          <w:bdr w:val="none" w:sz="0" w:space="0" w:color="auto" w:frame="1"/>
        </w:rPr>
        <w:t xml:space="preserve"> </w:t>
      </w:r>
      <w:r w:rsidRPr="00C362E9">
        <w:rPr>
          <w:rFonts w:cs="Arial"/>
          <w:bdr w:val="none" w:sz="0" w:space="0" w:color="auto" w:frame="1"/>
        </w:rPr>
        <w:t>Manage the grant process, collect pertinent data, and undertake statewide program improvement activities.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(f)</w:t>
      </w:r>
      <w:r w:rsidR="00C362E9">
        <w:rPr>
          <w:rFonts w:cs="Arial"/>
          <w:bdr w:val="none" w:sz="0" w:space="0" w:color="auto" w:frame="1"/>
        </w:rPr>
        <w:t xml:space="preserve"> </w:t>
      </w:r>
      <w:r w:rsidRPr="00C362E9">
        <w:rPr>
          <w:rFonts w:cs="Arial"/>
          <w:bdr w:val="none" w:sz="0" w:space="0" w:color="auto" w:frame="1"/>
        </w:rPr>
        <w:t xml:space="preserve">Promote the success of K–12 career technical education programs through statewide activities to improve and administer the program, including by facilitating system, </w:t>
      </w:r>
      <w:r w:rsidRPr="00C362E9">
        <w:rPr>
          <w:rFonts w:cs="Arial"/>
          <w:bdr w:val="none" w:sz="0" w:space="0" w:color="auto" w:frame="1"/>
        </w:rPr>
        <w:lastRenderedPageBreak/>
        <w:t>program, and data alignment at the state and regional levels, facilitating the development and delivery of professional development training modules, and supporting school districts in meeting their college indicator and career indicator targets.</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(g)</w:t>
      </w:r>
      <w:r w:rsidR="00C362E9">
        <w:rPr>
          <w:rFonts w:cs="Arial"/>
          <w:bdr w:val="none" w:sz="0" w:space="0" w:color="auto" w:frame="1"/>
        </w:rPr>
        <w:t xml:space="preserve"> </w:t>
      </w:r>
      <w:r w:rsidRPr="00C362E9">
        <w:rPr>
          <w:rFonts w:cs="Arial"/>
          <w:bdr w:val="none" w:sz="0" w:space="0" w:color="auto" w:frame="1"/>
        </w:rPr>
        <w:t>Ensure that the department fulfills the reporting requirements in Section 53076.5.</w:t>
      </w:r>
    </w:p>
    <w:p w:rsidR="00ED5541" w:rsidRPr="00C362E9" w:rsidRDefault="00ED5541" w:rsidP="00ED5541">
      <w:pPr>
        <w:spacing w:after="240"/>
        <w:textAlignment w:val="baseline"/>
        <w:rPr>
          <w:rFonts w:cs="Arial"/>
          <w:bdr w:val="none" w:sz="0" w:space="0" w:color="auto" w:frame="1"/>
        </w:rPr>
      </w:pPr>
      <w:r w:rsidRPr="00C362E9">
        <w:rPr>
          <w:rFonts w:cs="Arial"/>
          <w:i/>
          <w:iCs/>
          <w:bdr w:val="none" w:sz="0" w:space="0" w:color="auto" w:frame="1"/>
        </w:rPr>
        <w:t>(Amended by Stats. 2018, Ch. 32, Sec. 84. (AB 1808) Effective June 27, 2018.)</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53076.2.</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On or before January 31, 2024, and on or before January 31 every five years thereafter, the department shall submit to the Department of Finance, the Governor, and the appropriate policy and fiscal committees of the Legislature a report evaluating the progress that local educational agencies have made, pursuant to Section 88828 and this chapter, with respect to all of the following:</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(a)</w:t>
      </w:r>
      <w:r w:rsidR="00C362E9">
        <w:rPr>
          <w:rFonts w:cs="Arial"/>
          <w:bdr w:val="none" w:sz="0" w:space="0" w:color="auto" w:frame="1"/>
        </w:rPr>
        <w:t xml:space="preserve"> </w:t>
      </w:r>
      <w:r w:rsidRPr="00C362E9">
        <w:rPr>
          <w:rFonts w:cs="Arial"/>
          <w:bdr w:val="none" w:sz="0" w:space="0" w:color="auto" w:frame="1"/>
        </w:rPr>
        <w:t>Expanding the availability of high-quality, industry-valued career technical education and workforce development opportunities.</w:t>
      </w:r>
    </w:p>
    <w:p w:rsidR="00ED5541" w:rsidRPr="00C362E9" w:rsidRDefault="00ED5541" w:rsidP="00ED5541">
      <w:pPr>
        <w:spacing w:after="240"/>
        <w:textAlignment w:val="baseline"/>
        <w:rPr>
          <w:rFonts w:cs="Arial"/>
          <w:bdr w:val="none" w:sz="0" w:space="0" w:color="auto" w:frame="1"/>
        </w:rPr>
      </w:pPr>
      <w:r w:rsidRPr="00C362E9">
        <w:rPr>
          <w:rFonts w:cs="Arial"/>
          <w:bdr w:val="none" w:sz="0" w:space="0" w:color="auto" w:frame="1"/>
        </w:rPr>
        <w:t>(b)</w:t>
      </w:r>
      <w:r w:rsidR="00C362E9">
        <w:rPr>
          <w:rFonts w:cs="Arial"/>
          <w:bdr w:val="none" w:sz="0" w:space="0" w:color="auto" w:frame="1"/>
        </w:rPr>
        <w:t xml:space="preserve"> </w:t>
      </w:r>
      <w:r w:rsidRPr="00C362E9">
        <w:rPr>
          <w:rFonts w:cs="Arial"/>
          <w:bdr w:val="none" w:sz="0" w:space="0" w:color="auto" w:frame="1"/>
        </w:rPr>
        <w:t>Improving coordination and alignment with postsecondary educational institutions and workforce agencies and programs.</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(c)</w:t>
      </w:r>
      <w:r w:rsidR="00C362E9">
        <w:rPr>
          <w:rFonts w:cs="Arial"/>
          <w:bdr w:val="none" w:sz="0" w:space="0" w:color="auto" w:frame="1"/>
        </w:rPr>
        <w:t xml:space="preserve"> </w:t>
      </w:r>
      <w:r w:rsidRPr="00C362E9">
        <w:rPr>
          <w:rFonts w:cs="Arial"/>
          <w:bdr w:val="none" w:sz="0" w:space="0" w:color="auto" w:frame="1"/>
        </w:rPr>
        <w:t>Closing equity gaps in program access and completion, to the extent possible.</w:t>
      </w:r>
    </w:p>
    <w:p w:rsidR="00ED5541" w:rsidRPr="00C362E9" w:rsidRDefault="00ED5541" w:rsidP="00ED5541">
      <w:pPr>
        <w:spacing w:after="240"/>
        <w:textAlignment w:val="baseline"/>
        <w:rPr>
          <w:rFonts w:cs="Arial"/>
          <w:i/>
          <w:iCs/>
          <w:bdr w:val="none" w:sz="0" w:space="0" w:color="auto" w:frame="1"/>
        </w:rPr>
      </w:pPr>
      <w:r w:rsidRPr="00C362E9">
        <w:rPr>
          <w:rFonts w:cs="Arial"/>
          <w:i/>
          <w:iCs/>
          <w:bdr w:val="none" w:sz="0" w:space="0" w:color="auto" w:frame="1"/>
        </w:rPr>
        <w:t>(Added by Stats. 2018, Ch. 32, Sec. 85. (AB 1808) Effective June 27, 2018.)</w:t>
      </w:r>
    </w:p>
    <w:p w:rsidR="00ED5541" w:rsidRPr="00C362E9" w:rsidRDefault="00ED5541" w:rsidP="00ED5541">
      <w:pPr>
        <w:pStyle w:val="Heading2"/>
        <w:spacing w:before="0"/>
        <w:rPr>
          <w:sz w:val="24"/>
          <w:bdr w:val="none" w:sz="0" w:space="0" w:color="auto" w:frame="1"/>
        </w:rPr>
      </w:pPr>
      <w:r w:rsidRPr="00C362E9">
        <w:rPr>
          <w:sz w:val="24"/>
          <w:bdr w:val="none" w:sz="0" w:space="0" w:color="auto" w:frame="1"/>
        </w:rPr>
        <w:t>53076.4.</w:t>
      </w:r>
    </w:p>
    <w:p w:rsidR="00ED5541" w:rsidRPr="00C362E9" w:rsidRDefault="00ED5541" w:rsidP="00ED5541">
      <w:pPr>
        <w:spacing w:after="240"/>
        <w:contextualSpacing/>
        <w:textAlignment w:val="baseline"/>
        <w:rPr>
          <w:rFonts w:cs="Arial"/>
          <w:bdr w:val="none" w:sz="0" w:space="0" w:color="auto" w:frame="1"/>
        </w:rPr>
      </w:pPr>
      <w:r w:rsidRPr="00C362E9">
        <w:rPr>
          <w:rFonts w:cs="Arial"/>
          <w:bdr w:val="none" w:sz="0" w:space="0" w:color="auto" w:frame="1"/>
        </w:rPr>
        <w:t>For purposes of the program established by this chapter, the K–12 Workforce Pathway Coordinators and the K–14 Technical Assistance Providers established pursuant to Section 88833 shall provide technical assistance and support to recipients of grants pursuant to this chapter in implementing career technical education courses, programs, and pathways consistent with the duties outlined in Section 88833.</w:t>
      </w:r>
    </w:p>
    <w:p w:rsidR="00ED5541" w:rsidRPr="00C362E9" w:rsidRDefault="00ED5541" w:rsidP="00ED5541">
      <w:pPr>
        <w:spacing w:after="240"/>
        <w:textAlignment w:val="baseline"/>
      </w:pPr>
      <w:r w:rsidRPr="00C362E9">
        <w:rPr>
          <w:rFonts w:cs="Arial"/>
          <w:i/>
          <w:iCs/>
          <w:bdr w:val="none" w:sz="0" w:space="0" w:color="auto" w:frame="1"/>
        </w:rPr>
        <w:t>(Added by Stats. 2018, Ch. 32, Sec. 86. (AB 1808) Effective June 27, 2018.)</w:t>
      </w:r>
      <w:bookmarkStart w:id="1" w:name="codesdistxtnavfrm:clicklink"/>
      <w:bookmarkEnd w:id="1"/>
    </w:p>
    <w:sectPr w:rsidR="00ED5541" w:rsidRPr="00C36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5F" w:rsidRDefault="00EE595F" w:rsidP="00ED5541">
      <w:r>
        <w:separator/>
      </w:r>
    </w:p>
  </w:endnote>
  <w:endnote w:type="continuationSeparator" w:id="0">
    <w:p w:rsidR="00EE595F" w:rsidRDefault="00EE595F" w:rsidP="00E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5F" w:rsidRDefault="00EE595F" w:rsidP="00ED5541">
      <w:r>
        <w:separator/>
      </w:r>
    </w:p>
  </w:footnote>
  <w:footnote w:type="continuationSeparator" w:id="0">
    <w:p w:rsidR="00EE595F" w:rsidRDefault="00EE595F" w:rsidP="00ED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E9" w:rsidRPr="007E49F5" w:rsidRDefault="00C362E9" w:rsidP="00ED5541">
    <w:pPr>
      <w:pStyle w:val="Header"/>
      <w:jc w:val="right"/>
      <w:rPr>
        <w:rFonts w:cs="Arial"/>
      </w:rPr>
    </w:pPr>
    <w:r w:rsidRPr="0027290F">
      <w:rPr>
        <w:rFonts w:cs="Arial"/>
      </w:rPr>
      <w:t>aab-cctd-</w:t>
    </w:r>
    <w:r w:rsidR="00BC4CCA" w:rsidRPr="0027290F">
      <w:rPr>
        <w:rFonts w:cs="Arial"/>
      </w:rPr>
      <w:t>jan21</w:t>
    </w:r>
    <w:r w:rsidRPr="0027290F">
      <w:rPr>
        <w:rFonts w:cs="Arial"/>
      </w:rPr>
      <w:t>ite</w:t>
    </w:r>
    <w:r w:rsidR="009A627B" w:rsidRPr="0027290F">
      <w:rPr>
        <w:rFonts w:cs="Arial"/>
      </w:rPr>
      <w:t>m</w:t>
    </w:r>
    <w:r w:rsidR="007F3A16" w:rsidRPr="0027290F">
      <w:rPr>
        <w:rFonts w:cs="Arial"/>
      </w:rPr>
      <w:t>01</w:t>
    </w:r>
  </w:p>
  <w:p w:rsidR="00C362E9" w:rsidRPr="007E49F5" w:rsidRDefault="00C362E9" w:rsidP="00ED5541">
    <w:pPr>
      <w:pStyle w:val="Header"/>
      <w:jc w:val="right"/>
      <w:rPr>
        <w:rFonts w:cs="Arial"/>
      </w:rPr>
    </w:pPr>
    <w:r w:rsidRPr="007E49F5">
      <w:rPr>
        <w:rFonts w:cs="Arial"/>
      </w:rPr>
      <w:t>Attachment</w:t>
    </w:r>
    <w:r>
      <w:rPr>
        <w:rFonts w:cs="Arial"/>
      </w:rPr>
      <w:t xml:space="preserve"> 3</w:t>
    </w:r>
  </w:p>
  <w:p w:rsidR="00C362E9" w:rsidRDefault="00C362E9" w:rsidP="00ED5541">
    <w:pPr>
      <w:pStyle w:val="Header"/>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27290F">
      <w:rPr>
        <w:rFonts w:cs="Arial"/>
        <w:bCs/>
        <w:noProof/>
      </w:rPr>
      <w:t>9</w:t>
    </w:r>
    <w:r w:rsidRPr="007E49F5">
      <w:rPr>
        <w:rFonts w:cs="Arial"/>
        <w:bCs/>
      </w:rPr>
      <w:fldChar w:fldCharType="end"/>
    </w:r>
    <w:r>
      <w:rPr>
        <w:rFonts w:cs="Arial"/>
      </w:rPr>
      <w:t xml:space="preserve"> </w:t>
    </w:r>
    <w:r w:rsidRPr="007E49F5">
      <w:rPr>
        <w:rFonts w:cs="Arial"/>
      </w:rPr>
      <w:t>of</w:t>
    </w:r>
    <w:r>
      <w:rPr>
        <w:rFonts w:cs="Arial"/>
      </w:rPr>
      <w:t xml:space="preserv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1"/>
    <w:rsid w:val="000F7AF5"/>
    <w:rsid w:val="00111579"/>
    <w:rsid w:val="00161238"/>
    <w:rsid w:val="001A0CA5"/>
    <w:rsid w:val="001A3B22"/>
    <w:rsid w:val="00223F78"/>
    <w:rsid w:val="00254AD1"/>
    <w:rsid w:val="0027290F"/>
    <w:rsid w:val="00297650"/>
    <w:rsid w:val="002E4CB5"/>
    <w:rsid w:val="00430734"/>
    <w:rsid w:val="004A3F74"/>
    <w:rsid w:val="004D58E8"/>
    <w:rsid w:val="004E7AC1"/>
    <w:rsid w:val="005424F7"/>
    <w:rsid w:val="005C4273"/>
    <w:rsid w:val="005C5B70"/>
    <w:rsid w:val="006C0D34"/>
    <w:rsid w:val="007428B8"/>
    <w:rsid w:val="00746D48"/>
    <w:rsid w:val="00797F0D"/>
    <w:rsid w:val="007E5BF1"/>
    <w:rsid w:val="007E64ED"/>
    <w:rsid w:val="007F3A16"/>
    <w:rsid w:val="007F5F3F"/>
    <w:rsid w:val="0081256C"/>
    <w:rsid w:val="00852AB7"/>
    <w:rsid w:val="008B3A95"/>
    <w:rsid w:val="008E4D20"/>
    <w:rsid w:val="00985C28"/>
    <w:rsid w:val="009A627B"/>
    <w:rsid w:val="009B3E8C"/>
    <w:rsid w:val="009C5E36"/>
    <w:rsid w:val="009C70F5"/>
    <w:rsid w:val="00AE0C8E"/>
    <w:rsid w:val="00AF0211"/>
    <w:rsid w:val="00B314AB"/>
    <w:rsid w:val="00B644EF"/>
    <w:rsid w:val="00B716CC"/>
    <w:rsid w:val="00B9169A"/>
    <w:rsid w:val="00BB1847"/>
    <w:rsid w:val="00BC4CCA"/>
    <w:rsid w:val="00BC76C9"/>
    <w:rsid w:val="00C21731"/>
    <w:rsid w:val="00C362E9"/>
    <w:rsid w:val="00C43B0A"/>
    <w:rsid w:val="00C82975"/>
    <w:rsid w:val="00CA6E47"/>
    <w:rsid w:val="00CB6664"/>
    <w:rsid w:val="00CD455E"/>
    <w:rsid w:val="00D15074"/>
    <w:rsid w:val="00D41632"/>
    <w:rsid w:val="00D47DAB"/>
    <w:rsid w:val="00D94608"/>
    <w:rsid w:val="00DA52B3"/>
    <w:rsid w:val="00DC52B0"/>
    <w:rsid w:val="00DC6AE6"/>
    <w:rsid w:val="00DC774C"/>
    <w:rsid w:val="00E634EC"/>
    <w:rsid w:val="00E90B6F"/>
    <w:rsid w:val="00EA58D4"/>
    <w:rsid w:val="00EC3E3C"/>
    <w:rsid w:val="00EC7A6B"/>
    <w:rsid w:val="00ED5541"/>
    <w:rsid w:val="00EE595F"/>
    <w:rsid w:val="00EF158D"/>
    <w:rsid w:val="00F0554F"/>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58316-BF69-4C5A-8BC3-291C005B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ED5541"/>
    <w:pPr>
      <w:tabs>
        <w:tab w:val="center" w:pos="4680"/>
        <w:tab w:val="right" w:pos="9360"/>
      </w:tabs>
    </w:pPr>
  </w:style>
  <w:style w:type="character" w:customStyle="1" w:styleId="HeaderChar">
    <w:name w:val="Header Char"/>
    <w:basedOn w:val="DefaultParagraphFont"/>
    <w:link w:val="Header"/>
    <w:uiPriority w:val="99"/>
    <w:rsid w:val="00ED5541"/>
    <w:rPr>
      <w:rFonts w:ascii="Arial" w:eastAsia="Times New Roman" w:hAnsi="Arial" w:cs="Times New Roman"/>
      <w:sz w:val="24"/>
      <w:szCs w:val="24"/>
    </w:rPr>
  </w:style>
  <w:style w:type="paragraph" w:styleId="Footer">
    <w:name w:val="footer"/>
    <w:basedOn w:val="Normal"/>
    <w:link w:val="FooterChar"/>
    <w:uiPriority w:val="99"/>
    <w:unhideWhenUsed/>
    <w:rsid w:val="00ED5541"/>
    <w:pPr>
      <w:tabs>
        <w:tab w:val="center" w:pos="4680"/>
        <w:tab w:val="right" w:pos="9360"/>
      </w:tabs>
    </w:pPr>
  </w:style>
  <w:style w:type="character" w:customStyle="1" w:styleId="FooterChar">
    <w:name w:val="Footer Char"/>
    <w:basedOn w:val="DefaultParagraphFont"/>
    <w:link w:val="Footer"/>
    <w:uiPriority w:val="99"/>
    <w:rsid w:val="00ED5541"/>
    <w:rPr>
      <w:rFonts w:ascii="Arial" w:eastAsia="Times New Roman" w:hAnsi="Arial" w:cs="Times New Roman"/>
      <w:sz w:val="24"/>
      <w:szCs w:val="24"/>
    </w:rPr>
  </w:style>
  <w:style w:type="paragraph" w:styleId="ListParagraph">
    <w:name w:val="List Paragraph"/>
    <w:basedOn w:val="Normal"/>
    <w:uiPriority w:val="34"/>
    <w:qFormat/>
    <w:rsid w:val="00C3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nfo.legislature.ca.gov/faces/codes_displaySection.xhtml?lawCode=EDC&amp;sectionNum=53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3184</Words>
  <Characters>18150</Characters>
  <DocSecurity>0</DocSecurity>
  <Lines>151</Lines>
  <Paragraphs>42</Paragraphs>
  <ScaleCrop>false</ScaleCrop>
  <HeadingPairs>
    <vt:vector size="2" baseType="variant">
      <vt:variant>
        <vt:lpstr>Title</vt:lpstr>
      </vt:variant>
      <vt:variant>
        <vt:i4>1</vt:i4>
      </vt:variant>
    </vt:vector>
  </HeadingPairs>
  <TitlesOfParts>
    <vt:vector size="1" baseType="lpstr">
      <vt:lpstr>November 2020 Agenda Item XX Attachment 3 - Meeting Agendas (CA State Board of Education)</vt:lpstr>
    </vt:vector>
  </TitlesOfParts>
  <Company>California State Board of Education</Company>
  <LinksUpToDate>false</LinksUpToDate>
  <CharactersWithSpaces>21292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07 Attachment 3 - Meeting Agendas (CA State Board of California)</dc:title>
  <dc:subject>California Education Code sections 53070-53076.4.</dc:subject>
  <dc:creator/>
  <cp:keywords/>
  <dc:description/>
  <cp:lastPrinted>2017-12-08T22:18:00Z</cp:lastPrinted>
  <dcterms:created xsi:type="dcterms:W3CDTF">2020-10-29T15:07:00Z</dcterms:created>
  <dcterms:modified xsi:type="dcterms:W3CDTF">2020-12-17T21:07:00Z</dcterms:modified>
  <cp:category/>
</cp:coreProperties>
</file>