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90E5" w14:textId="77777777" w:rsidR="00924347" w:rsidRDefault="00924347" w:rsidP="00FF321B">
      <w:pPr>
        <w:pStyle w:val="Heading1"/>
        <w:jc w:val="center"/>
        <w:rPr>
          <w:rFonts w:cs="Arial"/>
          <w:sz w:val="24"/>
          <w:szCs w:val="24"/>
          <w:u w:val="single"/>
        </w:rPr>
      </w:pPr>
      <w:r>
        <w:t xml:space="preserve">Attachment 9: </w:t>
      </w:r>
      <w:r w:rsidRPr="003E2DFD">
        <w:t>California Department of Education Fiscal Analysis of Eagle Collegiate Academy</w:t>
      </w:r>
    </w:p>
    <w:p w14:paraId="2A9892EF" w14:textId="77777777" w:rsidR="00E31256" w:rsidRPr="00C23884" w:rsidRDefault="00291D4B" w:rsidP="00FF321B">
      <w:pPr>
        <w:pStyle w:val="Heading2"/>
      </w:pPr>
      <w:r w:rsidRPr="00C23884">
        <w:t>E</w:t>
      </w:r>
      <w:r w:rsidR="00BA3ADC" w:rsidRPr="00C23884">
        <w:t xml:space="preserve">agle </w:t>
      </w:r>
      <w:r w:rsidRPr="00C23884">
        <w:t>C</w:t>
      </w:r>
      <w:r w:rsidR="00BA3ADC" w:rsidRPr="00C23884">
        <w:t xml:space="preserve">ollegiate </w:t>
      </w:r>
      <w:r w:rsidRPr="00C23884">
        <w:t>A</w:t>
      </w:r>
      <w:r w:rsidR="00BA3ADC" w:rsidRPr="00C23884">
        <w:t>cademy</w:t>
      </w:r>
      <w:r w:rsidRPr="00C23884">
        <w:t xml:space="preserve"> Budget Analysis</w:t>
      </w:r>
    </w:p>
    <w:p w14:paraId="3A49AA79" w14:textId="77777777" w:rsidR="00FF321B" w:rsidRDefault="00BA3ADC" w:rsidP="00FF321B">
      <w:pPr>
        <w:spacing w:line="240" w:lineRule="auto"/>
        <w:rPr>
          <w:rFonts w:ascii="Arial" w:hAnsi="Arial" w:cs="Arial"/>
          <w:sz w:val="24"/>
          <w:szCs w:val="24"/>
        </w:rPr>
      </w:pPr>
      <w:r>
        <w:rPr>
          <w:rFonts w:ascii="Arial" w:hAnsi="Arial" w:cs="Arial"/>
          <w:sz w:val="24"/>
          <w:szCs w:val="24"/>
        </w:rPr>
        <w:t>Eagle Collegiate Academy’s (</w:t>
      </w:r>
      <w:r w:rsidR="00291D4B">
        <w:rPr>
          <w:rFonts w:ascii="Arial" w:hAnsi="Arial" w:cs="Arial"/>
          <w:sz w:val="24"/>
          <w:szCs w:val="24"/>
        </w:rPr>
        <w:t>ECA’s</w:t>
      </w:r>
      <w:r>
        <w:rPr>
          <w:rFonts w:ascii="Arial" w:hAnsi="Arial" w:cs="Arial"/>
          <w:sz w:val="24"/>
          <w:szCs w:val="24"/>
        </w:rPr>
        <w:t>)</w:t>
      </w:r>
      <w:r w:rsidR="00291D4B">
        <w:rPr>
          <w:rFonts w:ascii="Arial" w:hAnsi="Arial" w:cs="Arial"/>
          <w:sz w:val="24"/>
          <w:szCs w:val="24"/>
        </w:rPr>
        <w:t xml:space="preserve"> petition budget was based on a projected enrollment of 168 students. In early November 2021, ECA reported to the C</w:t>
      </w:r>
      <w:r w:rsidR="00C23884">
        <w:rPr>
          <w:rFonts w:ascii="Arial" w:hAnsi="Arial" w:cs="Arial"/>
          <w:sz w:val="24"/>
          <w:szCs w:val="24"/>
        </w:rPr>
        <w:t xml:space="preserve">alifornia </w:t>
      </w:r>
      <w:r w:rsidR="00291D4B">
        <w:rPr>
          <w:rFonts w:ascii="Arial" w:hAnsi="Arial" w:cs="Arial"/>
          <w:sz w:val="24"/>
          <w:szCs w:val="24"/>
        </w:rPr>
        <w:t>D</w:t>
      </w:r>
      <w:r w:rsidR="00C23884">
        <w:rPr>
          <w:rFonts w:ascii="Arial" w:hAnsi="Arial" w:cs="Arial"/>
          <w:sz w:val="24"/>
          <w:szCs w:val="24"/>
        </w:rPr>
        <w:t xml:space="preserve">epartment of </w:t>
      </w:r>
      <w:r w:rsidR="00291D4B">
        <w:rPr>
          <w:rFonts w:ascii="Arial" w:hAnsi="Arial" w:cs="Arial"/>
          <w:sz w:val="24"/>
          <w:szCs w:val="24"/>
        </w:rPr>
        <w:t>E</w:t>
      </w:r>
      <w:r w:rsidR="00C23884">
        <w:rPr>
          <w:rFonts w:ascii="Arial" w:hAnsi="Arial" w:cs="Arial"/>
          <w:sz w:val="24"/>
          <w:szCs w:val="24"/>
        </w:rPr>
        <w:t>ducation (CDE)</w:t>
      </w:r>
      <w:r w:rsidR="00291D4B">
        <w:rPr>
          <w:rFonts w:ascii="Arial" w:hAnsi="Arial" w:cs="Arial"/>
          <w:sz w:val="24"/>
          <w:szCs w:val="24"/>
        </w:rPr>
        <w:t xml:space="preserve"> a total enrollment count of 12 students in its Charter School 20 Day Attendance Report. Upon learning of the school’s substantial drop in enrollment, the CDE conducted a fiscal analysis based on ECA’s Charter School 20 Day Attendance Report, which indicated a decrease in ECA’s </w:t>
      </w:r>
      <w:r w:rsidR="00C23884">
        <w:rPr>
          <w:rFonts w:ascii="Arial" w:hAnsi="Arial" w:cs="Arial"/>
          <w:sz w:val="24"/>
          <w:szCs w:val="24"/>
        </w:rPr>
        <w:t>fiscal year (</w:t>
      </w:r>
      <w:r w:rsidR="00291D4B">
        <w:rPr>
          <w:rFonts w:ascii="Arial" w:hAnsi="Arial" w:cs="Arial"/>
          <w:sz w:val="24"/>
          <w:szCs w:val="24"/>
        </w:rPr>
        <w:t>FY</w:t>
      </w:r>
      <w:r w:rsidR="00C23884">
        <w:rPr>
          <w:rFonts w:ascii="Arial" w:hAnsi="Arial" w:cs="Arial"/>
          <w:sz w:val="24"/>
          <w:szCs w:val="24"/>
        </w:rPr>
        <w:t>)</w:t>
      </w:r>
      <w:r w:rsidR="00291D4B">
        <w:rPr>
          <w:rFonts w:ascii="Arial" w:hAnsi="Arial" w:cs="Arial"/>
          <w:sz w:val="24"/>
          <w:szCs w:val="24"/>
        </w:rPr>
        <w:t xml:space="preserve"> 2021–22 total revenues from the originally projected $2,581,644 to approximately $146,000; and total expenditures from the originally projected $2,256,169 to approximately $</w:t>
      </w:r>
      <w:r w:rsidR="00D419B3">
        <w:rPr>
          <w:rFonts w:ascii="Arial" w:hAnsi="Arial" w:cs="Arial"/>
          <w:sz w:val="24"/>
          <w:szCs w:val="24"/>
        </w:rPr>
        <w:t>587,000</w:t>
      </w:r>
      <w:r w:rsidR="00291D4B">
        <w:rPr>
          <w:rFonts w:ascii="Arial" w:hAnsi="Arial" w:cs="Arial"/>
          <w:sz w:val="24"/>
          <w:szCs w:val="24"/>
        </w:rPr>
        <w:t>. The CDE’s analysis also projected a negative ending fund balance of approximately $483,000</w:t>
      </w:r>
      <w:r w:rsidR="00FF321B">
        <w:rPr>
          <w:rFonts w:ascii="Arial" w:hAnsi="Arial" w:cs="Arial"/>
          <w:sz w:val="24"/>
          <w:szCs w:val="24"/>
        </w:rPr>
        <w:t>,</w:t>
      </w:r>
      <w:r w:rsidR="00D419B3">
        <w:rPr>
          <w:rFonts w:ascii="Arial" w:hAnsi="Arial" w:cs="Arial"/>
          <w:sz w:val="24"/>
          <w:szCs w:val="24"/>
        </w:rPr>
        <w:t xml:space="preserve"> instead of</w:t>
      </w:r>
      <w:r w:rsidR="00C23884">
        <w:rPr>
          <w:rFonts w:ascii="Arial" w:hAnsi="Arial" w:cs="Arial"/>
          <w:sz w:val="24"/>
          <w:szCs w:val="24"/>
        </w:rPr>
        <w:t xml:space="preserve"> the</w:t>
      </w:r>
      <w:r w:rsidR="00D419B3">
        <w:rPr>
          <w:rFonts w:ascii="Arial" w:hAnsi="Arial" w:cs="Arial"/>
          <w:sz w:val="24"/>
          <w:szCs w:val="24"/>
        </w:rPr>
        <w:t xml:space="preserve"> originally projected positive ending fund balance of $283,175</w:t>
      </w:r>
      <w:r w:rsidR="00291D4B">
        <w:rPr>
          <w:rFonts w:ascii="Arial" w:hAnsi="Arial" w:cs="Arial"/>
          <w:sz w:val="24"/>
          <w:szCs w:val="24"/>
        </w:rPr>
        <w:t>.</w:t>
      </w:r>
      <w:r w:rsidR="00D419B3">
        <w:rPr>
          <w:rFonts w:ascii="Arial" w:hAnsi="Arial" w:cs="Arial"/>
          <w:sz w:val="24"/>
          <w:szCs w:val="24"/>
        </w:rPr>
        <w:t xml:space="preserve"> </w:t>
      </w:r>
    </w:p>
    <w:p w14:paraId="371DC105" w14:textId="77777777" w:rsidR="00D419B3" w:rsidRDefault="00D419B3" w:rsidP="00FF321B">
      <w:pPr>
        <w:spacing w:line="240" w:lineRule="auto"/>
        <w:rPr>
          <w:rFonts w:ascii="Arial" w:hAnsi="Arial" w:cs="Arial"/>
          <w:sz w:val="24"/>
          <w:szCs w:val="24"/>
        </w:rPr>
      </w:pPr>
      <w:r>
        <w:rPr>
          <w:rFonts w:ascii="Arial" w:hAnsi="Arial" w:cs="Arial"/>
          <w:sz w:val="24"/>
          <w:szCs w:val="24"/>
        </w:rPr>
        <w:t>With such a significant decline in enrollment, the CDE issued a letter of concern</w:t>
      </w:r>
      <w:r w:rsidR="00C41308">
        <w:rPr>
          <w:rFonts w:ascii="Arial" w:hAnsi="Arial" w:cs="Arial"/>
          <w:sz w:val="24"/>
          <w:szCs w:val="24"/>
        </w:rPr>
        <w:t xml:space="preserve"> (LOC)</w:t>
      </w:r>
      <w:r>
        <w:rPr>
          <w:rFonts w:ascii="Arial" w:hAnsi="Arial" w:cs="Arial"/>
          <w:sz w:val="24"/>
          <w:szCs w:val="24"/>
        </w:rPr>
        <w:t xml:space="preserve"> to request ECA to provide a Fiscal Corrective Action Plan (FCAP) that include</w:t>
      </w:r>
      <w:r w:rsidR="00FF321B">
        <w:rPr>
          <w:rFonts w:ascii="Arial" w:hAnsi="Arial" w:cs="Arial"/>
          <w:sz w:val="24"/>
          <w:szCs w:val="24"/>
        </w:rPr>
        <w:t>d</w:t>
      </w:r>
      <w:r>
        <w:rPr>
          <w:rFonts w:ascii="Arial" w:hAnsi="Arial" w:cs="Arial"/>
          <w:sz w:val="24"/>
          <w:szCs w:val="24"/>
        </w:rPr>
        <w:t xml:space="preserve"> the following:</w:t>
      </w:r>
    </w:p>
    <w:p w14:paraId="0B82A739" w14:textId="77777777" w:rsidR="00D419B3" w:rsidRDefault="00D419B3" w:rsidP="00FF321B">
      <w:pPr>
        <w:pStyle w:val="ListParagraph"/>
        <w:numPr>
          <w:ilvl w:val="0"/>
          <w:numId w:val="3"/>
        </w:numPr>
        <w:spacing w:before="240" w:after="240" w:line="240" w:lineRule="auto"/>
        <w:contextualSpacing w:val="0"/>
        <w:rPr>
          <w:rFonts w:ascii="Arial" w:hAnsi="Arial" w:cs="Arial"/>
          <w:sz w:val="24"/>
          <w:szCs w:val="24"/>
        </w:rPr>
      </w:pPr>
      <w:r>
        <w:rPr>
          <w:rFonts w:ascii="Arial" w:hAnsi="Arial" w:cs="Arial"/>
          <w:sz w:val="24"/>
          <w:szCs w:val="24"/>
        </w:rPr>
        <w:t>Written narrative explaining what caused the decline in anticipated enrollment and what steps w</w:t>
      </w:r>
      <w:r w:rsidR="00FF321B">
        <w:rPr>
          <w:rFonts w:ascii="Arial" w:hAnsi="Arial" w:cs="Arial"/>
          <w:sz w:val="24"/>
          <w:szCs w:val="24"/>
        </w:rPr>
        <w:t>ould</w:t>
      </w:r>
      <w:r>
        <w:rPr>
          <w:rFonts w:ascii="Arial" w:hAnsi="Arial" w:cs="Arial"/>
          <w:sz w:val="24"/>
          <w:szCs w:val="24"/>
        </w:rPr>
        <w:t xml:space="preserve"> be taken to address the decline</w:t>
      </w:r>
      <w:r w:rsidR="00FF321B">
        <w:rPr>
          <w:rFonts w:ascii="Arial" w:hAnsi="Arial" w:cs="Arial"/>
          <w:sz w:val="24"/>
          <w:szCs w:val="24"/>
        </w:rPr>
        <w:t>;</w:t>
      </w:r>
    </w:p>
    <w:p w14:paraId="2E55F758" w14:textId="77777777" w:rsidR="00D419B3" w:rsidRDefault="00D419B3" w:rsidP="00FF321B">
      <w:pPr>
        <w:pStyle w:val="ListParagraph"/>
        <w:numPr>
          <w:ilvl w:val="0"/>
          <w:numId w:val="3"/>
        </w:numPr>
        <w:spacing w:before="240" w:after="240" w:line="240" w:lineRule="auto"/>
        <w:contextualSpacing w:val="0"/>
        <w:rPr>
          <w:rFonts w:ascii="Arial" w:hAnsi="Arial" w:cs="Arial"/>
          <w:sz w:val="24"/>
          <w:szCs w:val="24"/>
        </w:rPr>
      </w:pPr>
      <w:r>
        <w:rPr>
          <w:rFonts w:ascii="Arial" w:hAnsi="Arial" w:cs="Arial"/>
          <w:sz w:val="24"/>
          <w:szCs w:val="24"/>
        </w:rPr>
        <w:t>Written narrative on what budget actions have been taken to date to adjust to the lower enrollment numbers</w:t>
      </w:r>
      <w:r w:rsidR="00FF321B">
        <w:rPr>
          <w:rFonts w:ascii="Arial" w:hAnsi="Arial" w:cs="Arial"/>
          <w:sz w:val="24"/>
          <w:szCs w:val="24"/>
        </w:rPr>
        <w:t>;</w:t>
      </w:r>
    </w:p>
    <w:p w14:paraId="32FEC94E" w14:textId="77777777" w:rsidR="00D419B3" w:rsidRDefault="00D419B3" w:rsidP="00FF321B">
      <w:pPr>
        <w:pStyle w:val="ListParagraph"/>
        <w:numPr>
          <w:ilvl w:val="0"/>
          <w:numId w:val="3"/>
        </w:numPr>
        <w:spacing w:before="240" w:after="240" w:line="240" w:lineRule="auto"/>
        <w:contextualSpacing w:val="0"/>
        <w:rPr>
          <w:rFonts w:ascii="Arial" w:hAnsi="Arial" w:cs="Arial"/>
          <w:sz w:val="24"/>
          <w:szCs w:val="24"/>
        </w:rPr>
      </w:pPr>
      <w:r>
        <w:rPr>
          <w:rFonts w:ascii="Arial" w:hAnsi="Arial" w:cs="Arial"/>
          <w:sz w:val="24"/>
          <w:szCs w:val="24"/>
        </w:rPr>
        <w:t>Revised multiyear budget and cash flow statements for the current FY 2021</w:t>
      </w:r>
      <w:r w:rsidR="00DE14F5">
        <w:rPr>
          <w:rFonts w:ascii="Arial" w:hAnsi="Arial" w:cs="Arial"/>
          <w:sz w:val="24"/>
          <w:szCs w:val="24"/>
        </w:rPr>
        <w:t>–22 and two subsequent FYs (2022–23 and FY 2023–24) with written detailed assumptions included that reflects ECA’s resolution on addressing the unanticipated enrollment decline</w:t>
      </w:r>
      <w:r w:rsidR="00FF321B">
        <w:rPr>
          <w:rFonts w:ascii="Arial" w:hAnsi="Arial" w:cs="Arial"/>
          <w:sz w:val="24"/>
          <w:szCs w:val="24"/>
        </w:rPr>
        <w:t>; and</w:t>
      </w:r>
    </w:p>
    <w:p w14:paraId="737D831C" w14:textId="77777777" w:rsidR="00DE14F5" w:rsidRDefault="00DE14F5" w:rsidP="00FF321B">
      <w:pPr>
        <w:pStyle w:val="ListParagraph"/>
        <w:numPr>
          <w:ilvl w:val="0"/>
          <w:numId w:val="3"/>
        </w:numPr>
        <w:spacing w:before="240" w:after="240" w:line="240" w:lineRule="auto"/>
        <w:contextualSpacing w:val="0"/>
        <w:rPr>
          <w:rFonts w:ascii="Arial" w:hAnsi="Arial" w:cs="Arial"/>
          <w:sz w:val="24"/>
          <w:szCs w:val="24"/>
        </w:rPr>
      </w:pPr>
      <w:r>
        <w:rPr>
          <w:rFonts w:ascii="Arial" w:hAnsi="Arial" w:cs="Arial"/>
          <w:sz w:val="24"/>
          <w:szCs w:val="24"/>
        </w:rPr>
        <w:t xml:space="preserve">ECA board agenda and scheduled meeting date acknowledging </w:t>
      </w:r>
      <w:r w:rsidR="00C23884">
        <w:rPr>
          <w:rFonts w:ascii="Arial" w:hAnsi="Arial" w:cs="Arial"/>
          <w:sz w:val="24"/>
          <w:szCs w:val="24"/>
        </w:rPr>
        <w:t xml:space="preserve">the </w:t>
      </w:r>
      <w:r>
        <w:rPr>
          <w:rFonts w:ascii="Arial" w:hAnsi="Arial" w:cs="Arial"/>
          <w:sz w:val="24"/>
          <w:szCs w:val="24"/>
        </w:rPr>
        <w:t>FCAP</w:t>
      </w:r>
      <w:r w:rsidR="00FF321B">
        <w:rPr>
          <w:rFonts w:ascii="Arial" w:hAnsi="Arial" w:cs="Arial"/>
          <w:sz w:val="24"/>
          <w:szCs w:val="24"/>
        </w:rPr>
        <w:t>.</w:t>
      </w:r>
    </w:p>
    <w:p w14:paraId="311BB7D8" w14:textId="77777777" w:rsidR="00E807CB" w:rsidRPr="00E27B20" w:rsidRDefault="00E22E9C" w:rsidP="00FF321B">
      <w:pPr>
        <w:spacing w:line="240" w:lineRule="auto"/>
        <w:rPr>
          <w:rFonts w:ascii="Arial" w:hAnsi="Arial" w:cs="Arial"/>
          <w:sz w:val="24"/>
          <w:szCs w:val="24"/>
        </w:rPr>
      </w:pPr>
      <w:r>
        <w:rPr>
          <w:rFonts w:ascii="Arial" w:hAnsi="Arial" w:cs="Arial"/>
          <w:sz w:val="24"/>
          <w:szCs w:val="24"/>
        </w:rPr>
        <w:t xml:space="preserve">The CDE received a FCAP dated December 6, 2021. </w:t>
      </w:r>
      <w:r w:rsidR="00DE14F5">
        <w:rPr>
          <w:rFonts w:ascii="Arial" w:hAnsi="Arial" w:cs="Arial"/>
          <w:sz w:val="24"/>
          <w:szCs w:val="24"/>
        </w:rPr>
        <w:t>ECA’s revised budget was based on a</w:t>
      </w:r>
      <w:r w:rsidR="00E9073B">
        <w:rPr>
          <w:rFonts w:ascii="Arial" w:hAnsi="Arial" w:cs="Arial"/>
          <w:sz w:val="24"/>
          <w:szCs w:val="24"/>
        </w:rPr>
        <w:t>n</w:t>
      </w:r>
      <w:r w:rsidR="00DE14F5">
        <w:rPr>
          <w:rFonts w:ascii="Arial" w:hAnsi="Arial" w:cs="Arial"/>
          <w:sz w:val="24"/>
          <w:szCs w:val="24"/>
        </w:rPr>
        <w:t xml:space="preserve"> overestimated </w:t>
      </w:r>
      <w:r w:rsidR="00DE14F5" w:rsidRPr="00C23884">
        <w:rPr>
          <w:rFonts w:ascii="Arial" w:hAnsi="Arial" w:cs="Arial"/>
          <w:sz w:val="24"/>
          <w:szCs w:val="24"/>
        </w:rPr>
        <w:t xml:space="preserve">enrollment of 53.39 students </w:t>
      </w:r>
      <w:r w:rsidRPr="00C23884">
        <w:rPr>
          <w:rFonts w:ascii="Arial" w:hAnsi="Arial" w:cs="Arial"/>
          <w:sz w:val="24"/>
          <w:szCs w:val="24"/>
        </w:rPr>
        <w:t xml:space="preserve">in FY 2021–22 </w:t>
      </w:r>
      <w:r w:rsidR="00DE14F5" w:rsidRPr="00C23884">
        <w:rPr>
          <w:rFonts w:ascii="Arial" w:hAnsi="Arial" w:cs="Arial"/>
          <w:sz w:val="24"/>
          <w:szCs w:val="24"/>
        </w:rPr>
        <w:t xml:space="preserve">instead of </w:t>
      </w:r>
      <w:r w:rsidR="00C23884" w:rsidRPr="00C23884">
        <w:rPr>
          <w:rFonts w:ascii="Arial" w:hAnsi="Arial" w:cs="Arial"/>
          <w:sz w:val="24"/>
          <w:szCs w:val="24"/>
        </w:rPr>
        <w:t xml:space="preserve">the </w:t>
      </w:r>
      <w:r w:rsidR="00DE14F5" w:rsidRPr="00C23884">
        <w:rPr>
          <w:rFonts w:ascii="Arial" w:hAnsi="Arial" w:cs="Arial"/>
          <w:sz w:val="24"/>
          <w:szCs w:val="24"/>
        </w:rPr>
        <w:t xml:space="preserve">current enrollment of 12 students. </w:t>
      </w:r>
      <w:r w:rsidRPr="00C23884">
        <w:rPr>
          <w:rFonts w:ascii="Arial" w:hAnsi="Arial" w:cs="Arial"/>
          <w:sz w:val="24"/>
          <w:szCs w:val="24"/>
        </w:rPr>
        <w:t xml:space="preserve">ECA also projected an enrollment of 240 and 313 students in FY 2022–23 and FY 2023–24, </w:t>
      </w:r>
      <w:r w:rsidR="00C23884" w:rsidRPr="00C23884">
        <w:rPr>
          <w:rFonts w:ascii="Arial" w:hAnsi="Arial" w:cs="Arial"/>
          <w:sz w:val="24"/>
          <w:szCs w:val="24"/>
        </w:rPr>
        <w:t xml:space="preserve">respectively, </w:t>
      </w:r>
      <w:r w:rsidRPr="00C23884">
        <w:rPr>
          <w:rFonts w:ascii="Arial" w:hAnsi="Arial" w:cs="Arial"/>
          <w:sz w:val="24"/>
          <w:szCs w:val="24"/>
        </w:rPr>
        <w:t xml:space="preserve">which is unrealistic. </w:t>
      </w:r>
      <w:r w:rsidR="00DE14F5" w:rsidRPr="00C23884">
        <w:rPr>
          <w:rFonts w:ascii="Arial" w:hAnsi="Arial" w:cs="Arial"/>
          <w:sz w:val="24"/>
          <w:szCs w:val="24"/>
        </w:rPr>
        <w:t>In addition</w:t>
      </w:r>
      <w:r w:rsidR="000A6183" w:rsidRPr="00C23884">
        <w:rPr>
          <w:rFonts w:ascii="Arial" w:hAnsi="Arial" w:cs="Arial"/>
          <w:sz w:val="24"/>
          <w:szCs w:val="24"/>
        </w:rPr>
        <w:t>, ECA’s revised budget includes a deficit of $282,054 and negative ending</w:t>
      </w:r>
      <w:r w:rsidR="000A6183">
        <w:rPr>
          <w:rFonts w:ascii="Arial" w:hAnsi="Arial" w:cs="Arial"/>
          <w:sz w:val="24"/>
          <w:szCs w:val="24"/>
        </w:rPr>
        <w:t xml:space="preserve"> fund balance of $302,398 in FY 2021–22. </w:t>
      </w:r>
      <w:r w:rsidR="00DE14F5">
        <w:rPr>
          <w:rFonts w:ascii="Arial" w:hAnsi="Arial" w:cs="Arial"/>
          <w:sz w:val="24"/>
          <w:szCs w:val="24"/>
        </w:rPr>
        <w:t>The CDE</w:t>
      </w:r>
      <w:r w:rsidR="000A6183">
        <w:rPr>
          <w:rFonts w:ascii="Arial" w:hAnsi="Arial" w:cs="Arial"/>
          <w:sz w:val="24"/>
          <w:szCs w:val="24"/>
        </w:rPr>
        <w:t xml:space="preserve">’s analysis was based on current enrollment of 12 </w:t>
      </w:r>
      <w:r w:rsidR="000A6183" w:rsidRPr="00E27B20">
        <w:rPr>
          <w:rFonts w:ascii="Arial" w:hAnsi="Arial" w:cs="Arial"/>
          <w:sz w:val="24"/>
          <w:szCs w:val="24"/>
        </w:rPr>
        <w:t>students and concluded that ECA</w:t>
      </w:r>
      <w:r w:rsidR="00DF282D" w:rsidRPr="00E27B20">
        <w:rPr>
          <w:rFonts w:ascii="Arial" w:hAnsi="Arial" w:cs="Arial"/>
          <w:sz w:val="24"/>
          <w:szCs w:val="24"/>
        </w:rPr>
        <w:t xml:space="preserve"> is not fiscally sustainable </w:t>
      </w:r>
      <w:r w:rsidR="00C23884" w:rsidRPr="00E27B20">
        <w:rPr>
          <w:rFonts w:ascii="Arial" w:hAnsi="Arial" w:cs="Arial"/>
          <w:sz w:val="24"/>
          <w:szCs w:val="24"/>
        </w:rPr>
        <w:t xml:space="preserve">and </w:t>
      </w:r>
      <w:r w:rsidR="00DF282D" w:rsidRPr="00E27B20">
        <w:rPr>
          <w:rFonts w:ascii="Arial" w:hAnsi="Arial" w:cs="Arial"/>
          <w:sz w:val="24"/>
          <w:szCs w:val="24"/>
        </w:rPr>
        <w:t>that ECA</w:t>
      </w:r>
      <w:r w:rsidR="000A6183" w:rsidRPr="00E27B20">
        <w:rPr>
          <w:rFonts w:ascii="Arial" w:hAnsi="Arial" w:cs="Arial"/>
          <w:sz w:val="24"/>
          <w:szCs w:val="24"/>
        </w:rPr>
        <w:t xml:space="preserve"> has a significant deficit and negative ending fund balance with no reserve</w:t>
      </w:r>
      <w:r w:rsidR="00E807CB" w:rsidRPr="00E27B20">
        <w:rPr>
          <w:rFonts w:ascii="Arial" w:hAnsi="Arial" w:cs="Arial"/>
          <w:sz w:val="24"/>
          <w:szCs w:val="24"/>
        </w:rPr>
        <w:t>.</w:t>
      </w:r>
    </w:p>
    <w:p w14:paraId="7B168DA2" w14:textId="77777777" w:rsidR="009E56F3" w:rsidRPr="00E27B20" w:rsidRDefault="009E56F3" w:rsidP="00FF321B">
      <w:pPr>
        <w:spacing w:line="240" w:lineRule="auto"/>
        <w:rPr>
          <w:rFonts w:ascii="Arial" w:hAnsi="Arial" w:cs="Arial"/>
          <w:color w:val="242424"/>
          <w:sz w:val="24"/>
          <w:szCs w:val="24"/>
          <w:shd w:val="clear" w:color="auto" w:fill="FFFFFF"/>
        </w:rPr>
      </w:pPr>
      <w:r w:rsidRPr="00E27B20">
        <w:rPr>
          <w:rFonts w:ascii="Arial" w:hAnsi="Arial" w:cs="Arial"/>
          <w:sz w:val="24"/>
          <w:szCs w:val="24"/>
          <w:shd w:val="clear" w:color="auto" w:fill="FFFFFF"/>
        </w:rPr>
        <w:lastRenderedPageBreak/>
        <w:t>ECA explained that the significant decrease in enrollment was due to the school’s inability to open a facility, together with their subsequent delay of opening by three weeks, during which ECA provided an independent study program for students. Parents who were unable to remain home from work to support their children in a virtual learning environment left ECA and enrolled in another school</w:t>
      </w:r>
      <w:r w:rsidRPr="00E27B20">
        <w:rPr>
          <w:rFonts w:ascii="Arial" w:hAnsi="Arial" w:cs="Arial"/>
          <w:color w:val="242424"/>
          <w:sz w:val="24"/>
          <w:szCs w:val="24"/>
          <w:shd w:val="clear" w:color="auto" w:fill="FFFFFF"/>
        </w:rPr>
        <w:t>.</w:t>
      </w:r>
    </w:p>
    <w:p w14:paraId="3A979EB4" w14:textId="70D01DDD" w:rsidR="00C41308" w:rsidRPr="00E27B20" w:rsidRDefault="00B80F35" w:rsidP="00FF321B">
      <w:pPr>
        <w:spacing w:line="240" w:lineRule="auto"/>
        <w:rPr>
          <w:rFonts w:ascii="Arial" w:hAnsi="Arial" w:cs="Arial"/>
          <w:sz w:val="24"/>
          <w:szCs w:val="24"/>
        </w:rPr>
      </w:pPr>
      <w:r w:rsidRPr="00E27B20">
        <w:rPr>
          <w:rFonts w:ascii="Arial" w:hAnsi="Arial" w:cs="Arial"/>
          <w:sz w:val="24"/>
          <w:szCs w:val="24"/>
        </w:rPr>
        <w:t>ECA only stated that they will eliminate five full</w:t>
      </w:r>
      <w:r w:rsidR="00C23884" w:rsidRPr="00E27B20">
        <w:rPr>
          <w:rFonts w:ascii="Arial" w:hAnsi="Arial" w:cs="Arial"/>
          <w:sz w:val="24"/>
          <w:szCs w:val="24"/>
        </w:rPr>
        <w:t>-</w:t>
      </w:r>
      <w:r w:rsidRPr="00E27B20">
        <w:rPr>
          <w:rFonts w:ascii="Arial" w:hAnsi="Arial" w:cs="Arial"/>
          <w:sz w:val="24"/>
          <w:szCs w:val="24"/>
        </w:rPr>
        <w:t>time teachers, one office manager, and reduce part</w:t>
      </w:r>
      <w:r w:rsidR="00C23884" w:rsidRPr="00E27B20">
        <w:rPr>
          <w:rFonts w:ascii="Arial" w:hAnsi="Arial" w:cs="Arial"/>
          <w:sz w:val="24"/>
          <w:szCs w:val="24"/>
        </w:rPr>
        <w:t>-</w:t>
      </w:r>
      <w:r w:rsidRPr="00E27B20">
        <w:rPr>
          <w:rFonts w:ascii="Arial" w:hAnsi="Arial" w:cs="Arial"/>
          <w:sz w:val="24"/>
          <w:szCs w:val="24"/>
        </w:rPr>
        <w:t xml:space="preserve">time human resources hours from 20 hours to 12 hours or less as worked. However, ECA did not provide a detailed narrative and assumptions for </w:t>
      </w:r>
      <w:r w:rsidR="00F94801" w:rsidRPr="00E27B20">
        <w:rPr>
          <w:rFonts w:ascii="Arial" w:hAnsi="Arial" w:cs="Arial"/>
          <w:sz w:val="24"/>
          <w:szCs w:val="24"/>
        </w:rPr>
        <w:t xml:space="preserve">updated expenditure in salaries and benefits. ECA also did not provide a detailed narrative and assumptions for revenues and other </w:t>
      </w:r>
      <w:r w:rsidR="00BE2B5E" w:rsidRPr="00E27B20">
        <w:rPr>
          <w:rFonts w:ascii="Arial" w:hAnsi="Arial" w:cs="Arial"/>
          <w:sz w:val="24"/>
          <w:szCs w:val="24"/>
        </w:rPr>
        <w:t>non-employees’</w:t>
      </w:r>
      <w:r w:rsidR="00F94801" w:rsidRPr="00E27B20">
        <w:rPr>
          <w:rFonts w:ascii="Arial" w:hAnsi="Arial" w:cs="Arial"/>
          <w:sz w:val="24"/>
          <w:szCs w:val="24"/>
        </w:rPr>
        <w:t xml:space="preserve"> expenditures.</w:t>
      </w:r>
    </w:p>
    <w:p w14:paraId="65B044EB" w14:textId="1DDC9FEA" w:rsidR="00291D4B" w:rsidRPr="009E56F3" w:rsidRDefault="00DF282D" w:rsidP="00FF321B">
      <w:pPr>
        <w:spacing w:line="240" w:lineRule="auto"/>
        <w:rPr>
          <w:rFonts w:ascii="Arial" w:hAnsi="Arial" w:cs="Arial"/>
          <w:sz w:val="24"/>
          <w:szCs w:val="24"/>
        </w:rPr>
      </w:pPr>
      <w:r w:rsidRPr="00E27B20">
        <w:rPr>
          <w:rFonts w:ascii="Arial" w:hAnsi="Arial" w:cs="Arial"/>
          <w:sz w:val="24"/>
          <w:szCs w:val="24"/>
        </w:rPr>
        <w:t xml:space="preserve">In addition, </w:t>
      </w:r>
      <w:r w:rsidR="00C41308" w:rsidRPr="00E27B20">
        <w:rPr>
          <w:rFonts w:ascii="Arial" w:hAnsi="Arial" w:cs="Arial"/>
          <w:sz w:val="24"/>
          <w:szCs w:val="24"/>
        </w:rPr>
        <w:t>ECA respon</w:t>
      </w:r>
      <w:r w:rsidR="00FF321B" w:rsidRPr="00E27B20">
        <w:rPr>
          <w:rFonts w:ascii="Arial" w:hAnsi="Arial" w:cs="Arial"/>
          <w:sz w:val="24"/>
          <w:szCs w:val="24"/>
        </w:rPr>
        <w:t>d</w:t>
      </w:r>
      <w:r w:rsidR="00C41308" w:rsidRPr="00E27B20">
        <w:rPr>
          <w:rFonts w:ascii="Arial" w:hAnsi="Arial" w:cs="Arial"/>
          <w:sz w:val="24"/>
          <w:szCs w:val="24"/>
        </w:rPr>
        <w:t>e</w:t>
      </w:r>
      <w:r w:rsidR="00CD47EC" w:rsidRPr="00E27B20">
        <w:rPr>
          <w:rFonts w:ascii="Arial" w:hAnsi="Arial" w:cs="Arial"/>
          <w:sz w:val="24"/>
          <w:szCs w:val="24"/>
        </w:rPr>
        <w:t>d</w:t>
      </w:r>
      <w:r w:rsidR="00C41308" w:rsidRPr="00E27B20">
        <w:rPr>
          <w:rFonts w:ascii="Arial" w:hAnsi="Arial" w:cs="Arial"/>
          <w:sz w:val="24"/>
          <w:szCs w:val="24"/>
        </w:rPr>
        <w:t xml:space="preserve"> to </w:t>
      </w:r>
      <w:r w:rsidR="00BE2B5E" w:rsidRPr="00E27B20">
        <w:rPr>
          <w:rFonts w:ascii="Arial" w:hAnsi="Arial" w:cs="Arial"/>
          <w:sz w:val="24"/>
          <w:szCs w:val="24"/>
        </w:rPr>
        <w:t xml:space="preserve">the </w:t>
      </w:r>
      <w:r w:rsidR="00C41308" w:rsidRPr="00E27B20">
        <w:rPr>
          <w:rFonts w:ascii="Arial" w:hAnsi="Arial" w:cs="Arial"/>
          <w:sz w:val="24"/>
          <w:szCs w:val="24"/>
        </w:rPr>
        <w:t xml:space="preserve">CDE’s LOC that ECA will be able to continue to pay salaries and </w:t>
      </w:r>
      <w:r w:rsidR="00FF321B" w:rsidRPr="00E27B20">
        <w:rPr>
          <w:rFonts w:ascii="Arial" w:hAnsi="Arial" w:cs="Arial"/>
          <w:sz w:val="24"/>
          <w:szCs w:val="24"/>
          <w:shd w:val="clear" w:color="auto" w:fill="FFFFFF"/>
        </w:rPr>
        <w:t>California State Teachers' Retirement System (</w:t>
      </w:r>
      <w:r w:rsidR="00C41308" w:rsidRPr="00E27B20">
        <w:rPr>
          <w:rFonts w:ascii="Arial" w:hAnsi="Arial" w:cs="Arial"/>
          <w:sz w:val="24"/>
          <w:szCs w:val="24"/>
        </w:rPr>
        <w:t>CalSTRS</w:t>
      </w:r>
      <w:r w:rsidR="00FF321B" w:rsidRPr="00E27B20">
        <w:rPr>
          <w:rFonts w:ascii="Arial" w:hAnsi="Arial" w:cs="Arial"/>
          <w:sz w:val="24"/>
          <w:szCs w:val="24"/>
        </w:rPr>
        <w:t>)</w:t>
      </w:r>
      <w:r w:rsidR="00C41308" w:rsidRPr="00E27B20">
        <w:rPr>
          <w:rFonts w:ascii="Arial" w:hAnsi="Arial" w:cs="Arial"/>
          <w:sz w:val="24"/>
          <w:szCs w:val="24"/>
        </w:rPr>
        <w:t xml:space="preserve">/retirement until May 2021 and until the end of the 2021–22 school year with the anticipated funds raised from ECA’s </w:t>
      </w:r>
      <w:r w:rsidR="009E56F3" w:rsidRPr="00E27B20">
        <w:rPr>
          <w:rFonts w:ascii="Arial" w:hAnsi="Arial" w:cs="Arial"/>
          <w:sz w:val="24"/>
          <w:szCs w:val="24"/>
        </w:rPr>
        <w:t>C</w:t>
      </w:r>
      <w:r w:rsidR="00C41308" w:rsidRPr="00E27B20">
        <w:rPr>
          <w:rFonts w:ascii="Arial" w:hAnsi="Arial" w:cs="Arial"/>
          <w:sz w:val="24"/>
          <w:szCs w:val="24"/>
        </w:rPr>
        <w:t xml:space="preserve">apital </w:t>
      </w:r>
      <w:r w:rsidR="009E56F3" w:rsidRPr="00E27B20">
        <w:rPr>
          <w:rFonts w:ascii="Arial" w:hAnsi="Arial" w:cs="Arial"/>
          <w:sz w:val="24"/>
          <w:szCs w:val="24"/>
        </w:rPr>
        <w:t>F</w:t>
      </w:r>
      <w:r w:rsidR="00C41308" w:rsidRPr="00E27B20">
        <w:rPr>
          <w:rFonts w:ascii="Arial" w:hAnsi="Arial" w:cs="Arial"/>
          <w:sz w:val="24"/>
          <w:szCs w:val="24"/>
        </w:rPr>
        <w:t xml:space="preserve">undraising </w:t>
      </w:r>
      <w:r w:rsidR="009E56F3" w:rsidRPr="00E27B20">
        <w:rPr>
          <w:rFonts w:ascii="Arial" w:hAnsi="Arial" w:cs="Arial"/>
          <w:sz w:val="24"/>
          <w:szCs w:val="24"/>
        </w:rPr>
        <w:t>C</w:t>
      </w:r>
      <w:r w:rsidR="00C41308" w:rsidRPr="00E27B20">
        <w:rPr>
          <w:rFonts w:ascii="Arial" w:hAnsi="Arial" w:cs="Arial"/>
          <w:sz w:val="24"/>
          <w:szCs w:val="24"/>
        </w:rPr>
        <w:t>ampaign</w:t>
      </w:r>
      <w:r w:rsidR="009E56F3" w:rsidRPr="00E27B20">
        <w:rPr>
          <w:rFonts w:ascii="Arial" w:hAnsi="Arial" w:cs="Arial"/>
          <w:sz w:val="24"/>
          <w:szCs w:val="24"/>
        </w:rPr>
        <w:t xml:space="preserve"> to raise $1 million. </w:t>
      </w:r>
      <w:r w:rsidR="009E56F3" w:rsidRPr="00E27B20">
        <w:rPr>
          <w:rFonts w:ascii="Arial" w:hAnsi="Arial" w:cs="Arial"/>
          <w:sz w:val="24"/>
          <w:szCs w:val="24"/>
          <w:shd w:val="clear" w:color="auto" w:fill="FFFFFF"/>
        </w:rPr>
        <w:t>As income raised through anticipated fundraising and donations is considered a soft or unpredictable source of funding, particularly w</w:t>
      </w:r>
      <w:bookmarkStart w:id="0" w:name="_GoBack"/>
      <w:bookmarkEnd w:id="0"/>
      <w:r w:rsidR="009E56F3" w:rsidRPr="00E27B20">
        <w:rPr>
          <w:rFonts w:ascii="Arial" w:hAnsi="Arial" w:cs="Arial"/>
          <w:sz w:val="24"/>
          <w:szCs w:val="24"/>
          <w:shd w:val="clear" w:color="auto" w:fill="FFFFFF"/>
        </w:rPr>
        <w:t>ith no supporting documentation accompanying the projected fundraising amount, ECA should not rely on it to cover shortfalls of fixed expenditures such as salaries and benefits.</w:t>
      </w:r>
      <w:r w:rsidR="00C41308" w:rsidRPr="00E27B20">
        <w:rPr>
          <w:rFonts w:ascii="Arial" w:hAnsi="Arial" w:cs="Arial"/>
          <w:sz w:val="24"/>
          <w:szCs w:val="24"/>
        </w:rPr>
        <w:t xml:space="preserve"> In addition, </w:t>
      </w:r>
      <w:r w:rsidR="00E22E9C" w:rsidRPr="00E27B20">
        <w:rPr>
          <w:rFonts w:ascii="Arial" w:hAnsi="Arial" w:cs="Arial"/>
          <w:sz w:val="24"/>
          <w:szCs w:val="24"/>
        </w:rPr>
        <w:t>ECA</w:t>
      </w:r>
      <w:r w:rsidRPr="00E27B20">
        <w:rPr>
          <w:rFonts w:ascii="Arial" w:hAnsi="Arial" w:cs="Arial"/>
          <w:sz w:val="24"/>
          <w:szCs w:val="24"/>
        </w:rPr>
        <w:t xml:space="preserve"> understated </w:t>
      </w:r>
      <w:r w:rsidR="00FF321B" w:rsidRPr="00E27B20">
        <w:rPr>
          <w:rFonts w:ascii="Arial" w:hAnsi="Arial" w:cs="Arial"/>
          <w:sz w:val="24"/>
          <w:szCs w:val="24"/>
        </w:rPr>
        <w:t>the Local Control Funding Formula (</w:t>
      </w:r>
      <w:r w:rsidRPr="00E27B20">
        <w:rPr>
          <w:rFonts w:ascii="Arial" w:hAnsi="Arial" w:cs="Arial"/>
          <w:sz w:val="24"/>
          <w:szCs w:val="24"/>
        </w:rPr>
        <w:t>LCFF</w:t>
      </w:r>
      <w:r w:rsidR="00FF321B" w:rsidRPr="00E27B20">
        <w:rPr>
          <w:rFonts w:ascii="Arial" w:hAnsi="Arial" w:cs="Arial"/>
          <w:sz w:val="24"/>
          <w:szCs w:val="24"/>
        </w:rPr>
        <w:t>)</w:t>
      </w:r>
      <w:r w:rsidRPr="00E27B20">
        <w:rPr>
          <w:rFonts w:ascii="Arial" w:hAnsi="Arial" w:cs="Arial"/>
          <w:sz w:val="24"/>
          <w:szCs w:val="24"/>
        </w:rPr>
        <w:t xml:space="preserve"> repayment</w:t>
      </w:r>
      <w:r w:rsidR="00F94801" w:rsidRPr="00E27B20">
        <w:rPr>
          <w:rFonts w:ascii="Arial" w:hAnsi="Arial" w:cs="Arial"/>
          <w:sz w:val="24"/>
          <w:szCs w:val="24"/>
        </w:rPr>
        <w:t xml:space="preserve"> of $435,594</w:t>
      </w:r>
      <w:r w:rsidR="00BE2B5E" w:rsidRPr="00E27B20">
        <w:rPr>
          <w:rFonts w:ascii="Arial" w:hAnsi="Arial" w:cs="Arial"/>
          <w:sz w:val="24"/>
          <w:szCs w:val="24"/>
        </w:rPr>
        <w:t>,</w:t>
      </w:r>
      <w:r w:rsidR="00F94801" w:rsidRPr="00E27B20">
        <w:rPr>
          <w:rFonts w:ascii="Arial" w:hAnsi="Arial" w:cs="Arial"/>
          <w:sz w:val="24"/>
          <w:szCs w:val="24"/>
        </w:rPr>
        <w:t xml:space="preserve"> and incorrectly included </w:t>
      </w:r>
      <w:r w:rsidR="00FF321B" w:rsidRPr="00E27B20">
        <w:rPr>
          <w:rFonts w:ascii="Arial" w:hAnsi="Arial" w:cs="Arial"/>
          <w:sz w:val="24"/>
          <w:szCs w:val="24"/>
        </w:rPr>
        <w:t>the Public Charter Schools Grant Program (</w:t>
      </w:r>
      <w:r w:rsidR="00F94801" w:rsidRPr="00E27B20">
        <w:rPr>
          <w:rFonts w:ascii="Arial" w:hAnsi="Arial" w:cs="Arial"/>
          <w:sz w:val="24"/>
          <w:szCs w:val="24"/>
        </w:rPr>
        <w:t>PCSGP</w:t>
      </w:r>
      <w:r w:rsidR="00FF321B" w:rsidRPr="00E27B20">
        <w:rPr>
          <w:rFonts w:ascii="Arial" w:hAnsi="Arial" w:cs="Arial"/>
          <w:sz w:val="24"/>
          <w:szCs w:val="24"/>
        </w:rPr>
        <w:t>)</w:t>
      </w:r>
      <w:r w:rsidR="00F94801" w:rsidRPr="00E27B20">
        <w:rPr>
          <w:rFonts w:ascii="Arial" w:hAnsi="Arial" w:cs="Arial"/>
          <w:sz w:val="24"/>
          <w:szCs w:val="24"/>
        </w:rPr>
        <w:t xml:space="preserve"> implementation </w:t>
      </w:r>
      <w:r w:rsidR="00FF321B" w:rsidRPr="00E27B20">
        <w:rPr>
          <w:rFonts w:ascii="Arial" w:hAnsi="Arial" w:cs="Arial"/>
          <w:sz w:val="24"/>
          <w:szCs w:val="24"/>
        </w:rPr>
        <w:t xml:space="preserve">grant </w:t>
      </w:r>
      <w:r w:rsidR="00F94801" w:rsidRPr="00E27B20">
        <w:rPr>
          <w:rFonts w:ascii="Arial" w:hAnsi="Arial" w:cs="Arial"/>
          <w:sz w:val="24"/>
          <w:szCs w:val="24"/>
        </w:rPr>
        <w:t>of $300,000 in their cash flow statement.</w:t>
      </w:r>
      <w:r w:rsidRPr="00E27B20">
        <w:rPr>
          <w:rFonts w:ascii="Arial" w:hAnsi="Arial" w:cs="Arial"/>
          <w:sz w:val="24"/>
          <w:szCs w:val="24"/>
        </w:rPr>
        <w:t xml:space="preserve"> </w:t>
      </w:r>
      <w:r w:rsidR="00F94801" w:rsidRPr="00E27B20">
        <w:rPr>
          <w:rFonts w:ascii="Arial" w:hAnsi="Arial" w:cs="Arial"/>
          <w:sz w:val="24"/>
          <w:szCs w:val="24"/>
        </w:rPr>
        <w:t>D</w:t>
      </w:r>
      <w:r w:rsidRPr="00E27B20">
        <w:rPr>
          <w:rFonts w:ascii="Arial" w:hAnsi="Arial" w:cs="Arial"/>
          <w:sz w:val="24"/>
          <w:szCs w:val="24"/>
        </w:rPr>
        <w:t xml:space="preserve">ue to overstated </w:t>
      </w:r>
      <w:r w:rsidR="00FF321B" w:rsidRPr="00E27B20">
        <w:rPr>
          <w:rFonts w:ascii="Arial" w:hAnsi="Arial" w:cs="Arial"/>
          <w:sz w:val="24"/>
          <w:szCs w:val="24"/>
        </w:rPr>
        <w:t>average daily attendance (A</w:t>
      </w:r>
      <w:r w:rsidRPr="00E27B20">
        <w:rPr>
          <w:rFonts w:ascii="Arial" w:hAnsi="Arial" w:cs="Arial"/>
          <w:sz w:val="24"/>
          <w:szCs w:val="24"/>
        </w:rPr>
        <w:t>DA</w:t>
      </w:r>
      <w:r w:rsidR="00FF321B" w:rsidRPr="00E27B20">
        <w:rPr>
          <w:rFonts w:ascii="Arial" w:hAnsi="Arial" w:cs="Arial"/>
          <w:sz w:val="24"/>
          <w:szCs w:val="24"/>
        </w:rPr>
        <w:t>)</w:t>
      </w:r>
      <w:r w:rsidRPr="00E27B20">
        <w:rPr>
          <w:rFonts w:ascii="Arial" w:hAnsi="Arial" w:cs="Arial"/>
          <w:sz w:val="24"/>
          <w:szCs w:val="24"/>
        </w:rPr>
        <w:t xml:space="preserve"> projection</w:t>
      </w:r>
      <w:r w:rsidR="00FF321B" w:rsidRPr="00E27B20">
        <w:rPr>
          <w:rFonts w:ascii="Arial" w:hAnsi="Arial" w:cs="Arial"/>
          <w:sz w:val="24"/>
          <w:szCs w:val="24"/>
        </w:rPr>
        <w:t xml:space="preserve">s </w:t>
      </w:r>
      <w:r w:rsidR="00F94801" w:rsidRPr="00E27B20">
        <w:rPr>
          <w:rFonts w:ascii="Arial" w:hAnsi="Arial" w:cs="Arial"/>
          <w:sz w:val="24"/>
          <w:szCs w:val="24"/>
        </w:rPr>
        <w:t>and incorrect P</w:t>
      </w:r>
      <w:r w:rsidR="00FF321B" w:rsidRPr="00E27B20">
        <w:rPr>
          <w:rFonts w:ascii="Arial" w:hAnsi="Arial" w:cs="Arial"/>
          <w:sz w:val="24"/>
          <w:szCs w:val="24"/>
        </w:rPr>
        <w:t>CS</w:t>
      </w:r>
      <w:r w:rsidR="00F94801" w:rsidRPr="00E27B20">
        <w:rPr>
          <w:rFonts w:ascii="Arial" w:hAnsi="Arial" w:cs="Arial"/>
          <w:sz w:val="24"/>
          <w:szCs w:val="24"/>
        </w:rPr>
        <w:t xml:space="preserve">GP projections, </w:t>
      </w:r>
      <w:r w:rsidRPr="00E27B20">
        <w:rPr>
          <w:rFonts w:ascii="Arial" w:hAnsi="Arial" w:cs="Arial"/>
          <w:sz w:val="24"/>
          <w:szCs w:val="24"/>
        </w:rPr>
        <w:t>ECA may have an estimated negative ending cash balance of $</w:t>
      </w:r>
      <w:r w:rsidR="00F94801" w:rsidRPr="00E27B20">
        <w:rPr>
          <w:rFonts w:ascii="Arial" w:hAnsi="Arial" w:cs="Arial"/>
          <w:sz w:val="24"/>
          <w:szCs w:val="24"/>
        </w:rPr>
        <w:t>932,620</w:t>
      </w:r>
      <w:r w:rsidRPr="00E27B20">
        <w:rPr>
          <w:rFonts w:ascii="Arial" w:hAnsi="Arial" w:cs="Arial"/>
          <w:sz w:val="24"/>
          <w:szCs w:val="24"/>
        </w:rPr>
        <w:t xml:space="preserve"> by June 2022.</w:t>
      </w:r>
    </w:p>
    <w:sectPr w:rsidR="00291D4B" w:rsidRPr="009E56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E656" w14:textId="77777777" w:rsidR="00924347" w:rsidRDefault="00924347" w:rsidP="00924347">
      <w:pPr>
        <w:spacing w:after="0" w:line="240" w:lineRule="auto"/>
      </w:pPr>
      <w:r>
        <w:separator/>
      </w:r>
    </w:p>
  </w:endnote>
  <w:endnote w:type="continuationSeparator" w:id="0">
    <w:p w14:paraId="297F79AA" w14:textId="77777777" w:rsidR="00924347" w:rsidRDefault="00924347" w:rsidP="0092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9372" w14:textId="77777777" w:rsidR="00924347" w:rsidRDefault="00924347" w:rsidP="00924347">
      <w:pPr>
        <w:spacing w:after="0" w:line="240" w:lineRule="auto"/>
      </w:pPr>
      <w:r>
        <w:separator/>
      </w:r>
    </w:p>
  </w:footnote>
  <w:footnote w:type="continuationSeparator" w:id="0">
    <w:p w14:paraId="5265595A" w14:textId="77777777" w:rsidR="00924347" w:rsidRDefault="00924347" w:rsidP="0092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F8AF5BE" w14:textId="77777777" w:rsidR="00924347" w:rsidRPr="00924347" w:rsidRDefault="00924347" w:rsidP="00924347">
        <w:pPr>
          <w:pStyle w:val="Header"/>
          <w:jc w:val="right"/>
          <w:rPr>
            <w:rFonts w:ascii="Arial" w:hAnsi="Arial" w:cs="Arial"/>
            <w:sz w:val="24"/>
            <w:szCs w:val="24"/>
          </w:rPr>
        </w:pPr>
        <w:r>
          <w:rPr>
            <w:rFonts w:ascii="Arial" w:hAnsi="Arial" w:cs="Arial"/>
            <w:sz w:val="24"/>
            <w:szCs w:val="24"/>
          </w:rPr>
          <w:t>oa</w:t>
        </w:r>
        <w:r w:rsidRPr="00924347">
          <w:rPr>
            <w:rFonts w:ascii="Arial" w:hAnsi="Arial" w:cs="Arial"/>
            <w:sz w:val="24"/>
            <w:szCs w:val="24"/>
          </w:rPr>
          <w:t>b-csd-jan22item04</w:t>
        </w:r>
      </w:p>
      <w:p w14:paraId="31022E40" w14:textId="77777777" w:rsidR="00924347" w:rsidRPr="00924347" w:rsidRDefault="00924347" w:rsidP="00924347">
        <w:pPr>
          <w:pStyle w:val="Header"/>
          <w:jc w:val="right"/>
          <w:rPr>
            <w:rFonts w:ascii="Arial" w:hAnsi="Arial" w:cs="Arial"/>
            <w:sz w:val="24"/>
            <w:szCs w:val="24"/>
          </w:rPr>
        </w:pPr>
        <w:r w:rsidRPr="00924347">
          <w:rPr>
            <w:rFonts w:ascii="Arial" w:hAnsi="Arial" w:cs="Arial"/>
            <w:sz w:val="24"/>
            <w:szCs w:val="24"/>
          </w:rPr>
          <w:t>Attachment 9</w:t>
        </w:r>
      </w:p>
      <w:p w14:paraId="3BB517E1" w14:textId="77777777" w:rsidR="00924347" w:rsidRDefault="00924347" w:rsidP="00755982">
        <w:pPr>
          <w:pStyle w:val="Header"/>
          <w:spacing w:after="240"/>
          <w:jc w:val="right"/>
        </w:pPr>
        <w:r w:rsidRPr="00924347">
          <w:rPr>
            <w:rFonts w:ascii="Arial" w:hAnsi="Arial" w:cs="Arial"/>
            <w:sz w:val="24"/>
            <w:szCs w:val="24"/>
          </w:rPr>
          <w:t xml:space="preserve">Page </w:t>
        </w:r>
        <w:r w:rsidRPr="00924347">
          <w:rPr>
            <w:rFonts w:ascii="Arial" w:hAnsi="Arial" w:cs="Arial"/>
            <w:bCs/>
            <w:sz w:val="24"/>
            <w:szCs w:val="24"/>
          </w:rPr>
          <w:fldChar w:fldCharType="begin"/>
        </w:r>
        <w:r w:rsidRPr="00924347">
          <w:rPr>
            <w:rFonts w:ascii="Arial" w:hAnsi="Arial" w:cs="Arial"/>
            <w:bCs/>
            <w:sz w:val="24"/>
            <w:szCs w:val="24"/>
          </w:rPr>
          <w:instrText xml:space="preserve"> PAGE </w:instrText>
        </w:r>
        <w:r w:rsidRPr="00924347">
          <w:rPr>
            <w:rFonts w:ascii="Arial" w:hAnsi="Arial" w:cs="Arial"/>
            <w:bCs/>
            <w:sz w:val="24"/>
            <w:szCs w:val="24"/>
          </w:rPr>
          <w:fldChar w:fldCharType="separate"/>
        </w:r>
        <w:r w:rsidRPr="00924347">
          <w:rPr>
            <w:rFonts w:ascii="Arial" w:hAnsi="Arial" w:cs="Arial"/>
            <w:bCs/>
            <w:noProof/>
            <w:sz w:val="24"/>
            <w:szCs w:val="24"/>
          </w:rPr>
          <w:t>2</w:t>
        </w:r>
        <w:r w:rsidRPr="00924347">
          <w:rPr>
            <w:rFonts w:ascii="Arial" w:hAnsi="Arial" w:cs="Arial"/>
            <w:bCs/>
            <w:sz w:val="24"/>
            <w:szCs w:val="24"/>
          </w:rPr>
          <w:fldChar w:fldCharType="end"/>
        </w:r>
        <w:r w:rsidRPr="00924347">
          <w:rPr>
            <w:rFonts w:ascii="Arial" w:hAnsi="Arial" w:cs="Arial"/>
            <w:sz w:val="24"/>
            <w:szCs w:val="24"/>
          </w:rPr>
          <w:t xml:space="preserve"> of </w:t>
        </w:r>
        <w:r w:rsidRPr="00924347">
          <w:rPr>
            <w:rFonts w:ascii="Arial" w:hAnsi="Arial" w:cs="Arial"/>
            <w:bCs/>
            <w:sz w:val="24"/>
            <w:szCs w:val="24"/>
          </w:rPr>
          <w:fldChar w:fldCharType="begin"/>
        </w:r>
        <w:r w:rsidRPr="00924347">
          <w:rPr>
            <w:rFonts w:ascii="Arial" w:hAnsi="Arial" w:cs="Arial"/>
            <w:bCs/>
            <w:sz w:val="24"/>
            <w:szCs w:val="24"/>
          </w:rPr>
          <w:instrText xml:space="preserve"> NUMPAGES  </w:instrText>
        </w:r>
        <w:r w:rsidRPr="00924347">
          <w:rPr>
            <w:rFonts w:ascii="Arial" w:hAnsi="Arial" w:cs="Arial"/>
            <w:bCs/>
            <w:sz w:val="24"/>
            <w:szCs w:val="24"/>
          </w:rPr>
          <w:fldChar w:fldCharType="separate"/>
        </w:r>
        <w:r w:rsidRPr="00924347">
          <w:rPr>
            <w:rFonts w:ascii="Arial" w:hAnsi="Arial" w:cs="Arial"/>
            <w:bCs/>
            <w:noProof/>
            <w:sz w:val="24"/>
            <w:szCs w:val="24"/>
          </w:rPr>
          <w:t>2</w:t>
        </w:r>
        <w:r w:rsidRPr="00924347">
          <w:rPr>
            <w:rFonts w:ascii="Arial" w:hAnsi="Arial" w:cs="Arial"/>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77A5"/>
    <w:multiLevelType w:val="hybridMultilevel"/>
    <w:tmpl w:val="8796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95420"/>
    <w:multiLevelType w:val="hybridMultilevel"/>
    <w:tmpl w:val="CF6A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C00768">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D3364"/>
    <w:multiLevelType w:val="hybridMultilevel"/>
    <w:tmpl w:val="A04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4B"/>
    <w:rsid w:val="000A6183"/>
    <w:rsid w:val="0018129C"/>
    <w:rsid w:val="00291D4B"/>
    <w:rsid w:val="00651032"/>
    <w:rsid w:val="006F1C17"/>
    <w:rsid w:val="00755982"/>
    <w:rsid w:val="0083044C"/>
    <w:rsid w:val="00924347"/>
    <w:rsid w:val="009B634D"/>
    <w:rsid w:val="009E56F3"/>
    <w:rsid w:val="00B80F35"/>
    <w:rsid w:val="00BA3ADC"/>
    <w:rsid w:val="00BC4BD9"/>
    <w:rsid w:val="00BE2B5E"/>
    <w:rsid w:val="00C23884"/>
    <w:rsid w:val="00C41308"/>
    <w:rsid w:val="00CD47EC"/>
    <w:rsid w:val="00CF604D"/>
    <w:rsid w:val="00D419B3"/>
    <w:rsid w:val="00DE14F5"/>
    <w:rsid w:val="00DF282D"/>
    <w:rsid w:val="00E22E9C"/>
    <w:rsid w:val="00E27B20"/>
    <w:rsid w:val="00E31256"/>
    <w:rsid w:val="00E807CB"/>
    <w:rsid w:val="00E9073B"/>
    <w:rsid w:val="00F94801"/>
    <w:rsid w:val="00FF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E5BE7"/>
  <w15:chartTrackingRefBased/>
  <w15:docId w15:val="{D7C4867A-70AB-40D6-B501-C716F381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347"/>
    <w:pPr>
      <w:keepNext/>
      <w:keepLines/>
      <w:spacing w:after="240" w:line="240" w:lineRule="auto"/>
      <w:outlineLvl w:val="0"/>
    </w:pPr>
    <w:rPr>
      <w:rFonts w:ascii="Arial" w:eastAsiaTheme="majorEastAsia" w:hAnsi="Arial" w:cstheme="majorBidi"/>
      <w:b/>
      <w:sz w:val="40"/>
      <w:szCs w:val="32"/>
    </w:rPr>
  </w:style>
  <w:style w:type="paragraph" w:styleId="Heading2">
    <w:name w:val="heading 2"/>
    <w:basedOn w:val="Normal"/>
    <w:next w:val="Normal"/>
    <w:link w:val="Heading2Char"/>
    <w:autoRedefine/>
    <w:uiPriority w:val="9"/>
    <w:unhideWhenUsed/>
    <w:qFormat/>
    <w:rsid w:val="00C23884"/>
    <w:pPr>
      <w:keepNext/>
      <w:keepLines/>
      <w:spacing w:after="240" w:line="240" w:lineRule="auto"/>
      <w:outlineLvl w:val="1"/>
    </w:pPr>
    <w:rPr>
      <w:rFonts w:ascii="Arial" w:eastAsiaTheme="majorEastAsia" w:hAnsi="Arial" w:cstheme="majorBid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B3"/>
    <w:pPr>
      <w:ind w:left="720"/>
      <w:contextualSpacing/>
    </w:pPr>
  </w:style>
  <w:style w:type="character" w:customStyle="1" w:styleId="Heading1Char">
    <w:name w:val="Heading 1 Char"/>
    <w:basedOn w:val="DefaultParagraphFont"/>
    <w:link w:val="Heading1"/>
    <w:uiPriority w:val="9"/>
    <w:rsid w:val="00924347"/>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23884"/>
    <w:rPr>
      <w:rFonts w:ascii="Arial" w:eastAsiaTheme="majorEastAsia" w:hAnsi="Arial" w:cstheme="majorBidi"/>
      <w:b/>
      <w:sz w:val="36"/>
      <w:szCs w:val="36"/>
    </w:rPr>
  </w:style>
  <w:style w:type="paragraph" w:styleId="Header">
    <w:name w:val="header"/>
    <w:basedOn w:val="Normal"/>
    <w:link w:val="HeaderChar"/>
    <w:uiPriority w:val="99"/>
    <w:unhideWhenUsed/>
    <w:rsid w:val="0092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47"/>
  </w:style>
  <w:style w:type="paragraph" w:styleId="Footer">
    <w:name w:val="footer"/>
    <w:basedOn w:val="Normal"/>
    <w:link w:val="FooterChar"/>
    <w:uiPriority w:val="99"/>
    <w:unhideWhenUsed/>
    <w:rsid w:val="0092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347"/>
  </w:style>
  <w:style w:type="character" w:styleId="CommentReference">
    <w:name w:val="annotation reference"/>
    <w:basedOn w:val="DefaultParagraphFont"/>
    <w:uiPriority w:val="99"/>
    <w:semiHidden/>
    <w:unhideWhenUsed/>
    <w:rsid w:val="00FF321B"/>
    <w:rPr>
      <w:sz w:val="16"/>
      <w:szCs w:val="16"/>
    </w:rPr>
  </w:style>
  <w:style w:type="paragraph" w:styleId="CommentText">
    <w:name w:val="annotation text"/>
    <w:basedOn w:val="Normal"/>
    <w:link w:val="CommentTextChar"/>
    <w:uiPriority w:val="99"/>
    <w:semiHidden/>
    <w:unhideWhenUsed/>
    <w:rsid w:val="00FF321B"/>
    <w:pPr>
      <w:spacing w:line="240" w:lineRule="auto"/>
    </w:pPr>
    <w:rPr>
      <w:sz w:val="20"/>
      <w:szCs w:val="20"/>
    </w:rPr>
  </w:style>
  <w:style w:type="character" w:customStyle="1" w:styleId="CommentTextChar">
    <w:name w:val="Comment Text Char"/>
    <w:basedOn w:val="DefaultParagraphFont"/>
    <w:link w:val="CommentText"/>
    <w:uiPriority w:val="99"/>
    <w:semiHidden/>
    <w:rsid w:val="00FF321B"/>
    <w:rPr>
      <w:sz w:val="20"/>
      <w:szCs w:val="20"/>
    </w:rPr>
  </w:style>
  <w:style w:type="paragraph" w:styleId="CommentSubject">
    <w:name w:val="annotation subject"/>
    <w:basedOn w:val="CommentText"/>
    <w:next w:val="CommentText"/>
    <w:link w:val="CommentSubjectChar"/>
    <w:uiPriority w:val="99"/>
    <w:semiHidden/>
    <w:unhideWhenUsed/>
    <w:rsid w:val="00FF321B"/>
    <w:rPr>
      <w:b/>
      <w:bCs/>
    </w:rPr>
  </w:style>
  <w:style w:type="character" w:customStyle="1" w:styleId="CommentSubjectChar">
    <w:name w:val="Comment Subject Char"/>
    <w:basedOn w:val="CommentTextChar"/>
    <w:link w:val="CommentSubject"/>
    <w:uiPriority w:val="99"/>
    <w:semiHidden/>
    <w:rsid w:val="00FF321B"/>
    <w:rPr>
      <w:b/>
      <w:bCs/>
      <w:sz w:val="20"/>
      <w:szCs w:val="20"/>
    </w:rPr>
  </w:style>
  <w:style w:type="paragraph" w:styleId="BalloonText">
    <w:name w:val="Balloon Text"/>
    <w:basedOn w:val="Normal"/>
    <w:link w:val="BalloonTextChar"/>
    <w:uiPriority w:val="99"/>
    <w:semiHidden/>
    <w:unhideWhenUsed/>
    <w:rsid w:val="00FF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BA4D-9C76-42C0-BAA9-6E664E1E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604</Words>
  <Characters>3594</Characters>
  <DocSecurity>0</DocSecurity>
  <Lines>105</Lines>
  <Paragraphs>73</Paragraphs>
  <ScaleCrop>false</ScaleCrop>
  <HeadingPairs>
    <vt:vector size="2" baseType="variant">
      <vt:variant>
        <vt:lpstr>Title</vt:lpstr>
      </vt:variant>
      <vt:variant>
        <vt:i4>1</vt:i4>
      </vt:variant>
    </vt:vector>
  </HeadingPairs>
  <TitlesOfParts>
    <vt:vector size="1" baseType="lpstr">
      <vt:lpstr>January 2022 Agenda Item 12 Attachment 9 - Meeting Agendas (CA State Board of Education)</vt:lpstr>
    </vt:vector>
  </TitlesOfParts>
  <Company>California State Board of Education</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9 - Meeting Agendas (CA State Board of Education)</dc:title>
  <dc:subject>California Department of Education Fiscal Analysis of Eagle Collegiate Academy.</dc:subject>
  <dc:creator/>
  <cp:keywords/>
  <dc:description/>
  <dcterms:created xsi:type="dcterms:W3CDTF">2021-12-28T20:29:00Z</dcterms:created>
  <dcterms:modified xsi:type="dcterms:W3CDTF">2021-12-29T22:36:00Z</dcterms:modified>
  <cp:category/>
</cp:coreProperties>
</file>