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D926F" w14:textId="7B15A2B1" w:rsidR="004F304D" w:rsidRPr="00C73480" w:rsidRDefault="004F304D" w:rsidP="001B642F">
      <w:pPr>
        <w:pStyle w:val="Heading1"/>
        <w:spacing w:before="0"/>
        <w:jc w:val="center"/>
        <w:rPr>
          <w:sz w:val="32"/>
          <w:szCs w:val="36"/>
        </w:rPr>
      </w:pPr>
      <w:r w:rsidRPr="00C73480">
        <w:rPr>
          <w:sz w:val="32"/>
          <w:szCs w:val="36"/>
        </w:rPr>
        <w:t xml:space="preserve">Attachment </w:t>
      </w:r>
      <w:r w:rsidR="00914835" w:rsidRPr="00C73480">
        <w:rPr>
          <w:sz w:val="32"/>
          <w:szCs w:val="36"/>
        </w:rPr>
        <w:t>1</w:t>
      </w:r>
      <w:r w:rsidRPr="00C73480">
        <w:rPr>
          <w:sz w:val="32"/>
          <w:szCs w:val="36"/>
        </w:rPr>
        <w:t>: Career Technical Education Incentive Grant Specific Proposed Funding Amounts and Number of Grant Awards</w:t>
      </w:r>
    </w:p>
    <w:p w14:paraId="080F64C7" w14:textId="2E57683B" w:rsidR="000C4F05" w:rsidRPr="00C73480" w:rsidRDefault="000C4F05" w:rsidP="00557014">
      <w:r w:rsidRPr="00C73480">
        <w:t>* Award amounts listed in the tables below may vary from what was posted on</w:t>
      </w:r>
      <w:r w:rsidR="00D550B3" w:rsidRPr="00C73480">
        <w:br/>
      </w:r>
      <w:r w:rsidRPr="00C73480">
        <w:t>April 7, 2022. The California Department of Education and State Board of Education</w:t>
      </w:r>
      <w:r w:rsidR="00AE2B83" w:rsidRPr="00C73480">
        <w:t xml:space="preserve"> (SBE)</w:t>
      </w:r>
      <w:r w:rsidRPr="00C73480">
        <w:t xml:space="preserve"> staff </w:t>
      </w:r>
      <w:r w:rsidR="005F4A99" w:rsidRPr="00C73480">
        <w:t xml:space="preserve">determined </w:t>
      </w:r>
      <w:r w:rsidRPr="00C73480">
        <w:t xml:space="preserve">that the </w:t>
      </w:r>
      <w:r w:rsidR="00AE2B83" w:rsidRPr="00C73480">
        <w:t xml:space="preserve">values for </w:t>
      </w:r>
      <w:r w:rsidRPr="00C73480">
        <w:t xml:space="preserve">positive consideration factors for </w:t>
      </w:r>
      <w:r w:rsidR="00AE2B83" w:rsidRPr="00C73480">
        <w:t>R</w:t>
      </w:r>
      <w:r w:rsidRPr="00C73480">
        <w:t xml:space="preserve">ound 7B should be the same as </w:t>
      </w:r>
      <w:r w:rsidR="00AE2B83" w:rsidRPr="00C73480">
        <w:t>what the SBE approved in March 2022 for</w:t>
      </w:r>
      <w:r w:rsidRPr="00C73480">
        <w:t xml:space="preserve"> </w:t>
      </w:r>
      <w:r w:rsidR="00AE2B83" w:rsidRPr="00C73480">
        <w:t>R</w:t>
      </w:r>
      <w:r w:rsidRPr="00C73480">
        <w:t>ound 7A. Due to this recalculation</w:t>
      </w:r>
      <w:r w:rsidR="00AE2B83" w:rsidRPr="00C73480">
        <w:t>,</w:t>
      </w:r>
      <w:r w:rsidRPr="00C73480">
        <w:t xml:space="preserve"> nine preliminary allocations were affected</w:t>
      </w:r>
      <w:r w:rsidR="00AE2B83" w:rsidRPr="00C73480">
        <w:t xml:space="preserve">: </w:t>
      </w:r>
      <w:r w:rsidRPr="00C73480">
        <w:t>two preliminary allocations increased, and seven preliminary allocations decreased</w:t>
      </w:r>
      <w:r w:rsidR="00AE2B83" w:rsidRPr="00C73480">
        <w:t>, as noted by the asterisk in Tables 1 through 3 below</w:t>
      </w:r>
      <w:r w:rsidRPr="00C73480">
        <w:t>.</w:t>
      </w:r>
    </w:p>
    <w:p w14:paraId="68D78530" w14:textId="3CB048CE" w:rsidR="00466FC3" w:rsidRPr="00C73480" w:rsidRDefault="004F304D" w:rsidP="00B81142">
      <w:pPr>
        <w:pStyle w:val="Heading2"/>
      </w:pPr>
      <w:r w:rsidRPr="00C73480">
        <w:t>Table 1</w:t>
      </w:r>
      <w:r w:rsidR="004547EF" w:rsidRPr="00C73480">
        <w:t>.</w:t>
      </w:r>
      <w:r w:rsidRPr="00C73480">
        <w:t xml:space="preserve"> Small Category: </w:t>
      </w:r>
      <w:r w:rsidR="00F64437" w:rsidRPr="00C73480">
        <w:t>A</w:t>
      </w:r>
      <w:r w:rsidR="003D4AB8" w:rsidRPr="00C73480">
        <w:t xml:space="preserve">verage </w:t>
      </w:r>
      <w:r w:rsidR="00F64437" w:rsidRPr="00C73480">
        <w:t>D</w:t>
      </w:r>
      <w:r w:rsidR="003D4AB8" w:rsidRPr="00C73480">
        <w:t xml:space="preserve">aily </w:t>
      </w:r>
      <w:r w:rsidR="00F64437" w:rsidRPr="00C73480">
        <w:t>A</w:t>
      </w:r>
      <w:r w:rsidR="003D4AB8" w:rsidRPr="00C73480">
        <w:t>ttendance (ADA)</w:t>
      </w:r>
      <w:r w:rsidR="004547EF" w:rsidRPr="00C73480">
        <w:t xml:space="preserve"> of less than or equal to 140</w:t>
      </w:r>
    </w:p>
    <w:tbl>
      <w:tblPr>
        <w:tblStyle w:val="TableGrid"/>
        <w:tblW w:w="10080" w:type="dxa"/>
        <w:tblLook w:val="04A0" w:firstRow="1" w:lastRow="0" w:firstColumn="1" w:lastColumn="0" w:noHBand="0" w:noVBand="1"/>
        <w:tblDescription w:val="Table 1 Small Category Preliminary Allocation Funding Results."/>
      </w:tblPr>
      <w:tblGrid>
        <w:gridCol w:w="960"/>
        <w:gridCol w:w="2160"/>
        <w:gridCol w:w="4680"/>
        <w:gridCol w:w="2280"/>
      </w:tblGrid>
      <w:tr w:rsidR="008079A2" w:rsidRPr="00C73480" w14:paraId="42C32D32" w14:textId="77777777" w:rsidTr="003C58CF">
        <w:trPr>
          <w:cantSplit/>
          <w:trHeight w:val="782"/>
          <w:tblHeader/>
        </w:trPr>
        <w:tc>
          <w:tcPr>
            <w:tcW w:w="960" w:type="dxa"/>
            <w:hideMark/>
          </w:tcPr>
          <w:p w14:paraId="112C1E01" w14:textId="77777777" w:rsidR="008079A2" w:rsidRPr="00C73480" w:rsidRDefault="008079A2" w:rsidP="008079A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C73480">
              <w:rPr>
                <w:rFonts w:cs="Arial"/>
                <w:b/>
                <w:bCs/>
                <w:color w:val="000000"/>
              </w:rPr>
              <w:t>No.</w:t>
            </w:r>
          </w:p>
        </w:tc>
        <w:tc>
          <w:tcPr>
            <w:tcW w:w="2160" w:type="dxa"/>
            <w:hideMark/>
          </w:tcPr>
          <w:p w14:paraId="6487D56B" w14:textId="0A2C747E" w:rsidR="008079A2" w:rsidRPr="00C73480" w:rsidRDefault="008079A2" w:rsidP="008079A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C73480">
              <w:rPr>
                <w:rFonts w:cs="Arial"/>
                <w:b/>
                <w:bCs/>
                <w:color w:val="000000"/>
              </w:rPr>
              <w:t>C</w:t>
            </w:r>
            <w:r w:rsidR="003D4AB8" w:rsidRPr="00C73480">
              <w:rPr>
                <w:rFonts w:cs="Arial"/>
                <w:b/>
                <w:bCs/>
                <w:color w:val="000000"/>
              </w:rPr>
              <w:t>ounty-</w:t>
            </w:r>
            <w:r w:rsidRPr="00C73480">
              <w:rPr>
                <w:rFonts w:cs="Arial"/>
                <w:b/>
                <w:bCs/>
                <w:color w:val="000000"/>
              </w:rPr>
              <w:t>D</w:t>
            </w:r>
            <w:r w:rsidR="003D4AB8" w:rsidRPr="00C73480">
              <w:rPr>
                <w:rFonts w:cs="Arial"/>
                <w:b/>
                <w:bCs/>
                <w:color w:val="000000"/>
              </w:rPr>
              <w:t>istrict-</w:t>
            </w:r>
            <w:r w:rsidRPr="00C73480">
              <w:rPr>
                <w:rFonts w:cs="Arial"/>
                <w:b/>
                <w:bCs/>
                <w:color w:val="000000"/>
              </w:rPr>
              <w:t>S</w:t>
            </w:r>
            <w:r w:rsidR="003D4AB8" w:rsidRPr="00C73480">
              <w:rPr>
                <w:rFonts w:cs="Arial"/>
                <w:b/>
                <w:bCs/>
                <w:color w:val="000000"/>
              </w:rPr>
              <w:t>chool (CDS)</w:t>
            </w:r>
            <w:r w:rsidRPr="00C73480">
              <w:rPr>
                <w:rFonts w:cs="Arial"/>
                <w:b/>
                <w:bCs/>
                <w:color w:val="000000"/>
              </w:rPr>
              <w:t xml:space="preserve"> Code</w:t>
            </w:r>
          </w:p>
        </w:tc>
        <w:tc>
          <w:tcPr>
            <w:tcW w:w="4680" w:type="dxa"/>
            <w:hideMark/>
          </w:tcPr>
          <w:p w14:paraId="4A134788" w14:textId="77777777" w:rsidR="008079A2" w:rsidRPr="00C73480" w:rsidRDefault="008079A2" w:rsidP="008079A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C73480">
              <w:rPr>
                <w:rFonts w:cs="Arial"/>
                <w:b/>
                <w:bCs/>
                <w:color w:val="000000"/>
              </w:rPr>
              <w:t>Local Educational Agency</w:t>
            </w:r>
          </w:p>
        </w:tc>
        <w:tc>
          <w:tcPr>
            <w:tcW w:w="2280" w:type="dxa"/>
            <w:hideMark/>
          </w:tcPr>
          <w:p w14:paraId="60AC0831" w14:textId="77777777" w:rsidR="008079A2" w:rsidRPr="00C73480" w:rsidRDefault="008079A2" w:rsidP="008079A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C73480">
              <w:rPr>
                <w:rFonts w:cs="Arial"/>
                <w:b/>
                <w:bCs/>
                <w:color w:val="000000"/>
              </w:rPr>
              <w:t>Preliminary Allocation</w:t>
            </w:r>
          </w:p>
        </w:tc>
      </w:tr>
      <w:tr w:rsidR="00A62170" w:rsidRPr="00C73480" w14:paraId="5489586A" w14:textId="77777777" w:rsidTr="00684222">
        <w:trPr>
          <w:cantSplit/>
          <w:trHeight w:val="310"/>
          <w:tblHeader/>
        </w:trPr>
        <w:tc>
          <w:tcPr>
            <w:tcW w:w="960" w:type="dxa"/>
            <w:noWrap/>
            <w:hideMark/>
          </w:tcPr>
          <w:p w14:paraId="54A9B87F" w14:textId="4EEEA952" w:rsidR="00A62170" w:rsidRPr="00C73480" w:rsidRDefault="00A62170" w:rsidP="00A62170">
            <w:pPr>
              <w:jc w:val="center"/>
              <w:rPr>
                <w:rFonts w:cs="Arial"/>
                <w:color w:val="000000"/>
              </w:rPr>
            </w:pPr>
            <w:r w:rsidRPr="00C73480">
              <w:t>1</w:t>
            </w:r>
          </w:p>
        </w:tc>
        <w:tc>
          <w:tcPr>
            <w:tcW w:w="2160" w:type="dxa"/>
            <w:noWrap/>
            <w:hideMark/>
          </w:tcPr>
          <w:p w14:paraId="0E17B81B" w14:textId="7488D8A9" w:rsidR="00A62170" w:rsidRPr="00C73480" w:rsidRDefault="00A62170" w:rsidP="00A62170">
            <w:pPr>
              <w:rPr>
                <w:rFonts w:cs="Arial"/>
                <w:color w:val="000000"/>
              </w:rPr>
            </w:pPr>
            <w:r w:rsidRPr="00C73480">
              <w:t>37681060137034</w:t>
            </w:r>
          </w:p>
        </w:tc>
        <w:tc>
          <w:tcPr>
            <w:tcW w:w="4680" w:type="dxa"/>
            <w:noWrap/>
            <w:hideMark/>
          </w:tcPr>
          <w:p w14:paraId="3EFEA0BA" w14:textId="583FD343" w:rsidR="00A62170" w:rsidRPr="00C73480" w:rsidRDefault="00A62170" w:rsidP="00A62170">
            <w:pPr>
              <w:rPr>
                <w:rFonts w:cs="Arial"/>
                <w:color w:val="000000"/>
              </w:rPr>
            </w:pPr>
            <w:proofErr w:type="spellStart"/>
            <w:r w:rsidRPr="00C73480">
              <w:t>Audeo</w:t>
            </w:r>
            <w:proofErr w:type="spellEnd"/>
            <w:r w:rsidRPr="00C73480">
              <w:t xml:space="preserve"> Charter School III</w:t>
            </w:r>
          </w:p>
        </w:tc>
        <w:tc>
          <w:tcPr>
            <w:tcW w:w="2280" w:type="dxa"/>
            <w:noWrap/>
            <w:hideMark/>
          </w:tcPr>
          <w:p w14:paraId="4968CCE5" w14:textId="2D4E5ED3" w:rsidR="00A62170" w:rsidRPr="00C73480" w:rsidRDefault="00A62170" w:rsidP="00A62170">
            <w:pPr>
              <w:jc w:val="center"/>
              <w:rPr>
                <w:rFonts w:cs="Arial"/>
                <w:color w:val="000000"/>
              </w:rPr>
            </w:pPr>
            <w:r w:rsidRPr="00C73480">
              <w:t>$185,279</w:t>
            </w:r>
          </w:p>
        </w:tc>
      </w:tr>
      <w:tr w:rsidR="00A62170" w:rsidRPr="00C73480" w14:paraId="5CB939B4" w14:textId="77777777" w:rsidTr="00684222">
        <w:trPr>
          <w:cantSplit/>
          <w:trHeight w:val="310"/>
          <w:tblHeader/>
        </w:trPr>
        <w:tc>
          <w:tcPr>
            <w:tcW w:w="960" w:type="dxa"/>
            <w:noWrap/>
            <w:hideMark/>
          </w:tcPr>
          <w:p w14:paraId="3411B193" w14:textId="230B04B3" w:rsidR="00A62170" w:rsidRPr="00C73480" w:rsidRDefault="00A62170" w:rsidP="00A62170">
            <w:pPr>
              <w:jc w:val="center"/>
              <w:rPr>
                <w:rFonts w:cs="Arial"/>
                <w:color w:val="000000"/>
              </w:rPr>
            </w:pPr>
            <w:r w:rsidRPr="00C73480">
              <w:t>2</w:t>
            </w:r>
          </w:p>
        </w:tc>
        <w:tc>
          <w:tcPr>
            <w:tcW w:w="2160" w:type="dxa"/>
            <w:noWrap/>
            <w:hideMark/>
          </w:tcPr>
          <w:p w14:paraId="25D630CA" w14:textId="79E5826B" w:rsidR="00A62170" w:rsidRPr="00C73480" w:rsidRDefault="00A62170" w:rsidP="00A62170">
            <w:pPr>
              <w:rPr>
                <w:rFonts w:cs="Arial"/>
                <w:color w:val="000000"/>
              </w:rPr>
            </w:pPr>
            <w:r w:rsidRPr="00C73480">
              <w:t>47736840000000</w:t>
            </w:r>
          </w:p>
        </w:tc>
        <w:tc>
          <w:tcPr>
            <w:tcW w:w="4680" w:type="dxa"/>
            <w:noWrap/>
            <w:hideMark/>
          </w:tcPr>
          <w:p w14:paraId="251A8DCD" w14:textId="65F15ABD" w:rsidR="00A62170" w:rsidRPr="00C73480" w:rsidRDefault="00A62170" w:rsidP="00A62170">
            <w:pPr>
              <w:rPr>
                <w:rFonts w:cs="Arial"/>
                <w:color w:val="000000"/>
              </w:rPr>
            </w:pPr>
            <w:r w:rsidRPr="00C73480">
              <w:t>Butte Valley Unified</w:t>
            </w:r>
          </w:p>
        </w:tc>
        <w:tc>
          <w:tcPr>
            <w:tcW w:w="2280" w:type="dxa"/>
            <w:noWrap/>
            <w:hideMark/>
          </w:tcPr>
          <w:p w14:paraId="06BEB1D7" w14:textId="759FE565" w:rsidR="00A62170" w:rsidRPr="00C73480" w:rsidRDefault="00A62170" w:rsidP="00A62170">
            <w:pPr>
              <w:jc w:val="center"/>
              <w:rPr>
                <w:rFonts w:cs="Arial"/>
                <w:color w:val="000000"/>
              </w:rPr>
            </w:pPr>
            <w:r w:rsidRPr="00C73480">
              <w:t>$76,658</w:t>
            </w:r>
          </w:p>
        </w:tc>
      </w:tr>
      <w:tr w:rsidR="00A62170" w:rsidRPr="00C73480" w14:paraId="42A98E6A" w14:textId="77777777" w:rsidTr="00684222">
        <w:trPr>
          <w:cantSplit/>
          <w:trHeight w:val="310"/>
          <w:tblHeader/>
        </w:trPr>
        <w:tc>
          <w:tcPr>
            <w:tcW w:w="960" w:type="dxa"/>
            <w:noWrap/>
            <w:hideMark/>
          </w:tcPr>
          <w:p w14:paraId="48E79BDC" w14:textId="5F497564" w:rsidR="00A62170" w:rsidRPr="00C73480" w:rsidRDefault="00A62170" w:rsidP="00A62170">
            <w:pPr>
              <w:jc w:val="center"/>
              <w:rPr>
                <w:rFonts w:cs="Arial"/>
                <w:color w:val="000000"/>
              </w:rPr>
            </w:pPr>
            <w:r w:rsidRPr="00C73480">
              <w:t>3</w:t>
            </w:r>
          </w:p>
        </w:tc>
        <w:tc>
          <w:tcPr>
            <w:tcW w:w="2160" w:type="dxa"/>
            <w:noWrap/>
            <w:hideMark/>
          </w:tcPr>
          <w:p w14:paraId="78532F38" w14:textId="6E85ECD5" w:rsidR="00A62170" w:rsidRPr="00C73480" w:rsidRDefault="00A62170" w:rsidP="00A62170">
            <w:pPr>
              <w:rPr>
                <w:rFonts w:cs="Arial"/>
                <w:color w:val="000000"/>
              </w:rPr>
            </w:pPr>
            <w:r w:rsidRPr="00C73480">
              <w:t>49707220139048</w:t>
            </w:r>
          </w:p>
        </w:tc>
        <w:tc>
          <w:tcPr>
            <w:tcW w:w="4680" w:type="dxa"/>
            <w:noWrap/>
            <w:hideMark/>
          </w:tcPr>
          <w:p w14:paraId="2A47718E" w14:textId="5CC4D2D0" w:rsidR="00A62170" w:rsidRPr="00C73480" w:rsidRDefault="00A62170" w:rsidP="00A62170">
            <w:pPr>
              <w:rPr>
                <w:rFonts w:cs="Arial"/>
                <w:color w:val="000000"/>
              </w:rPr>
            </w:pPr>
            <w:r w:rsidRPr="00C73480">
              <w:t>California Pacific Charter - Sonoma</w:t>
            </w:r>
          </w:p>
        </w:tc>
        <w:tc>
          <w:tcPr>
            <w:tcW w:w="2280" w:type="dxa"/>
            <w:noWrap/>
            <w:hideMark/>
          </w:tcPr>
          <w:p w14:paraId="11DC11F5" w14:textId="57CC842E" w:rsidR="00A62170" w:rsidRPr="00C73480" w:rsidRDefault="00A62170" w:rsidP="00A62170">
            <w:pPr>
              <w:jc w:val="center"/>
              <w:rPr>
                <w:rFonts w:cs="Arial"/>
                <w:color w:val="000000"/>
              </w:rPr>
            </w:pPr>
            <w:r w:rsidRPr="00C73480">
              <w:t>$19,138</w:t>
            </w:r>
          </w:p>
        </w:tc>
      </w:tr>
      <w:tr w:rsidR="00A62170" w:rsidRPr="00C73480" w14:paraId="17DFE633" w14:textId="77777777" w:rsidTr="00684222">
        <w:trPr>
          <w:cantSplit/>
          <w:trHeight w:val="310"/>
          <w:tblHeader/>
        </w:trPr>
        <w:tc>
          <w:tcPr>
            <w:tcW w:w="960" w:type="dxa"/>
            <w:noWrap/>
            <w:hideMark/>
          </w:tcPr>
          <w:p w14:paraId="7DC94B00" w14:textId="4CFEC98D" w:rsidR="00A62170" w:rsidRPr="00C73480" w:rsidRDefault="00A62170" w:rsidP="00A62170">
            <w:pPr>
              <w:jc w:val="center"/>
              <w:rPr>
                <w:rFonts w:cs="Arial"/>
                <w:color w:val="000000"/>
              </w:rPr>
            </w:pPr>
            <w:r w:rsidRPr="00C73480">
              <w:t>4</w:t>
            </w:r>
          </w:p>
        </w:tc>
        <w:tc>
          <w:tcPr>
            <w:tcW w:w="2160" w:type="dxa"/>
            <w:noWrap/>
            <w:hideMark/>
          </w:tcPr>
          <w:p w14:paraId="2E4F3EAE" w14:textId="091140DB" w:rsidR="00A62170" w:rsidRPr="00C73480" w:rsidRDefault="00A62170" w:rsidP="00A62170">
            <w:pPr>
              <w:rPr>
                <w:rFonts w:cs="Arial"/>
                <w:color w:val="000000"/>
              </w:rPr>
            </w:pPr>
            <w:r w:rsidRPr="00C73480">
              <w:t>06616060000000</w:t>
            </w:r>
          </w:p>
        </w:tc>
        <w:tc>
          <w:tcPr>
            <w:tcW w:w="4680" w:type="dxa"/>
            <w:noWrap/>
            <w:hideMark/>
          </w:tcPr>
          <w:p w14:paraId="31246078" w14:textId="58378F65" w:rsidR="00A62170" w:rsidRPr="00C73480" w:rsidRDefault="00A62170" w:rsidP="00A62170">
            <w:pPr>
              <w:rPr>
                <w:rFonts w:cs="Arial"/>
                <w:color w:val="000000"/>
              </w:rPr>
            </w:pPr>
            <w:r w:rsidRPr="00C73480">
              <w:t>Maxwell Unified</w:t>
            </w:r>
          </w:p>
        </w:tc>
        <w:tc>
          <w:tcPr>
            <w:tcW w:w="2280" w:type="dxa"/>
            <w:noWrap/>
            <w:hideMark/>
          </w:tcPr>
          <w:p w14:paraId="5B95AB77" w14:textId="182D6051" w:rsidR="00A62170" w:rsidRPr="00C73480" w:rsidRDefault="00A62170" w:rsidP="00A62170">
            <w:pPr>
              <w:jc w:val="center"/>
              <w:rPr>
                <w:rFonts w:cs="Arial"/>
                <w:color w:val="000000"/>
              </w:rPr>
            </w:pPr>
            <w:r w:rsidRPr="00C73480">
              <w:t>$90,460</w:t>
            </w:r>
          </w:p>
        </w:tc>
      </w:tr>
      <w:tr w:rsidR="00A62170" w:rsidRPr="00C73480" w14:paraId="05BF1B9F" w14:textId="77777777" w:rsidTr="00684222">
        <w:trPr>
          <w:cantSplit/>
          <w:trHeight w:val="310"/>
          <w:tblHeader/>
        </w:trPr>
        <w:tc>
          <w:tcPr>
            <w:tcW w:w="960" w:type="dxa"/>
            <w:noWrap/>
            <w:hideMark/>
          </w:tcPr>
          <w:p w14:paraId="038EF092" w14:textId="420BA477" w:rsidR="00A62170" w:rsidRPr="00C73480" w:rsidRDefault="00A62170" w:rsidP="00A62170">
            <w:pPr>
              <w:jc w:val="center"/>
              <w:rPr>
                <w:rFonts w:cs="Arial"/>
                <w:color w:val="000000"/>
              </w:rPr>
            </w:pPr>
            <w:r w:rsidRPr="00C73480">
              <w:t>5</w:t>
            </w:r>
          </w:p>
        </w:tc>
        <w:tc>
          <w:tcPr>
            <w:tcW w:w="2160" w:type="dxa"/>
            <w:noWrap/>
            <w:hideMark/>
          </w:tcPr>
          <w:p w14:paraId="1DAFD3CD" w14:textId="5169E697" w:rsidR="00A62170" w:rsidRPr="00C73480" w:rsidRDefault="00A62170" w:rsidP="00A62170">
            <w:pPr>
              <w:rPr>
                <w:rFonts w:cs="Arial"/>
                <w:color w:val="000000"/>
              </w:rPr>
            </w:pPr>
            <w:r w:rsidRPr="00C73480">
              <w:t>23102310000000</w:t>
            </w:r>
          </w:p>
        </w:tc>
        <w:tc>
          <w:tcPr>
            <w:tcW w:w="4680" w:type="dxa"/>
            <w:noWrap/>
            <w:hideMark/>
          </w:tcPr>
          <w:p w14:paraId="7D5D333D" w14:textId="72A4091B" w:rsidR="00A62170" w:rsidRPr="00C73480" w:rsidRDefault="00A62170" w:rsidP="00A62170">
            <w:pPr>
              <w:rPr>
                <w:rFonts w:cs="Arial"/>
                <w:color w:val="000000"/>
              </w:rPr>
            </w:pPr>
            <w:r w:rsidRPr="00C73480">
              <w:t>Mendocino County Office of Education</w:t>
            </w:r>
          </w:p>
        </w:tc>
        <w:tc>
          <w:tcPr>
            <w:tcW w:w="2280" w:type="dxa"/>
            <w:noWrap/>
            <w:hideMark/>
          </w:tcPr>
          <w:p w14:paraId="7B83AE35" w14:textId="234644A9" w:rsidR="00A62170" w:rsidRPr="00C73480" w:rsidRDefault="00A62170" w:rsidP="00A62170">
            <w:pPr>
              <w:jc w:val="center"/>
              <w:rPr>
                <w:rFonts w:cs="Arial"/>
                <w:color w:val="000000"/>
              </w:rPr>
            </w:pPr>
            <w:r w:rsidRPr="00C73480">
              <w:t>$175,000</w:t>
            </w:r>
            <w:r w:rsidR="000C4F05" w:rsidRPr="00C73480">
              <w:t>*</w:t>
            </w:r>
          </w:p>
        </w:tc>
      </w:tr>
      <w:tr w:rsidR="00A62170" w:rsidRPr="00C73480" w14:paraId="6E56F478" w14:textId="77777777" w:rsidTr="00684222">
        <w:trPr>
          <w:cantSplit/>
          <w:trHeight w:val="310"/>
          <w:tblHeader/>
        </w:trPr>
        <w:tc>
          <w:tcPr>
            <w:tcW w:w="960" w:type="dxa"/>
            <w:noWrap/>
            <w:hideMark/>
          </w:tcPr>
          <w:p w14:paraId="0F9359B0" w14:textId="77103489" w:rsidR="00A62170" w:rsidRPr="00C73480" w:rsidRDefault="00A62170" w:rsidP="00A62170">
            <w:pPr>
              <w:jc w:val="center"/>
              <w:rPr>
                <w:rFonts w:cs="Arial"/>
                <w:color w:val="000000"/>
              </w:rPr>
            </w:pPr>
            <w:r w:rsidRPr="00C73480">
              <w:t>6</w:t>
            </w:r>
          </w:p>
        </w:tc>
        <w:tc>
          <w:tcPr>
            <w:tcW w:w="2160" w:type="dxa"/>
            <w:noWrap/>
            <w:hideMark/>
          </w:tcPr>
          <w:p w14:paraId="22E46DE3" w14:textId="2FD75200" w:rsidR="00A62170" w:rsidRPr="00C73480" w:rsidRDefault="00A62170" w:rsidP="00A62170">
            <w:pPr>
              <w:rPr>
                <w:rFonts w:cs="Arial"/>
                <w:color w:val="000000"/>
              </w:rPr>
            </w:pPr>
            <w:r w:rsidRPr="00C73480">
              <w:t>32103220000000</w:t>
            </w:r>
          </w:p>
        </w:tc>
        <w:tc>
          <w:tcPr>
            <w:tcW w:w="4680" w:type="dxa"/>
            <w:noWrap/>
            <w:hideMark/>
          </w:tcPr>
          <w:p w14:paraId="305852BD" w14:textId="09518731" w:rsidR="00A62170" w:rsidRPr="00C73480" w:rsidRDefault="00A62170" w:rsidP="00A62170">
            <w:pPr>
              <w:rPr>
                <w:rFonts w:cs="Arial"/>
                <w:color w:val="000000"/>
              </w:rPr>
            </w:pPr>
            <w:r w:rsidRPr="00C73480">
              <w:t>Plumas County Office of Education</w:t>
            </w:r>
          </w:p>
        </w:tc>
        <w:tc>
          <w:tcPr>
            <w:tcW w:w="2280" w:type="dxa"/>
            <w:noWrap/>
            <w:hideMark/>
          </w:tcPr>
          <w:p w14:paraId="476AFC1E" w14:textId="59C4C835" w:rsidR="00A62170" w:rsidRPr="00C73480" w:rsidRDefault="00A62170" w:rsidP="00A62170">
            <w:pPr>
              <w:jc w:val="center"/>
              <w:rPr>
                <w:rFonts w:cs="Arial"/>
                <w:color w:val="000000"/>
              </w:rPr>
            </w:pPr>
            <w:r w:rsidRPr="00C73480">
              <w:t>$56,634</w:t>
            </w:r>
            <w:r w:rsidR="000C4F05" w:rsidRPr="00C73480">
              <w:t>*</w:t>
            </w:r>
          </w:p>
        </w:tc>
      </w:tr>
      <w:tr w:rsidR="00A62170" w:rsidRPr="00C73480" w14:paraId="2D272626" w14:textId="77777777" w:rsidTr="00684222">
        <w:trPr>
          <w:cantSplit/>
          <w:trHeight w:val="310"/>
          <w:tblHeader/>
        </w:trPr>
        <w:tc>
          <w:tcPr>
            <w:tcW w:w="960" w:type="dxa"/>
            <w:noWrap/>
            <w:hideMark/>
          </w:tcPr>
          <w:p w14:paraId="18ED9D2D" w14:textId="3CAD380A" w:rsidR="00A62170" w:rsidRPr="00C73480" w:rsidRDefault="00A62170" w:rsidP="00A62170">
            <w:pPr>
              <w:jc w:val="center"/>
              <w:rPr>
                <w:rFonts w:cs="Arial"/>
                <w:color w:val="000000"/>
              </w:rPr>
            </w:pPr>
            <w:r w:rsidRPr="00C73480">
              <w:t>7</w:t>
            </w:r>
          </w:p>
        </w:tc>
        <w:tc>
          <w:tcPr>
            <w:tcW w:w="2160" w:type="dxa"/>
            <w:noWrap/>
            <w:hideMark/>
          </w:tcPr>
          <w:p w14:paraId="6EB38B4E" w14:textId="5C889BC9" w:rsidR="00A62170" w:rsidRPr="00C73480" w:rsidRDefault="00A62170" w:rsidP="00A62170">
            <w:pPr>
              <w:rPr>
                <w:rFonts w:cs="Arial"/>
                <w:color w:val="000000"/>
              </w:rPr>
            </w:pPr>
            <w:r w:rsidRPr="00C73480">
              <w:t>52105206119671</w:t>
            </w:r>
          </w:p>
        </w:tc>
        <w:tc>
          <w:tcPr>
            <w:tcW w:w="4680" w:type="dxa"/>
            <w:noWrap/>
            <w:hideMark/>
          </w:tcPr>
          <w:p w14:paraId="78F425DF" w14:textId="046F7063" w:rsidR="00A62170" w:rsidRPr="00C73480" w:rsidRDefault="00A62170" w:rsidP="00A62170">
            <w:pPr>
              <w:rPr>
                <w:rFonts w:cs="Arial"/>
                <w:color w:val="000000"/>
              </w:rPr>
            </w:pPr>
            <w:r w:rsidRPr="00C73480">
              <w:t>Tehama eLearning Academy</w:t>
            </w:r>
          </w:p>
        </w:tc>
        <w:tc>
          <w:tcPr>
            <w:tcW w:w="2280" w:type="dxa"/>
            <w:noWrap/>
            <w:hideMark/>
          </w:tcPr>
          <w:p w14:paraId="495DC3A3" w14:textId="5B24FB69" w:rsidR="00A62170" w:rsidRPr="00C73480" w:rsidRDefault="00A62170" w:rsidP="00A62170">
            <w:pPr>
              <w:jc w:val="center"/>
              <w:rPr>
                <w:rFonts w:cs="Arial"/>
                <w:color w:val="000000"/>
              </w:rPr>
            </w:pPr>
            <w:r w:rsidRPr="00C73480">
              <w:t>$28,000</w:t>
            </w:r>
          </w:p>
        </w:tc>
      </w:tr>
    </w:tbl>
    <w:p w14:paraId="4318D1CB" w14:textId="0270691F" w:rsidR="00BE0925" w:rsidRPr="00C73480" w:rsidRDefault="004F304D" w:rsidP="00536CBF">
      <w:pPr>
        <w:spacing w:before="240" w:after="240"/>
        <w:jc w:val="right"/>
        <w:rPr>
          <w:rFonts w:cs="Arial"/>
          <w:color w:val="000000"/>
        </w:rPr>
      </w:pPr>
      <w:r w:rsidRPr="00C73480">
        <w:rPr>
          <w:rFonts w:cs="Arial"/>
        </w:rPr>
        <w:t xml:space="preserve">Total Small Category Preliminary </w:t>
      </w:r>
      <w:r w:rsidRPr="00C73480">
        <w:t>Allocation</w:t>
      </w:r>
      <w:r w:rsidR="00BE0925" w:rsidRPr="00C73480">
        <w:t xml:space="preserve"> </w:t>
      </w:r>
      <w:r w:rsidR="00A62170" w:rsidRPr="00C73480">
        <w:t>$631,169</w:t>
      </w:r>
    </w:p>
    <w:p w14:paraId="438CA119" w14:textId="3A9D3E02" w:rsidR="004F304D" w:rsidRPr="00C73480" w:rsidRDefault="004F304D" w:rsidP="00BE0925">
      <w:pPr>
        <w:pStyle w:val="Heading2"/>
        <w:spacing w:before="0"/>
      </w:pPr>
      <w:r w:rsidRPr="00C73480">
        <w:t>Table 2</w:t>
      </w:r>
      <w:r w:rsidR="004547EF" w:rsidRPr="00C73480">
        <w:t>.</w:t>
      </w:r>
      <w:r w:rsidRPr="00C73480">
        <w:t xml:space="preserve"> Medium Category: </w:t>
      </w:r>
      <w:r w:rsidR="004547EF" w:rsidRPr="00C73480">
        <w:t>ADA of 141 to 550</w:t>
      </w:r>
    </w:p>
    <w:tbl>
      <w:tblPr>
        <w:tblStyle w:val="TableGrid"/>
        <w:tblW w:w="10075" w:type="dxa"/>
        <w:tblLook w:val="04A0" w:firstRow="1" w:lastRow="0" w:firstColumn="1" w:lastColumn="0" w:noHBand="0" w:noVBand="1"/>
        <w:tblDescription w:val="Table 2 Medium Category Preliminary Allocation Funding Results."/>
      </w:tblPr>
      <w:tblGrid>
        <w:gridCol w:w="960"/>
        <w:gridCol w:w="2160"/>
        <w:gridCol w:w="4705"/>
        <w:gridCol w:w="2250"/>
      </w:tblGrid>
      <w:tr w:rsidR="008079A2" w:rsidRPr="00C73480" w14:paraId="4DF18EAC" w14:textId="77777777" w:rsidTr="003C58CF">
        <w:trPr>
          <w:cantSplit/>
          <w:trHeight w:val="539"/>
          <w:tblHeader/>
        </w:trPr>
        <w:tc>
          <w:tcPr>
            <w:tcW w:w="960" w:type="dxa"/>
            <w:vAlign w:val="center"/>
            <w:hideMark/>
          </w:tcPr>
          <w:p w14:paraId="62850636" w14:textId="77777777" w:rsidR="008079A2" w:rsidRPr="00C73480" w:rsidRDefault="008079A2" w:rsidP="003C58C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C73480">
              <w:rPr>
                <w:rFonts w:cs="Arial"/>
                <w:b/>
                <w:bCs/>
                <w:color w:val="000000"/>
              </w:rPr>
              <w:t>No.</w:t>
            </w:r>
          </w:p>
        </w:tc>
        <w:tc>
          <w:tcPr>
            <w:tcW w:w="2160" w:type="dxa"/>
            <w:vAlign w:val="center"/>
            <w:hideMark/>
          </w:tcPr>
          <w:p w14:paraId="244C248E" w14:textId="77777777" w:rsidR="008079A2" w:rsidRPr="00C73480" w:rsidRDefault="008079A2" w:rsidP="003C58C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C73480">
              <w:rPr>
                <w:rFonts w:cs="Arial"/>
                <w:b/>
                <w:bCs/>
                <w:color w:val="000000"/>
              </w:rPr>
              <w:t>CDS Code</w:t>
            </w:r>
          </w:p>
        </w:tc>
        <w:tc>
          <w:tcPr>
            <w:tcW w:w="4705" w:type="dxa"/>
            <w:vAlign w:val="center"/>
            <w:hideMark/>
          </w:tcPr>
          <w:p w14:paraId="18231462" w14:textId="51AB3176" w:rsidR="008079A2" w:rsidRPr="00C73480" w:rsidRDefault="008079A2" w:rsidP="003C58C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C73480">
              <w:rPr>
                <w:rFonts w:cs="Arial"/>
                <w:b/>
                <w:bCs/>
                <w:color w:val="000000"/>
              </w:rPr>
              <w:t>Local Educational Agency</w:t>
            </w:r>
          </w:p>
        </w:tc>
        <w:tc>
          <w:tcPr>
            <w:tcW w:w="2250" w:type="dxa"/>
            <w:vAlign w:val="center"/>
            <w:hideMark/>
          </w:tcPr>
          <w:p w14:paraId="14D1C14E" w14:textId="77777777" w:rsidR="008079A2" w:rsidRPr="00C73480" w:rsidRDefault="008079A2" w:rsidP="003C58C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C73480">
              <w:rPr>
                <w:rFonts w:cs="Arial"/>
                <w:b/>
                <w:bCs/>
                <w:color w:val="000000"/>
              </w:rPr>
              <w:t>Preliminary Allocation</w:t>
            </w:r>
          </w:p>
        </w:tc>
      </w:tr>
      <w:tr w:rsidR="00A62170" w:rsidRPr="00C73480" w14:paraId="0FCF4F43" w14:textId="77777777" w:rsidTr="0027365D">
        <w:trPr>
          <w:cantSplit/>
          <w:trHeight w:val="310"/>
          <w:tblHeader/>
        </w:trPr>
        <w:tc>
          <w:tcPr>
            <w:tcW w:w="960" w:type="dxa"/>
            <w:noWrap/>
            <w:hideMark/>
          </w:tcPr>
          <w:p w14:paraId="46FB454F" w14:textId="49D8310C" w:rsidR="00A62170" w:rsidRPr="00C73480" w:rsidRDefault="00A62170" w:rsidP="00A62170">
            <w:pPr>
              <w:jc w:val="center"/>
              <w:rPr>
                <w:rFonts w:cs="Arial"/>
                <w:color w:val="000000"/>
              </w:rPr>
            </w:pPr>
            <w:r w:rsidRPr="00C73480">
              <w:t>1</w:t>
            </w:r>
          </w:p>
        </w:tc>
        <w:tc>
          <w:tcPr>
            <w:tcW w:w="2160" w:type="dxa"/>
            <w:noWrap/>
            <w:hideMark/>
          </w:tcPr>
          <w:p w14:paraId="309EC5F6" w14:textId="40978CFA" w:rsidR="00A62170" w:rsidRPr="00C73480" w:rsidRDefault="00A62170" w:rsidP="00A62170">
            <w:pPr>
              <w:jc w:val="center"/>
              <w:rPr>
                <w:rFonts w:cs="Arial"/>
                <w:color w:val="000000"/>
              </w:rPr>
            </w:pPr>
            <w:r w:rsidRPr="00C73480">
              <w:t>37679830000000</w:t>
            </w:r>
          </w:p>
        </w:tc>
        <w:tc>
          <w:tcPr>
            <w:tcW w:w="4705" w:type="dxa"/>
            <w:noWrap/>
            <w:hideMark/>
          </w:tcPr>
          <w:p w14:paraId="561D352C" w14:textId="02301ADD" w:rsidR="00A62170" w:rsidRPr="00C73480" w:rsidRDefault="00A62170" w:rsidP="00A62170">
            <w:pPr>
              <w:rPr>
                <w:rFonts w:cs="Arial"/>
                <w:color w:val="000000"/>
              </w:rPr>
            </w:pPr>
            <w:r w:rsidRPr="00C73480">
              <w:t>Borrego Springs Unified</w:t>
            </w:r>
          </w:p>
        </w:tc>
        <w:tc>
          <w:tcPr>
            <w:tcW w:w="2250" w:type="dxa"/>
            <w:hideMark/>
          </w:tcPr>
          <w:p w14:paraId="398DCBC6" w14:textId="67D42CA2" w:rsidR="00A62170" w:rsidRPr="00C73480" w:rsidRDefault="00A62170" w:rsidP="00A62170">
            <w:pPr>
              <w:jc w:val="center"/>
              <w:rPr>
                <w:rFonts w:cs="Arial"/>
                <w:color w:val="000000"/>
              </w:rPr>
            </w:pPr>
            <w:r w:rsidRPr="00C73480">
              <w:t>$10,000</w:t>
            </w:r>
          </w:p>
        </w:tc>
      </w:tr>
      <w:tr w:rsidR="00A62170" w:rsidRPr="00C73480" w14:paraId="1191E24A" w14:textId="77777777" w:rsidTr="0027365D">
        <w:trPr>
          <w:cantSplit/>
          <w:trHeight w:val="310"/>
          <w:tblHeader/>
        </w:trPr>
        <w:tc>
          <w:tcPr>
            <w:tcW w:w="960" w:type="dxa"/>
            <w:noWrap/>
            <w:hideMark/>
          </w:tcPr>
          <w:p w14:paraId="1F207923" w14:textId="7D361141" w:rsidR="00A62170" w:rsidRPr="00C73480" w:rsidRDefault="00A62170" w:rsidP="00A62170">
            <w:pPr>
              <w:jc w:val="center"/>
              <w:rPr>
                <w:rFonts w:cs="Arial"/>
                <w:color w:val="000000"/>
              </w:rPr>
            </w:pPr>
            <w:r w:rsidRPr="00C73480">
              <w:t>2</w:t>
            </w:r>
          </w:p>
        </w:tc>
        <w:tc>
          <w:tcPr>
            <w:tcW w:w="2160" w:type="dxa"/>
            <w:noWrap/>
            <w:hideMark/>
          </w:tcPr>
          <w:p w14:paraId="3BD3E53E" w14:textId="3894A718" w:rsidR="00A62170" w:rsidRPr="00C73480" w:rsidRDefault="00A62170" w:rsidP="00A62170">
            <w:pPr>
              <w:jc w:val="center"/>
              <w:rPr>
                <w:rFonts w:cs="Arial"/>
                <w:color w:val="000000"/>
              </w:rPr>
            </w:pPr>
            <w:r w:rsidRPr="00C73480">
              <w:t>37754160132472</w:t>
            </w:r>
          </w:p>
        </w:tc>
        <w:tc>
          <w:tcPr>
            <w:tcW w:w="4705" w:type="dxa"/>
            <w:noWrap/>
            <w:hideMark/>
          </w:tcPr>
          <w:p w14:paraId="4B0E57D6" w14:textId="24F2F52B" w:rsidR="00A62170" w:rsidRPr="00C73480" w:rsidRDefault="00A62170" w:rsidP="00A62170">
            <w:pPr>
              <w:rPr>
                <w:rFonts w:cs="Arial"/>
                <w:color w:val="000000"/>
              </w:rPr>
            </w:pPr>
            <w:r w:rsidRPr="00C73480">
              <w:t>California Pacific Charter - San Diego</w:t>
            </w:r>
          </w:p>
        </w:tc>
        <w:tc>
          <w:tcPr>
            <w:tcW w:w="2250" w:type="dxa"/>
            <w:noWrap/>
            <w:hideMark/>
          </w:tcPr>
          <w:p w14:paraId="004C7E32" w14:textId="777F23B9" w:rsidR="00A62170" w:rsidRPr="00C73480" w:rsidRDefault="00A62170" w:rsidP="00A62170">
            <w:pPr>
              <w:jc w:val="center"/>
              <w:rPr>
                <w:rFonts w:cs="Arial"/>
                <w:color w:val="000000"/>
              </w:rPr>
            </w:pPr>
            <w:r w:rsidRPr="00C73480">
              <w:t>$36,590</w:t>
            </w:r>
          </w:p>
        </w:tc>
      </w:tr>
      <w:tr w:rsidR="00A62170" w:rsidRPr="00C73480" w14:paraId="22F4D8DA" w14:textId="77777777" w:rsidTr="0027365D">
        <w:trPr>
          <w:cantSplit/>
          <w:trHeight w:val="310"/>
          <w:tblHeader/>
        </w:trPr>
        <w:tc>
          <w:tcPr>
            <w:tcW w:w="960" w:type="dxa"/>
            <w:noWrap/>
            <w:hideMark/>
          </w:tcPr>
          <w:p w14:paraId="24A2E51C" w14:textId="4E5DFC9E" w:rsidR="00A62170" w:rsidRPr="00C73480" w:rsidRDefault="00A62170" w:rsidP="00A62170">
            <w:pPr>
              <w:jc w:val="center"/>
              <w:rPr>
                <w:rFonts w:cs="Arial"/>
                <w:color w:val="000000"/>
              </w:rPr>
            </w:pPr>
            <w:r w:rsidRPr="00C73480">
              <w:t>3</w:t>
            </w:r>
          </w:p>
        </w:tc>
        <w:tc>
          <w:tcPr>
            <w:tcW w:w="2160" w:type="dxa"/>
            <w:noWrap/>
            <w:hideMark/>
          </w:tcPr>
          <w:p w14:paraId="183C3C2C" w14:textId="51250960" w:rsidR="00A62170" w:rsidRPr="00C73480" w:rsidRDefault="00A62170" w:rsidP="00A62170">
            <w:pPr>
              <w:jc w:val="center"/>
              <w:rPr>
                <w:rFonts w:cs="Arial"/>
                <w:color w:val="000000"/>
              </w:rPr>
            </w:pPr>
            <w:r w:rsidRPr="00C73480">
              <w:t>19753090132654</w:t>
            </w:r>
          </w:p>
        </w:tc>
        <w:tc>
          <w:tcPr>
            <w:tcW w:w="4705" w:type="dxa"/>
            <w:noWrap/>
            <w:hideMark/>
          </w:tcPr>
          <w:p w14:paraId="59DD173C" w14:textId="4606E020" w:rsidR="00A62170" w:rsidRPr="00C73480" w:rsidRDefault="00A62170" w:rsidP="00A62170">
            <w:pPr>
              <w:rPr>
                <w:rFonts w:cs="Arial"/>
                <w:color w:val="000000"/>
              </w:rPr>
            </w:pPr>
            <w:r w:rsidRPr="00C73480">
              <w:t>California Pacific Charter- Los Angeles</w:t>
            </w:r>
          </w:p>
        </w:tc>
        <w:tc>
          <w:tcPr>
            <w:tcW w:w="2250" w:type="dxa"/>
            <w:noWrap/>
            <w:hideMark/>
          </w:tcPr>
          <w:p w14:paraId="11D13BEE" w14:textId="3B22368E" w:rsidR="00A62170" w:rsidRPr="00C73480" w:rsidRDefault="00A62170" w:rsidP="00A62170">
            <w:pPr>
              <w:jc w:val="center"/>
              <w:rPr>
                <w:rFonts w:cs="Arial"/>
                <w:color w:val="000000"/>
              </w:rPr>
            </w:pPr>
            <w:r w:rsidRPr="00C73480">
              <w:t>$52,283</w:t>
            </w:r>
          </w:p>
        </w:tc>
      </w:tr>
      <w:tr w:rsidR="00A62170" w:rsidRPr="00C73480" w14:paraId="33217D78" w14:textId="77777777" w:rsidTr="0027365D">
        <w:trPr>
          <w:cantSplit/>
          <w:trHeight w:val="310"/>
          <w:tblHeader/>
        </w:trPr>
        <w:tc>
          <w:tcPr>
            <w:tcW w:w="960" w:type="dxa"/>
            <w:noWrap/>
            <w:hideMark/>
          </w:tcPr>
          <w:p w14:paraId="262FF04C" w14:textId="7DF60EDE" w:rsidR="00A62170" w:rsidRPr="00C73480" w:rsidRDefault="00A62170" w:rsidP="00A62170">
            <w:pPr>
              <w:jc w:val="center"/>
              <w:rPr>
                <w:rFonts w:cs="Arial"/>
                <w:color w:val="000000"/>
              </w:rPr>
            </w:pPr>
            <w:r w:rsidRPr="00C73480">
              <w:t>4</w:t>
            </w:r>
          </w:p>
        </w:tc>
        <w:tc>
          <w:tcPr>
            <w:tcW w:w="2160" w:type="dxa"/>
            <w:noWrap/>
            <w:hideMark/>
          </w:tcPr>
          <w:p w14:paraId="182269EE" w14:textId="5617777F" w:rsidR="00A62170" w:rsidRPr="00C73480" w:rsidRDefault="00A62170" w:rsidP="00A62170">
            <w:pPr>
              <w:jc w:val="center"/>
              <w:rPr>
                <w:rFonts w:cs="Arial"/>
                <w:color w:val="000000"/>
              </w:rPr>
            </w:pPr>
            <w:r w:rsidRPr="00C73480">
              <w:t>15751680000000</w:t>
            </w:r>
          </w:p>
        </w:tc>
        <w:tc>
          <w:tcPr>
            <w:tcW w:w="4705" w:type="dxa"/>
            <w:noWrap/>
            <w:hideMark/>
          </w:tcPr>
          <w:p w14:paraId="7B468C86" w14:textId="654F162C" w:rsidR="00A62170" w:rsidRPr="00C73480" w:rsidRDefault="00A62170" w:rsidP="00A62170">
            <w:pPr>
              <w:rPr>
                <w:rFonts w:cs="Arial"/>
                <w:color w:val="000000"/>
              </w:rPr>
            </w:pPr>
            <w:r w:rsidRPr="00C73480">
              <w:t>El Tejon Unified</w:t>
            </w:r>
          </w:p>
        </w:tc>
        <w:tc>
          <w:tcPr>
            <w:tcW w:w="2250" w:type="dxa"/>
            <w:noWrap/>
            <w:hideMark/>
          </w:tcPr>
          <w:p w14:paraId="5C89F24E" w14:textId="2E8F09D9" w:rsidR="00A62170" w:rsidRPr="00C73480" w:rsidRDefault="00A62170" w:rsidP="00A62170">
            <w:pPr>
              <w:jc w:val="center"/>
              <w:rPr>
                <w:rFonts w:cs="Arial"/>
                <w:color w:val="000000"/>
              </w:rPr>
            </w:pPr>
            <w:r w:rsidRPr="00C73480">
              <w:t>$255,720</w:t>
            </w:r>
          </w:p>
        </w:tc>
      </w:tr>
      <w:tr w:rsidR="00A62170" w:rsidRPr="00C73480" w14:paraId="39C3F724" w14:textId="77777777" w:rsidTr="0027365D">
        <w:trPr>
          <w:cantSplit/>
          <w:trHeight w:val="310"/>
          <w:tblHeader/>
        </w:trPr>
        <w:tc>
          <w:tcPr>
            <w:tcW w:w="960" w:type="dxa"/>
            <w:noWrap/>
            <w:hideMark/>
          </w:tcPr>
          <w:p w14:paraId="26D723FC" w14:textId="1488FAAB" w:rsidR="00A62170" w:rsidRPr="00C73480" w:rsidRDefault="00A62170" w:rsidP="00A62170">
            <w:pPr>
              <w:jc w:val="center"/>
              <w:rPr>
                <w:rFonts w:cs="Arial"/>
                <w:color w:val="000000"/>
              </w:rPr>
            </w:pPr>
            <w:r w:rsidRPr="00C73480">
              <w:t>5</w:t>
            </w:r>
          </w:p>
        </w:tc>
        <w:tc>
          <w:tcPr>
            <w:tcW w:w="2160" w:type="dxa"/>
            <w:noWrap/>
            <w:hideMark/>
          </w:tcPr>
          <w:p w14:paraId="268C47A6" w14:textId="71A7EBE9" w:rsidR="00A62170" w:rsidRPr="00C73480" w:rsidRDefault="00A62170" w:rsidP="00A62170">
            <w:pPr>
              <w:jc w:val="center"/>
              <w:rPr>
                <w:rFonts w:cs="Arial"/>
                <w:color w:val="000000"/>
              </w:rPr>
            </w:pPr>
            <w:r w:rsidRPr="00C73480">
              <w:t>36678760136952</w:t>
            </w:r>
          </w:p>
        </w:tc>
        <w:tc>
          <w:tcPr>
            <w:tcW w:w="4705" w:type="dxa"/>
            <w:noWrap/>
            <w:hideMark/>
          </w:tcPr>
          <w:p w14:paraId="6EA5819F" w14:textId="218588B8" w:rsidR="00A62170" w:rsidRPr="00C73480" w:rsidRDefault="00A62170" w:rsidP="00A62170">
            <w:pPr>
              <w:rPr>
                <w:rFonts w:cs="Arial"/>
                <w:color w:val="000000"/>
              </w:rPr>
            </w:pPr>
            <w:r w:rsidRPr="00C73480">
              <w:t>Entrepreneur High</w:t>
            </w:r>
          </w:p>
        </w:tc>
        <w:tc>
          <w:tcPr>
            <w:tcW w:w="2250" w:type="dxa"/>
            <w:noWrap/>
            <w:hideMark/>
          </w:tcPr>
          <w:p w14:paraId="5E6A9431" w14:textId="53866424" w:rsidR="00A62170" w:rsidRPr="00C73480" w:rsidRDefault="00A62170" w:rsidP="00A62170">
            <w:pPr>
              <w:jc w:val="center"/>
              <w:rPr>
                <w:rFonts w:cs="Arial"/>
                <w:color w:val="000000"/>
              </w:rPr>
            </w:pPr>
            <w:r w:rsidRPr="00C73480">
              <w:t>$385,463</w:t>
            </w:r>
          </w:p>
        </w:tc>
      </w:tr>
      <w:tr w:rsidR="00A62170" w:rsidRPr="00C73480" w14:paraId="01A0080A" w14:textId="77777777" w:rsidTr="0027365D">
        <w:trPr>
          <w:cantSplit/>
          <w:trHeight w:val="310"/>
          <w:tblHeader/>
        </w:trPr>
        <w:tc>
          <w:tcPr>
            <w:tcW w:w="960" w:type="dxa"/>
            <w:noWrap/>
            <w:hideMark/>
          </w:tcPr>
          <w:p w14:paraId="2DECE3AA" w14:textId="0DECF817" w:rsidR="00A62170" w:rsidRPr="00C73480" w:rsidRDefault="00A62170" w:rsidP="00A62170">
            <w:pPr>
              <w:jc w:val="center"/>
              <w:rPr>
                <w:rFonts w:cs="Arial"/>
                <w:color w:val="000000"/>
              </w:rPr>
            </w:pPr>
            <w:r w:rsidRPr="00C73480">
              <w:t>6</w:t>
            </w:r>
          </w:p>
        </w:tc>
        <w:tc>
          <w:tcPr>
            <w:tcW w:w="2160" w:type="dxa"/>
            <w:noWrap/>
            <w:hideMark/>
          </w:tcPr>
          <w:p w14:paraId="73E6C473" w14:textId="40B47A48" w:rsidR="00A62170" w:rsidRPr="00C73480" w:rsidRDefault="00A62170" w:rsidP="00A62170">
            <w:pPr>
              <w:jc w:val="center"/>
              <w:rPr>
                <w:rFonts w:cs="Arial"/>
                <w:color w:val="000000"/>
              </w:rPr>
            </w:pPr>
            <w:r w:rsidRPr="00C73480">
              <w:t>16747080000000</w:t>
            </w:r>
          </w:p>
        </w:tc>
        <w:tc>
          <w:tcPr>
            <w:tcW w:w="4705" w:type="dxa"/>
            <w:noWrap/>
            <w:hideMark/>
          </w:tcPr>
          <w:p w14:paraId="770B6BDB" w14:textId="07FA5B37" w:rsidR="00A62170" w:rsidRPr="00C73480" w:rsidRDefault="00A62170" w:rsidP="00A62170">
            <w:pPr>
              <w:rPr>
                <w:rFonts w:cs="Arial"/>
                <w:color w:val="000000"/>
              </w:rPr>
            </w:pPr>
            <w:r w:rsidRPr="00C73480">
              <w:t>Kings County ROP</w:t>
            </w:r>
          </w:p>
        </w:tc>
        <w:tc>
          <w:tcPr>
            <w:tcW w:w="2250" w:type="dxa"/>
            <w:noWrap/>
            <w:hideMark/>
          </w:tcPr>
          <w:p w14:paraId="0C35A8F9" w14:textId="0CDB67B0" w:rsidR="00A62170" w:rsidRPr="00C73480" w:rsidRDefault="00A62170" w:rsidP="00A62170">
            <w:pPr>
              <w:jc w:val="center"/>
              <w:rPr>
                <w:rFonts w:cs="Arial"/>
                <w:color w:val="000000"/>
              </w:rPr>
            </w:pPr>
            <w:r w:rsidRPr="00C73480">
              <w:t>$64,500</w:t>
            </w:r>
          </w:p>
        </w:tc>
      </w:tr>
      <w:tr w:rsidR="00A62170" w:rsidRPr="00C73480" w14:paraId="429BEB0E" w14:textId="77777777" w:rsidTr="0027365D">
        <w:trPr>
          <w:cantSplit/>
          <w:trHeight w:val="310"/>
          <w:tblHeader/>
        </w:trPr>
        <w:tc>
          <w:tcPr>
            <w:tcW w:w="960" w:type="dxa"/>
            <w:noWrap/>
            <w:hideMark/>
          </w:tcPr>
          <w:p w14:paraId="73612838" w14:textId="2F4A72E2" w:rsidR="00A62170" w:rsidRPr="00C73480" w:rsidRDefault="00A62170" w:rsidP="00A62170">
            <w:pPr>
              <w:jc w:val="center"/>
              <w:rPr>
                <w:rFonts w:cs="Arial"/>
                <w:color w:val="000000"/>
              </w:rPr>
            </w:pPr>
            <w:r w:rsidRPr="00C73480">
              <w:t>7</w:t>
            </w:r>
          </w:p>
        </w:tc>
        <w:tc>
          <w:tcPr>
            <w:tcW w:w="2160" w:type="dxa"/>
            <w:noWrap/>
            <w:hideMark/>
          </w:tcPr>
          <w:p w14:paraId="7150DC36" w14:textId="0D19ACF2" w:rsidR="00A62170" w:rsidRPr="00C73480" w:rsidRDefault="00A62170" w:rsidP="00A62170">
            <w:pPr>
              <w:jc w:val="center"/>
              <w:rPr>
                <w:rFonts w:cs="Arial"/>
                <w:color w:val="000000"/>
              </w:rPr>
            </w:pPr>
            <w:r w:rsidRPr="00C73480">
              <w:t>01612590108944</w:t>
            </w:r>
          </w:p>
        </w:tc>
        <w:tc>
          <w:tcPr>
            <w:tcW w:w="4705" w:type="dxa"/>
            <w:noWrap/>
            <w:hideMark/>
          </w:tcPr>
          <w:p w14:paraId="461CF057" w14:textId="52A7EA02" w:rsidR="00A62170" w:rsidRPr="00C73480" w:rsidRDefault="00A62170" w:rsidP="00A62170">
            <w:pPr>
              <w:rPr>
                <w:rFonts w:cs="Arial"/>
                <w:color w:val="000000"/>
              </w:rPr>
            </w:pPr>
            <w:r w:rsidRPr="00C73480">
              <w:t>Lighthouse Community Charter High</w:t>
            </w:r>
          </w:p>
        </w:tc>
        <w:tc>
          <w:tcPr>
            <w:tcW w:w="2250" w:type="dxa"/>
            <w:noWrap/>
            <w:hideMark/>
          </w:tcPr>
          <w:p w14:paraId="5F3D02A9" w14:textId="55543DCA" w:rsidR="00A62170" w:rsidRPr="00C73480" w:rsidRDefault="00A62170" w:rsidP="00A62170">
            <w:pPr>
              <w:jc w:val="center"/>
              <w:rPr>
                <w:rFonts w:cs="Arial"/>
                <w:color w:val="000000"/>
              </w:rPr>
            </w:pPr>
            <w:r w:rsidRPr="00C73480">
              <w:t>$280,809</w:t>
            </w:r>
          </w:p>
        </w:tc>
      </w:tr>
      <w:tr w:rsidR="00A62170" w:rsidRPr="00C73480" w14:paraId="58A86BEE" w14:textId="77777777" w:rsidTr="0027365D">
        <w:trPr>
          <w:cantSplit/>
          <w:trHeight w:val="310"/>
          <w:tblHeader/>
        </w:trPr>
        <w:tc>
          <w:tcPr>
            <w:tcW w:w="960" w:type="dxa"/>
            <w:noWrap/>
            <w:hideMark/>
          </w:tcPr>
          <w:p w14:paraId="729553DF" w14:textId="128C6FA2" w:rsidR="00A62170" w:rsidRPr="00C73480" w:rsidRDefault="00A62170" w:rsidP="00A62170">
            <w:pPr>
              <w:jc w:val="center"/>
              <w:rPr>
                <w:rFonts w:cs="Arial"/>
                <w:color w:val="000000"/>
              </w:rPr>
            </w:pPr>
            <w:r w:rsidRPr="00C73480">
              <w:t>8</w:t>
            </w:r>
          </w:p>
        </w:tc>
        <w:tc>
          <w:tcPr>
            <w:tcW w:w="2160" w:type="dxa"/>
            <w:noWrap/>
            <w:hideMark/>
          </w:tcPr>
          <w:p w14:paraId="65BF7F68" w14:textId="05C5EB14" w:rsidR="00A62170" w:rsidRPr="00C73480" w:rsidRDefault="00A62170" w:rsidP="00A62170">
            <w:pPr>
              <w:jc w:val="center"/>
              <w:rPr>
                <w:rFonts w:cs="Arial"/>
                <w:color w:val="000000"/>
              </w:rPr>
            </w:pPr>
            <w:r w:rsidRPr="00C73480">
              <w:t>30103060132613</w:t>
            </w:r>
          </w:p>
        </w:tc>
        <w:tc>
          <w:tcPr>
            <w:tcW w:w="4705" w:type="dxa"/>
            <w:noWrap/>
            <w:hideMark/>
          </w:tcPr>
          <w:p w14:paraId="7E879A1C" w14:textId="3DFCF0EA" w:rsidR="00A62170" w:rsidRPr="00C73480" w:rsidRDefault="00A62170" w:rsidP="00A62170">
            <w:pPr>
              <w:rPr>
                <w:rFonts w:cs="Arial"/>
                <w:color w:val="000000"/>
              </w:rPr>
            </w:pPr>
            <w:r w:rsidRPr="00C73480">
              <w:t>Vista Heritage Global Academy</w:t>
            </w:r>
          </w:p>
        </w:tc>
        <w:tc>
          <w:tcPr>
            <w:tcW w:w="2250" w:type="dxa"/>
            <w:noWrap/>
            <w:hideMark/>
          </w:tcPr>
          <w:p w14:paraId="33302281" w14:textId="6D41832A" w:rsidR="00A62170" w:rsidRPr="00C73480" w:rsidRDefault="00A62170" w:rsidP="00A62170">
            <w:pPr>
              <w:jc w:val="center"/>
              <w:rPr>
                <w:rFonts w:cs="Arial"/>
                <w:color w:val="000000"/>
              </w:rPr>
            </w:pPr>
            <w:r w:rsidRPr="00C73480">
              <w:t>$251,382</w:t>
            </w:r>
            <w:r w:rsidR="000C4F05" w:rsidRPr="00C73480">
              <w:t>*</w:t>
            </w:r>
          </w:p>
        </w:tc>
      </w:tr>
    </w:tbl>
    <w:p w14:paraId="166CF683" w14:textId="307D4755" w:rsidR="00B81142" w:rsidRPr="00C73480" w:rsidRDefault="004F304D" w:rsidP="004811D0">
      <w:pPr>
        <w:spacing w:before="240" w:after="240"/>
        <w:jc w:val="right"/>
        <w:rPr>
          <w:rFonts w:cs="Arial"/>
          <w:color w:val="000000"/>
        </w:rPr>
      </w:pPr>
      <w:r w:rsidRPr="00C73480">
        <w:rPr>
          <w:rFonts w:cs="Arial"/>
        </w:rPr>
        <w:t>Total Medium C</w:t>
      </w:r>
      <w:r w:rsidR="00CC00B0" w:rsidRPr="00C73480">
        <w:rPr>
          <w:rFonts w:cs="Arial"/>
        </w:rPr>
        <w:t>ategory Preliminary Allocation</w:t>
      </w:r>
      <w:r w:rsidR="00BE0925" w:rsidRPr="00C73480">
        <w:rPr>
          <w:rFonts w:cs="Arial"/>
        </w:rPr>
        <w:t xml:space="preserve"> </w:t>
      </w:r>
      <w:r w:rsidR="00A62170" w:rsidRPr="00C73480">
        <w:rPr>
          <w:rFonts w:cs="Arial"/>
        </w:rPr>
        <w:t>$1,336,747</w:t>
      </w:r>
    </w:p>
    <w:p w14:paraId="5C7FE35A" w14:textId="37E7B665" w:rsidR="004F304D" w:rsidRPr="00C73480" w:rsidRDefault="004F304D" w:rsidP="004811D0">
      <w:pPr>
        <w:pStyle w:val="Heading2"/>
      </w:pPr>
      <w:r w:rsidRPr="00C73480">
        <w:lastRenderedPageBreak/>
        <w:t>Table 3</w:t>
      </w:r>
      <w:r w:rsidR="000F32C8" w:rsidRPr="00C73480">
        <w:t>.</w:t>
      </w:r>
      <w:r w:rsidRPr="00C73480">
        <w:t xml:space="preserve"> Large Category: ADA</w:t>
      </w:r>
      <w:r w:rsidR="000F32C8" w:rsidRPr="00C73480">
        <w:t xml:space="preserve"> of more than 550</w:t>
      </w:r>
    </w:p>
    <w:tbl>
      <w:tblPr>
        <w:tblStyle w:val="TableGrid"/>
        <w:tblW w:w="9640" w:type="dxa"/>
        <w:tblLook w:val="04A0" w:firstRow="1" w:lastRow="0" w:firstColumn="1" w:lastColumn="0" w:noHBand="0" w:noVBand="1"/>
        <w:tblDescription w:val="Table 3 Large Category Preliminary Allocation Funding Results."/>
      </w:tblPr>
      <w:tblGrid>
        <w:gridCol w:w="960"/>
        <w:gridCol w:w="2160"/>
        <w:gridCol w:w="4345"/>
        <w:gridCol w:w="2175"/>
      </w:tblGrid>
      <w:tr w:rsidR="008079A2" w:rsidRPr="00C73480" w14:paraId="1921D919" w14:textId="77777777" w:rsidTr="006E64D2">
        <w:trPr>
          <w:cantSplit/>
          <w:trHeight w:val="1020"/>
          <w:tblHeader/>
        </w:trPr>
        <w:tc>
          <w:tcPr>
            <w:tcW w:w="960" w:type="dxa"/>
            <w:hideMark/>
          </w:tcPr>
          <w:p w14:paraId="351B09C3" w14:textId="77777777" w:rsidR="008079A2" w:rsidRPr="00C73480" w:rsidRDefault="008079A2" w:rsidP="008079A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C73480">
              <w:rPr>
                <w:rFonts w:cs="Arial"/>
                <w:b/>
                <w:bCs/>
                <w:color w:val="000000"/>
              </w:rPr>
              <w:t>No.</w:t>
            </w:r>
          </w:p>
        </w:tc>
        <w:tc>
          <w:tcPr>
            <w:tcW w:w="2160" w:type="dxa"/>
            <w:hideMark/>
          </w:tcPr>
          <w:p w14:paraId="69525A4D" w14:textId="77777777" w:rsidR="008079A2" w:rsidRPr="00C73480" w:rsidRDefault="008079A2" w:rsidP="008079A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C73480">
              <w:rPr>
                <w:rFonts w:cs="Arial"/>
                <w:b/>
                <w:bCs/>
                <w:color w:val="000000"/>
              </w:rPr>
              <w:t>CDS Code</w:t>
            </w:r>
          </w:p>
        </w:tc>
        <w:tc>
          <w:tcPr>
            <w:tcW w:w="4345" w:type="dxa"/>
            <w:hideMark/>
          </w:tcPr>
          <w:p w14:paraId="175F1B5C" w14:textId="77777777" w:rsidR="008079A2" w:rsidRPr="00C73480" w:rsidRDefault="008079A2" w:rsidP="008079A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C73480">
              <w:rPr>
                <w:rFonts w:cs="Arial"/>
                <w:b/>
                <w:bCs/>
                <w:color w:val="000000"/>
              </w:rPr>
              <w:t>Local Educational Agency</w:t>
            </w:r>
          </w:p>
        </w:tc>
        <w:tc>
          <w:tcPr>
            <w:tcW w:w="2175" w:type="dxa"/>
            <w:hideMark/>
          </w:tcPr>
          <w:p w14:paraId="36A954AA" w14:textId="77777777" w:rsidR="008079A2" w:rsidRPr="00C73480" w:rsidRDefault="008079A2" w:rsidP="008079A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C73480">
              <w:rPr>
                <w:rFonts w:cs="Arial"/>
                <w:b/>
                <w:bCs/>
                <w:color w:val="000000"/>
              </w:rPr>
              <w:t>Preliminary Allocation</w:t>
            </w:r>
          </w:p>
        </w:tc>
      </w:tr>
      <w:tr w:rsidR="00A62170" w:rsidRPr="00C73480" w14:paraId="07003AC9" w14:textId="77777777" w:rsidTr="006E64D2">
        <w:trPr>
          <w:cantSplit/>
          <w:trHeight w:val="310"/>
          <w:tblHeader/>
        </w:trPr>
        <w:tc>
          <w:tcPr>
            <w:tcW w:w="960" w:type="dxa"/>
            <w:noWrap/>
            <w:hideMark/>
          </w:tcPr>
          <w:p w14:paraId="429257AB" w14:textId="7F0DFD58" w:rsidR="00A62170" w:rsidRPr="00C73480" w:rsidRDefault="00A62170" w:rsidP="00A62170">
            <w:pPr>
              <w:jc w:val="center"/>
              <w:rPr>
                <w:rFonts w:cs="Arial"/>
                <w:color w:val="000000"/>
              </w:rPr>
            </w:pPr>
            <w:r w:rsidRPr="00C73480">
              <w:t>1</w:t>
            </w:r>
          </w:p>
        </w:tc>
        <w:tc>
          <w:tcPr>
            <w:tcW w:w="2160" w:type="dxa"/>
            <w:noWrap/>
            <w:hideMark/>
          </w:tcPr>
          <w:p w14:paraId="033A0ED2" w14:textId="2F72DF0C" w:rsidR="00A62170" w:rsidRPr="00C73480" w:rsidRDefault="00A62170" w:rsidP="00A62170">
            <w:pPr>
              <w:rPr>
                <w:rFonts w:cs="Arial"/>
                <w:color w:val="000000"/>
              </w:rPr>
            </w:pPr>
            <w:r w:rsidRPr="00C73480">
              <w:t>40687000000000</w:t>
            </w:r>
          </w:p>
        </w:tc>
        <w:tc>
          <w:tcPr>
            <w:tcW w:w="4345" w:type="dxa"/>
            <w:noWrap/>
            <w:hideMark/>
          </w:tcPr>
          <w:p w14:paraId="65573DA4" w14:textId="08E828DB" w:rsidR="00A62170" w:rsidRPr="00C73480" w:rsidRDefault="00A62170" w:rsidP="00A62170">
            <w:pPr>
              <w:rPr>
                <w:rFonts w:cs="Arial"/>
                <w:color w:val="000000"/>
              </w:rPr>
            </w:pPr>
            <w:r w:rsidRPr="00C73480">
              <w:t>Atascadero Unified</w:t>
            </w:r>
          </w:p>
        </w:tc>
        <w:tc>
          <w:tcPr>
            <w:tcW w:w="2175" w:type="dxa"/>
            <w:noWrap/>
            <w:hideMark/>
          </w:tcPr>
          <w:p w14:paraId="5EE4B4FD" w14:textId="0551C59E" w:rsidR="00A62170" w:rsidRPr="00C73480" w:rsidRDefault="00A62170" w:rsidP="00A62170">
            <w:pPr>
              <w:jc w:val="center"/>
              <w:rPr>
                <w:rFonts w:cs="Arial"/>
                <w:color w:val="000000"/>
              </w:rPr>
            </w:pPr>
            <w:r w:rsidRPr="00C73480">
              <w:t>$359,581</w:t>
            </w:r>
            <w:r w:rsidR="000C4F05" w:rsidRPr="00C73480">
              <w:t>*</w:t>
            </w:r>
          </w:p>
        </w:tc>
      </w:tr>
      <w:tr w:rsidR="00A62170" w:rsidRPr="00C73480" w14:paraId="0FA823FE" w14:textId="77777777" w:rsidTr="006E64D2">
        <w:trPr>
          <w:cantSplit/>
          <w:trHeight w:val="310"/>
          <w:tblHeader/>
        </w:trPr>
        <w:tc>
          <w:tcPr>
            <w:tcW w:w="960" w:type="dxa"/>
            <w:noWrap/>
            <w:hideMark/>
          </w:tcPr>
          <w:p w14:paraId="2EDBE193" w14:textId="1308CB66" w:rsidR="00A62170" w:rsidRPr="00C73480" w:rsidRDefault="00A62170" w:rsidP="00A62170">
            <w:pPr>
              <w:jc w:val="center"/>
              <w:rPr>
                <w:rFonts w:cs="Arial"/>
                <w:color w:val="000000"/>
              </w:rPr>
            </w:pPr>
            <w:r w:rsidRPr="00C73480">
              <w:t>2</w:t>
            </w:r>
          </w:p>
        </w:tc>
        <w:tc>
          <w:tcPr>
            <w:tcW w:w="2160" w:type="dxa"/>
            <w:noWrap/>
            <w:hideMark/>
          </w:tcPr>
          <w:p w14:paraId="446992DA" w14:textId="02460D64" w:rsidR="00A62170" w:rsidRPr="00C73480" w:rsidRDefault="00A62170" w:rsidP="00A62170">
            <w:pPr>
              <w:rPr>
                <w:rFonts w:cs="Arial"/>
                <w:color w:val="000000"/>
              </w:rPr>
            </w:pPr>
            <w:r w:rsidRPr="00C73480">
              <w:t>19642950000000</w:t>
            </w:r>
          </w:p>
        </w:tc>
        <w:tc>
          <w:tcPr>
            <w:tcW w:w="4345" w:type="dxa"/>
            <w:noWrap/>
            <w:hideMark/>
          </w:tcPr>
          <w:p w14:paraId="213395DB" w14:textId="42A845B4" w:rsidR="00A62170" w:rsidRPr="00C73480" w:rsidRDefault="00A62170" w:rsidP="00A62170">
            <w:pPr>
              <w:rPr>
                <w:rFonts w:cs="Arial"/>
                <w:color w:val="000000"/>
              </w:rPr>
            </w:pPr>
            <w:r w:rsidRPr="00C73480">
              <w:t>Bassett Unified</w:t>
            </w:r>
          </w:p>
        </w:tc>
        <w:tc>
          <w:tcPr>
            <w:tcW w:w="2175" w:type="dxa"/>
            <w:noWrap/>
            <w:hideMark/>
          </w:tcPr>
          <w:p w14:paraId="5308B22C" w14:textId="6B50BB3C" w:rsidR="00A62170" w:rsidRPr="00C73480" w:rsidRDefault="00A62170" w:rsidP="00A62170">
            <w:pPr>
              <w:jc w:val="center"/>
              <w:rPr>
                <w:rFonts w:cs="Arial"/>
                <w:color w:val="000000"/>
              </w:rPr>
            </w:pPr>
            <w:r w:rsidRPr="00C73480">
              <w:t>$182,794</w:t>
            </w:r>
          </w:p>
        </w:tc>
      </w:tr>
      <w:tr w:rsidR="00A62170" w:rsidRPr="00C73480" w14:paraId="20612826" w14:textId="77777777" w:rsidTr="006E64D2">
        <w:trPr>
          <w:cantSplit/>
          <w:trHeight w:val="310"/>
          <w:tblHeader/>
        </w:trPr>
        <w:tc>
          <w:tcPr>
            <w:tcW w:w="960" w:type="dxa"/>
            <w:noWrap/>
            <w:hideMark/>
          </w:tcPr>
          <w:p w14:paraId="4079913A" w14:textId="1749C983" w:rsidR="00A62170" w:rsidRPr="00C73480" w:rsidRDefault="00A62170" w:rsidP="00A62170">
            <w:pPr>
              <w:jc w:val="center"/>
              <w:rPr>
                <w:rFonts w:cs="Arial"/>
                <w:color w:val="000000"/>
              </w:rPr>
            </w:pPr>
            <w:r w:rsidRPr="00C73480">
              <w:t>3</w:t>
            </w:r>
          </w:p>
        </w:tc>
        <w:tc>
          <w:tcPr>
            <w:tcW w:w="2160" w:type="dxa"/>
            <w:noWrap/>
            <w:hideMark/>
          </w:tcPr>
          <w:p w14:paraId="12C542A1" w14:textId="7BDFAE6C" w:rsidR="00A62170" w:rsidRPr="00C73480" w:rsidRDefault="00A62170" w:rsidP="00A62170">
            <w:pPr>
              <w:rPr>
                <w:rFonts w:cs="Arial"/>
                <w:color w:val="000000"/>
              </w:rPr>
            </w:pPr>
            <w:r w:rsidRPr="00C73480">
              <w:t>37768510000000</w:t>
            </w:r>
          </w:p>
        </w:tc>
        <w:tc>
          <w:tcPr>
            <w:tcW w:w="4345" w:type="dxa"/>
            <w:noWrap/>
            <w:hideMark/>
          </w:tcPr>
          <w:p w14:paraId="3499C4D3" w14:textId="00AAB82B" w:rsidR="00A62170" w:rsidRPr="00C73480" w:rsidRDefault="00A62170" w:rsidP="00A62170">
            <w:pPr>
              <w:rPr>
                <w:rFonts w:cs="Arial"/>
                <w:color w:val="000000"/>
              </w:rPr>
            </w:pPr>
            <w:r w:rsidRPr="00C73480">
              <w:t>Bonsall Unified</w:t>
            </w:r>
          </w:p>
        </w:tc>
        <w:tc>
          <w:tcPr>
            <w:tcW w:w="2175" w:type="dxa"/>
            <w:noWrap/>
            <w:hideMark/>
          </w:tcPr>
          <w:p w14:paraId="0A209E2F" w14:textId="2D16EC7B" w:rsidR="00A62170" w:rsidRPr="00C73480" w:rsidRDefault="00A62170" w:rsidP="00A62170">
            <w:pPr>
              <w:jc w:val="center"/>
              <w:rPr>
                <w:rFonts w:cs="Arial"/>
                <w:color w:val="000000"/>
              </w:rPr>
            </w:pPr>
            <w:r w:rsidRPr="00C73480">
              <w:t>$115,719</w:t>
            </w:r>
            <w:r w:rsidR="000C4F05" w:rsidRPr="00C73480">
              <w:t>*</w:t>
            </w:r>
          </w:p>
        </w:tc>
      </w:tr>
      <w:tr w:rsidR="00A62170" w:rsidRPr="00C73480" w14:paraId="6624E30C" w14:textId="77777777" w:rsidTr="006E64D2">
        <w:trPr>
          <w:cantSplit/>
          <w:trHeight w:val="310"/>
          <w:tblHeader/>
        </w:trPr>
        <w:tc>
          <w:tcPr>
            <w:tcW w:w="960" w:type="dxa"/>
            <w:noWrap/>
            <w:hideMark/>
          </w:tcPr>
          <w:p w14:paraId="4A4E00B0" w14:textId="52BC7A1A" w:rsidR="00A62170" w:rsidRPr="00C73480" w:rsidRDefault="00A62170" w:rsidP="00A62170">
            <w:pPr>
              <w:jc w:val="center"/>
              <w:rPr>
                <w:rFonts w:cs="Arial"/>
                <w:color w:val="000000"/>
              </w:rPr>
            </w:pPr>
            <w:r w:rsidRPr="00C73480">
              <w:t>4</w:t>
            </w:r>
          </w:p>
        </w:tc>
        <w:tc>
          <w:tcPr>
            <w:tcW w:w="2160" w:type="dxa"/>
            <w:noWrap/>
            <w:hideMark/>
          </w:tcPr>
          <w:p w14:paraId="2D7D3356" w14:textId="10A8B745" w:rsidR="00A62170" w:rsidRPr="00C73480" w:rsidRDefault="00A62170" w:rsidP="00A62170">
            <w:pPr>
              <w:rPr>
                <w:rFonts w:cs="Arial"/>
                <w:color w:val="000000"/>
              </w:rPr>
            </w:pPr>
            <w:r w:rsidRPr="00C73480">
              <w:t>20652010000000</w:t>
            </w:r>
          </w:p>
        </w:tc>
        <w:tc>
          <w:tcPr>
            <w:tcW w:w="4345" w:type="dxa"/>
            <w:noWrap/>
            <w:hideMark/>
          </w:tcPr>
          <w:p w14:paraId="37272416" w14:textId="0B388F8B" w:rsidR="00A62170" w:rsidRPr="00C73480" w:rsidRDefault="00A62170" w:rsidP="00A62170">
            <w:pPr>
              <w:rPr>
                <w:rFonts w:cs="Arial"/>
                <w:color w:val="000000"/>
              </w:rPr>
            </w:pPr>
            <w:r w:rsidRPr="00C73480">
              <w:t>Chowchilla Union High</w:t>
            </w:r>
          </w:p>
        </w:tc>
        <w:tc>
          <w:tcPr>
            <w:tcW w:w="2175" w:type="dxa"/>
            <w:noWrap/>
            <w:hideMark/>
          </w:tcPr>
          <w:p w14:paraId="73A04285" w14:textId="637AF95B" w:rsidR="00A62170" w:rsidRPr="00C73480" w:rsidRDefault="00A62170" w:rsidP="00A62170">
            <w:pPr>
              <w:jc w:val="center"/>
              <w:rPr>
                <w:rFonts w:cs="Arial"/>
                <w:color w:val="000000"/>
              </w:rPr>
            </w:pPr>
            <w:r w:rsidRPr="00C73480">
              <w:t>$174,055</w:t>
            </w:r>
            <w:r w:rsidR="000C4F05" w:rsidRPr="00C73480">
              <w:t>*</w:t>
            </w:r>
          </w:p>
        </w:tc>
      </w:tr>
      <w:tr w:rsidR="00A62170" w:rsidRPr="00C73480" w14:paraId="3FC77EB4" w14:textId="77777777" w:rsidTr="006E64D2">
        <w:trPr>
          <w:cantSplit/>
          <w:trHeight w:val="310"/>
          <w:tblHeader/>
        </w:trPr>
        <w:tc>
          <w:tcPr>
            <w:tcW w:w="960" w:type="dxa"/>
            <w:noWrap/>
            <w:hideMark/>
          </w:tcPr>
          <w:p w14:paraId="30273195" w14:textId="4AA4162B" w:rsidR="00A62170" w:rsidRPr="00C73480" w:rsidRDefault="00A62170" w:rsidP="00A62170">
            <w:pPr>
              <w:jc w:val="center"/>
              <w:rPr>
                <w:rFonts w:cs="Arial"/>
                <w:color w:val="000000"/>
              </w:rPr>
            </w:pPr>
            <w:r w:rsidRPr="00C73480">
              <w:t>5</w:t>
            </w:r>
          </w:p>
        </w:tc>
        <w:tc>
          <w:tcPr>
            <w:tcW w:w="2160" w:type="dxa"/>
            <w:noWrap/>
            <w:hideMark/>
          </w:tcPr>
          <w:p w14:paraId="6AA5DC05" w14:textId="77B4E145" w:rsidR="00A62170" w:rsidRPr="00C73480" w:rsidRDefault="00A62170" w:rsidP="00A62170">
            <w:pPr>
              <w:rPr>
                <w:rFonts w:cs="Arial"/>
                <w:color w:val="000000"/>
              </w:rPr>
            </w:pPr>
            <w:r w:rsidRPr="00C73480">
              <w:t>15634120000000</w:t>
            </w:r>
          </w:p>
        </w:tc>
        <w:tc>
          <w:tcPr>
            <w:tcW w:w="4345" w:type="dxa"/>
            <w:noWrap/>
            <w:hideMark/>
          </w:tcPr>
          <w:p w14:paraId="77F6A32D" w14:textId="4C6A31BF" w:rsidR="00A62170" w:rsidRPr="00C73480" w:rsidRDefault="00A62170" w:rsidP="00A62170">
            <w:pPr>
              <w:rPr>
                <w:rFonts w:cs="Arial"/>
                <w:color w:val="000000"/>
              </w:rPr>
            </w:pPr>
            <w:r w:rsidRPr="00C73480">
              <w:t>Delano Joint Union High</w:t>
            </w:r>
          </w:p>
        </w:tc>
        <w:tc>
          <w:tcPr>
            <w:tcW w:w="2175" w:type="dxa"/>
            <w:noWrap/>
            <w:hideMark/>
          </w:tcPr>
          <w:p w14:paraId="4BDEDCC0" w14:textId="7FBD0D9E" w:rsidR="00A62170" w:rsidRPr="00C73480" w:rsidRDefault="00A62170" w:rsidP="00A62170">
            <w:pPr>
              <w:jc w:val="center"/>
              <w:rPr>
                <w:rFonts w:cs="Arial"/>
                <w:color w:val="000000"/>
              </w:rPr>
            </w:pPr>
            <w:r w:rsidRPr="00C73480">
              <w:t>$690,802</w:t>
            </w:r>
            <w:r w:rsidR="000C4F05" w:rsidRPr="00C73480">
              <w:t>*</w:t>
            </w:r>
          </w:p>
        </w:tc>
      </w:tr>
      <w:tr w:rsidR="00A62170" w:rsidRPr="00C73480" w14:paraId="06881FE5" w14:textId="77777777" w:rsidTr="006E64D2">
        <w:trPr>
          <w:cantSplit/>
          <w:trHeight w:val="310"/>
          <w:tblHeader/>
        </w:trPr>
        <w:tc>
          <w:tcPr>
            <w:tcW w:w="960" w:type="dxa"/>
            <w:noWrap/>
            <w:hideMark/>
          </w:tcPr>
          <w:p w14:paraId="635487C5" w14:textId="6F23E77C" w:rsidR="00A62170" w:rsidRPr="00C73480" w:rsidRDefault="00A62170" w:rsidP="00A62170">
            <w:pPr>
              <w:jc w:val="center"/>
              <w:rPr>
                <w:rFonts w:cs="Arial"/>
                <w:color w:val="000000"/>
              </w:rPr>
            </w:pPr>
            <w:r w:rsidRPr="00C73480">
              <w:t>6</w:t>
            </w:r>
          </w:p>
        </w:tc>
        <w:tc>
          <w:tcPr>
            <w:tcW w:w="2160" w:type="dxa"/>
            <w:noWrap/>
            <w:hideMark/>
          </w:tcPr>
          <w:p w14:paraId="3CE97C3D" w14:textId="43FE6246" w:rsidR="00A62170" w:rsidRPr="00C73480" w:rsidRDefault="00A62170" w:rsidP="00A62170">
            <w:pPr>
              <w:rPr>
                <w:rFonts w:cs="Arial"/>
                <w:color w:val="000000"/>
              </w:rPr>
            </w:pPr>
            <w:r w:rsidRPr="00C73480">
              <w:t>13631640000000</w:t>
            </w:r>
          </w:p>
        </w:tc>
        <w:tc>
          <w:tcPr>
            <w:tcW w:w="4345" w:type="dxa"/>
            <w:noWrap/>
            <w:hideMark/>
          </w:tcPr>
          <w:p w14:paraId="64500AAC" w14:textId="362C7149" w:rsidR="00A62170" w:rsidRPr="00C73480" w:rsidRDefault="00A62170" w:rsidP="00A62170">
            <w:pPr>
              <w:rPr>
                <w:rFonts w:cs="Arial"/>
                <w:color w:val="000000"/>
              </w:rPr>
            </w:pPr>
            <w:r w:rsidRPr="00C73480">
              <w:t>Imperial Unified</w:t>
            </w:r>
          </w:p>
        </w:tc>
        <w:tc>
          <w:tcPr>
            <w:tcW w:w="2175" w:type="dxa"/>
            <w:noWrap/>
            <w:hideMark/>
          </w:tcPr>
          <w:p w14:paraId="6DB65281" w14:textId="214C1EC3" w:rsidR="00A62170" w:rsidRPr="00C73480" w:rsidRDefault="00A62170" w:rsidP="00A62170">
            <w:pPr>
              <w:jc w:val="center"/>
              <w:rPr>
                <w:rFonts w:cs="Arial"/>
                <w:color w:val="000000"/>
              </w:rPr>
            </w:pPr>
            <w:r w:rsidRPr="00C73480">
              <w:t>$197,000</w:t>
            </w:r>
          </w:p>
        </w:tc>
      </w:tr>
      <w:tr w:rsidR="00A62170" w:rsidRPr="00C73480" w14:paraId="7865C273" w14:textId="77777777" w:rsidTr="006E64D2">
        <w:trPr>
          <w:cantSplit/>
          <w:trHeight w:val="310"/>
          <w:tblHeader/>
        </w:trPr>
        <w:tc>
          <w:tcPr>
            <w:tcW w:w="960" w:type="dxa"/>
            <w:noWrap/>
            <w:hideMark/>
          </w:tcPr>
          <w:p w14:paraId="2F3C3F94" w14:textId="6C5652CF" w:rsidR="00A62170" w:rsidRPr="00C73480" w:rsidRDefault="00A62170" w:rsidP="00A62170">
            <w:pPr>
              <w:jc w:val="center"/>
              <w:rPr>
                <w:rFonts w:cs="Arial"/>
                <w:color w:val="000000"/>
              </w:rPr>
            </w:pPr>
            <w:r w:rsidRPr="00C73480">
              <w:t>7</w:t>
            </w:r>
          </w:p>
        </w:tc>
        <w:tc>
          <w:tcPr>
            <w:tcW w:w="2160" w:type="dxa"/>
            <w:noWrap/>
            <w:hideMark/>
          </w:tcPr>
          <w:p w14:paraId="355FCAC3" w14:textId="79E970D4" w:rsidR="00A62170" w:rsidRPr="00C73480" w:rsidRDefault="00A62170" w:rsidP="00A62170">
            <w:pPr>
              <w:rPr>
                <w:rFonts w:cs="Arial"/>
                <w:color w:val="000000"/>
              </w:rPr>
            </w:pPr>
            <w:r w:rsidRPr="00C73480">
              <w:t>19646340000000</w:t>
            </w:r>
          </w:p>
        </w:tc>
        <w:tc>
          <w:tcPr>
            <w:tcW w:w="4345" w:type="dxa"/>
            <w:noWrap/>
            <w:hideMark/>
          </w:tcPr>
          <w:p w14:paraId="36F264F2" w14:textId="3E566543" w:rsidR="00A62170" w:rsidRPr="00C73480" w:rsidRDefault="00A62170" w:rsidP="00A62170">
            <w:pPr>
              <w:rPr>
                <w:rFonts w:cs="Arial"/>
                <w:color w:val="000000"/>
              </w:rPr>
            </w:pPr>
            <w:r w:rsidRPr="00C73480">
              <w:t>Inglewood Unified</w:t>
            </w:r>
          </w:p>
        </w:tc>
        <w:tc>
          <w:tcPr>
            <w:tcW w:w="2175" w:type="dxa"/>
            <w:noWrap/>
            <w:hideMark/>
          </w:tcPr>
          <w:p w14:paraId="0C17640B" w14:textId="6DFBF35F" w:rsidR="00A62170" w:rsidRPr="00C73480" w:rsidRDefault="00A62170" w:rsidP="00A62170">
            <w:pPr>
              <w:jc w:val="center"/>
              <w:rPr>
                <w:rFonts w:cs="Arial"/>
                <w:color w:val="000000"/>
              </w:rPr>
            </w:pPr>
            <w:r w:rsidRPr="00C73480">
              <w:t>$172,500</w:t>
            </w:r>
          </w:p>
        </w:tc>
      </w:tr>
      <w:tr w:rsidR="00A62170" w:rsidRPr="00C73480" w14:paraId="44D8A220" w14:textId="77777777" w:rsidTr="006E64D2">
        <w:trPr>
          <w:cantSplit/>
          <w:trHeight w:val="310"/>
          <w:tblHeader/>
        </w:trPr>
        <w:tc>
          <w:tcPr>
            <w:tcW w:w="960" w:type="dxa"/>
            <w:noWrap/>
            <w:hideMark/>
          </w:tcPr>
          <w:p w14:paraId="72E1A86A" w14:textId="2736CBC9" w:rsidR="00A62170" w:rsidRPr="00C73480" w:rsidRDefault="00A62170" w:rsidP="00A62170">
            <w:pPr>
              <w:jc w:val="center"/>
              <w:rPr>
                <w:rFonts w:cs="Arial"/>
                <w:color w:val="000000"/>
              </w:rPr>
            </w:pPr>
            <w:r w:rsidRPr="00C73480">
              <w:t>8</w:t>
            </w:r>
          </w:p>
        </w:tc>
        <w:tc>
          <w:tcPr>
            <w:tcW w:w="2160" w:type="dxa"/>
            <w:noWrap/>
            <w:hideMark/>
          </w:tcPr>
          <w:p w14:paraId="5606E76A" w14:textId="0C47D290" w:rsidR="00A62170" w:rsidRPr="00C73480" w:rsidRDefault="00A62170" w:rsidP="00A62170">
            <w:pPr>
              <w:rPr>
                <w:rFonts w:cs="Arial"/>
                <w:color w:val="000000"/>
              </w:rPr>
            </w:pPr>
            <w:r w:rsidRPr="00C73480">
              <w:t>19648080000000</w:t>
            </w:r>
          </w:p>
        </w:tc>
        <w:tc>
          <w:tcPr>
            <w:tcW w:w="4345" w:type="dxa"/>
            <w:noWrap/>
            <w:hideMark/>
          </w:tcPr>
          <w:p w14:paraId="61E89F8D" w14:textId="69009CBD" w:rsidR="00A62170" w:rsidRPr="00C73480" w:rsidRDefault="00A62170" w:rsidP="00A62170">
            <w:pPr>
              <w:rPr>
                <w:rFonts w:cs="Arial"/>
                <w:color w:val="000000"/>
              </w:rPr>
            </w:pPr>
            <w:r w:rsidRPr="00C73480">
              <w:t>Montebello Unified</w:t>
            </w:r>
          </w:p>
        </w:tc>
        <w:tc>
          <w:tcPr>
            <w:tcW w:w="2175" w:type="dxa"/>
            <w:noWrap/>
            <w:hideMark/>
          </w:tcPr>
          <w:p w14:paraId="343DE074" w14:textId="602C222F" w:rsidR="00A62170" w:rsidRPr="00C73480" w:rsidRDefault="00A62170" w:rsidP="00A62170">
            <w:pPr>
              <w:jc w:val="center"/>
              <w:rPr>
                <w:rFonts w:cs="Arial"/>
                <w:color w:val="000000"/>
              </w:rPr>
            </w:pPr>
            <w:r w:rsidRPr="00C73480">
              <w:t>$1,029,110</w:t>
            </w:r>
          </w:p>
        </w:tc>
      </w:tr>
      <w:tr w:rsidR="00A62170" w:rsidRPr="00C73480" w14:paraId="1CCC1EB5" w14:textId="77777777" w:rsidTr="006E64D2">
        <w:trPr>
          <w:cantSplit/>
          <w:trHeight w:val="310"/>
          <w:tblHeader/>
        </w:trPr>
        <w:tc>
          <w:tcPr>
            <w:tcW w:w="960" w:type="dxa"/>
            <w:noWrap/>
            <w:hideMark/>
          </w:tcPr>
          <w:p w14:paraId="45D07340" w14:textId="5F2FB892" w:rsidR="00A62170" w:rsidRPr="00C73480" w:rsidRDefault="00A62170" w:rsidP="00A62170">
            <w:pPr>
              <w:jc w:val="center"/>
              <w:rPr>
                <w:rFonts w:cs="Arial"/>
                <w:color w:val="000000"/>
              </w:rPr>
            </w:pPr>
            <w:r w:rsidRPr="00C73480">
              <w:t>9</w:t>
            </w:r>
          </w:p>
        </w:tc>
        <w:tc>
          <w:tcPr>
            <w:tcW w:w="2160" w:type="dxa"/>
            <w:noWrap/>
            <w:hideMark/>
          </w:tcPr>
          <w:p w14:paraId="68E23EFB" w14:textId="5DDFD199" w:rsidR="00A62170" w:rsidRPr="00C73480" w:rsidRDefault="00A62170" w:rsidP="00A62170">
            <w:pPr>
              <w:rPr>
                <w:rFonts w:cs="Arial"/>
                <w:color w:val="000000"/>
              </w:rPr>
            </w:pPr>
            <w:r w:rsidRPr="00C73480">
              <w:t>50736010000000</w:t>
            </w:r>
          </w:p>
        </w:tc>
        <w:tc>
          <w:tcPr>
            <w:tcW w:w="4345" w:type="dxa"/>
            <w:noWrap/>
            <w:hideMark/>
          </w:tcPr>
          <w:p w14:paraId="4A971021" w14:textId="2A7744D6" w:rsidR="00A62170" w:rsidRPr="00C73480" w:rsidRDefault="00A62170" w:rsidP="00A62170">
            <w:pPr>
              <w:rPr>
                <w:rFonts w:cs="Arial"/>
                <w:color w:val="000000"/>
              </w:rPr>
            </w:pPr>
            <w:r w:rsidRPr="00C73480">
              <w:t>Newman-Crows Landing Unified</w:t>
            </w:r>
          </w:p>
        </w:tc>
        <w:tc>
          <w:tcPr>
            <w:tcW w:w="2175" w:type="dxa"/>
            <w:noWrap/>
            <w:hideMark/>
          </w:tcPr>
          <w:p w14:paraId="20529FE0" w14:textId="12C06661" w:rsidR="00A62170" w:rsidRPr="00C73480" w:rsidRDefault="00A62170" w:rsidP="00A62170">
            <w:pPr>
              <w:jc w:val="center"/>
              <w:rPr>
                <w:rFonts w:cs="Arial"/>
                <w:color w:val="000000"/>
              </w:rPr>
            </w:pPr>
            <w:r w:rsidRPr="00C73480">
              <w:t>$230,551</w:t>
            </w:r>
            <w:r w:rsidR="000C4F05" w:rsidRPr="00C73480">
              <w:t>*</w:t>
            </w:r>
          </w:p>
        </w:tc>
      </w:tr>
      <w:tr w:rsidR="00A62170" w:rsidRPr="00C73480" w14:paraId="4E05084A" w14:textId="77777777" w:rsidTr="006E64D2">
        <w:trPr>
          <w:cantSplit/>
          <w:trHeight w:val="310"/>
          <w:tblHeader/>
        </w:trPr>
        <w:tc>
          <w:tcPr>
            <w:tcW w:w="960" w:type="dxa"/>
            <w:noWrap/>
            <w:hideMark/>
          </w:tcPr>
          <w:p w14:paraId="5DC2C06C" w14:textId="7EABBE30" w:rsidR="00A62170" w:rsidRPr="00C73480" w:rsidRDefault="00A62170" w:rsidP="00A62170">
            <w:pPr>
              <w:jc w:val="center"/>
              <w:rPr>
                <w:rFonts w:cs="Arial"/>
                <w:color w:val="000000"/>
              </w:rPr>
            </w:pPr>
            <w:r w:rsidRPr="00C73480">
              <w:t>10</w:t>
            </w:r>
          </w:p>
        </w:tc>
        <w:tc>
          <w:tcPr>
            <w:tcW w:w="2160" w:type="dxa"/>
            <w:noWrap/>
            <w:hideMark/>
          </w:tcPr>
          <w:p w14:paraId="135CD1B1" w14:textId="73805914" w:rsidR="00A62170" w:rsidRPr="00C73480" w:rsidRDefault="00A62170" w:rsidP="00A62170">
            <w:pPr>
              <w:rPr>
                <w:rFonts w:cs="Arial"/>
                <w:color w:val="000000"/>
              </w:rPr>
            </w:pPr>
            <w:r w:rsidRPr="00C73480">
              <w:t>30103063030723</w:t>
            </w:r>
          </w:p>
        </w:tc>
        <w:tc>
          <w:tcPr>
            <w:tcW w:w="4345" w:type="dxa"/>
            <w:noWrap/>
            <w:hideMark/>
          </w:tcPr>
          <w:p w14:paraId="6AE540B3" w14:textId="29266733" w:rsidR="00A62170" w:rsidRPr="00C73480" w:rsidRDefault="00A62170" w:rsidP="00A62170">
            <w:pPr>
              <w:rPr>
                <w:rFonts w:cs="Arial"/>
                <w:color w:val="000000"/>
              </w:rPr>
            </w:pPr>
            <w:r w:rsidRPr="00C73480">
              <w:t>OCSA</w:t>
            </w:r>
          </w:p>
        </w:tc>
        <w:tc>
          <w:tcPr>
            <w:tcW w:w="2175" w:type="dxa"/>
            <w:noWrap/>
            <w:hideMark/>
          </w:tcPr>
          <w:p w14:paraId="77F00537" w14:textId="7DAC35BE" w:rsidR="00A62170" w:rsidRPr="00C73480" w:rsidRDefault="00A62170" w:rsidP="00A62170">
            <w:pPr>
              <w:jc w:val="center"/>
              <w:rPr>
                <w:rFonts w:cs="Arial"/>
                <w:color w:val="000000"/>
              </w:rPr>
            </w:pPr>
            <w:r w:rsidRPr="00C73480">
              <w:t>$283,535</w:t>
            </w:r>
          </w:p>
        </w:tc>
      </w:tr>
      <w:tr w:rsidR="00A62170" w:rsidRPr="00C73480" w14:paraId="1207335E" w14:textId="77777777" w:rsidTr="006E64D2">
        <w:trPr>
          <w:cantSplit/>
          <w:trHeight w:val="310"/>
          <w:tblHeader/>
        </w:trPr>
        <w:tc>
          <w:tcPr>
            <w:tcW w:w="960" w:type="dxa"/>
            <w:noWrap/>
            <w:hideMark/>
          </w:tcPr>
          <w:p w14:paraId="321BDBB8" w14:textId="78009C71" w:rsidR="00A62170" w:rsidRPr="00C73480" w:rsidRDefault="00A62170" w:rsidP="00A62170">
            <w:pPr>
              <w:jc w:val="center"/>
              <w:rPr>
                <w:rFonts w:cs="Arial"/>
                <w:color w:val="000000"/>
              </w:rPr>
            </w:pPr>
            <w:r w:rsidRPr="00C73480">
              <w:t>11</w:t>
            </w:r>
          </w:p>
        </w:tc>
        <w:tc>
          <w:tcPr>
            <w:tcW w:w="2160" w:type="dxa"/>
            <w:noWrap/>
            <w:hideMark/>
          </w:tcPr>
          <w:p w14:paraId="71C8FDB4" w14:textId="75E600A1" w:rsidR="00A62170" w:rsidRPr="00C73480" w:rsidRDefault="00A62170" w:rsidP="00A62170">
            <w:pPr>
              <w:rPr>
                <w:rFonts w:cs="Arial"/>
                <w:color w:val="000000"/>
              </w:rPr>
            </w:pPr>
            <w:r w:rsidRPr="00C73480">
              <w:t>16739320000000</w:t>
            </w:r>
          </w:p>
        </w:tc>
        <w:tc>
          <w:tcPr>
            <w:tcW w:w="4345" w:type="dxa"/>
            <w:noWrap/>
            <w:hideMark/>
          </w:tcPr>
          <w:p w14:paraId="46B9D6C1" w14:textId="5AFF8C5A" w:rsidR="00A62170" w:rsidRPr="00C73480" w:rsidRDefault="00A62170" w:rsidP="00A62170">
            <w:pPr>
              <w:rPr>
                <w:rFonts w:cs="Arial"/>
                <w:color w:val="000000"/>
              </w:rPr>
            </w:pPr>
            <w:r w:rsidRPr="00C73480">
              <w:t>Reef-Sunset Unified</w:t>
            </w:r>
          </w:p>
        </w:tc>
        <w:tc>
          <w:tcPr>
            <w:tcW w:w="2175" w:type="dxa"/>
            <w:noWrap/>
            <w:hideMark/>
          </w:tcPr>
          <w:p w14:paraId="62708766" w14:textId="70C77D4A" w:rsidR="00A62170" w:rsidRPr="00C73480" w:rsidRDefault="00A62170" w:rsidP="00A62170">
            <w:pPr>
              <w:jc w:val="center"/>
              <w:rPr>
                <w:rFonts w:cs="Arial"/>
                <w:color w:val="000000"/>
              </w:rPr>
            </w:pPr>
            <w:r w:rsidRPr="00C73480">
              <w:t>$225,000</w:t>
            </w:r>
          </w:p>
        </w:tc>
      </w:tr>
      <w:tr w:rsidR="00A62170" w:rsidRPr="00C73480" w14:paraId="4F87920C" w14:textId="77777777" w:rsidTr="006E64D2">
        <w:trPr>
          <w:cantSplit/>
          <w:trHeight w:val="310"/>
          <w:tblHeader/>
        </w:trPr>
        <w:tc>
          <w:tcPr>
            <w:tcW w:w="960" w:type="dxa"/>
            <w:noWrap/>
            <w:hideMark/>
          </w:tcPr>
          <w:p w14:paraId="394A526C" w14:textId="191CAC18" w:rsidR="00A62170" w:rsidRPr="00C73480" w:rsidRDefault="00A62170" w:rsidP="00A62170">
            <w:pPr>
              <w:jc w:val="center"/>
              <w:rPr>
                <w:rFonts w:cs="Arial"/>
                <w:color w:val="000000"/>
              </w:rPr>
            </w:pPr>
            <w:r w:rsidRPr="00C73480">
              <w:t>12</w:t>
            </w:r>
          </w:p>
        </w:tc>
        <w:tc>
          <w:tcPr>
            <w:tcW w:w="2160" w:type="dxa"/>
            <w:noWrap/>
            <w:hideMark/>
          </w:tcPr>
          <w:p w14:paraId="7348D8B1" w14:textId="14F4733D" w:rsidR="00A62170" w:rsidRPr="00C73480" w:rsidRDefault="00A62170" w:rsidP="00A62170">
            <w:pPr>
              <w:rPr>
                <w:rFonts w:cs="Arial"/>
                <w:color w:val="000000"/>
              </w:rPr>
            </w:pPr>
            <w:r w:rsidRPr="00C73480">
              <w:t>19734520000000</w:t>
            </w:r>
          </w:p>
        </w:tc>
        <w:tc>
          <w:tcPr>
            <w:tcW w:w="4345" w:type="dxa"/>
            <w:noWrap/>
            <w:hideMark/>
          </w:tcPr>
          <w:p w14:paraId="4CADE7E0" w14:textId="6D37BDD4" w:rsidR="00A62170" w:rsidRPr="00C73480" w:rsidRDefault="00A62170" w:rsidP="00A62170">
            <w:pPr>
              <w:rPr>
                <w:rFonts w:cs="Arial"/>
                <w:color w:val="000000"/>
              </w:rPr>
            </w:pPr>
            <w:r w:rsidRPr="00C73480">
              <w:t>Rowland Unified</w:t>
            </w:r>
          </w:p>
        </w:tc>
        <w:tc>
          <w:tcPr>
            <w:tcW w:w="2175" w:type="dxa"/>
            <w:noWrap/>
            <w:hideMark/>
          </w:tcPr>
          <w:p w14:paraId="46A553AB" w14:textId="074855A3" w:rsidR="00A62170" w:rsidRPr="00C73480" w:rsidRDefault="00A62170" w:rsidP="00A62170">
            <w:pPr>
              <w:jc w:val="center"/>
              <w:rPr>
                <w:rFonts w:cs="Arial"/>
                <w:color w:val="000000"/>
              </w:rPr>
            </w:pPr>
            <w:r w:rsidRPr="00C73480">
              <w:t>$850,000</w:t>
            </w:r>
          </w:p>
        </w:tc>
      </w:tr>
      <w:tr w:rsidR="00A62170" w:rsidRPr="00C73480" w14:paraId="2DD69E5E" w14:textId="77777777" w:rsidTr="006E64D2">
        <w:trPr>
          <w:cantSplit/>
          <w:trHeight w:val="310"/>
          <w:tblHeader/>
        </w:trPr>
        <w:tc>
          <w:tcPr>
            <w:tcW w:w="960" w:type="dxa"/>
            <w:noWrap/>
            <w:hideMark/>
          </w:tcPr>
          <w:p w14:paraId="1EFAC8C7" w14:textId="044E90B5" w:rsidR="00A62170" w:rsidRPr="00C73480" w:rsidRDefault="00A62170" w:rsidP="00A62170">
            <w:pPr>
              <w:jc w:val="center"/>
              <w:rPr>
                <w:rFonts w:cs="Arial"/>
                <w:color w:val="000000"/>
              </w:rPr>
            </w:pPr>
            <w:r w:rsidRPr="00C73480">
              <w:t>13</w:t>
            </w:r>
          </w:p>
        </w:tc>
        <w:tc>
          <w:tcPr>
            <w:tcW w:w="2160" w:type="dxa"/>
            <w:noWrap/>
            <w:hideMark/>
          </w:tcPr>
          <w:p w14:paraId="15F53BC8" w14:textId="366DC29F" w:rsidR="00A62170" w:rsidRPr="00C73480" w:rsidRDefault="00A62170" w:rsidP="00A62170">
            <w:pPr>
              <w:rPr>
                <w:rFonts w:cs="Arial"/>
                <w:color w:val="000000"/>
              </w:rPr>
            </w:pPr>
            <w:r w:rsidRPr="00C73480">
              <w:t>49402530000000</w:t>
            </w:r>
          </w:p>
        </w:tc>
        <w:tc>
          <w:tcPr>
            <w:tcW w:w="4345" w:type="dxa"/>
            <w:noWrap/>
            <w:hideMark/>
          </w:tcPr>
          <w:p w14:paraId="7C03380D" w14:textId="68A671FB" w:rsidR="00A62170" w:rsidRPr="00C73480" w:rsidRDefault="00A62170" w:rsidP="00A62170">
            <w:pPr>
              <w:rPr>
                <w:rFonts w:cs="Arial"/>
                <w:color w:val="000000"/>
              </w:rPr>
            </w:pPr>
            <w:r w:rsidRPr="00C73480">
              <w:t>Santa Rosa City Schools</w:t>
            </w:r>
          </w:p>
        </w:tc>
        <w:tc>
          <w:tcPr>
            <w:tcW w:w="2175" w:type="dxa"/>
            <w:noWrap/>
            <w:hideMark/>
          </w:tcPr>
          <w:p w14:paraId="228A471B" w14:textId="59337D4B" w:rsidR="00A62170" w:rsidRPr="00C73480" w:rsidRDefault="00A62170" w:rsidP="00A62170">
            <w:pPr>
              <w:jc w:val="center"/>
              <w:rPr>
                <w:rFonts w:cs="Arial"/>
                <w:color w:val="000000"/>
              </w:rPr>
            </w:pPr>
            <w:r w:rsidRPr="00C73480">
              <w:t>$300,000</w:t>
            </w:r>
          </w:p>
        </w:tc>
      </w:tr>
      <w:tr w:rsidR="00A62170" w:rsidRPr="00C73480" w14:paraId="2C33A184" w14:textId="77777777" w:rsidTr="006E64D2">
        <w:trPr>
          <w:cantSplit/>
          <w:trHeight w:val="310"/>
          <w:tblHeader/>
        </w:trPr>
        <w:tc>
          <w:tcPr>
            <w:tcW w:w="960" w:type="dxa"/>
            <w:noWrap/>
            <w:hideMark/>
          </w:tcPr>
          <w:p w14:paraId="1D864189" w14:textId="57C248B6" w:rsidR="00A62170" w:rsidRPr="00C73480" w:rsidRDefault="00A62170" w:rsidP="00A62170">
            <w:pPr>
              <w:jc w:val="center"/>
              <w:rPr>
                <w:rFonts w:cs="Arial"/>
                <w:color w:val="000000"/>
              </w:rPr>
            </w:pPr>
            <w:r w:rsidRPr="00C73480">
              <w:t>14</w:t>
            </w:r>
          </w:p>
        </w:tc>
        <w:tc>
          <w:tcPr>
            <w:tcW w:w="2160" w:type="dxa"/>
            <w:noWrap/>
            <w:hideMark/>
          </w:tcPr>
          <w:p w14:paraId="428CDFE3" w14:textId="7F6FACE0" w:rsidR="00A62170" w:rsidRPr="00C73480" w:rsidRDefault="00A62170" w:rsidP="00A62170">
            <w:pPr>
              <w:rPr>
                <w:rFonts w:cs="Arial"/>
                <w:color w:val="000000"/>
              </w:rPr>
            </w:pPr>
            <w:r w:rsidRPr="00C73480">
              <w:t>19743360000000</w:t>
            </w:r>
          </w:p>
        </w:tc>
        <w:tc>
          <w:tcPr>
            <w:tcW w:w="4345" w:type="dxa"/>
            <w:noWrap/>
            <w:hideMark/>
          </w:tcPr>
          <w:p w14:paraId="3175ED5E" w14:textId="37DF084A" w:rsidR="00A62170" w:rsidRPr="00C73480" w:rsidRDefault="00A62170" w:rsidP="00A62170">
            <w:pPr>
              <w:rPr>
                <w:rFonts w:cs="Arial"/>
                <w:color w:val="000000"/>
              </w:rPr>
            </w:pPr>
            <w:r w:rsidRPr="00C73480">
              <w:t>Southern California ROC</w:t>
            </w:r>
          </w:p>
        </w:tc>
        <w:tc>
          <w:tcPr>
            <w:tcW w:w="2175" w:type="dxa"/>
            <w:noWrap/>
            <w:hideMark/>
          </w:tcPr>
          <w:p w14:paraId="14200A30" w14:textId="01183085" w:rsidR="00A62170" w:rsidRPr="00C73480" w:rsidRDefault="00A62170" w:rsidP="00A62170">
            <w:pPr>
              <w:jc w:val="center"/>
              <w:rPr>
                <w:rFonts w:cs="Arial"/>
                <w:color w:val="000000"/>
              </w:rPr>
            </w:pPr>
            <w:r w:rsidRPr="00C73480">
              <w:t>$500,000</w:t>
            </w:r>
          </w:p>
        </w:tc>
      </w:tr>
      <w:tr w:rsidR="00A62170" w:rsidRPr="00C73480" w14:paraId="22FE7B6D" w14:textId="77777777" w:rsidTr="006E64D2">
        <w:trPr>
          <w:cantSplit/>
          <w:trHeight w:val="310"/>
          <w:tblHeader/>
        </w:trPr>
        <w:tc>
          <w:tcPr>
            <w:tcW w:w="960" w:type="dxa"/>
            <w:noWrap/>
            <w:hideMark/>
          </w:tcPr>
          <w:p w14:paraId="53C802C5" w14:textId="53D29301" w:rsidR="00A62170" w:rsidRPr="00C73480" w:rsidRDefault="00A62170" w:rsidP="00A62170">
            <w:pPr>
              <w:jc w:val="center"/>
              <w:rPr>
                <w:rFonts w:cs="Arial"/>
                <w:color w:val="000000"/>
              </w:rPr>
            </w:pPr>
            <w:r w:rsidRPr="00C73480">
              <w:t>15</w:t>
            </w:r>
          </w:p>
        </w:tc>
        <w:tc>
          <w:tcPr>
            <w:tcW w:w="2160" w:type="dxa"/>
            <w:noWrap/>
            <w:hideMark/>
          </w:tcPr>
          <w:p w14:paraId="3B1F13C9" w14:textId="4FE018AA" w:rsidR="00A62170" w:rsidRPr="00C73480" w:rsidRDefault="00A62170" w:rsidP="00A62170">
            <w:pPr>
              <w:rPr>
                <w:rFonts w:cs="Arial"/>
                <w:color w:val="000000"/>
              </w:rPr>
            </w:pPr>
            <w:r w:rsidRPr="00C73480">
              <w:t>50105040000000</w:t>
            </w:r>
          </w:p>
        </w:tc>
        <w:tc>
          <w:tcPr>
            <w:tcW w:w="4345" w:type="dxa"/>
            <w:noWrap/>
            <w:hideMark/>
          </w:tcPr>
          <w:p w14:paraId="3246E627" w14:textId="3C6277D8" w:rsidR="00A62170" w:rsidRPr="00C73480" w:rsidRDefault="00A62170" w:rsidP="00A62170">
            <w:pPr>
              <w:rPr>
                <w:rFonts w:cs="Arial"/>
                <w:color w:val="000000"/>
              </w:rPr>
            </w:pPr>
            <w:r w:rsidRPr="00C73480">
              <w:t>Stanislaus County Office of Education</w:t>
            </w:r>
          </w:p>
        </w:tc>
        <w:tc>
          <w:tcPr>
            <w:tcW w:w="2175" w:type="dxa"/>
            <w:noWrap/>
            <w:hideMark/>
          </w:tcPr>
          <w:p w14:paraId="64F841BA" w14:textId="7A245400" w:rsidR="00A62170" w:rsidRPr="00C73480" w:rsidRDefault="00A62170" w:rsidP="00A62170">
            <w:pPr>
              <w:jc w:val="center"/>
              <w:rPr>
                <w:rFonts w:cs="Arial"/>
                <w:color w:val="000000"/>
              </w:rPr>
            </w:pPr>
            <w:r w:rsidRPr="00C73480">
              <w:t>$160,022</w:t>
            </w:r>
            <w:r w:rsidR="000C4F05" w:rsidRPr="00C73480">
              <w:t>*</w:t>
            </w:r>
          </w:p>
        </w:tc>
      </w:tr>
      <w:tr w:rsidR="00A62170" w:rsidRPr="00C73480" w14:paraId="23FA2BFF" w14:textId="77777777" w:rsidTr="006E64D2">
        <w:trPr>
          <w:cantSplit/>
          <w:trHeight w:val="310"/>
          <w:tblHeader/>
        </w:trPr>
        <w:tc>
          <w:tcPr>
            <w:tcW w:w="960" w:type="dxa"/>
            <w:noWrap/>
            <w:hideMark/>
          </w:tcPr>
          <w:p w14:paraId="17D1CBEF" w14:textId="273FACDD" w:rsidR="00A62170" w:rsidRPr="00C73480" w:rsidRDefault="00A62170" w:rsidP="00A62170">
            <w:pPr>
              <w:jc w:val="center"/>
              <w:rPr>
                <w:rFonts w:cs="Arial"/>
                <w:color w:val="000000"/>
              </w:rPr>
            </w:pPr>
            <w:r w:rsidRPr="00C73480">
              <w:t>16</w:t>
            </w:r>
          </w:p>
        </w:tc>
        <w:tc>
          <w:tcPr>
            <w:tcW w:w="2160" w:type="dxa"/>
            <w:noWrap/>
            <w:hideMark/>
          </w:tcPr>
          <w:p w14:paraId="6689404D" w14:textId="72BFF61E" w:rsidR="00A62170" w:rsidRPr="00C73480" w:rsidRDefault="00A62170" w:rsidP="00A62170">
            <w:pPr>
              <w:rPr>
                <w:rFonts w:cs="Arial"/>
                <w:color w:val="000000"/>
              </w:rPr>
            </w:pPr>
            <w:r w:rsidRPr="00C73480">
              <w:t>37681303731262</w:t>
            </w:r>
          </w:p>
        </w:tc>
        <w:tc>
          <w:tcPr>
            <w:tcW w:w="4345" w:type="dxa"/>
            <w:noWrap/>
            <w:hideMark/>
          </w:tcPr>
          <w:p w14:paraId="3A74B7D1" w14:textId="607D0F94" w:rsidR="00A62170" w:rsidRPr="00C73480" w:rsidRDefault="00A62170" w:rsidP="00A62170">
            <w:pPr>
              <w:rPr>
                <w:rFonts w:cs="Arial"/>
                <w:color w:val="000000"/>
              </w:rPr>
            </w:pPr>
            <w:r w:rsidRPr="00C73480">
              <w:t>Steele Canyon High</w:t>
            </w:r>
          </w:p>
        </w:tc>
        <w:tc>
          <w:tcPr>
            <w:tcW w:w="2175" w:type="dxa"/>
            <w:noWrap/>
            <w:hideMark/>
          </w:tcPr>
          <w:p w14:paraId="2ABCB1B5" w14:textId="7389E2B1" w:rsidR="00A62170" w:rsidRPr="00C73480" w:rsidRDefault="00A62170" w:rsidP="00A62170">
            <w:pPr>
              <w:jc w:val="center"/>
              <w:rPr>
                <w:rFonts w:cs="Arial"/>
                <w:color w:val="000000"/>
              </w:rPr>
            </w:pPr>
            <w:r w:rsidRPr="00C73480">
              <w:t>$124,625</w:t>
            </w:r>
          </w:p>
        </w:tc>
      </w:tr>
    </w:tbl>
    <w:p w14:paraId="5192712A" w14:textId="3606EDA0" w:rsidR="009375B3" w:rsidRPr="00C73480" w:rsidRDefault="004F304D" w:rsidP="004811D0">
      <w:pPr>
        <w:spacing w:before="240" w:after="240"/>
        <w:jc w:val="right"/>
        <w:rPr>
          <w:rFonts w:cs="Arial"/>
          <w:color w:val="000000"/>
        </w:rPr>
      </w:pPr>
      <w:r w:rsidRPr="00C73480">
        <w:rPr>
          <w:rFonts w:cs="Arial"/>
        </w:rPr>
        <w:t>Total Large Category Preliminary Allocation</w:t>
      </w:r>
      <w:r w:rsidR="00BE0925" w:rsidRPr="00C73480">
        <w:rPr>
          <w:rFonts w:cs="Arial"/>
        </w:rPr>
        <w:t xml:space="preserve"> </w:t>
      </w:r>
      <w:r w:rsidR="00A03EBC" w:rsidRPr="00C73480">
        <w:rPr>
          <w:rFonts w:cs="Arial"/>
        </w:rPr>
        <w:t>$5,595,294</w:t>
      </w:r>
    </w:p>
    <w:p w14:paraId="7A0C4BCC" w14:textId="3573174E" w:rsidR="00C230D8" w:rsidRPr="00C73480" w:rsidRDefault="004F304D" w:rsidP="003C58CF">
      <w:pPr>
        <w:jc w:val="right"/>
        <w:rPr>
          <w:rFonts w:cs="Arial"/>
          <w:color w:val="000000"/>
        </w:rPr>
      </w:pPr>
      <w:r w:rsidRPr="00C73480">
        <w:rPr>
          <w:rFonts w:cs="Arial"/>
        </w:rPr>
        <w:t xml:space="preserve">Total </w:t>
      </w:r>
      <w:r w:rsidR="00314BD0" w:rsidRPr="00C73480">
        <w:rPr>
          <w:rFonts w:cs="Arial"/>
        </w:rPr>
        <w:t>202</w:t>
      </w:r>
      <w:r w:rsidR="00B64BBE" w:rsidRPr="00C73480">
        <w:rPr>
          <w:rFonts w:cs="Arial"/>
        </w:rPr>
        <w:t>1</w:t>
      </w:r>
      <w:r w:rsidR="005A4324" w:rsidRPr="00C73480">
        <w:rPr>
          <w:rFonts w:cs="Arial"/>
        </w:rPr>
        <w:t>–</w:t>
      </w:r>
      <w:r w:rsidR="00314BD0" w:rsidRPr="00C73480">
        <w:rPr>
          <w:rFonts w:cs="Arial"/>
        </w:rPr>
        <w:t>2</w:t>
      </w:r>
      <w:r w:rsidR="00B64BBE" w:rsidRPr="00C73480">
        <w:rPr>
          <w:rFonts w:cs="Arial"/>
        </w:rPr>
        <w:t>2</w:t>
      </w:r>
      <w:r w:rsidR="00314BD0" w:rsidRPr="00C73480">
        <w:rPr>
          <w:rFonts w:cs="Arial"/>
        </w:rPr>
        <w:t xml:space="preserve"> </w:t>
      </w:r>
      <w:r w:rsidRPr="00C73480">
        <w:rPr>
          <w:rFonts w:cs="Arial"/>
        </w:rPr>
        <w:t>CTEIG Allocation</w:t>
      </w:r>
      <w:r w:rsidR="00A03EBC" w:rsidRPr="00C73480">
        <w:rPr>
          <w:rFonts w:cs="Arial"/>
        </w:rPr>
        <w:t xml:space="preserve"> for</w:t>
      </w:r>
      <w:r w:rsidR="00F82883" w:rsidRPr="00C73480">
        <w:rPr>
          <w:rFonts w:cs="Arial"/>
        </w:rPr>
        <w:t xml:space="preserve"> </w:t>
      </w:r>
      <w:r w:rsidR="008079A2" w:rsidRPr="00C73480">
        <w:rPr>
          <w:rFonts w:cs="Arial"/>
        </w:rPr>
        <w:t>Round 7B</w:t>
      </w:r>
      <w:r w:rsidRPr="00C73480">
        <w:rPr>
          <w:rFonts w:cs="Arial"/>
        </w:rPr>
        <w:t>:</w:t>
      </w:r>
      <w:r w:rsidR="00BE0925" w:rsidRPr="00C73480">
        <w:rPr>
          <w:rFonts w:cs="Arial"/>
        </w:rPr>
        <w:t xml:space="preserve"> </w:t>
      </w:r>
      <w:r w:rsidR="00A03EBC" w:rsidRPr="00C73480">
        <w:rPr>
          <w:rFonts w:cs="Arial"/>
        </w:rPr>
        <w:t>$7,563,210</w:t>
      </w:r>
    </w:p>
    <w:p w14:paraId="44C4B9DC" w14:textId="2C9DF23D" w:rsidR="004F304D" w:rsidRPr="00C73480" w:rsidRDefault="00314BD0" w:rsidP="003D4AB8">
      <w:pPr>
        <w:spacing w:after="240"/>
        <w:jc w:val="right"/>
        <w:rPr>
          <w:rFonts w:cs="Arial"/>
        </w:rPr>
      </w:pPr>
      <w:r w:rsidRPr="00C73480">
        <w:rPr>
          <w:rFonts w:cs="Arial"/>
        </w:rPr>
        <w:t xml:space="preserve">Total </w:t>
      </w:r>
      <w:r w:rsidR="004F304D" w:rsidRPr="00C73480">
        <w:rPr>
          <w:rFonts w:cs="Arial"/>
        </w:rPr>
        <w:t xml:space="preserve">Number of </w:t>
      </w:r>
      <w:r w:rsidRPr="00C73480">
        <w:rPr>
          <w:rFonts w:cs="Arial"/>
        </w:rPr>
        <w:t>202</w:t>
      </w:r>
      <w:r w:rsidR="00B64BBE" w:rsidRPr="00C73480">
        <w:rPr>
          <w:rFonts w:cs="Arial"/>
        </w:rPr>
        <w:t>1</w:t>
      </w:r>
      <w:r w:rsidR="005A4324" w:rsidRPr="00C73480">
        <w:rPr>
          <w:rFonts w:cs="Arial"/>
        </w:rPr>
        <w:t>–</w:t>
      </w:r>
      <w:r w:rsidRPr="00C73480">
        <w:rPr>
          <w:rFonts w:cs="Arial"/>
        </w:rPr>
        <w:t>2</w:t>
      </w:r>
      <w:r w:rsidR="00B64BBE" w:rsidRPr="00C73480">
        <w:rPr>
          <w:rFonts w:cs="Arial"/>
        </w:rPr>
        <w:t>2</w:t>
      </w:r>
      <w:r w:rsidRPr="00C73480">
        <w:rPr>
          <w:rFonts w:cs="Arial"/>
        </w:rPr>
        <w:t xml:space="preserve"> </w:t>
      </w:r>
      <w:r w:rsidR="004F304D" w:rsidRPr="00C73480">
        <w:rPr>
          <w:rFonts w:cs="Arial"/>
        </w:rPr>
        <w:t>grant awards</w:t>
      </w:r>
      <w:r w:rsidR="00F37A1C" w:rsidRPr="00C73480">
        <w:rPr>
          <w:rFonts w:cs="Arial"/>
        </w:rPr>
        <w:t xml:space="preserve"> </w:t>
      </w:r>
      <w:r w:rsidR="00A03EBC" w:rsidRPr="00C73480">
        <w:rPr>
          <w:rFonts w:cs="Arial"/>
        </w:rPr>
        <w:t xml:space="preserve">for </w:t>
      </w:r>
      <w:r w:rsidR="00F37A1C" w:rsidRPr="00C73480">
        <w:rPr>
          <w:rFonts w:cs="Arial"/>
        </w:rPr>
        <w:t>Round 7B</w:t>
      </w:r>
      <w:r w:rsidR="004F304D" w:rsidRPr="00C73480">
        <w:rPr>
          <w:rFonts w:cs="Arial"/>
        </w:rPr>
        <w:t>:</w:t>
      </w:r>
      <w:r w:rsidR="00F37A1C" w:rsidRPr="00C73480">
        <w:rPr>
          <w:rFonts w:cs="Arial"/>
        </w:rPr>
        <w:t xml:space="preserve"> 3</w:t>
      </w:r>
      <w:r w:rsidR="001F70B4" w:rsidRPr="00C73480">
        <w:rPr>
          <w:rFonts w:cs="Arial"/>
        </w:rPr>
        <w:t>1</w:t>
      </w:r>
    </w:p>
    <w:p w14:paraId="2F48B60D" w14:textId="137CDCB4" w:rsidR="00A03EBC" w:rsidRPr="00A03EBC" w:rsidRDefault="006971D0" w:rsidP="00A03EBC">
      <w:pPr>
        <w:jc w:val="right"/>
        <w:rPr>
          <w:rFonts w:cs="Arial"/>
          <w:color w:val="000000"/>
        </w:rPr>
      </w:pPr>
      <w:r w:rsidRPr="00C73480">
        <w:t>Remaining balance:</w:t>
      </w:r>
      <w:r w:rsidR="00BE0925" w:rsidRPr="00C73480">
        <w:t xml:space="preserve"> </w:t>
      </w:r>
      <w:r w:rsidR="00A03EBC" w:rsidRPr="00C73480">
        <w:rPr>
          <w:rFonts w:cs="Arial"/>
          <w:color w:val="000000"/>
        </w:rPr>
        <w:t>$51,540,736</w:t>
      </w:r>
    </w:p>
    <w:p w14:paraId="2E781D5B" w14:textId="4856242A" w:rsidR="006971D0" w:rsidRPr="003C58CF" w:rsidRDefault="006971D0" w:rsidP="003C58CF">
      <w:pPr>
        <w:jc w:val="right"/>
        <w:rPr>
          <w:rFonts w:cs="Arial"/>
          <w:color w:val="000000"/>
        </w:rPr>
      </w:pPr>
    </w:p>
    <w:sectPr w:rsidR="006971D0" w:rsidRPr="003C58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02F59" w14:textId="77777777" w:rsidR="00455F42" w:rsidRDefault="00455F42" w:rsidP="004F304D">
      <w:r>
        <w:separator/>
      </w:r>
    </w:p>
  </w:endnote>
  <w:endnote w:type="continuationSeparator" w:id="0">
    <w:p w14:paraId="053F17AE" w14:textId="77777777" w:rsidR="00455F42" w:rsidRDefault="00455F42" w:rsidP="004F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0CF9F" w14:textId="77777777" w:rsidR="00C73480" w:rsidRDefault="00C734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4E74D" w14:textId="77777777" w:rsidR="00C73480" w:rsidRDefault="00C734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C95CA" w14:textId="77777777" w:rsidR="00C73480" w:rsidRDefault="00C734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01162" w14:textId="77777777" w:rsidR="00455F42" w:rsidRDefault="00455F42" w:rsidP="004F304D">
      <w:r>
        <w:separator/>
      </w:r>
    </w:p>
  </w:footnote>
  <w:footnote w:type="continuationSeparator" w:id="0">
    <w:p w14:paraId="146FA192" w14:textId="77777777" w:rsidR="00455F42" w:rsidRDefault="00455F42" w:rsidP="004F3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E35FE" w14:textId="77777777" w:rsidR="00C73480" w:rsidRDefault="00C734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EndPr/>
    <w:sdtContent>
      <w:p w14:paraId="3EA15646" w14:textId="1B56924E" w:rsidR="00EA6F88" w:rsidRPr="00A03B51" w:rsidRDefault="00EA6F88" w:rsidP="008D2B78">
        <w:pPr>
          <w:pStyle w:val="Header"/>
          <w:jc w:val="right"/>
        </w:pPr>
        <w:r>
          <w:t>sssb-cctd-may22item</w:t>
        </w:r>
        <w:r w:rsidR="00BF3668">
          <w:t>01</w:t>
        </w:r>
        <w:r>
          <w:t>a</w:t>
        </w:r>
        <w:r w:rsidR="00C73480">
          <w:t>0</w:t>
        </w:r>
        <w:bookmarkStart w:id="0" w:name="_GoBack"/>
        <w:bookmarkEnd w:id="0"/>
        <w:r w:rsidR="00914835">
          <w:t>1</w:t>
        </w:r>
      </w:p>
      <w:p w14:paraId="4E778AA1" w14:textId="13205904" w:rsidR="00EA6F88" w:rsidRPr="00A03B51" w:rsidRDefault="00EA6F88" w:rsidP="008D2B78">
        <w:pPr>
          <w:pStyle w:val="Header"/>
          <w:jc w:val="right"/>
        </w:pPr>
        <w:r w:rsidRPr="00A03B51">
          <w:t xml:space="preserve">Attachment </w:t>
        </w:r>
        <w:r w:rsidR="00914835">
          <w:t>1</w:t>
        </w:r>
      </w:p>
      <w:p w14:paraId="5B0E1C1A" w14:textId="77777777" w:rsidR="00EA6F88" w:rsidRDefault="00EA6F88" w:rsidP="001B642F">
        <w:pPr>
          <w:pStyle w:val="Header"/>
          <w:spacing w:after="480"/>
          <w:jc w:val="right"/>
          <w:rPr>
            <w:rFonts w:cs="Arial"/>
          </w:rPr>
        </w:pPr>
        <w:r w:rsidRPr="00A03B51">
          <w:t xml:space="preserve">Page </w:t>
        </w:r>
        <w:r w:rsidRPr="00A03B51">
          <w:rPr>
            <w:bCs/>
          </w:rPr>
          <w:fldChar w:fldCharType="begin"/>
        </w:r>
        <w:r w:rsidRPr="00A03B51">
          <w:rPr>
            <w:bCs/>
          </w:rPr>
          <w:instrText xml:space="preserve"> PAGE </w:instrText>
        </w:r>
        <w:r w:rsidRPr="00A03B51">
          <w:rPr>
            <w:bCs/>
          </w:rPr>
          <w:fldChar w:fldCharType="separate"/>
        </w:r>
        <w:r>
          <w:rPr>
            <w:bCs/>
            <w:noProof/>
          </w:rPr>
          <w:t>5</w:t>
        </w:r>
        <w:r w:rsidRPr="00A03B51">
          <w:rPr>
            <w:bCs/>
          </w:rPr>
          <w:fldChar w:fldCharType="end"/>
        </w:r>
        <w:r w:rsidRPr="00A03B51">
          <w:t xml:space="preserve"> of </w:t>
        </w:r>
        <w:r w:rsidRPr="00A03B51">
          <w:rPr>
            <w:bCs/>
          </w:rPr>
          <w:fldChar w:fldCharType="begin"/>
        </w:r>
        <w:r w:rsidRPr="00A03B51">
          <w:rPr>
            <w:bCs/>
          </w:rPr>
          <w:instrText xml:space="preserve"> NUMPAGES  </w:instrText>
        </w:r>
        <w:r w:rsidRPr="00A03B51">
          <w:rPr>
            <w:bCs/>
          </w:rPr>
          <w:fldChar w:fldCharType="separate"/>
        </w:r>
        <w:r>
          <w:rPr>
            <w:bCs/>
            <w:noProof/>
          </w:rPr>
          <w:t>11</w:t>
        </w:r>
        <w:r w:rsidRPr="00A03B51">
          <w:rPr>
            <w:bCs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4DBFA" w14:textId="77777777" w:rsidR="00C73480" w:rsidRDefault="00C734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828E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203B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0013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28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02E9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06CB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5C2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42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FAF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CCFD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NotTrackFormatting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04D"/>
    <w:rsid w:val="00001533"/>
    <w:rsid w:val="00002894"/>
    <w:rsid w:val="00007571"/>
    <w:rsid w:val="00044450"/>
    <w:rsid w:val="000627EF"/>
    <w:rsid w:val="00073030"/>
    <w:rsid w:val="00084157"/>
    <w:rsid w:val="000931F5"/>
    <w:rsid w:val="000B0385"/>
    <w:rsid w:val="000C29A9"/>
    <w:rsid w:val="000C4F05"/>
    <w:rsid w:val="000D0DCE"/>
    <w:rsid w:val="000E33AD"/>
    <w:rsid w:val="000E653C"/>
    <w:rsid w:val="000F2781"/>
    <w:rsid w:val="000F32C8"/>
    <w:rsid w:val="000F7AF5"/>
    <w:rsid w:val="00102737"/>
    <w:rsid w:val="00111579"/>
    <w:rsid w:val="00161238"/>
    <w:rsid w:val="00165E30"/>
    <w:rsid w:val="00170421"/>
    <w:rsid w:val="001767A7"/>
    <w:rsid w:val="00176ABF"/>
    <w:rsid w:val="00183553"/>
    <w:rsid w:val="00190B74"/>
    <w:rsid w:val="00192916"/>
    <w:rsid w:val="001A0CA5"/>
    <w:rsid w:val="001A38D2"/>
    <w:rsid w:val="001B06C9"/>
    <w:rsid w:val="001B2A17"/>
    <w:rsid w:val="001B3E1C"/>
    <w:rsid w:val="001B469D"/>
    <w:rsid w:val="001B642F"/>
    <w:rsid w:val="001B7EBA"/>
    <w:rsid w:val="001D7866"/>
    <w:rsid w:val="001F70B4"/>
    <w:rsid w:val="00205D05"/>
    <w:rsid w:val="002103F4"/>
    <w:rsid w:val="00223F78"/>
    <w:rsid w:val="0022762F"/>
    <w:rsid w:val="00232F2C"/>
    <w:rsid w:val="00236A9D"/>
    <w:rsid w:val="00240023"/>
    <w:rsid w:val="00245ADE"/>
    <w:rsid w:val="00254AD1"/>
    <w:rsid w:val="002614B0"/>
    <w:rsid w:val="002701D2"/>
    <w:rsid w:val="00297F3F"/>
    <w:rsid w:val="002B66FC"/>
    <w:rsid w:val="002E4CB5"/>
    <w:rsid w:val="002F32AF"/>
    <w:rsid w:val="002F5DEB"/>
    <w:rsid w:val="003022CB"/>
    <w:rsid w:val="00306F00"/>
    <w:rsid w:val="00314BD0"/>
    <w:rsid w:val="00336D0F"/>
    <w:rsid w:val="00336DF6"/>
    <w:rsid w:val="003550D7"/>
    <w:rsid w:val="003644A9"/>
    <w:rsid w:val="00367318"/>
    <w:rsid w:val="00380456"/>
    <w:rsid w:val="003C58CF"/>
    <w:rsid w:val="003D4AB8"/>
    <w:rsid w:val="003E3E1F"/>
    <w:rsid w:val="003F4B52"/>
    <w:rsid w:val="003F5155"/>
    <w:rsid w:val="0040397A"/>
    <w:rsid w:val="00407F15"/>
    <w:rsid w:val="004233FC"/>
    <w:rsid w:val="00430734"/>
    <w:rsid w:val="004547EF"/>
    <w:rsid w:val="00455F42"/>
    <w:rsid w:val="00466875"/>
    <w:rsid w:val="00466FC3"/>
    <w:rsid w:val="00467EE5"/>
    <w:rsid w:val="004811D0"/>
    <w:rsid w:val="00486B80"/>
    <w:rsid w:val="004A0404"/>
    <w:rsid w:val="004B497F"/>
    <w:rsid w:val="004C430F"/>
    <w:rsid w:val="004D0509"/>
    <w:rsid w:val="004D056C"/>
    <w:rsid w:val="004D58E8"/>
    <w:rsid w:val="004D6647"/>
    <w:rsid w:val="004E7AC1"/>
    <w:rsid w:val="004F304D"/>
    <w:rsid w:val="00503C9B"/>
    <w:rsid w:val="00515011"/>
    <w:rsid w:val="00520E35"/>
    <w:rsid w:val="00524B83"/>
    <w:rsid w:val="00527DD2"/>
    <w:rsid w:val="00530C25"/>
    <w:rsid w:val="005350B2"/>
    <w:rsid w:val="00535687"/>
    <w:rsid w:val="00536CBF"/>
    <w:rsid w:val="00537950"/>
    <w:rsid w:val="005417E4"/>
    <w:rsid w:val="00554793"/>
    <w:rsid w:val="00557014"/>
    <w:rsid w:val="00557F99"/>
    <w:rsid w:val="0056292A"/>
    <w:rsid w:val="00562C66"/>
    <w:rsid w:val="0056535A"/>
    <w:rsid w:val="00576280"/>
    <w:rsid w:val="00576690"/>
    <w:rsid w:val="00583732"/>
    <w:rsid w:val="00583A2D"/>
    <w:rsid w:val="005A4324"/>
    <w:rsid w:val="005C14DA"/>
    <w:rsid w:val="005C15B7"/>
    <w:rsid w:val="005C43AB"/>
    <w:rsid w:val="005C5B70"/>
    <w:rsid w:val="005E347D"/>
    <w:rsid w:val="005E3867"/>
    <w:rsid w:val="005E603C"/>
    <w:rsid w:val="005F4062"/>
    <w:rsid w:val="005F4A99"/>
    <w:rsid w:val="0060701F"/>
    <w:rsid w:val="00640EF0"/>
    <w:rsid w:val="00694BF0"/>
    <w:rsid w:val="006971D0"/>
    <w:rsid w:val="006A0C2C"/>
    <w:rsid w:val="006C24C1"/>
    <w:rsid w:val="006C32BE"/>
    <w:rsid w:val="006E612C"/>
    <w:rsid w:val="006E64D2"/>
    <w:rsid w:val="006E7360"/>
    <w:rsid w:val="00703706"/>
    <w:rsid w:val="00703F08"/>
    <w:rsid w:val="00713F95"/>
    <w:rsid w:val="007428B8"/>
    <w:rsid w:val="00747085"/>
    <w:rsid w:val="007474FB"/>
    <w:rsid w:val="00761B34"/>
    <w:rsid w:val="0076552A"/>
    <w:rsid w:val="00775052"/>
    <w:rsid w:val="0079536D"/>
    <w:rsid w:val="007A6523"/>
    <w:rsid w:val="007E5BF1"/>
    <w:rsid w:val="007E64ED"/>
    <w:rsid w:val="007F5F3F"/>
    <w:rsid w:val="00806A37"/>
    <w:rsid w:val="008079A2"/>
    <w:rsid w:val="0081256C"/>
    <w:rsid w:val="00834B7D"/>
    <w:rsid w:val="0083523F"/>
    <w:rsid w:val="00872CD9"/>
    <w:rsid w:val="00877245"/>
    <w:rsid w:val="00893532"/>
    <w:rsid w:val="008A2416"/>
    <w:rsid w:val="008A5F2B"/>
    <w:rsid w:val="008A7E1C"/>
    <w:rsid w:val="008B62B1"/>
    <w:rsid w:val="008C0BB0"/>
    <w:rsid w:val="008C1102"/>
    <w:rsid w:val="008C32E1"/>
    <w:rsid w:val="008D0F17"/>
    <w:rsid w:val="008D2B78"/>
    <w:rsid w:val="008D39C8"/>
    <w:rsid w:val="008E4D20"/>
    <w:rsid w:val="008E75AC"/>
    <w:rsid w:val="008F47F7"/>
    <w:rsid w:val="0090248A"/>
    <w:rsid w:val="0091397D"/>
    <w:rsid w:val="00914835"/>
    <w:rsid w:val="009375B3"/>
    <w:rsid w:val="009523DF"/>
    <w:rsid w:val="009527A9"/>
    <w:rsid w:val="009627A8"/>
    <w:rsid w:val="009658EB"/>
    <w:rsid w:val="00985C28"/>
    <w:rsid w:val="00986ADC"/>
    <w:rsid w:val="009A20FA"/>
    <w:rsid w:val="009B3E8C"/>
    <w:rsid w:val="009B40CA"/>
    <w:rsid w:val="009C3C1B"/>
    <w:rsid w:val="009C70F5"/>
    <w:rsid w:val="009D0850"/>
    <w:rsid w:val="009D441A"/>
    <w:rsid w:val="009D7DE1"/>
    <w:rsid w:val="009E5061"/>
    <w:rsid w:val="00A02EB3"/>
    <w:rsid w:val="00A03B51"/>
    <w:rsid w:val="00A03EBC"/>
    <w:rsid w:val="00A23C81"/>
    <w:rsid w:val="00A47A9B"/>
    <w:rsid w:val="00A52AE9"/>
    <w:rsid w:val="00A55766"/>
    <w:rsid w:val="00A62170"/>
    <w:rsid w:val="00A621FD"/>
    <w:rsid w:val="00A655EE"/>
    <w:rsid w:val="00A6592B"/>
    <w:rsid w:val="00A718E8"/>
    <w:rsid w:val="00A81DEF"/>
    <w:rsid w:val="00A914C0"/>
    <w:rsid w:val="00A96430"/>
    <w:rsid w:val="00AB0A80"/>
    <w:rsid w:val="00AB4D32"/>
    <w:rsid w:val="00AD1FF2"/>
    <w:rsid w:val="00AE0C8E"/>
    <w:rsid w:val="00AE2B83"/>
    <w:rsid w:val="00AF0211"/>
    <w:rsid w:val="00AF2149"/>
    <w:rsid w:val="00B01266"/>
    <w:rsid w:val="00B12E1F"/>
    <w:rsid w:val="00B25320"/>
    <w:rsid w:val="00B571B7"/>
    <w:rsid w:val="00B64BBE"/>
    <w:rsid w:val="00B81142"/>
    <w:rsid w:val="00B92BFB"/>
    <w:rsid w:val="00BA37C6"/>
    <w:rsid w:val="00BB1847"/>
    <w:rsid w:val="00BB6E39"/>
    <w:rsid w:val="00BC76C9"/>
    <w:rsid w:val="00BD6995"/>
    <w:rsid w:val="00BD6D99"/>
    <w:rsid w:val="00BE0925"/>
    <w:rsid w:val="00BF1240"/>
    <w:rsid w:val="00BF3668"/>
    <w:rsid w:val="00C21731"/>
    <w:rsid w:val="00C225AD"/>
    <w:rsid w:val="00C230D8"/>
    <w:rsid w:val="00C252BA"/>
    <w:rsid w:val="00C3513C"/>
    <w:rsid w:val="00C51595"/>
    <w:rsid w:val="00C60BBB"/>
    <w:rsid w:val="00C73480"/>
    <w:rsid w:val="00C82975"/>
    <w:rsid w:val="00C87B86"/>
    <w:rsid w:val="00C94930"/>
    <w:rsid w:val="00CA6E47"/>
    <w:rsid w:val="00CA77A4"/>
    <w:rsid w:val="00CB13D3"/>
    <w:rsid w:val="00CB6664"/>
    <w:rsid w:val="00CC00B0"/>
    <w:rsid w:val="00CC5F0E"/>
    <w:rsid w:val="00CD4098"/>
    <w:rsid w:val="00CF565C"/>
    <w:rsid w:val="00CF5C93"/>
    <w:rsid w:val="00D037F1"/>
    <w:rsid w:val="00D063A0"/>
    <w:rsid w:val="00D11680"/>
    <w:rsid w:val="00D13268"/>
    <w:rsid w:val="00D15074"/>
    <w:rsid w:val="00D23432"/>
    <w:rsid w:val="00D41632"/>
    <w:rsid w:val="00D46BBF"/>
    <w:rsid w:val="00D47DAB"/>
    <w:rsid w:val="00D50C4E"/>
    <w:rsid w:val="00D550B3"/>
    <w:rsid w:val="00DA52B3"/>
    <w:rsid w:val="00DC2B60"/>
    <w:rsid w:val="00DC52B0"/>
    <w:rsid w:val="00DC6AE6"/>
    <w:rsid w:val="00DC774C"/>
    <w:rsid w:val="00DD411D"/>
    <w:rsid w:val="00DF4FCE"/>
    <w:rsid w:val="00E02F4D"/>
    <w:rsid w:val="00E06F4E"/>
    <w:rsid w:val="00E24A2A"/>
    <w:rsid w:val="00E405FC"/>
    <w:rsid w:val="00E472C3"/>
    <w:rsid w:val="00E51009"/>
    <w:rsid w:val="00E634EC"/>
    <w:rsid w:val="00E72DCE"/>
    <w:rsid w:val="00E772F7"/>
    <w:rsid w:val="00E859E8"/>
    <w:rsid w:val="00E870F0"/>
    <w:rsid w:val="00E90B6F"/>
    <w:rsid w:val="00E90E05"/>
    <w:rsid w:val="00E919B2"/>
    <w:rsid w:val="00EA05B4"/>
    <w:rsid w:val="00EA58D4"/>
    <w:rsid w:val="00EA6F88"/>
    <w:rsid w:val="00EC1203"/>
    <w:rsid w:val="00ED6669"/>
    <w:rsid w:val="00EE29FB"/>
    <w:rsid w:val="00F0773D"/>
    <w:rsid w:val="00F25009"/>
    <w:rsid w:val="00F37A1C"/>
    <w:rsid w:val="00F558B4"/>
    <w:rsid w:val="00F64437"/>
    <w:rsid w:val="00F71CC2"/>
    <w:rsid w:val="00F82883"/>
    <w:rsid w:val="00F83037"/>
    <w:rsid w:val="00F92BE3"/>
    <w:rsid w:val="00FA6044"/>
    <w:rsid w:val="00FC19FC"/>
    <w:rsid w:val="00FC3B85"/>
    <w:rsid w:val="00FC7604"/>
    <w:rsid w:val="00FD003D"/>
    <w:rsid w:val="00FD3E2A"/>
    <w:rsid w:val="00FE3007"/>
    <w:rsid w:val="00FE4DE2"/>
    <w:rsid w:val="00FE6F01"/>
    <w:rsid w:val="00FF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4DCB52C"/>
  <w15:chartTrackingRefBased/>
  <w15:docId w15:val="{A6E714DB-4A4F-4E76-B54C-27A4C7CB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304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975"/>
    <w:pPr>
      <w:keepNext/>
      <w:keepLines/>
      <w:spacing w:before="240" w:after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47EF"/>
    <w:pPr>
      <w:keepNext/>
      <w:keepLines/>
      <w:spacing w:before="240" w:after="2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2975"/>
    <w:pPr>
      <w:keepNext/>
      <w:keepLines/>
      <w:spacing w:before="240" w:after="240"/>
      <w:outlineLvl w:val="2"/>
    </w:pPr>
    <w:rPr>
      <w:rFonts w:eastAsiaTheme="majorEastAsia" w:cstheme="majorBidi"/>
      <w:i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2975"/>
    <w:pPr>
      <w:keepNext/>
      <w:keepLines/>
      <w:spacing w:before="240" w:after="240"/>
      <w:outlineLvl w:val="3"/>
    </w:pPr>
    <w:rPr>
      <w:rFonts w:eastAsiaTheme="majorEastAsia" w:cstheme="majorBidi"/>
      <w:b/>
      <w:iCs/>
      <w:sz w:val="28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2975"/>
    <w:pPr>
      <w:keepNext/>
      <w:keepLines/>
      <w:spacing w:before="240" w:after="240"/>
      <w:outlineLvl w:val="4"/>
    </w:pPr>
    <w:rPr>
      <w:rFonts w:eastAsiaTheme="majorEastAsia" w:cstheme="majorBidi"/>
      <w:i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2975"/>
    <w:pPr>
      <w:keepNext/>
      <w:keepLines/>
      <w:spacing w:before="240" w:after="240"/>
      <w:outlineLvl w:val="5"/>
    </w:pPr>
    <w:rPr>
      <w:rFonts w:eastAsiaTheme="majorEastAsia" w:cstheme="majorBidi"/>
      <w:b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2975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47EF"/>
    <w:rPr>
      <w:rFonts w:ascii="Arial" w:eastAsiaTheme="majorEastAsia" w:hAnsi="Arial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2975"/>
    <w:rPr>
      <w:rFonts w:ascii="Arial" w:eastAsiaTheme="majorEastAsia" w:hAnsi="Arial" w:cstheme="majorBidi"/>
      <w:i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2975"/>
    <w:rPr>
      <w:rFonts w:ascii="Arial" w:eastAsiaTheme="majorEastAsia" w:hAnsi="Arial" w:cstheme="majorBidi"/>
      <w:b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C82975"/>
    <w:rPr>
      <w:rFonts w:ascii="Arial" w:eastAsiaTheme="majorEastAsia" w:hAnsi="Arial" w:cstheme="majorBidi"/>
      <w:i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C82975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3763" w:themeColor="accent1" w:themeShade="7F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7E5BF1"/>
    <w:pPr>
      <w:spacing w:after="0" w:line="240" w:lineRule="auto"/>
    </w:pPr>
    <w:rPr>
      <w:rFonts w:ascii="Arial" w:hAnsi="Arial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  <w:spacing w:after="240"/>
    </w:pPr>
    <w:rPr>
      <w:rFonts w:eastAsiaTheme="minorEastAsia" w:cstheme="minorBidi"/>
      <w:color w:val="5A5A5A" w:themeColor="text1" w:themeTint="A5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6F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52B0"/>
    <w:rPr>
      <w:color w:val="0000FF"/>
      <w:u w:val="single"/>
    </w:rPr>
  </w:style>
  <w:style w:type="table" w:styleId="TableGrid">
    <w:name w:val="Table Grid"/>
    <w:basedOn w:val="TableNormal"/>
    <w:uiPriority w:val="39"/>
    <w:rsid w:val="004F3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0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04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30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04D"/>
    <w:rPr>
      <w:rFonts w:ascii="Arial" w:eastAsia="Times New Roman" w:hAnsi="Arial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F32C8"/>
    <w:rPr>
      <w:color w:val="954F72"/>
      <w:u w:val="single"/>
    </w:rPr>
  </w:style>
  <w:style w:type="paragraph" w:customStyle="1" w:styleId="msonormal0">
    <w:name w:val="msonormal"/>
    <w:basedOn w:val="Normal"/>
    <w:rsid w:val="000F32C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7">
    <w:name w:val="xl77"/>
    <w:basedOn w:val="Normal"/>
    <w:rsid w:val="000F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78">
    <w:name w:val="xl78"/>
    <w:basedOn w:val="Normal"/>
    <w:rsid w:val="000F32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79">
    <w:name w:val="xl79"/>
    <w:basedOn w:val="Normal"/>
    <w:rsid w:val="000F32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80">
    <w:name w:val="xl80"/>
    <w:basedOn w:val="Normal"/>
    <w:rsid w:val="000F32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</w:rPr>
  </w:style>
  <w:style w:type="paragraph" w:customStyle="1" w:styleId="xl81">
    <w:name w:val="xl81"/>
    <w:basedOn w:val="Normal"/>
    <w:rsid w:val="000F32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</w:rPr>
  </w:style>
  <w:style w:type="paragraph" w:customStyle="1" w:styleId="xl82">
    <w:name w:val="xl82"/>
    <w:basedOn w:val="Normal"/>
    <w:rsid w:val="000F32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</w:rPr>
  </w:style>
  <w:style w:type="paragraph" w:customStyle="1" w:styleId="xl83">
    <w:name w:val="xl83"/>
    <w:basedOn w:val="Normal"/>
    <w:rsid w:val="000F32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314B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B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BD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B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BD0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BF772-98DF-4E12-82FB-2A990A6D6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2486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2022 Agenda Item 12 Attachment 1 Round 7B - Meeting Agendas (CA State Board of Education)</vt:lpstr>
    </vt:vector>
  </TitlesOfParts>
  <Company>California State Board of Education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2022 Agenda Item 05 Attachment 1 - Meeting Agendas (CA State Board of Education)</dc:title>
  <dc:subject>Career Technical Education Incentive Grant Specific Proposed Funding Amounts and Number of Grant Awards.</dc:subject>
  <dc:creator/>
  <cp:keywords/>
  <dc:description/>
  <cp:lastPrinted>2020-02-25T16:23:00Z</cp:lastPrinted>
  <dcterms:created xsi:type="dcterms:W3CDTF">2022-05-05T14:29:00Z</dcterms:created>
  <dcterms:modified xsi:type="dcterms:W3CDTF">2022-05-05T22:07:00Z</dcterms:modified>
  <cp:category/>
</cp:coreProperties>
</file>