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279F" w14:textId="77777777" w:rsidR="006E06C6" w:rsidRPr="00177FDE" w:rsidRDefault="00D5115F" w:rsidP="00B723BE">
      <w:r w:rsidRPr="00177FDE">
        <w:rPr>
          <w:noProof/>
          <w:lang w:eastAsia="ja-JP"/>
        </w:rPr>
        <w:drawing>
          <wp:inline distT="0" distB="0" distL="0" distR="0" wp14:anchorId="423228C7" wp14:editId="423228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3227A0" w14:textId="77777777" w:rsidR="00B723BE" w:rsidRPr="00177FDE" w:rsidRDefault="00FC1FCE" w:rsidP="00B723BE">
      <w:pPr>
        <w:jc w:val="right"/>
      </w:pPr>
      <w:r w:rsidRPr="00177FDE">
        <w:t>California Department of Education</w:t>
      </w:r>
    </w:p>
    <w:p w14:paraId="423227A1" w14:textId="77777777" w:rsidR="00B723BE" w:rsidRPr="00177FDE" w:rsidRDefault="00FC1FCE" w:rsidP="00B723BE">
      <w:pPr>
        <w:jc w:val="right"/>
      </w:pPr>
      <w:r w:rsidRPr="00177FDE">
        <w:t>Executive Office</w:t>
      </w:r>
    </w:p>
    <w:p w14:paraId="423227A2" w14:textId="77777777" w:rsidR="002B4B14" w:rsidRPr="00177FDE" w:rsidRDefault="00692300" w:rsidP="00B723BE">
      <w:pPr>
        <w:jc w:val="right"/>
      </w:pPr>
      <w:r w:rsidRPr="00177FDE">
        <w:t>SBE-00</w:t>
      </w:r>
      <w:r w:rsidR="000324AD" w:rsidRPr="00177FDE">
        <w:t>3</w:t>
      </w:r>
      <w:r w:rsidRPr="00177FDE">
        <w:t xml:space="preserve"> (REV. 1</w:t>
      </w:r>
      <w:r w:rsidR="00C27D57" w:rsidRPr="00177FDE">
        <w:t>1</w:t>
      </w:r>
      <w:r w:rsidRPr="00177FDE">
        <w:t>/2017</w:t>
      </w:r>
      <w:r w:rsidR="00FC1FCE" w:rsidRPr="00177FDE">
        <w:t>)</w:t>
      </w:r>
    </w:p>
    <w:p w14:paraId="423227A3" w14:textId="705FC907" w:rsidR="00B723BE" w:rsidRPr="00177FDE" w:rsidRDefault="64370FA4" w:rsidP="00B723BE">
      <w:pPr>
        <w:jc w:val="right"/>
      </w:pPr>
      <w:r w:rsidRPr="00177FDE">
        <w:t>i</w:t>
      </w:r>
      <w:r w:rsidR="00E23745" w:rsidRPr="00177FDE">
        <w:t>t</w:t>
      </w:r>
      <w:r w:rsidRPr="00177FDE">
        <w:t>b</w:t>
      </w:r>
      <w:r w:rsidR="00820B71" w:rsidRPr="00177FDE">
        <w:t>-amard-</w:t>
      </w:r>
      <w:r w:rsidR="00F16E7C" w:rsidRPr="00177FDE">
        <w:t>jul</w:t>
      </w:r>
      <w:r w:rsidR="00552355" w:rsidRPr="00177FDE">
        <w:t>23</w:t>
      </w:r>
      <w:r w:rsidR="00820B71" w:rsidRPr="00177FDE">
        <w:t>item</w:t>
      </w:r>
      <w:r w:rsidR="00E23745" w:rsidRPr="00177FDE">
        <w:t>01</w:t>
      </w:r>
    </w:p>
    <w:p w14:paraId="423227A4" w14:textId="77777777" w:rsidR="00B723BE" w:rsidRPr="00177FDE" w:rsidRDefault="00B723BE" w:rsidP="000A324A">
      <w:pPr>
        <w:keepNext/>
        <w:keepLines/>
        <w:spacing w:before="120" w:after="120"/>
        <w:jc w:val="center"/>
        <w:outlineLvl w:val="0"/>
        <w:rPr>
          <w:b/>
          <w:sz w:val="40"/>
        </w:rPr>
        <w:sectPr w:rsidR="00B723BE" w:rsidRPr="00177FDE" w:rsidSect="000A324A">
          <w:headerReference w:type="default" r:id="rId12"/>
          <w:footerReference w:type="default" r:id="rId13"/>
          <w:pgSz w:w="12240" w:h="15840"/>
          <w:pgMar w:top="720" w:right="1440" w:bottom="1440" w:left="1440" w:header="720" w:footer="720" w:gutter="0"/>
          <w:cols w:num="2" w:space="720"/>
          <w:titlePg/>
          <w:docGrid w:linePitch="360"/>
        </w:sectPr>
      </w:pPr>
    </w:p>
    <w:p w14:paraId="423227A5" w14:textId="77777777" w:rsidR="006E06C6" w:rsidRPr="00177FDE" w:rsidRDefault="006E06C6" w:rsidP="000A324A">
      <w:pPr>
        <w:keepNext/>
        <w:keepLines/>
        <w:spacing w:before="120" w:after="120"/>
        <w:jc w:val="center"/>
        <w:outlineLvl w:val="0"/>
        <w:rPr>
          <w:b/>
          <w:sz w:val="40"/>
        </w:rPr>
        <w:sectPr w:rsidR="006E06C6" w:rsidRPr="00177FDE"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423227A6" w14:textId="634543C7" w:rsidR="00FC1FCE" w:rsidRPr="00AF7397" w:rsidRDefault="0091117B" w:rsidP="00AF7397">
      <w:pPr>
        <w:pStyle w:val="Heading1"/>
        <w:spacing w:after="0"/>
      </w:pPr>
      <w:r w:rsidRPr="00177FDE">
        <w:t>Californ</w:t>
      </w:r>
      <w:r w:rsidR="00693951" w:rsidRPr="00177FDE">
        <w:t>ia State Board of Education</w:t>
      </w:r>
      <w:r w:rsidR="00AF7397">
        <w:br/>
      </w:r>
      <w:r w:rsidR="00F16E7C" w:rsidRPr="00177FDE">
        <w:t>July</w:t>
      </w:r>
      <w:r w:rsidR="00820B71" w:rsidRPr="00177FDE">
        <w:t xml:space="preserve"> 20</w:t>
      </w:r>
      <w:r w:rsidR="00FA14A3" w:rsidRPr="00177FDE">
        <w:t>23</w:t>
      </w:r>
      <w:r w:rsidR="00AF7397">
        <w:t xml:space="preserve"> Agenda</w:t>
      </w:r>
      <w:r w:rsidR="00AF7397">
        <w:br/>
      </w:r>
      <w:r w:rsidR="00FC1FCE" w:rsidRPr="00177FDE">
        <w:t>Item</w:t>
      </w:r>
      <w:r w:rsidR="00692300" w:rsidRPr="00177FDE">
        <w:rPr>
          <w:b w:val="0"/>
        </w:rPr>
        <w:t xml:space="preserve"> </w:t>
      </w:r>
      <w:r w:rsidR="00692300" w:rsidRPr="00177FDE">
        <w:rPr>
          <w:bCs/>
        </w:rPr>
        <w:t>#</w:t>
      </w:r>
      <w:r w:rsidR="000F7380" w:rsidRPr="00177FDE">
        <w:rPr>
          <w:bCs/>
        </w:rPr>
        <w:t>02</w:t>
      </w:r>
    </w:p>
    <w:p w14:paraId="423227A7" w14:textId="5A9294AC" w:rsidR="00FC1FCE" w:rsidRPr="00177FDE" w:rsidRDefault="00FC1FCE" w:rsidP="000A324A">
      <w:pPr>
        <w:pStyle w:val="Heading2"/>
        <w:spacing w:before="240" w:after="240"/>
        <w:rPr>
          <w:szCs w:val="36"/>
        </w:rPr>
      </w:pPr>
      <w:r w:rsidRPr="00177FDE">
        <w:rPr>
          <w:szCs w:val="36"/>
        </w:rPr>
        <w:t>Subject</w:t>
      </w:r>
    </w:p>
    <w:p w14:paraId="423227A8" w14:textId="6DEBF288" w:rsidR="00692300" w:rsidRPr="00177FDE" w:rsidRDefault="6C1B7D46" w:rsidP="00B73105">
      <w:pPr>
        <w:spacing w:after="240"/>
      </w:pPr>
      <w:r w:rsidRPr="00177FDE">
        <w:t xml:space="preserve">Update on the Implementation of the Integrated Local, State, and Federal Accountability and Continuous Improvement System: Addendum to the Continuing Work and Revisions </w:t>
      </w:r>
      <w:r w:rsidR="00DA53B6" w:rsidRPr="00177FDE">
        <w:t>U</w:t>
      </w:r>
      <w:r w:rsidRPr="00177FDE">
        <w:t>nder Consideration for the 2023 Dashboard Related to the Chronic Absenteeism Indicator</w:t>
      </w:r>
      <w:r w:rsidR="00A9605F">
        <w:t>.</w:t>
      </w:r>
    </w:p>
    <w:p w14:paraId="423227A9" w14:textId="77777777" w:rsidR="00FC1FCE" w:rsidRPr="00177FDE" w:rsidRDefault="00FC1FCE" w:rsidP="00B73105">
      <w:pPr>
        <w:pStyle w:val="Heading2"/>
        <w:spacing w:before="0" w:after="240"/>
        <w:rPr>
          <w:szCs w:val="36"/>
        </w:rPr>
      </w:pPr>
      <w:r w:rsidRPr="00177FDE">
        <w:rPr>
          <w:szCs w:val="36"/>
        </w:rPr>
        <w:t>Type of Action</w:t>
      </w:r>
    </w:p>
    <w:p w14:paraId="423227AA" w14:textId="0B577D74" w:rsidR="0091117B" w:rsidRPr="00177FDE" w:rsidRDefault="5EE6913F" w:rsidP="00FD1D1C">
      <w:pPr>
        <w:spacing w:after="240"/>
      </w:pPr>
      <w:r w:rsidRPr="00177FDE">
        <w:rPr>
          <w:rFonts w:cs="Arial"/>
        </w:rPr>
        <w:t>Information</w:t>
      </w:r>
    </w:p>
    <w:p w14:paraId="423227AB" w14:textId="4E2178CA" w:rsidR="00FC1FCE" w:rsidRPr="00177FDE" w:rsidRDefault="00FC1FCE" w:rsidP="00FD1D1C">
      <w:pPr>
        <w:pStyle w:val="Heading2"/>
        <w:spacing w:before="0" w:after="240"/>
        <w:rPr>
          <w:szCs w:val="36"/>
        </w:rPr>
      </w:pPr>
      <w:r w:rsidRPr="00177FDE">
        <w:t>Summary of the Issue(s)</w:t>
      </w:r>
    </w:p>
    <w:p w14:paraId="59D24FF8" w14:textId="745AEC5B" w:rsidR="00D97E39" w:rsidRPr="00177FDE" w:rsidRDefault="00EB6EF0" w:rsidP="000E3091">
      <w:pPr>
        <w:spacing w:after="100" w:afterAutospacing="1"/>
      </w:pPr>
      <w:r w:rsidRPr="00177FDE">
        <w:t>This item provides an overview of the Chronic Absenteeism Indicator definition</w:t>
      </w:r>
      <w:r w:rsidR="00B5405C" w:rsidRPr="00177FDE">
        <w:t>s</w:t>
      </w:r>
      <w:r w:rsidRPr="00177FDE">
        <w:t xml:space="preserve"> and methodology </w:t>
      </w:r>
      <w:r w:rsidR="00D97E39" w:rsidRPr="00177FDE">
        <w:t xml:space="preserve">used </w:t>
      </w:r>
      <w:r w:rsidR="00B5405C" w:rsidRPr="00177FDE">
        <w:t>for</w:t>
      </w:r>
      <w:r w:rsidR="00D97E39" w:rsidRPr="00177FDE">
        <w:t xml:space="preserve"> the California School Dashboard (Dashboard).</w:t>
      </w:r>
    </w:p>
    <w:p w14:paraId="4795AE56" w14:textId="5F2A4C27" w:rsidR="0061238F" w:rsidRPr="00177FDE" w:rsidRDefault="00D97E39" w:rsidP="000E3091">
      <w:pPr>
        <w:spacing w:after="100" w:afterAutospacing="1"/>
        <w:rPr>
          <w:rFonts w:cs="Arial"/>
        </w:rPr>
      </w:pPr>
      <w:r w:rsidRPr="00177FDE">
        <w:t>Speci</w:t>
      </w:r>
      <w:r w:rsidR="003C5C97" w:rsidRPr="00177FDE">
        <w:t>fic</w:t>
      </w:r>
      <w:r w:rsidRPr="00177FDE">
        <w:t xml:space="preserve">ally, following a two-year pause in producing accountability metrics on the Dashboard in 2020 and 2021 due to the </w:t>
      </w:r>
      <w:r w:rsidR="001A170D" w:rsidRPr="00177FDE">
        <w:t xml:space="preserve">COVID-19 </w:t>
      </w:r>
      <w:r w:rsidRPr="00177FDE">
        <w:t xml:space="preserve">pandemic, the </w:t>
      </w:r>
      <w:r w:rsidR="00226D7B" w:rsidRPr="00177FDE">
        <w:rPr>
          <w:rFonts w:cs="Arial"/>
        </w:rPr>
        <w:t xml:space="preserve">California Department of Education (CDE) requested guidance from the </w:t>
      </w:r>
      <w:r w:rsidR="002D2912" w:rsidRPr="00177FDE">
        <w:rPr>
          <w:rFonts w:cs="Arial"/>
        </w:rPr>
        <w:t>S</w:t>
      </w:r>
      <w:r w:rsidR="00015B7C" w:rsidRPr="00177FDE">
        <w:rPr>
          <w:rFonts w:cs="Arial"/>
        </w:rPr>
        <w:t xml:space="preserve">tate </w:t>
      </w:r>
      <w:r w:rsidR="002D2912" w:rsidRPr="00177FDE">
        <w:rPr>
          <w:rFonts w:cs="Arial"/>
        </w:rPr>
        <w:t>B</w:t>
      </w:r>
      <w:r w:rsidR="00015B7C" w:rsidRPr="00177FDE">
        <w:rPr>
          <w:rFonts w:cs="Arial"/>
        </w:rPr>
        <w:t xml:space="preserve">oard of </w:t>
      </w:r>
      <w:r w:rsidR="002D2912" w:rsidRPr="00177FDE">
        <w:rPr>
          <w:rFonts w:cs="Arial"/>
        </w:rPr>
        <w:t>E</w:t>
      </w:r>
      <w:r w:rsidR="00015B7C" w:rsidRPr="00177FDE">
        <w:rPr>
          <w:rFonts w:cs="Arial"/>
        </w:rPr>
        <w:t>ducation (SBE)</w:t>
      </w:r>
      <w:r w:rsidR="00F70431" w:rsidRPr="00177FDE">
        <w:rPr>
          <w:rFonts w:cs="Arial"/>
        </w:rPr>
        <w:t xml:space="preserve"> at the</w:t>
      </w:r>
      <w:r w:rsidR="00EF5D62" w:rsidRPr="00177FDE">
        <w:rPr>
          <w:rFonts w:cs="Arial"/>
        </w:rPr>
        <w:t>ir</w:t>
      </w:r>
      <w:r w:rsidR="00F70431" w:rsidRPr="00177FDE">
        <w:rPr>
          <w:rFonts w:cs="Arial"/>
        </w:rPr>
        <w:t xml:space="preserve"> March 2022 meeting</w:t>
      </w:r>
      <w:r w:rsidR="00226D7B" w:rsidRPr="00177FDE">
        <w:rPr>
          <w:rFonts w:cs="Arial"/>
        </w:rPr>
        <w:t xml:space="preserve"> on </w:t>
      </w:r>
      <w:r w:rsidR="000E3091" w:rsidRPr="00177FDE">
        <w:rPr>
          <w:rFonts w:cs="Arial"/>
        </w:rPr>
        <w:t>whether there was interest in adjusting the cut scores in preparation for a Status only Dashboard (</w:t>
      </w:r>
      <w:r w:rsidR="005A39D0" w:rsidRPr="00177FDE">
        <w:rPr>
          <w:rFonts w:cs="Arial"/>
        </w:rPr>
        <w:t xml:space="preserve">i.e., Very High, High, Medium, Low, and Very Low). </w:t>
      </w:r>
      <w:r w:rsidR="00D9298C" w:rsidRPr="00177FDE">
        <w:rPr>
          <w:rFonts w:cs="Arial"/>
        </w:rPr>
        <w:t>Prior to the SBE meeting, the t</w:t>
      </w:r>
      <w:r w:rsidR="00560614" w:rsidRPr="00177FDE">
        <w:rPr>
          <w:rFonts w:cs="Arial"/>
        </w:rPr>
        <w:t xml:space="preserve">echnical and policy workgroups </w:t>
      </w:r>
      <w:r w:rsidR="00D9298C" w:rsidRPr="00177FDE">
        <w:rPr>
          <w:rFonts w:cs="Arial"/>
        </w:rPr>
        <w:t xml:space="preserve">had </w:t>
      </w:r>
      <w:r w:rsidR="00560614" w:rsidRPr="00177FDE">
        <w:rPr>
          <w:rFonts w:cs="Arial"/>
        </w:rPr>
        <w:t>recommended that the SBE should</w:t>
      </w:r>
      <w:r w:rsidR="005A39D0" w:rsidRPr="00177FDE">
        <w:rPr>
          <w:rFonts w:cs="Arial"/>
        </w:rPr>
        <w:t xml:space="preserve"> not adjust the cut scores and</w:t>
      </w:r>
      <w:bookmarkStart w:id="0" w:name="_Hlk96091957"/>
      <w:r w:rsidR="0063134B" w:rsidRPr="00177FDE">
        <w:rPr>
          <w:rFonts w:cs="Arial"/>
        </w:rPr>
        <w:t xml:space="preserve"> </w:t>
      </w:r>
      <w:r w:rsidR="005A39D0" w:rsidRPr="00177FDE">
        <w:rPr>
          <w:rFonts w:cs="Arial"/>
        </w:rPr>
        <w:t xml:space="preserve">that lowering standards may not provide an accurate picture of what is occurring at schools. </w:t>
      </w:r>
      <w:r w:rsidR="00D61889" w:rsidRPr="00177FDE">
        <w:rPr>
          <w:rFonts w:cs="Arial"/>
        </w:rPr>
        <w:t xml:space="preserve">The SBE ultimately </w:t>
      </w:r>
      <w:r w:rsidR="00B65873" w:rsidRPr="00177FDE">
        <w:rPr>
          <w:rFonts w:cs="Arial"/>
        </w:rPr>
        <w:t>did</w:t>
      </w:r>
      <w:r w:rsidR="00D61889" w:rsidRPr="00177FDE">
        <w:rPr>
          <w:rFonts w:cs="Arial"/>
        </w:rPr>
        <w:t xml:space="preserve"> not </w:t>
      </w:r>
      <w:r w:rsidR="00B65873" w:rsidRPr="00177FDE">
        <w:rPr>
          <w:rFonts w:cs="Arial"/>
        </w:rPr>
        <w:t xml:space="preserve">approve adjusting </w:t>
      </w:r>
      <w:r w:rsidR="00D61889" w:rsidRPr="00177FDE">
        <w:rPr>
          <w:rFonts w:cs="Arial"/>
        </w:rPr>
        <w:t>cut sc</w:t>
      </w:r>
      <w:r w:rsidR="004977ED" w:rsidRPr="00177FDE">
        <w:rPr>
          <w:rFonts w:cs="Arial"/>
        </w:rPr>
        <w:t>ores</w:t>
      </w:r>
      <w:r w:rsidR="00D61889" w:rsidRPr="00177FDE">
        <w:rPr>
          <w:rFonts w:cs="Arial"/>
        </w:rPr>
        <w:t xml:space="preserve"> for </w:t>
      </w:r>
      <w:r w:rsidR="000E0965" w:rsidRPr="00177FDE">
        <w:rPr>
          <w:rFonts w:cs="Arial"/>
        </w:rPr>
        <w:t xml:space="preserve">any state indicators for </w:t>
      </w:r>
      <w:r w:rsidR="00D61889" w:rsidRPr="00177FDE">
        <w:rPr>
          <w:rFonts w:cs="Arial"/>
        </w:rPr>
        <w:t>the 2022 Dashboard</w:t>
      </w:r>
      <w:r w:rsidR="00B65873" w:rsidRPr="00177FDE">
        <w:rPr>
          <w:rFonts w:cs="Arial"/>
        </w:rPr>
        <w:t xml:space="preserve">. </w:t>
      </w:r>
      <w:r w:rsidR="002A2BF0" w:rsidRPr="00177FDE">
        <w:rPr>
          <w:rFonts w:cs="Arial"/>
        </w:rPr>
        <w:t xml:space="preserve">With the pre-pandemic cut scores in place, </w:t>
      </w:r>
      <w:r w:rsidR="0005247F" w:rsidRPr="00177FDE">
        <w:rPr>
          <w:rFonts w:cs="Arial"/>
        </w:rPr>
        <w:t xml:space="preserve">617 local educational agencies </w:t>
      </w:r>
      <w:r w:rsidR="00A36336" w:rsidRPr="00177FDE">
        <w:rPr>
          <w:rFonts w:cs="Arial"/>
        </w:rPr>
        <w:t>were</w:t>
      </w:r>
      <w:r w:rsidR="0005247F" w:rsidRPr="00177FDE">
        <w:rPr>
          <w:rFonts w:cs="Arial"/>
        </w:rPr>
        <w:t xml:space="preserve"> </w:t>
      </w:r>
      <w:r w:rsidR="00BF648A" w:rsidRPr="00177FDE">
        <w:rPr>
          <w:rFonts w:cs="Arial"/>
        </w:rPr>
        <w:t xml:space="preserve">determined to be </w:t>
      </w:r>
      <w:r w:rsidR="0005247F" w:rsidRPr="00177FDE">
        <w:rPr>
          <w:rFonts w:cs="Arial"/>
        </w:rPr>
        <w:t xml:space="preserve">eligible for differentiated assistance </w:t>
      </w:r>
      <w:r w:rsidR="000F59C5" w:rsidRPr="00177FDE">
        <w:rPr>
          <w:rFonts w:cs="Arial"/>
        </w:rPr>
        <w:t xml:space="preserve">and over 7,000 schools </w:t>
      </w:r>
      <w:r w:rsidR="00A36336" w:rsidRPr="00177FDE">
        <w:rPr>
          <w:rFonts w:cs="Arial"/>
        </w:rPr>
        <w:t>were</w:t>
      </w:r>
      <w:r w:rsidR="000F59C5" w:rsidRPr="00177FDE">
        <w:rPr>
          <w:rFonts w:cs="Arial"/>
        </w:rPr>
        <w:t xml:space="preserve"> eligible for assistance under the Every Student Succeeds Act requirements</w:t>
      </w:r>
      <w:r w:rsidR="00710044" w:rsidRPr="00177FDE">
        <w:rPr>
          <w:rFonts w:cs="Arial"/>
        </w:rPr>
        <w:t xml:space="preserve"> based on the 2022 Dashboard results</w:t>
      </w:r>
      <w:r w:rsidR="000F59C5" w:rsidRPr="00177FDE">
        <w:rPr>
          <w:rFonts w:cs="Arial"/>
        </w:rPr>
        <w:t>.</w:t>
      </w:r>
    </w:p>
    <w:p w14:paraId="2F67B545" w14:textId="74B85FFD" w:rsidR="34819487" w:rsidRPr="00177FDE" w:rsidRDefault="007D70D1" w:rsidP="00AA1891">
      <w:pPr>
        <w:spacing w:after="100" w:afterAutospacing="1"/>
      </w:pPr>
      <w:r w:rsidRPr="00177FDE">
        <w:rPr>
          <w:rFonts w:cs="Arial"/>
        </w:rPr>
        <w:t>Accordingly, dur</w:t>
      </w:r>
      <w:r w:rsidR="0061238F" w:rsidRPr="00177FDE">
        <w:rPr>
          <w:rFonts w:cs="Arial"/>
        </w:rPr>
        <w:t xml:space="preserve">ing the March 2023 SBE meeting, </w:t>
      </w:r>
      <w:r w:rsidR="0061238F" w:rsidRPr="00177FDE">
        <w:t xml:space="preserve">SBE members discussed the high rates of absenteeism </w:t>
      </w:r>
      <w:r w:rsidR="002A2BF0" w:rsidRPr="00177FDE">
        <w:t>(an i</w:t>
      </w:r>
      <w:r w:rsidR="002A2BF0" w:rsidRPr="00177FDE">
        <w:rPr>
          <w:rFonts w:cs="Arial"/>
        </w:rPr>
        <w:t xml:space="preserve">ncrease from </w:t>
      </w:r>
      <w:r w:rsidR="2E924E82" w:rsidRPr="00177FDE">
        <w:rPr>
          <w:rFonts w:cs="Arial"/>
        </w:rPr>
        <w:t xml:space="preserve">a statewide average of </w:t>
      </w:r>
      <w:r w:rsidR="002A2BF0" w:rsidRPr="00177FDE">
        <w:rPr>
          <w:rFonts w:cs="Arial"/>
        </w:rPr>
        <w:t>14.3 percent in 2020–21 to 30 percent in 2021–22)</w:t>
      </w:r>
      <w:r w:rsidR="002A2BF0" w:rsidRPr="00177FDE">
        <w:t xml:space="preserve"> </w:t>
      </w:r>
      <w:r w:rsidR="0061238F" w:rsidRPr="00177FDE">
        <w:t xml:space="preserve">and </w:t>
      </w:r>
      <w:r w:rsidR="002A2BF0" w:rsidRPr="00177FDE">
        <w:t xml:space="preserve">its’ subsequent </w:t>
      </w:r>
      <w:r w:rsidR="0061238F" w:rsidRPr="00177FDE">
        <w:t xml:space="preserve">impact </w:t>
      </w:r>
      <w:r w:rsidR="00B478BC" w:rsidRPr="00177FDE">
        <w:t xml:space="preserve">in </w:t>
      </w:r>
      <w:r w:rsidR="0061238F" w:rsidRPr="00177FDE">
        <w:t xml:space="preserve">assistance </w:t>
      </w:r>
      <w:r w:rsidR="00B478BC" w:rsidRPr="00177FDE">
        <w:t xml:space="preserve">eligibility </w:t>
      </w:r>
      <w:r w:rsidR="0061238F" w:rsidRPr="00177FDE">
        <w:t xml:space="preserve">under state and federal accountability requirements. </w:t>
      </w:r>
      <w:r w:rsidR="00B478BC" w:rsidRPr="00177FDE">
        <w:t xml:space="preserve">At that time, the SBE did not </w:t>
      </w:r>
      <w:r w:rsidR="00AA1891" w:rsidRPr="00177FDE">
        <w:t>take</w:t>
      </w:r>
      <w:r w:rsidR="00B478BC" w:rsidRPr="00177FDE">
        <w:t xml:space="preserve"> action </w:t>
      </w:r>
      <w:r w:rsidR="00AA1891" w:rsidRPr="00177FDE">
        <w:t xml:space="preserve">to direct the CDE to explore this indicator further. </w:t>
      </w:r>
      <w:r w:rsidR="00B478BC" w:rsidRPr="00177FDE">
        <w:t>However, d</w:t>
      </w:r>
      <w:r w:rsidR="00AA1891" w:rsidRPr="00177FDE">
        <w:t xml:space="preserve">uring general public comment </w:t>
      </w:r>
      <w:r w:rsidR="00AA1891" w:rsidRPr="00177FDE">
        <w:lastRenderedPageBreak/>
        <w:t xml:space="preserve">at </w:t>
      </w:r>
      <w:r w:rsidR="0061238F" w:rsidRPr="00177FDE">
        <w:t xml:space="preserve">the May 2023 SBE meeting, </w:t>
      </w:r>
      <w:r w:rsidR="00AA1891" w:rsidRPr="00177FDE">
        <w:t xml:space="preserve">members of the public </w:t>
      </w:r>
      <w:bookmarkEnd w:id="0"/>
      <w:r w:rsidR="00AA1891" w:rsidRPr="00177FDE">
        <w:t>suggest</w:t>
      </w:r>
      <w:r w:rsidR="00BD13B1" w:rsidRPr="00177FDE">
        <w:t>ed</w:t>
      </w:r>
      <w:r w:rsidR="00AA1891" w:rsidRPr="00177FDE">
        <w:t xml:space="preserve"> that </w:t>
      </w:r>
      <w:r w:rsidR="004E6465" w:rsidRPr="00177FDE">
        <w:t>local educational agencies</w:t>
      </w:r>
      <w:r w:rsidR="00AA1891" w:rsidRPr="00177FDE">
        <w:rPr>
          <w:rFonts w:cs="Arial"/>
        </w:rPr>
        <w:t xml:space="preserve"> and schools may no longer view the Dashboard as a system that reports relevant data</w:t>
      </w:r>
      <w:r w:rsidR="00AB250D" w:rsidRPr="00177FDE">
        <w:rPr>
          <w:rFonts w:cs="Arial"/>
        </w:rPr>
        <w:t xml:space="preserve"> due to the lack of differentiation in </w:t>
      </w:r>
      <w:r w:rsidR="005626AC" w:rsidRPr="00177FDE">
        <w:rPr>
          <w:rFonts w:cs="Arial"/>
        </w:rPr>
        <w:t xml:space="preserve">the Chronic Absenteeism Indicator which led to a </w:t>
      </w:r>
      <w:r w:rsidR="00BD13B1" w:rsidRPr="00177FDE">
        <w:rPr>
          <w:rFonts w:cs="Arial"/>
        </w:rPr>
        <w:t xml:space="preserve">high number of </w:t>
      </w:r>
      <w:r w:rsidR="00AB250D" w:rsidRPr="00177FDE">
        <w:rPr>
          <w:rFonts w:cs="Arial"/>
        </w:rPr>
        <w:t>eligibility determinations</w:t>
      </w:r>
      <w:r w:rsidR="00B478BC" w:rsidRPr="00177FDE">
        <w:rPr>
          <w:rFonts w:cs="Arial"/>
        </w:rPr>
        <w:t>. In response</w:t>
      </w:r>
      <w:r w:rsidR="00AA1891" w:rsidRPr="00177FDE">
        <w:rPr>
          <w:rFonts w:cs="Arial"/>
        </w:rPr>
        <w:t>, the SBE directed the CDE to bring this item back for discussion and to reopen the 2023 accountability workplan.</w:t>
      </w:r>
    </w:p>
    <w:p w14:paraId="5549A821" w14:textId="15021E9D" w:rsidR="00FF7D59" w:rsidRPr="00177FDE" w:rsidRDefault="00FF7D59" w:rsidP="00BB045A">
      <w:pPr>
        <w:pStyle w:val="Heading3"/>
      </w:pPr>
      <w:r w:rsidRPr="00177FDE">
        <w:t>Chronic Absenteeism</w:t>
      </w:r>
      <w:r w:rsidR="00C600A5" w:rsidRPr="00177FDE">
        <w:t xml:space="preserve"> Webinar Series</w:t>
      </w:r>
      <w:r w:rsidR="00B625EF" w:rsidRPr="00177FDE">
        <w:t xml:space="preserve"> and Resources</w:t>
      </w:r>
    </w:p>
    <w:p w14:paraId="5B1F7729" w14:textId="11114244" w:rsidR="00887669" w:rsidRPr="00177FDE" w:rsidRDefault="008B34EA" w:rsidP="00887669">
      <w:pPr>
        <w:pStyle w:val="NormalWeb"/>
        <w:shd w:val="clear" w:color="auto" w:fill="FFFFFF"/>
        <w:spacing w:before="0" w:beforeAutospacing="0" w:after="240" w:afterAutospacing="0"/>
        <w:rPr>
          <w:rFonts w:ascii="Helvetica" w:hAnsi="Helvetica" w:cs="Helvetica"/>
          <w:color w:val="000000"/>
        </w:rPr>
      </w:pPr>
      <w:r w:rsidRPr="00177FDE">
        <w:rPr>
          <w:rFonts w:ascii="Helvetica" w:hAnsi="Helvetica" w:cs="Helvetica"/>
          <w:color w:val="000000"/>
        </w:rPr>
        <w:t xml:space="preserve">Under the direction of </w:t>
      </w:r>
      <w:r w:rsidR="00887669" w:rsidRPr="00177FDE">
        <w:rPr>
          <w:rFonts w:ascii="Helvetica" w:hAnsi="Helvetica" w:cs="Helvetica"/>
          <w:color w:val="000000"/>
        </w:rPr>
        <w:t>State Superintendent of Public Instruction Tony Thurmond</w:t>
      </w:r>
      <w:r w:rsidRPr="00177FDE">
        <w:rPr>
          <w:rFonts w:ascii="Helvetica" w:hAnsi="Helvetica" w:cs="Helvetica"/>
          <w:color w:val="000000"/>
        </w:rPr>
        <w:t xml:space="preserve">, the CDE </w:t>
      </w:r>
      <w:r w:rsidR="00B374C4" w:rsidRPr="00177FDE">
        <w:rPr>
          <w:rFonts w:ascii="Helvetica" w:hAnsi="Helvetica" w:cs="Helvetica"/>
          <w:color w:val="000000"/>
        </w:rPr>
        <w:t xml:space="preserve">hosted </w:t>
      </w:r>
      <w:r w:rsidR="00887669" w:rsidRPr="00177FDE">
        <w:rPr>
          <w:rFonts w:ascii="Helvetica" w:hAnsi="Helvetica" w:cs="Helvetica"/>
          <w:color w:val="000000"/>
        </w:rPr>
        <w:t xml:space="preserve">a series of webinars </w:t>
      </w:r>
      <w:r w:rsidR="00AF30CF" w:rsidRPr="00177FDE">
        <w:rPr>
          <w:rFonts w:ascii="Helvetica" w:hAnsi="Helvetica" w:cs="Helvetica"/>
          <w:color w:val="000000"/>
        </w:rPr>
        <w:t xml:space="preserve">beginning in January 2023 </w:t>
      </w:r>
      <w:r w:rsidR="00887669" w:rsidRPr="00177FDE">
        <w:rPr>
          <w:rFonts w:ascii="Helvetica" w:hAnsi="Helvetica" w:cs="Helvetica"/>
          <w:color w:val="000000"/>
        </w:rPr>
        <w:t xml:space="preserve">in partnership with Attendance Works, one of the nation’s leading authorities on attendance supports for students, schools, and families. </w:t>
      </w:r>
      <w:r w:rsidR="001B179E" w:rsidRPr="00177FDE">
        <w:rPr>
          <w:rFonts w:ascii="Helvetica" w:hAnsi="Helvetica" w:cs="Helvetica"/>
          <w:color w:val="000000"/>
        </w:rPr>
        <w:t>A longtime support</w:t>
      </w:r>
      <w:r w:rsidR="00B03A96" w:rsidRPr="00177FDE">
        <w:rPr>
          <w:rFonts w:ascii="Helvetica" w:hAnsi="Helvetica" w:cs="Helvetica"/>
          <w:color w:val="000000"/>
        </w:rPr>
        <w:t>er</w:t>
      </w:r>
      <w:r w:rsidR="001B179E" w:rsidRPr="00177FDE">
        <w:rPr>
          <w:rFonts w:ascii="Helvetica" w:hAnsi="Helvetica" w:cs="Helvetica"/>
          <w:color w:val="000000"/>
        </w:rPr>
        <w:t xml:space="preserve"> of r</w:t>
      </w:r>
      <w:r w:rsidR="00887669" w:rsidRPr="00177FDE">
        <w:rPr>
          <w:rFonts w:ascii="Helvetica" w:hAnsi="Helvetica" w:cs="Helvetica"/>
          <w:color w:val="000000"/>
        </w:rPr>
        <w:t>educing chronic absence</w:t>
      </w:r>
      <w:r w:rsidR="001B179E" w:rsidRPr="00177FDE">
        <w:rPr>
          <w:rFonts w:ascii="Helvetica" w:hAnsi="Helvetica" w:cs="Helvetica"/>
          <w:color w:val="000000"/>
        </w:rPr>
        <w:t xml:space="preserve">, </w:t>
      </w:r>
      <w:r w:rsidR="00887669" w:rsidRPr="00177FDE">
        <w:rPr>
          <w:rFonts w:ascii="Helvetica" w:hAnsi="Helvetica" w:cs="Helvetica"/>
          <w:color w:val="000000"/>
        </w:rPr>
        <w:t>Superintendent Thurmond</w:t>
      </w:r>
      <w:r w:rsidR="001B179E" w:rsidRPr="00177FDE">
        <w:rPr>
          <w:rFonts w:ascii="Helvetica" w:hAnsi="Helvetica" w:cs="Helvetica"/>
          <w:color w:val="000000"/>
        </w:rPr>
        <w:t xml:space="preserve"> </w:t>
      </w:r>
      <w:r w:rsidR="00C56186" w:rsidRPr="00177FDE">
        <w:rPr>
          <w:rFonts w:ascii="Helvetica" w:hAnsi="Helvetica" w:cs="Helvetica"/>
          <w:color w:val="000000"/>
        </w:rPr>
        <w:t xml:space="preserve">has consistently used his role </w:t>
      </w:r>
      <w:r w:rsidR="00B1162B" w:rsidRPr="00177FDE">
        <w:rPr>
          <w:rFonts w:ascii="Helvetica" w:hAnsi="Helvetica" w:cs="Helvetica"/>
          <w:color w:val="000000"/>
        </w:rPr>
        <w:t xml:space="preserve">to </w:t>
      </w:r>
      <w:r w:rsidR="00DC6BB7" w:rsidRPr="00177FDE">
        <w:rPr>
          <w:rFonts w:ascii="Helvetica" w:hAnsi="Helvetica" w:cs="Helvetica"/>
          <w:color w:val="000000"/>
        </w:rPr>
        <w:t>advocate for</w:t>
      </w:r>
      <w:r w:rsidR="00526C10" w:rsidRPr="00177FDE">
        <w:rPr>
          <w:rFonts w:ascii="Helvetica" w:hAnsi="Helvetica" w:cs="Helvetica"/>
          <w:color w:val="000000"/>
        </w:rPr>
        <w:t xml:space="preserve"> this issue.</w:t>
      </w:r>
    </w:p>
    <w:p w14:paraId="32F4A2AF" w14:textId="5E27E6F2" w:rsidR="001D4805" w:rsidRPr="00177FDE" w:rsidRDefault="00C600A5" w:rsidP="00887669">
      <w:pPr>
        <w:pStyle w:val="NormalWeb"/>
        <w:shd w:val="clear" w:color="auto" w:fill="FFFFFF"/>
        <w:spacing w:before="0" w:beforeAutospacing="0" w:after="240" w:afterAutospacing="0"/>
        <w:rPr>
          <w:rFonts w:ascii="Helvetica" w:hAnsi="Helvetica" w:cs="Helvetica"/>
          <w:color w:val="000000"/>
        </w:rPr>
      </w:pPr>
      <w:r w:rsidRPr="00177FDE">
        <w:rPr>
          <w:rFonts w:ascii="Helvetica" w:hAnsi="Helvetica" w:cs="Helvetica"/>
          <w:color w:val="000000"/>
        </w:rPr>
        <w:t>In the press re</w:t>
      </w:r>
      <w:r w:rsidR="001D4805" w:rsidRPr="00177FDE">
        <w:rPr>
          <w:rFonts w:ascii="Helvetica" w:hAnsi="Helvetica" w:cs="Helvetica"/>
          <w:color w:val="000000"/>
        </w:rPr>
        <w:t>lease announcing the webinar series, Superintendent Thurmond shared the following:</w:t>
      </w:r>
    </w:p>
    <w:p w14:paraId="612B511C" w14:textId="5E77BF59" w:rsidR="00887669" w:rsidRPr="00177FDE" w:rsidRDefault="00887669" w:rsidP="00887669">
      <w:pPr>
        <w:pStyle w:val="NormalWeb"/>
        <w:shd w:val="clear" w:color="auto" w:fill="FFFFFF"/>
        <w:spacing w:before="0" w:beforeAutospacing="0" w:after="240" w:afterAutospacing="0"/>
        <w:rPr>
          <w:rFonts w:ascii="Helvetica" w:hAnsi="Helvetica" w:cs="Helvetica"/>
          <w:color w:val="000000"/>
        </w:rPr>
      </w:pPr>
      <w:r w:rsidRPr="00177FDE">
        <w:rPr>
          <w:rFonts w:ascii="Helvetica" w:hAnsi="Helvetica" w:cs="Helvetica"/>
          <w:color w:val="000000"/>
        </w:rPr>
        <w:t>“Thirty percent of all California students are reported to be chronically absent, so this affects school districts throughout our state, and we all need to look at strategies and solutions,” said Superintendent Thurmond. “But I ask that we not lose our equity lens. The consequences of chronic absence do not affect all students, all families, all schools, and all communities equally. As we consider the critical information being heard today, I ask that you hold your lens at an equity angle. We know that African American students, Native American students, and youth who are engaged with the foster care and juvenile justice systems have chronic absenteeism numbers almost 10 percent higher than our other student groups.”</w:t>
      </w:r>
    </w:p>
    <w:p w14:paraId="473002F0" w14:textId="4BA8671D" w:rsidR="00887669" w:rsidRPr="00177FDE" w:rsidRDefault="00AF55B4" w:rsidP="00887669">
      <w:pPr>
        <w:pStyle w:val="NormalWeb"/>
        <w:shd w:val="clear" w:color="auto" w:fill="FFFFFF"/>
        <w:spacing w:before="0" w:beforeAutospacing="0" w:after="240" w:afterAutospacing="0"/>
        <w:rPr>
          <w:rFonts w:ascii="Helvetica" w:hAnsi="Helvetica" w:cs="Helvetica"/>
          <w:color w:val="000000"/>
        </w:rPr>
      </w:pPr>
      <w:r w:rsidRPr="00177FDE">
        <w:rPr>
          <w:rFonts w:ascii="Helvetica" w:hAnsi="Helvetica" w:cs="Helvetica"/>
          <w:color w:val="000000"/>
        </w:rPr>
        <w:t xml:space="preserve">In addition to the webinar series, </w:t>
      </w:r>
      <w:r w:rsidR="00887669" w:rsidRPr="00177FDE">
        <w:rPr>
          <w:rFonts w:ascii="Helvetica" w:hAnsi="Helvetica" w:cs="Helvetica"/>
          <w:color w:val="000000"/>
        </w:rPr>
        <w:t xml:space="preserve">Superintendent Thurmond </w:t>
      </w:r>
      <w:r w:rsidRPr="00177FDE">
        <w:rPr>
          <w:rFonts w:ascii="Helvetica" w:hAnsi="Helvetica" w:cs="Helvetica"/>
          <w:color w:val="000000"/>
        </w:rPr>
        <w:t xml:space="preserve">conducted </w:t>
      </w:r>
      <w:r w:rsidR="00887669" w:rsidRPr="00177FDE">
        <w:rPr>
          <w:rFonts w:ascii="Helvetica" w:hAnsi="Helvetica" w:cs="Helvetica"/>
          <w:color w:val="000000"/>
        </w:rPr>
        <w:t>school visits around the state to volunteer directly with outreach efforts.</w:t>
      </w:r>
      <w:r w:rsidRPr="00177FDE">
        <w:rPr>
          <w:rFonts w:ascii="Helvetica" w:hAnsi="Helvetica" w:cs="Helvetica"/>
          <w:color w:val="000000"/>
        </w:rPr>
        <w:t xml:space="preserve"> </w:t>
      </w:r>
      <w:r w:rsidR="00887669" w:rsidRPr="00177FDE">
        <w:rPr>
          <w:rFonts w:ascii="Helvetica" w:hAnsi="Helvetica" w:cs="Helvetica"/>
          <w:color w:val="000000"/>
        </w:rPr>
        <w:t>The CDE has sent guidance to local educational agencies with resources and best practices to school districts on ways to counter chronic absenteeism.</w:t>
      </w:r>
    </w:p>
    <w:p w14:paraId="423227AD" w14:textId="77777777" w:rsidR="003E4DF7" w:rsidRPr="00177FDE" w:rsidRDefault="1B584877" w:rsidP="00BB045A">
      <w:pPr>
        <w:pStyle w:val="Heading3"/>
        <w:rPr>
          <w:szCs w:val="36"/>
        </w:rPr>
      </w:pPr>
      <w:r w:rsidRPr="00177FDE">
        <w:t>Recommendation</w:t>
      </w:r>
    </w:p>
    <w:p w14:paraId="0894B828" w14:textId="0A965584" w:rsidR="3B29CE0B" w:rsidRPr="00177FDE" w:rsidRDefault="3B29CE0B" w:rsidP="4EA68CF9">
      <w:pPr>
        <w:spacing w:after="240"/>
        <w:rPr>
          <w:rFonts w:eastAsia="Arial" w:cs="Arial"/>
          <w:color w:val="000000" w:themeColor="text1"/>
        </w:rPr>
      </w:pPr>
      <w:r w:rsidRPr="00177FDE">
        <w:rPr>
          <w:rFonts w:eastAsia="Arial" w:cs="Arial"/>
          <w:color w:val="000000" w:themeColor="text1"/>
        </w:rPr>
        <w:t>The CDE recommends that the SBE</w:t>
      </w:r>
      <w:r w:rsidR="17ACAE03" w:rsidRPr="00177FDE">
        <w:t xml:space="preserve"> provide guidance</w:t>
      </w:r>
      <w:r w:rsidR="003B7421" w:rsidRPr="00177FDE">
        <w:t xml:space="preserve"> </w:t>
      </w:r>
      <w:r w:rsidR="2459CC14" w:rsidRPr="00177FDE">
        <w:t xml:space="preserve">and direction </w:t>
      </w:r>
      <w:r w:rsidR="7C09354F" w:rsidRPr="00177FDE">
        <w:t xml:space="preserve">for any changes they would like to see </w:t>
      </w:r>
      <w:r w:rsidR="00ED11A2" w:rsidRPr="00177FDE">
        <w:t>explored</w:t>
      </w:r>
      <w:r w:rsidR="7C09354F" w:rsidRPr="00177FDE">
        <w:t xml:space="preserve"> </w:t>
      </w:r>
      <w:r w:rsidR="00ED11A2" w:rsidRPr="00177FDE">
        <w:t xml:space="preserve">for </w:t>
      </w:r>
      <w:r w:rsidR="28D34AEE" w:rsidRPr="00177FDE">
        <w:t xml:space="preserve">the Chronic Absenteeism Indicator </w:t>
      </w:r>
      <w:r w:rsidR="00015AFD" w:rsidRPr="00177FDE">
        <w:t>as part of the 2023 accountability</w:t>
      </w:r>
      <w:r w:rsidR="7C09354F" w:rsidRPr="00177FDE">
        <w:t xml:space="preserve"> workplan.</w:t>
      </w:r>
    </w:p>
    <w:p w14:paraId="423227AF" w14:textId="77777777" w:rsidR="00F40510" w:rsidRPr="00177FDE" w:rsidRDefault="003E4DF7" w:rsidP="00FD1D1C">
      <w:pPr>
        <w:pStyle w:val="Heading2"/>
        <w:spacing w:before="0" w:after="240"/>
        <w:rPr>
          <w:szCs w:val="36"/>
        </w:rPr>
      </w:pPr>
      <w:r w:rsidRPr="00177FDE">
        <w:rPr>
          <w:szCs w:val="36"/>
        </w:rPr>
        <w:t>Brief History of Key Issues</w:t>
      </w:r>
    </w:p>
    <w:p w14:paraId="42F95936" w14:textId="2F29C936" w:rsidR="009F4A7C" w:rsidRPr="00177FDE" w:rsidRDefault="00CB5A9A" w:rsidP="009F4A7C">
      <w:pPr>
        <w:spacing w:after="240"/>
        <w:rPr>
          <w:rFonts w:cs="Arial"/>
        </w:rPr>
      </w:pPr>
      <w:r w:rsidRPr="00177FDE">
        <w:rPr>
          <w:rFonts w:cs="Arial"/>
        </w:rPr>
        <w:t xml:space="preserve">California’s accountability </w:t>
      </w:r>
      <w:r w:rsidR="00185551" w:rsidRPr="00177FDE">
        <w:rPr>
          <w:rFonts w:cs="Arial"/>
        </w:rPr>
        <w:t xml:space="preserve">system </w:t>
      </w:r>
      <w:r w:rsidRPr="00177FDE">
        <w:rPr>
          <w:rFonts w:cs="Arial"/>
        </w:rPr>
        <w:t xml:space="preserve">was developed to align with the priorities of the Local Control Funding Formula (LCFF) and to meet the requirements under the ESSA. Chronic absenteeism is a metric identified as part of LCFF Priority 5 (Pupil Engagement). The ESSA requires states to collect data to identify students who are </w:t>
      </w:r>
      <w:r w:rsidRPr="00177FDE">
        <w:rPr>
          <w:rFonts w:cs="Arial"/>
        </w:rPr>
        <w:lastRenderedPageBreak/>
        <w:t>chronically absent and report chronic absenteeism rates for schools in the ESSA State Report Card (Section 1111[h][1][C][viii]).</w:t>
      </w:r>
    </w:p>
    <w:p w14:paraId="7B875977" w14:textId="0F330ECE" w:rsidR="00CB5A9A" w:rsidRPr="00177FDE" w:rsidRDefault="00CB5A9A" w:rsidP="00CB5A9A">
      <w:pPr>
        <w:spacing w:after="240"/>
      </w:pPr>
      <w:r w:rsidRPr="00177FDE">
        <w:t xml:space="preserve">Under California’s ESSA State Plan, </w:t>
      </w:r>
      <w:r w:rsidR="00272DAD" w:rsidRPr="00177FDE">
        <w:t>c</w:t>
      </w:r>
      <w:r w:rsidRPr="00177FDE">
        <w:t xml:space="preserve">hronic absenteeism serves as an additional academic indicator for kindergarten through grade eight (K–8). As </w:t>
      </w:r>
      <w:r w:rsidR="008320FA" w:rsidRPr="00177FDE">
        <w:t>adopted by the SBE,</w:t>
      </w:r>
      <w:r w:rsidRPr="00177FDE">
        <w:t xml:space="preserve"> this indicator is limited to grades K–8 and </w:t>
      </w:r>
      <w:r w:rsidR="008320FA" w:rsidRPr="00177FDE">
        <w:t>is</w:t>
      </w:r>
      <w:r w:rsidRPr="00177FDE">
        <w:t xml:space="preserve"> </w:t>
      </w:r>
      <w:r w:rsidR="006D5A42" w:rsidRPr="00177FDE">
        <w:t xml:space="preserve">not </w:t>
      </w:r>
      <w:r w:rsidRPr="00177FDE">
        <w:t xml:space="preserve">applied to grades nine through twelve. There are currently two indicators (graduation rate and college/career) that capture the impact of chronic absenteeism at the high school level. </w:t>
      </w:r>
      <w:r w:rsidR="008320FA" w:rsidRPr="00177FDE">
        <w:t xml:space="preserve">Note: the CDE </w:t>
      </w:r>
      <w:r w:rsidR="00EC3B87" w:rsidRPr="00177FDE">
        <w:t xml:space="preserve">provides Chronic Absenteeism </w:t>
      </w:r>
      <w:r w:rsidR="006D5A42" w:rsidRPr="00177FDE">
        <w:t xml:space="preserve">Rate reports </w:t>
      </w:r>
      <w:r w:rsidR="00EC3B87" w:rsidRPr="00177FDE">
        <w:t>for</w:t>
      </w:r>
      <w:r w:rsidR="008320FA" w:rsidRPr="00177FDE">
        <w:t xml:space="preserve"> all </w:t>
      </w:r>
      <w:r w:rsidR="00EC3B87" w:rsidRPr="00177FDE">
        <w:t xml:space="preserve">grade levels </w:t>
      </w:r>
      <w:r w:rsidR="006D5A42" w:rsidRPr="00177FDE">
        <w:t>on the state’s data reporting web site, DataQuest.</w:t>
      </w:r>
    </w:p>
    <w:p w14:paraId="128030A8" w14:textId="36F810FC" w:rsidR="00CB5A9A" w:rsidRPr="00177FDE" w:rsidRDefault="00F71BBE" w:rsidP="00F71BBE">
      <w:pPr>
        <w:spacing w:after="240"/>
        <w:rPr>
          <w:rFonts w:cs="Arial"/>
        </w:rPr>
      </w:pPr>
      <w:r w:rsidRPr="00177FDE">
        <w:rPr>
          <w:rFonts w:cs="Arial"/>
        </w:rPr>
        <w:t xml:space="preserve">Chronic absenteeism data is collected through the California Longitudinal Pupil Achievement Data System (CALPADS) and is used to calculate this indicator. This data was collected for the first time at the end of the 2016–17 school year. This data was released publicly in December 2017 and </w:t>
      </w:r>
      <w:r w:rsidR="00174987" w:rsidRPr="00177FDE">
        <w:rPr>
          <w:rFonts w:cs="Arial"/>
        </w:rPr>
        <w:t>wa</w:t>
      </w:r>
      <w:r w:rsidRPr="00177FDE">
        <w:rPr>
          <w:rFonts w:cs="Arial"/>
        </w:rPr>
        <w:t xml:space="preserve">s reported on the California School Dashboard (Dashboard) through a direct link to the California Department of Education’s (CDE’s) reporting web site, DataQuest. </w:t>
      </w:r>
      <w:r w:rsidR="00174987" w:rsidRPr="00177FDE">
        <w:rPr>
          <w:rFonts w:cs="Arial"/>
        </w:rPr>
        <w:t>In November 2018, the SBE adopt</w:t>
      </w:r>
      <w:r w:rsidR="004B329B" w:rsidRPr="00177FDE">
        <w:rPr>
          <w:rFonts w:cs="Arial"/>
        </w:rPr>
        <w:t>ed</w:t>
      </w:r>
      <w:r w:rsidR="00174987" w:rsidRPr="00177FDE">
        <w:rPr>
          <w:rFonts w:cs="Arial"/>
        </w:rPr>
        <w:t xml:space="preserve"> the cut scores and performance levels </w:t>
      </w:r>
      <w:r w:rsidR="004B329B" w:rsidRPr="00177FDE">
        <w:rPr>
          <w:rFonts w:cs="Arial"/>
        </w:rPr>
        <w:t xml:space="preserve">currently used </w:t>
      </w:r>
      <w:r w:rsidR="00174987" w:rsidRPr="00177FDE">
        <w:rPr>
          <w:rFonts w:cs="Arial"/>
        </w:rPr>
        <w:t>for the Chronic Absenteeism Indicator</w:t>
      </w:r>
      <w:r w:rsidR="00CB5A9A" w:rsidRPr="00177FDE">
        <w:rPr>
          <w:rFonts w:cs="Arial"/>
        </w:rPr>
        <w:t>.</w:t>
      </w:r>
    </w:p>
    <w:p w14:paraId="78AD2666" w14:textId="303B1D5B" w:rsidR="00287D20" w:rsidRPr="00177FDE" w:rsidRDefault="003E4DF7" w:rsidP="5A98B660">
      <w:pPr>
        <w:pStyle w:val="Heading2"/>
        <w:spacing w:before="0" w:after="240"/>
      </w:pPr>
      <w:r w:rsidRPr="00177FDE">
        <w:t>Summary of Previous State Board of Education Discussion and Action</w:t>
      </w:r>
    </w:p>
    <w:p w14:paraId="574152D8" w14:textId="2F5F022B" w:rsidR="00C57C96" w:rsidRPr="00177FDE" w:rsidRDefault="00C57C96" w:rsidP="0081393D">
      <w:pPr>
        <w:pStyle w:val="Heading3"/>
      </w:pPr>
      <w:r w:rsidRPr="00177FDE">
        <w:t>C</w:t>
      </w:r>
      <w:r w:rsidR="3CEFD113" w:rsidRPr="00177FDE">
        <w:t xml:space="preserve">hronic Absenteeism </w:t>
      </w:r>
      <w:r w:rsidRPr="00177FDE">
        <w:t>Indicator</w:t>
      </w:r>
    </w:p>
    <w:p w14:paraId="161711BA" w14:textId="6A06D678" w:rsidR="00E216F1" w:rsidRPr="00177FDE" w:rsidRDefault="157DA6C9" w:rsidP="4EA68CF9">
      <w:pPr>
        <w:spacing w:after="240"/>
        <w:rPr>
          <w:rFonts w:eastAsia="Arial" w:cs="Arial"/>
          <w:color w:val="000000" w:themeColor="text1"/>
        </w:rPr>
      </w:pPr>
      <w:r w:rsidRPr="00177FDE">
        <w:rPr>
          <w:rFonts w:eastAsia="Arial" w:cs="Arial"/>
          <w:color w:val="000000" w:themeColor="text1"/>
        </w:rPr>
        <w:t>In November 2014, the SBE adopted the LCAP template, which included the formula for calculating the Chronic Absenteeism rate. (</w:t>
      </w:r>
      <w:hyperlink r:id="rId17" w:tooltip="Chronic Absenteeism rate">
        <w:r w:rsidRPr="00177FDE">
          <w:rPr>
            <w:rStyle w:val="Hyperlink"/>
            <w:rFonts w:eastAsia="Arial" w:cs="Arial"/>
          </w:rPr>
          <w:t>https://www.cde.ca.gov/be/ag/ag/yr14/documents/nov14item14.doc</w:t>
        </w:r>
      </w:hyperlink>
      <w:r w:rsidRPr="00177FDE">
        <w:rPr>
          <w:rStyle w:val="Hyperlink"/>
          <w:rFonts w:eastAsia="Arial" w:cs="Arial"/>
        </w:rPr>
        <w:t>)</w:t>
      </w:r>
    </w:p>
    <w:p w14:paraId="3BE4DE0A" w14:textId="18F3F116" w:rsidR="00E216F1" w:rsidRPr="00177FDE" w:rsidRDefault="157DA6C9" w:rsidP="4EA68CF9">
      <w:pPr>
        <w:spacing w:after="240"/>
        <w:rPr>
          <w:rFonts w:eastAsia="Arial" w:cs="Arial"/>
          <w:color w:val="000000" w:themeColor="text1"/>
        </w:rPr>
      </w:pPr>
      <w:r w:rsidRPr="00177FDE">
        <w:rPr>
          <w:rFonts w:eastAsia="Arial" w:cs="Arial"/>
          <w:color w:val="000000" w:themeColor="text1"/>
        </w:rPr>
        <w:t>In May 2016, the SBE adopted Chronic Absenteeism as a state indicator. (</w:t>
      </w:r>
      <w:hyperlink r:id="rId18" w:tooltip="Chronic Absenteeism as a state indicator">
        <w:r w:rsidRPr="00177FDE">
          <w:rPr>
            <w:rStyle w:val="Hyperlink"/>
            <w:rFonts w:eastAsia="Arial" w:cs="Arial"/>
          </w:rPr>
          <w:t>https://www.cde.ca.gov/be/ag/ag/yr16/documents/may16item02revised.doc</w:t>
        </w:r>
      </w:hyperlink>
      <w:r w:rsidRPr="00177FDE">
        <w:rPr>
          <w:rFonts w:eastAsia="Arial" w:cs="Arial"/>
          <w:color w:val="000000" w:themeColor="text1"/>
        </w:rPr>
        <w:t>)</w:t>
      </w:r>
    </w:p>
    <w:p w14:paraId="4E7081A5" w14:textId="40B07DB8" w:rsidR="00E216F1" w:rsidRPr="00177FDE" w:rsidRDefault="157DA6C9" w:rsidP="4EA68CF9">
      <w:pPr>
        <w:spacing w:after="240"/>
        <w:rPr>
          <w:rFonts w:eastAsia="Arial" w:cs="Arial"/>
          <w:color w:val="000000" w:themeColor="text1"/>
        </w:rPr>
      </w:pPr>
      <w:r w:rsidRPr="00177FDE">
        <w:rPr>
          <w:rFonts w:eastAsia="Arial" w:cs="Arial"/>
          <w:color w:val="000000" w:themeColor="text1"/>
        </w:rPr>
        <w:t>At the September 2017 SBE meeting, the CDE provided an update on the Chronic Absenteeism Indicator and the collection of chronic absenteeism data. (</w:t>
      </w:r>
      <w:hyperlink r:id="rId19" w:tooltip="Update on the Chronic Absenteeism Indicator">
        <w:r w:rsidRPr="00177FDE">
          <w:rPr>
            <w:rStyle w:val="Hyperlink"/>
            <w:rFonts w:eastAsia="Arial" w:cs="Arial"/>
          </w:rPr>
          <w:t>https://www.cde.ca.gov/be/ag/ag/yr17/documents/sep17item02.doc</w:t>
        </w:r>
      </w:hyperlink>
      <w:r w:rsidRPr="00177FDE">
        <w:rPr>
          <w:rFonts w:eastAsia="Arial" w:cs="Arial"/>
          <w:color w:val="000000" w:themeColor="text1"/>
        </w:rPr>
        <w:t>)</w:t>
      </w:r>
    </w:p>
    <w:p w14:paraId="416970FD" w14:textId="447B1B3E" w:rsidR="00E216F1" w:rsidRPr="00177FDE" w:rsidRDefault="157DA6C9" w:rsidP="4EA68CF9">
      <w:pPr>
        <w:spacing w:after="240"/>
        <w:rPr>
          <w:rFonts w:eastAsia="Arial" w:cs="Arial"/>
          <w:color w:val="000000" w:themeColor="text1"/>
        </w:rPr>
      </w:pPr>
      <w:r w:rsidRPr="00177FDE">
        <w:rPr>
          <w:rFonts w:eastAsia="Arial" w:cs="Arial"/>
          <w:color w:val="000000" w:themeColor="text1"/>
        </w:rPr>
        <w:t>At the November 2017 SBE meeting, the CDE provided extensive background on the Chronic Absenteeism Indicator and requested that the SBE: (1) include information in the Fall 2017 Dashboard to redirect users to the Chronic Absenteeism reports on DataQuest; (2) direct CDE staff to develop a recommendation for the March 2018 SBE meeting on proposed Status cut scores that will subsequently be used to update the Fall 2017 Dashboard Chronic Absenteeism Indicator; and (3) direct CDE staff to develop a recommendation for the September or November 2018 SBE meeting on proposed Change cut scores. (</w:t>
      </w:r>
      <w:hyperlink r:id="rId20" w:tooltip="November 2017 SBE meeting">
        <w:r w:rsidRPr="00177FDE">
          <w:rPr>
            <w:rStyle w:val="Hyperlink"/>
            <w:rFonts w:eastAsia="Arial" w:cs="Arial"/>
          </w:rPr>
          <w:t>https://www.cde.ca.gov/be/ag/ag/yr17/documents/nov17item03.doc</w:t>
        </w:r>
      </w:hyperlink>
      <w:r w:rsidRPr="00177FDE">
        <w:rPr>
          <w:rFonts w:eastAsia="Arial" w:cs="Arial"/>
          <w:color w:val="000000" w:themeColor="text1"/>
        </w:rPr>
        <w:t>)</w:t>
      </w:r>
    </w:p>
    <w:p w14:paraId="2E1FD442" w14:textId="3C3AF46F" w:rsidR="00E216F1" w:rsidRPr="00177FDE" w:rsidRDefault="157DA6C9" w:rsidP="4EA68CF9">
      <w:pPr>
        <w:spacing w:after="240"/>
        <w:rPr>
          <w:rFonts w:eastAsia="Arial" w:cs="Arial"/>
          <w:color w:val="000000" w:themeColor="text1"/>
        </w:rPr>
      </w:pPr>
      <w:r w:rsidRPr="00177FDE">
        <w:rPr>
          <w:rFonts w:eastAsia="Arial" w:cs="Arial"/>
          <w:color w:val="000000" w:themeColor="text1"/>
        </w:rPr>
        <w:lastRenderedPageBreak/>
        <w:t>In March 2018, the SBE was provided an update on proposed changes to the Dashboard for the 2018 Dashboard release, including an update on the development of the Chronic Absenteeism Indicator. (</w:t>
      </w:r>
      <w:hyperlink r:id="rId21" w:tooltip="2018 Dashboard release including an update on the development of the Chronic Absenteeism Indicator">
        <w:r w:rsidRPr="00177FDE">
          <w:rPr>
            <w:rStyle w:val="Hyperlink"/>
            <w:rFonts w:eastAsia="Arial" w:cs="Arial"/>
          </w:rPr>
          <w:t>https://www.cde.ca.gov/be/ag/ag/yr18/documents/mar18item01.docx</w:t>
        </w:r>
      </w:hyperlink>
      <w:r w:rsidRPr="00177FDE">
        <w:rPr>
          <w:rFonts w:eastAsia="Arial" w:cs="Arial"/>
          <w:color w:val="000000" w:themeColor="text1"/>
        </w:rPr>
        <w:t>)</w:t>
      </w:r>
    </w:p>
    <w:p w14:paraId="672D3FA1" w14:textId="01CB4443" w:rsidR="00E216F1" w:rsidRPr="00177FDE" w:rsidRDefault="157DA6C9" w:rsidP="4EA68CF9">
      <w:pPr>
        <w:spacing w:after="240"/>
        <w:rPr>
          <w:rFonts w:eastAsia="Arial" w:cs="Arial"/>
          <w:color w:val="000000" w:themeColor="text1"/>
        </w:rPr>
      </w:pPr>
      <w:r w:rsidRPr="00177FDE">
        <w:rPr>
          <w:rFonts w:eastAsia="Arial" w:cs="Arial"/>
          <w:color w:val="000000" w:themeColor="text1"/>
        </w:rPr>
        <w:t>In August 2018, the SBE received an Information Memorandum on the proposed methodology for calculating the chronic absenteeism rate. (</w:t>
      </w:r>
      <w:hyperlink r:id="rId22" w:tooltip="The proposed methodology for calculating the chronic absenteeism rate">
        <w:r w:rsidRPr="00177FDE">
          <w:rPr>
            <w:rStyle w:val="Hyperlink"/>
            <w:rFonts w:eastAsia="Arial" w:cs="Arial"/>
          </w:rPr>
          <w:t>https://www.cde.ca.gov/be/pn/im/documents/memo-pptb-amard-aug18item02.docx</w:t>
        </w:r>
      </w:hyperlink>
      <w:r w:rsidRPr="00177FDE">
        <w:rPr>
          <w:rFonts w:eastAsia="Arial" w:cs="Arial"/>
          <w:color w:val="000000" w:themeColor="text1"/>
        </w:rPr>
        <w:t>)</w:t>
      </w:r>
    </w:p>
    <w:p w14:paraId="18A3F3B7" w14:textId="2A0539E0" w:rsidR="00E216F1" w:rsidRPr="00177FDE" w:rsidRDefault="157DA6C9" w:rsidP="4EA68CF9">
      <w:pPr>
        <w:spacing w:after="240"/>
        <w:rPr>
          <w:rFonts w:eastAsia="Arial" w:cs="Arial"/>
          <w:color w:val="000000" w:themeColor="text1"/>
        </w:rPr>
      </w:pPr>
      <w:r w:rsidRPr="00177FDE">
        <w:rPr>
          <w:rFonts w:eastAsia="Arial" w:cs="Arial"/>
          <w:color w:val="000000" w:themeColor="text1"/>
        </w:rPr>
        <w:t>In September 2018, the SBE approved the methodology for calculating the Chronic Absenteeism Indicator. (</w:t>
      </w:r>
      <w:hyperlink r:id="rId23" w:tooltip="SBE approved the methodology for calculating the Chronic Absenteeism Indicator">
        <w:r w:rsidRPr="00177FDE">
          <w:rPr>
            <w:rStyle w:val="Hyperlink"/>
            <w:rFonts w:eastAsia="Arial" w:cs="Arial"/>
          </w:rPr>
          <w:t>https://www.cde.ca.gov/be/ag/ag/yr18/documents/sep18item01.docx</w:t>
        </w:r>
      </w:hyperlink>
      <w:r w:rsidRPr="00177FDE">
        <w:rPr>
          <w:rFonts w:eastAsia="Arial" w:cs="Arial"/>
          <w:color w:val="000000" w:themeColor="text1"/>
        </w:rPr>
        <w:t>)</w:t>
      </w:r>
    </w:p>
    <w:p w14:paraId="27CB4FB9" w14:textId="7553A3E5" w:rsidR="00E216F1" w:rsidRPr="00177FDE" w:rsidRDefault="157DA6C9" w:rsidP="4EA68CF9">
      <w:pPr>
        <w:spacing w:after="240"/>
        <w:rPr>
          <w:rFonts w:cs="Arial"/>
        </w:rPr>
      </w:pPr>
      <w:r w:rsidRPr="00177FDE">
        <w:rPr>
          <w:rFonts w:eastAsia="Arial" w:cs="Arial"/>
          <w:color w:val="000000" w:themeColor="text1"/>
        </w:rPr>
        <w:t>In November 2018, the SBE approved Status and Change cut scores for the Chronic Indicator. (</w:t>
      </w:r>
      <w:hyperlink r:id="rId24" w:tooltip="SBE approved Status and Change cut scores for the Chronic Indicator">
        <w:r w:rsidRPr="00177FDE">
          <w:rPr>
            <w:rStyle w:val="Hyperlink"/>
            <w:rFonts w:eastAsia="Arial" w:cs="Arial"/>
          </w:rPr>
          <w:t>https://www.cde.ca.gov/be/ag/ag/yr18/documents/nov18item04.docx</w:t>
        </w:r>
      </w:hyperlink>
      <w:r w:rsidRPr="00177FDE">
        <w:rPr>
          <w:rFonts w:eastAsia="Arial" w:cs="Arial"/>
          <w:color w:val="000000" w:themeColor="text1"/>
        </w:rPr>
        <w:t>)</w:t>
      </w:r>
      <w:r w:rsidR="006072FA" w:rsidRPr="00177FDE">
        <w:rPr>
          <w:rFonts w:cs="Arial"/>
        </w:rPr>
        <w:t xml:space="preserve"> </w:t>
      </w:r>
    </w:p>
    <w:p w14:paraId="423227C9" w14:textId="5B51A23F" w:rsidR="003E4DF7" w:rsidRPr="00177FDE" w:rsidRDefault="003E4DF7" w:rsidP="00B73105">
      <w:pPr>
        <w:pStyle w:val="Heading2"/>
        <w:spacing w:before="0" w:after="240"/>
        <w:rPr>
          <w:szCs w:val="36"/>
        </w:rPr>
      </w:pPr>
      <w:r w:rsidRPr="00177FDE">
        <w:rPr>
          <w:szCs w:val="36"/>
        </w:rPr>
        <w:t>Fiscal Analysis (as appropriate)</w:t>
      </w:r>
    </w:p>
    <w:p w14:paraId="18064F78" w14:textId="5ACD1774" w:rsidR="00594F19" w:rsidRPr="00177FDE" w:rsidRDefault="004F6DB9" w:rsidP="18E715EE">
      <w:pPr>
        <w:spacing w:before="100" w:beforeAutospacing="1" w:after="100" w:afterAutospacing="1"/>
        <w:rPr>
          <w:rFonts w:cs="Arial"/>
          <w:color w:val="000000"/>
        </w:rPr>
      </w:pPr>
      <w:r w:rsidRPr="00177FDE">
        <w:rPr>
          <w:rFonts w:cs="Arial"/>
          <w:color w:val="000000" w:themeColor="text1"/>
        </w:rPr>
        <w:t>C</w:t>
      </w:r>
      <w:r w:rsidR="00594F19" w:rsidRPr="00177FDE">
        <w:rPr>
          <w:rFonts w:cs="Arial"/>
          <w:color w:val="000000" w:themeColor="text1"/>
        </w:rPr>
        <w:t>alifornia’s total kindergarten through grade twelve funding within the 2022–23 California Budget Act</w:t>
      </w:r>
      <w:r w:rsidRPr="00177FDE">
        <w:rPr>
          <w:rFonts w:cs="Arial"/>
          <w:color w:val="000000" w:themeColor="text1"/>
        </w:rPr>
        <w:t xml:space="preserve"> is</w:t>
      </w:r>
      <w:r w:rsidR="00594F19" w:rsidRPr="00177FDE">
        <w:rPr>
          <w:rFonts w:cs="Arial"/>
          <w:color w:val="000000" w:themeColor="text1"/>
        </w:rPr>
        <w:t xml:space="preserve"> </w:t>
      </w:r>
      <w:bookmarkStart w:id="1" w:name="_Int_Kr7ltya0"/>
      <w:r w:rsidR="00594F19" w:rsidRPr="00177FDE">
        <w:rPr>
          <w:rFonts w:cs="Arial"/>
          <w:color w:val="000000" w:themeColor="text1"/>
        </w:rPr>
        <w:t>$12</w:t>
      </w:r>
      <w:r w:rsidR="003D5659" w:rsidRPr="00177FDE">
        <w:rPr>
          <w:rFonts w:cs="Arial"/>
          <w:color w:val="000000" w:themeColor="text1"/>
        </w:rPr>
        <w:t>8</w:t>
      </w:r>
      <w:r w:rsidR="00594F19" w:rsidRPr="00177FDE">
        <w:rPr>
          <w:rFonts w:cs="Arial"/>
          <w:color w:val="000000" w:themeColor="text1"/>
        </w:rPr>
        <w:t>.</w:t>
      </w:r>
      <w:r w:rsidR="003D5659" w:rsidRPr="00177FDE">
        <w:rPr>
          <w:rFonts w:cs="Arial"/>
          <w:color w:val="000000" w:themeColor="text1"/>
        </w:rPr>
        <w:t>6</w:t>
      </w:r>
      <w:r w:rsidR="00594F19" w:rsidRPr="00177FDE">
        <w:rPr>
          <w:rFonts w:cs="Arial"/>
          <w:color w:val="000000" w:themeColor="text1"/>
        </w:rPr>
        <w:t xml:space="preserve"> billion</w:t>
      </w:r>
      <w:bookmarkEnd w:id="1"/>
      <w:r w:rsidR="00CB57DA" w:rsidRPr="00177FDE">
        <w:rPr>
          <w:rFonts w:cs="Arial"/>
          <w:color w:val="000000" w:themeColor="text1"/>
        </w:rPr>
        <w:t xml:space="preserve"> from the following sources</w:t>
      </w:r>
      <w:r w:rsidR="00594F19" w:rsidRPr="00177FDE">
        <w:rPr>
          <w:rFonts w:cs="Arial"/>
          <w:color w:val="000000" w:themeColor="text1"/>
        </w:rPr>
        <w:t>:</w:t>
      </w:r>
    </w:p>
    <w:p w14:paraId="45237B18" w14:textId="7F35AC9E" w:rsidR="00594F19" w:rsidRPr="00177FDE" w:rsidRDefault="00594F19" w:rsidP="18E715EE">
      <w:pPr>
        <w:pStyle w:val="ListParagraph"/>
        <w:numPr>
          <w:ilvl w:val="0"/>
          <w:numId w:val="17"/>
        </w:numPr>
        <w:spacing w:before="100" w:beforeAutospacing="1" w:after="100" w:afterAutospacing="1"/>
        <w:rPr>
          <w:rFonts w:cs="Arial"/>
          <w:color w:val="000000"/>
        </w:rPr>
      </w:pPr>
      <w:r w:rsidRPr="00177FDE">
        <w:rPr>
          <w:rFonts w:cs="Arial"/>
          <w:color w:val="000000" w:themeColor="text1"/>
        </w:rPr>
        <w:t xml:space="preserve">State: </w:t>
      </w:r>
      <w:bookmarkStart w:id="2" w:name="_Int_Xm918TRc"/>
      <w:r w:rsidRPr="00177FDE">
        <w:rPr>
          <w:rFonts w:cs="Arial"/>
          <w:color w:val="000000" w:themeColor="text1"/>
        </w:rPr>
        <w:t>$78.9 billion</w:t>
      </w:r>
      <w:bookmarkEnd w:id="2"/>
      <w:r w:rsidRPr="00177FDE">
        <w:rPr>
          <w:rFonts w:cs="Arial"/>
          <w:color w:val="000000" w:themeColor="text1"/>
        </w:rPr>
        <w:t xml:space="preserve"> (61.4 percent)</w:t>
      </w:r>
    </w:p>
    <w:p w14:paraId="7D363303" w14:textId="3EF9E29F" w:rsidR="00594F19" w:rsidRPr="00177FDE" w:rsidRDefault="00594F19" w:rsidP="18E715EE">
      <w:pPr>
        <w:pStyle w:val="ListParagraph"/>
        <w:numPr>
          <w:ilvl w:val="0"/>
          <w:numId w:val="17"/>
        </w:numPr>
        <w:spacing w:before="100" w:beforeAutospacing="1" w:after="100" w:afterAutospacing="1"/>
        <w:rPr>
          <w:rFonts w:cs="Arial"/>
          <w:color w:val="000000"/>
        </w:rPr>
      </w:pPr>
      <w:r w:rsidRPr="00177FDE">
        <w:rPr>
          <w:rFonts w:cs="Arial"/>
          <w:color w:val="000000" w:themeColor="text1"/>
        </w:rPr>
        <w:t xml:space="preserve">Local: </w:t>
      </w:r>
      <w:bookmarkStart w:id="3" w:name="_Int_1A6MwXXF"/>
      <w:r w:rsidRPr="00177FDE">
        <w:rPr>
          <w:rFonts w:cs="Arial"/>
          <w:color w:val="000000" w:themeColor="text1"/>
        </w:rPr>
        <w:t>$37.0 billion</w:t>
      </w:r>
      <w:bookmarkEnd w:id="3"/>
      <w:r w:rsidRPr="00177FDE">
        <w:rPr>
          <w:rFonts w:cs="Arial"/>
          <w:color w:val="000000" w:themeColor="text1"/>
        </w:rPr>
        <w:t xml:space="preserve"> (28.8 percent)</w:t>
      </w:r>
    </w:p>
    <w:p w14:paraId="234FFE7D" w14:textId="72CCEC29" w:rsidR="00594F19" w:rsidRPr="00177FDE" w:rsidRDefault="00594F19" w:rsidP="18E715EE">
      <w:pPr>
        <w:pStyle w:val="ListParagraph"/>
        <w:numPr>
          <w:ilvl w:val="0"/>
          <w:numId w:val="17"/>
        </w:numPr>
        <w:spacing w:before="100" w:beforeAutospacing="1" w:after="100" w:afterAutospacing="1"/>
        <w:rPr>
          <w:rFonts w:cs="Arial"/>
          <w:color w:val="000000"/>
        </w:rPr>
      </w:pPr>
      <w:r w:rsidRPr="00177FDE">
        <w:rPr>
          <w:rFonts w:cs="Arial"/>
          <w:color w:val="000000" w:themeColor="text1"/>
        </w:rPr>
        <w:t xml:space="preserve">Federal: </w:t>
      </w:r>
      <w:bookmarkStart w:id="4" w:name="_Int_9vnNLIyX"/>
      <w:r w:rsidRPr="00177FDE">
        <w:rPr>
          <w:rFonts w:cs="Arial"/>
          <w:color w:val="000000" w:themeColor="text1"/>
        </w:rPr>
        <w:t>$11.0 billion</w:t>
      </w:r>
      <w:bookmarkEnd w:id="4"/>
      <w:r w:rsidRPr="00177FDE">
        <w:rPr>
          <w:rFonts w:cs="Arial"/>
          <w:color w:val="000000" w:themeColor="text1"/>
        </w:rPr>
        <w:t xml:space="preserve"> (8.6 percent)</w:t>
      </w:r>
    </w:p>
    <w:p w14:paraId="532DA5D8" w14:textId="72E67412" w:rsidR="005C2DC2" w:rsidRPr="00177FDE" w:rsidRDefault="005C2DC2" w:rsidP="00520E0E">
      <w:pPr>
        <w:pStyle w:val="ListParagraph"/>
        <w:numPr>
          <w:ilvl w:val="0"/>
          <w:numId w:val="17"/>
        </w:numPr>
        <w:spacing w:before="100" w:beforeAutospacing="1" w:after="100" w:afterAutospacing="1"/>
        <w:rPr>
          <w:rFonts w:cs="Arial"/>
          <w:color w:val="000000"/>
        </w:rPr>
      </w:pPr>
      <w:r w:rsidRPr="00177FDE">
        <w:rPr>
          <w:rFonts w:cs="Arial"/>
          <w:color w:val="000000"/>
        </w:rPr>
        <w:t>Lottery $1.5 (1.1 percent)</w:t>
      </w:r>
    </w:p>
    <w:p w14:paraId="4EE2D9C0" w14:textId="77777777" w:rsidR="00594F19" w:rsidRPr="00177FDE" w:rsidRDefault="00594F19" w:rsidP="00594F19">
      <w:pPr>
        <w:spacing w:before="100" w:beforeAutospacing="1" w:after="100" w:afterAutospacing="1"/>
        <w:rPr>
          <w:rFonts w:cs="Arial"/>
          <w:color w:val="000000"/>
        </w:rPr>
      </w:pPr>
      <w:r w:rsidRPr="00177FDE">
        <w:rPr>
          <w:rFonts w:cs="Arial"/>
          <w:color w:val="000000" w:themeColor="text1"/>
        </w:rPr>
        <w:t>The Every Student Succeeds Act funds are also typically a portion of the total federal funding amount.</w:t>
      </w:r>
    </w:p>
    <w:p w14:paraId="423227CB" w14:textId="7236D909" w:rsidR="00406F50" w:rsidRPr="00177FDE" w:rsidRDefault="00406F50" w:rsidP="00B73105">
      <w:pPr>
        <w:pStyle w:val="Heading2"/>
        <w:spacing w:before="0" w:after="240"/>
        <w:rPr>
          <w:szCs w:val="36"/>
        </w:rPr>
      </w:pPr>
      <w:r w:rsidRPr="00177FDE">
        <w:rPr>
          <w:szCs w:val="36"/>
        </w:rPr>
        <w:t>Attachment(s)</w:t>
      </w:r>
    </w:p>
    <w:p w14:paraId="13114DBE" w14:textId="7DA2B9D8" w:rsidR="006E5AC7" w:rsidRPr="00177FDE" w:rsidRDefault="00820B71" w:rsidP="4EA68CF9">
      <w:pPr>
        <w:pStyle w:val="ListParagraph"/>
        <w:numPr>
          <w:ilvl w:val="0"/>
          <w:numId w:val="10"/>
        </w:numPr>
        <w:spacing w:after="240"/>
        <w:rPr>
          <w:rFonts w:cs="Arial"/>
        </w:rPr>
      </w:pPr>
      <w:r w:rsidRPr="00AF7397">
        <w:rPr>
          <w:rFonts w:cs="Arial"/>
          <w:b/>
          <w:bCs/>
        </w:rPr>
        <w:t xml:space="preserve">Attachment </w:t>
      </w:r>
      <w:r w:rsidR="6D967030" w:rsidRPr="00AF7397">
        <w:rPr>
          <w:rFonts w:cs="Arial"/>
          <w:b/>
          <w:bCs/>
        </w:rPr>
        <w:t>1</w:t>
      </w:r>
      <w:r w:rsidR="7CE2F5BB" w:rsidRPr="00AF7397">
        <w:rPr>
          <w:rFonts w:cs="Arial"/>
          <w:b/>
          <w:bCs/>
        </w:rPr>
        <w:t>:</w:t>
      </w:r>
      <w:r w:rsidR="09DC987A" w:rsidRPr="00177FDE">
        <w:rPr>
          <w:rFonts w:cs="Arial"/>
        </w:rPr>
        <w:t xml:space="preserve"> Background and</w:t>
      </w:r>
      <w:r w:rsidRPr="00177FDE">
        <w:rPr>
          <w:rFonts w:cs="Arial"/>
        </w:rPr>
        <w:t xml:space="preserve"> </w:t>
      </w:r>
      <w:r w:rsidR="394290F7" w:rsidRPr="00177FDE">
        <w:rPr>
          <w:rFonts w:cs="Arial"/>
        </w:rPr>
        <w:t>Options Available to the State Board of Edu</w:t>
      </w:r>
      <w:r w:rsidR="63382CE2" w:rsidRPr="00177FDE">
        <w:rPr>
          <w:rFonts w:cs="Arial"/>
        </w:rPr>
        <w:t>c</w:t>
      </w:r>
      <w:r w:rsidR="394290F7" w:rsidRPr="00177FDE">
        <w:rPr>
          <w:rFonts w:cs="Arial"/>
        </w:rPr>
        <w:t>ation to Modify</w:t>
      </w:r>
      <w:r w:rsidR="2CB01E24" w:rsidRPr="00177FDE">
        <w:rPr>
          <w:rFonts w:cs="Arial"/>
        </w:rPr>
        <w:t xml:space="preserve"> the Chronic Absenteeism Indicator</w:t>
      </w:r>
      <w:r w:rsidR="0032724F" w:rsidRPr="00177FDE">
        <w:rPr>
          <w:rFonts w:cs="Arial"/>
        </w:rPr>
        <w:t xml:space="preserve"> </w:t>
      </w:r>
      <w:r w:rsidRPr="00177FDE">
        <w:rPr>
          <w:rFonts w:cs="Arial"/>
        </w:rPr>
        <w:t>(</w:t>
      </w:r>
      <w:r w:rsidR="00D0535E">
        <w:rPr>
          <w:rFonts w:cs="Arial"/>
        </w:rPr>
        <w:t>10</w:t>
      </w:r>
      <w:r w:rsidRPr="00177FDE">
        <w:rPr>
          <w:rFonts w:cs="Arial"/>
        </w:rPr>
        <w:t xml:space="preserve"> Pages)</w:t>
      </w:r>
    </w:p>
    <w:p w14:paraId="5CF77743" w14:textId="1EC52648" w:rsidR="006E5AC7" w:rsidRPr="00177FDE" w:rsidRDefault="006E5AC7" w:rsidP="4EA68CF9">
      <w:pPr>
        <w:spacing w:after="240"/>
        <w:sectPr w:rsidR="006E5AC7" w:rsidRPr="00177FDE" w:rsidSect="000A324A">
          <w:headerReference w:type="default" r:id="rId25"/>
          <w:footerReference w:type="default" r:id="rId26"/>
          <w:headerReference w:type="first" r:id="rId27"/>
          <w:footerReference w:type="first" r:id="rId28"/>
          <w:type w:val="continuous"/>
          <w:pgSz w:w="12240" w:h="15840"/>
          <w:pgMar w:top="1440" w:right="1440" w:bottom="1440" w:left="1440" w:header="720" w:footer="720" w:gutter="0"/>
          <w:cols w:space="720"/>
          <w:titlePg/>
          <w:docGrid w:linePitch="360"/>
        </w:sectPr>
      </w:pPr>
    </w:p>
    <w:p w14:paraId="133F405B" w14:textId="11D8B02F" w:rsidR="00641D67" w:rsidRPr="00177FDE" w:rsidRDefault="001B695E" w:rsidP="00AF7397">
      <w:pPr>
        <w:pStyle w:val="Heading1"/>
        <w:rPr>
          <w:rFonts w:cs="Arial"/>
          <w:szCs w:val="36"/>
        </w:rPr>
      </w:pPr>
      <w:r w:rsidRPr="00177FDE">
        <w:lastRenderedPageBreak/>
        <w:t xml:space="preserve">Attachment </w:t>
      </w:r>
      <w:r w:rsidR="00924C86" w:rsidRPr="00177FDE">
        <w:t>1</w:t>
      </w:r>
    </w:p>
    <w:p w14:paraId="423227D0" w14:textId="1A7A0AD7" w:rsidR="001B695E" w:rsidRPr="00AF7397" w:rsidRDefault="0032724F" w:rsidP="00AF7397">
      <w:pPr>
        <w:pStyle w:val="Heading2"/>
        <w:rPr>
          <w:i/>
          <w:iCs/>
          <w:sz w:val="32"/>
          <w:szCs w:val="24"/>
        </w:rPr>
      </w:pPr>
      <w:r w:rsidRPr="00AF7397">
        <w:rPr>
          <w:i/>
          <w:iCs/>
          <w:sz w:val="32"/>
          <w:szCs w:val="24"/>
        </w:rPr>
        <w:t>Background</w:t>
      </w:r>
    </w:p>
    <w:p w14:paraId="272EA0D2" w14:textId="3E4CEC5C" w:rsidR="00BB2114" w:rsidRPr="00177FDE" w:rsidRDefault="00BB2114" w:rsidP="00BB2114">
      <w:pPr>
        <w:spacing w:after="100" w:afterAutospacing="1"/>
      </w:pPr>
      <w:r w:rsidRPr="00177FDE">
        <w:t>This item provides an overview of the Chronic Absenteeism Indicator methodology and considerations for changes to the California School Dashboard (Dashboard)</w:t>
      </w:r>
      <w:r w:rsidR="009A3ACE" w:rsidRPr="00177FDE">
        <w:t xml:space="preserve"> for this indicator</w:t>
      </w:r>
      <w:r w:rsidRPr="00177FDE">
        <w:t>.</w:t>
      </w:r>
    </w:p>
    <w:p w14:paraId="5F6EFA41" w14:textId="24C390B6" w:rsidR="00DA744A" w:rsidRPr="00177FDE" w:rsidRDefault="2785FAB9" w:rsidP="00E759DB">
      <w:pPr>
        <w:spacing w:after="240"/>
      </w:pPr>
      <w:r w:rsidRPr="00177FDE">
        <w:rPr>
          <w:rFonts w:cs="Arial"/>
        </w:rPr>
        <w:t xml:space="preserve">The California Department of Education (CDE) </w:t>
      </w:r>
      <w:r w:rsidR="004537EB" w:rsidRPr="00177FDE">
        <w:rPr>
          <w:rFonts w:cs="Arial"/>
        </w:rPr>
        <w:t xml:space="preserve">annually </w:t>
      </w:r>
      <w:r w:rsidRPr="00177FDE">
        <w:rPr>
          <w:rFonts w:cs="Arial"/>
        </w:rPr>
        <w:t>present</w:t>
      </w:r>
      <w:r w:rsidR="004537EB" w:rsidRPr="00177FDE">
        <w:rPr>
          <w:rFonts w:cs="Arial"/>
        </w:rPr>
        <w:t>s</w:t>
      </w:r>
      <w:r w:rsidRPr="00177FDE">
        <w:rPr>
          <w:rFonts w:cs="Arial"/>
        </w:rPr>
        <w:t xml:space="preserve"> the State Board of Education (SBE) with the </w:t>
      </w:r>
      <w:r w:rsidR="004B329B" w:rsidRPr="00177FDE">
        <w:rPr>
          <w:rFonts w:cs="Arial"/>
        </w:rPr>
        <w:t>a</w:t>
      </w:r>
      <w:r w:rsidRPr="00177FDE">
        <w:rPr>
          <w:rFonts w:cs="Arial"/>
        </w:rPr>
        <w:t>ccountability workplan at the</w:t>
      </w:r>
      <w:r w:rsidR="004537EB" w:rsidRPr="00177FDE">
        <w:rPr>
          <w:rFonts w:cs="Arial"/>
        </w:rPr>
        <w:t>ir</w:t>
      </w:r>
      <w:r w:rsidRPr="00177FDE">
        <w:rPr>
          <w:rFonts w:cs="Arial"/>
        </w:rPr>
        <w:t xml:space="preserve"> March meeting</w:t>
      </w:r>
      <w:r w:rsidR="004537EB" w:rsidRPr="00177FDE">
        <w:rPr>
          <w:rFonts w:cs="Arial"/>
        </w:rPr>
        <w:t xml:space="preserve"> which details the considerations for inclusion in the Dashboard each fall</w:t>
      </w:r>
      <w:r w:rsidRPr="00177FDE">
        <w:rPr>
          <w:rFonts w:cs="Arial"/>
        </w:rPr>
        <w:t xml:space="preserve">. </w:t>
      </w:r>
      <w:r w:rsidR="460184A5" w:rsidRPr="00177FDE">
        <w:rPr>
          <w:rFonts w:cs="Arial"/>
        </w:rPr>
        <w:t xml:space="preserve">The 2023 </w:t>
      </w:r>
      <w:r w:rsidR="004B329B" w:rsidRPr="00177FDE">
        <w:rPr>
          <w:rFonts w:cs="Arial"/>
        </w:rPr>
        <w:t>a</w:t>
      </w:r>
      <w:r w:rsidR="460184A5" w:rsidRPr="00177FDE">
        <w:rPr>
          <w:rFonts w:cs="Arial"/>
        </w:rPr>
        <w:t>ccountability workplan did not include any deliverables by</w:t>
      </w:r>
      <w:r w:rsidR="004537EB" w:rsidRPr="00177FDE">
        <w:rPr>
          <w:rFonts w:cs="Arial"/>
        </w:rPr>
        <w:t xml:space="preserve"> the</w:t>
      </w:r>
      <w:r w:rsidR="460184A5" w:rsidRPr="00177FDE">
        <w:rPr>
          <w:rFonts w:cs="Arial"/>
        </w:rPr>
        <w:t xml:space="preserve"> CDE for the Chronic Absenteeism Indicator</w:t>
      </w:r>
      <w:r w:rsidR="00B174F9" w:rsidRPr="00177FDE">
        <w:rPr>
          <w:rFonts w:cs="Arial"/>
        </w:rPr>
        <w:t>;</w:t>
      </w:r>
      <w:r w:rsidR="460184A5" w:rsidRPr="00177FDE">
        <w:rPr>
          <w:rFonts w:cs="Arial"/>
        </w:rPr>
        <w:t xml:space="preserve"> howev</w:t>
      </w:r>
      <w:r w:rsidR="7E3FD372" w:rsidRPr="00177FDE">
        <w:rPr>
          <w:rFonts w:cs="Arial"/>
        </w:rPr>
        <w:t>er</w:t>
      </w:r>
      <w:r w:rsidR="008D386F" w:rsidRPr="00177FDE">
        <w:rPr>
          <w:rFonts w:cs="Arial"/>
        </w:rPr>
        <w:t>,</w:t>
      </w:r>
      <w:r w:rsidR="740C7463" w:rsidRPr="00177FDE">
        <w:rPr>
          <w:rFonts w:cs="Arial"/>
        </w:rPr>
        <w:t xml:space="preserve"> during </w:t>
      </w:r>
      <w:r w:rsidR="00E759DB" w:rsidRPr="00177FDE">
        <w:rPr>
          <w:rFonts w:cs="Arial"/>
        </w:rPr>
        <w:t>a subsequent</w:t>
      </w:r>
      <w:r w:rsidR="740C7463" w:rsidRPr="00177FDE">
        <w:rPr>
          <w:rFonts w:cs="Arial"/>
        </w:rPr>
        <w:t xml:space="preserve"> meeting,</w:t>
      </w:r>
      <w:r w:rsidR="7E3FD372" w:rsidRPr="00177FDE">
        <w:rPr>
          <w:rFonts w:cs="Arial"/>
        </w:rPr>
        <w:t xml:space="preserve"> </w:t>
      </w:r>
      <w:r w:rsidR="00B174F9" w:rsidRPr="00177FDE">
        <w:rPr>
          <w:rFonts w:cs="Arial"/>
        </w:rPr>
        <w:t>SBE</w:t>
      </w:r>
      <w:r w:rsidR="7E3FD372" w:rsidRPr="00177FDE">
        <w:rPr>
          <w:rFonts w:cs="Arial"/>
        </w:rPr>
        <w:t xml:space="preserve"> board members expressed an interest in </w:t>
      </w:r>
      <w:r w:rsidR="00E759DB" w:rsidRPr="00177FDE">
        <w:rPr>
          <w:rFonts w:cs="Arial"/>
        </w:rPr>
        <w:t xml:space="preserve">reopening </w:t>
      </w:r>
      <w:r w:rsidR="7E3FD372" w:rsidRPr="00177FDE">
        <w:rPr>
          <w:rFonts w:cs="Arial"/>
        </w:rPr>
        <w:t xml:space="preserve">conversations around the </w:t>
      </w:r>
      <w:r w:rsidR="00B174F9" w:rsidRPr="00177FDE">
        <w:rPr>
          <w:rFonts w:cs="Arial"/>
        </w:rPr>
        <w:t>measure.</w:t>
      </w:r>
    </w:p>
    <w:p w14:paraId="630ED474" w14:textId="152A137A" w:rsidR="2038EA36" w:rsidRPr="00AF7397" w:rsidRDefault="736E05BA" w:rsidP="00AF7397">
      <w:pPr>
        <w:pStyle w:val="Heading2"/>
        <w:rPr>
          <w:i/>
          <w:iCs/>
          <w:sz w:val="32"/>
          <w:szCs w:val="24"/>
        </w:rPr>
      </w:pPr>
      <w:r w:rsidRPr="00AF7397">
        <w:rPr>
          <w:i/>
          <w:iCs/>
          <w:sz w:val="32"/>
          <w:szCs w:val="24"/>
        </w:rPr>
        <w:t xml:space="preserve">Current </w:t>
      </w:r>
      <w:r w:rsidR="00211F09" w:rsidRPr="00AF7397">
        <w:rPr>
          <w:i/>
          <w:iCs/>
          <w:sz w:val="32"/>
          <w:szCs w:val="24"/>
        </w:rPr>
        <w:t xml:space="preserve">Indicator </w:t>
      </w:r>
      <w:r w:rsidR="5130ACD1" w:rsidRPr="00AF7397">
        <w:rPr>
          <w:i/>
          <w:iCs/>
          <w:sz w:val="32"/>
          <w:szCs w:val="24"/>
        </w:rPr>
        <w:t>and Methodology</w:t>
      </w:r>
    </w:p>
    <w:p w14:paraId="5928AFB4" w14:textId="7D936E28" w:rsidR="00272DBA" w:rsidRPr="00177FDE" w:rsidRDefault="5130ACD1" w:rsidP="4EA68CF9">
      <w:pPr>
        <w:spacing w:before="240" w:after="240"/>
      </w:pPr>
      <w:r w:rsidRPr="00177FDE">
        <w:t>The Chronic Absenteeism Indicator is a state indicator on the Dashboard</w:t>
      </w:r>
      <w:r w:rsidR="004537EB" w:rsidRPr="00177FDE">
        <w:t xml:space="preserve"> that is applied to </w:t>
      </w:r>
      <w:r w:rsidRPr="00177FDE">
        <w:t xml:space="preserve">grades </w:t>
      </w:r>
      <w:r w:rsidR="3E6FADE9" w:rsidRPr="00177FDE">
        <w:t>k</w:t>
      </w:r>
      <w:r w:rsidRPr="00177FDE">
        <w:t xml:space="preserve">indergarten through eighth. </w:t>
      </w:r>
      <w:r w:rsidR="3D5AB1AC" w:rsidRPr="00177FDE">
        <w:t xml:space="preserve">It </w:t>
      </w:r>
      <w:r w:rsidR="00934B6D" w:rsidRPr="00177FDE">
        <w:t>is defined as</w:t>
      </w:r>
      <w:r w:rsidR="3D5AB1AC" w:rsidRPr="00177FDE">
        <w:t xml:space="preserve"> the percentage of students who were absent for 10 percent or more of the instructional days they were expected to attend. </w:t>
      </w:r>
      <w:r w:rsidR="004537EB" w:rsidRPr="00177FDE">
        <w:t>School clos</w:t>
      </w:r>
      <w:r w:rsidR="00E96EB4" w:rsidRPr="00177FDE">
        <w:t>ures</w:t>
      </w:r>
      <w:r w:rsidR="004537EB" w:rsidRPr="00177FDE">
        <w:t xml:space="preserve"> due to natural disasters or</w:t>
      </w:r>
      <w:r w:rsidR="005B64D4" w:rsidRPr="00177FDE">
        <w:t xml:space="preserve"> emergenc</w:t>
      </w:r>
      <w:r w:rsidR="0014190A" w:rsidRPr="00177FDE">
        <w:t>ies</w:t>
      </w:r>
      <w:r w:rsidR="005B64D4" w:rsidRPr="00177FDE">
        <w:t xml:space="preserve"> are not </w:t>
      </w:r>
      <w:r w:rsidR="0048720C" w:rsidRPr="00177FDE">
        <w:t>reported in the data file</w:t>
      </w:r>
      <w:r w:rsidR="002F6689" w:rsidRPr="00177FDE">
        <w:t>. Accordingly, th</w:t>
      </w:r>
      <w:r w:rsidR="0002319F" w:rsidRPr="00177FDE">
        <w:t>o</w:t>
      </w:r>
      <w:r w:rsidR="002F6689" w:rsidRPr="00177FDE">
        <w:t>se school days</w:t>
      </w:r>
      <w:r w:rsidR="0048720C" w:rsidRPr="00177FDE">
        <w:t xml:space="preserve"> are not </w:t>
      </w:r>
      <w:r w:rsidR="0065262E" w:rsidRPr="00177FDE">
        <w:t xml:space="preserve">included </w:t>
      </w:r>
      <w:r w:rsidR="00AF7CF1" w:rsidRPr="00177FDE">
        <w:t xml:space="preserve">in the </w:t>
      </w:r>
      <w:r w:rsidR="005B64D4" w:rsidRPr="00177FDE">
        <w:t>calculat</w:t>
      </w:r>
      <w:r w:rsidR="00AF7CF1" w:rsidRPr="00177FDE">
        <w:t>ion of</w:t>
      </w:r>
      <w:r w:rsidR="005B64D4" w:rsidRPr="00177FDE">
        <w:t xml:space="preserve"> the indicator as students were not expected to attend school. </w:t>
      </w:r>
      <w:r w:rsidR="43C14810" w:rsidRPr="00177FDE">
        <w:t xml:space="preserve">Within California's Every Student Succeeds Act (ESSA) State Plan, it serves </w:t>
      </w:r>
      <w:r w:rsidR="3A2E8307" w:rsidRPr="00177FDE">
        <w:t>as the “Other Academic Indicator” for</w:t>
      </w:r>
      <w:r w:rsidR="16CAC003" w:rsidRPr="00177FDE">
        <w:t xml:space="preserve"> </w:t>
      </w:r>
      <w:r w:rsidR="00063CD9" w:rsidRPr="00177FDE">
        <w:t xml:space="preserve">grades </w:t>
      </w:r>
      <w:r w:rsidR="00FC1C01" w:rsidRPr="00177FDE">
        <w:t>kindergarten through eighth</w:t>
      </w:r>
      <w:r w:rsidR="3516C331" w:rsidRPr="00177FDE">
        <w:t>.</w:t>
      </w:r>
    </w:p>
    <w:p w14:paraId="7E83360C" w14:textId="45FE2444" w:rsidR="00F90786" w:rsidRPr="00177FDE" w:rsidRDefault="00F90786" w:rsidP="00466E0F">
      <w:pPr>
        <w:spacing w:after="240"/>
      </w:pPr>
      <w:r w:rsidRPr="00177FDE">
        <w:t xml:space="preserve">This indicator was developed in close </w:t>
      </w:r>
      <w:r w:rsidR="009F366C" w:rsidRPr="00177FDE">
        <w:t xml:space="preserve">collaboration with </w:t>
      </w:r>
      <w:r w:rsidR="001A7F93" w:rsidRPr="00177FDE">
        <w:rPr>
          <w:rFonts w:cs="Arial"/>
        </w:rPr>
        <w:t>subject matter experts to ensure that any methodology it proposed would produce a valid, reliable</w:t>
      </w:r>
      <w:r w:rsidR="00466E0F" w:rsidRPr="00177FDE">
        <w:rPr>
          <w:rFonts w:cs="Arial"/>
        </w:rPr>
        <w:t>,</w:t>
      </w:r>
      <w:r w:rsidR="001A7F93" w:rsidRPr="00177FDE">
        <w:rPr>
          <w:rFonts w:cs="Arial"/>
        </w:rPr>
        <w:t xml:space="preserve"> and fair measure. </w:t>
      </w:r>
      <w:r w:rsidR="003A4CAD" w:rsidRPr="00177FDE">
        <w:rPr>
          <w:rFonts w:cs="Arial"/>
        </w:rPr>
        <w:t xml:space="preserve">The CDE also reviewed </w:t>
      </w:r>
      <w:r w:rsidR="00E10C32" w:rsidRPr="00177FDE">
        <w:rPr>
          <w:rFonts w:cs="Arial"/>
        </w:rPr>
        <w:t xml:space="preserve">methodologies used by other states who had a longer history of collecting </w:t>
      </w:r>
      <w:r w:rsidR="00AB5C0C" w:rsidRPr="00177FDE">
        <w:rPr>
          <w:rFonts w:cs="Arial"/>
        </w:rPr>
        <w:t>chronic absenteei</w:t>
      </w:r>
      <w:r w:rsidR="005F32A8" w:rsidRPr="00177FDE">
        <w:rPr>
          <w:rFonts w:cs="Arial"/>
        </w:rPr>
        <w:t>s</w:t>
      </w:r>
      <w:r w:rsidR="00AB5C0C" w:rsidRPr="00177FDE">
        <w:rPr>
          <w:rFonts w:cs="Arial"/>
        </w:rPr>
        <w:t>m</w:t>
      </w:r>
      <w:r w:rsidR="00E10C32" w:rsidRPr="00177FDE">
        <w:rPr>
          <w:rFonts w:cs="Arial"/>
        </w:rPr>
        <w:t xml:space="preserve"> data</w:t>
      </w:r>
      <w:r w:rsidR="00466E0F" w:rsidRPr="00177FDE">
        <w:rPr>
          <w:rFonts w:cs="Arial"/>
        </w:rPr>
        <w:t xml:space="preserve">, as California </w:t>
      </w:r>
      <w:r w:rsidR="00CC733E" w:rsidRPr="00177FDE">
        <w:rPr>
          <w:rFonts w:cs="Arial"/>
        </w:rPr>
        <w:t xml:space="preserve">collected </w:t>
      </w:r>
      <w:r w:rsidR="00466E0F" w:rsidRPr="00177FDE">
        <w:rPr>
          <w:rFonts w:cs="Arial"/>
        </w:rPr>
        <w:t xml:space="preserve">these data </w:t>
      </w:r>
      <w:r w:rsidR="00CC733E" w:rsidRPr="00177FDE">
        <w:rPr>
          <w:rFonts w:cs="Arial"/>
        </w:rPr>
        <w:t>for the first time at the end of the 2016–17 school year.</w:t>
      </w:r>
    </w:p>
    <w:p w14:paraId="33F01F3F" w14:textId="0D1013C5" w:rsidR="00DC738A" w:rsidRPr="00AF7397" w:rsidRDefault="18324700" w:rsidP="00AF7397">
      <w:pPr>
        <w:pStyle w:val="Heading3"/>
        <w:rPr>
          <w:i w:val="0"/>
          <w:iCs/>
          <w:sz w:val="24"/>
          <w:szCs w:val="20"/>
        </w:rPr>
      </w:pPr>
      <w:r w:rsidRPr="00AF7397">
        <w:rPr>
          <w:i w:val="0"/>
          <w:iCs/>
          <w:sz w:val="24"/>
          <w:szCs w:val="20"/>
        </w:rPr>
        <w:t xml:space="preserve">Chronically Absent </w:t>
      </w:r>
      <w:r w:rsidR="02EDFDBE" w:rsidRPr="00AF7397">
        <w:rPr>
          <w:i w:val="0"/>
          <w:iCs/>
          <w:sz w:val="24"/>
          <w:szCs w:val="20"/>
        </w:rPr>
        <w:t>Calculation Methodology</w:t>
      </w:r>
    </w:p>
    <w:p w14:paraId="00F91269" w14:textId="1BF5DEC8" w:rsidR="00DC738A" w:rsidRPr="00177FDE" w:rsidRDefault="02EDFDBE" w:rsidP="006F1DAC">
      <w:pPr>
        <w:spacing w:after="240"/>
      </w:pPr>
      <w:r w:rsidRPr="00177FDE">
        <w:t>The Chronic Absenteeism Indicator uses the following formula to determine each</w:t>
      </w:r>
      <w:r w:rsidR="53AAFD8C" w:rsidRPr="00177FDE">
        <w:t xml:space="preserve"> individual</w:t>
      </w:r>
      <w:r w:rsidRPr="00177FDE">
        <w:t xml:space="preserve"> student’s absence rate using the most current year data:</w:t>
      </w:r>
    </w:p>
    <w:p w14:paraId="3222D00E" w14:textId="77777777" w:rsidR="008D57C6" w:rsidRPr="00177FDE" w:rsidRDefault="5CC7C98D" w:rsidP="002776EB">
      <w:pPr>
        <w:jc w:val="center"/>
        <w:rPr>
          <w:b/>
          <w:bCs/>
        </w:rPr>
      </w:pPr>
      <w:r w:rsidRPr="00177FDE">
        <w:rPr>
          <w:b/>
          <w:bCs/>
        </w:rPr>
        <w:t>Days Absent Excused (In-Person) + Days Absent Unexcused (In-Person) +</w:t>
      </w:r>
    </w:p>
    <w:p w14:paraId="0D0600C9" w14:textId="4B87C1CE" w:rsidR="00DC738A" w:rsidRPr="00177FDE" w:rsidRDefault="02EDFDBE" w:rsidP="006F1DAC">
      <w:pPr>
        <w:spacing w:after="240"/>
        <w:jc w:val="center"/>
        <w:rPr>
          <w:b/>
          <w:bCs/>
        </w:rPr>
      </w:pPr>
      <w:r w:rsidRPr="00177FDE">
        <w:rPr>
          <w:b/>
          <w:bCs/>
        </w:rPr>
        <w:t>Out-of-School Suspension Days + Non-ADA-Generating Independent Study Days</w:t>
      </w:r>
    </w:p>
    <w:p w14:paraId="54774FCD" w14:textId="32230A45" w:rsidR="00DC738A" w:rsidRPr="00177FDE" w:rsidRDefault="02EDFDBE" w:rsidP="006F1DAC">
      <w:pPr>
        <w:spacing w:after="240"/>
        <w:jc w:val="center"/>
        <w:rPr>
          <w:b/>
          <w:bCs/>
        </w:rPr>
      </w:pPr>
      <w:r w:rsidRPr="00177FDE">
        <w:rPr>
          <w:b/>
          <w:bCs/>
          <w:i/>
          <w:iCs/>
        </w:rPr>
        <w:t>divided by</w:t>
      </w:r>
    </w:p>
    <w:p w14:paraId="5C7C7767" w14:textId="1AB3C8F3" w:rsidR="00DC738A" w:rsidRPr="00177FDE" w:rsidRDefault="02EDFDBE" w:rsidP="003950D1">
      <w:pPr>
        <w:spacing w:after="240"/>
        <w:jc w:val="center"/>
        <w:rPr>
          <w:b/>
          <w:bCs/>
        </w:rPr>
      </w:pPr>
      <w:r w:rsidRPr="00177FDE">
        <w:rPr>
          <w:b/>
          <w:bCs/>
        </w:rPr>
        <w:t>Expected Attendance Days</w:t>
      </w:r>
      <w:r w:rsidR="64FDD651" w:rsidRPr="00177FDE">
        <w:rPr>
          <w:b/>
          <w:bCs/>
        </w:rPr>
        <w:t>.</w:t>
      </w:r>
    </w:p>
    <w:p w14:paraId="1A2923B0" w14:textId="0FEC0D20" w:rsidR="00DC738A" w:rsidRPr="00177FDE" w:rsidRDefault="74588AF3" w:rsidP="003950D1">
      <w:pPr>
        <w:spacing w:after="240"/>
      </w:pPr>
      <w:r w:rsidRPr="00177FDE">
        <w:t xml:space="preserve">If a </w:t>
      </w:r>
      <w:r w:rsidR="68CF4652" w:rsidRPr="00177FDE">
        <w:t xml:space="preserve">student is expected to attend a minimum of 31 days, and their </w:t>
      </w:r>
      <w:r w:rsidR="664D48BD" w:rsidRPr="00177FDE">
        <w:t>calculated absence rate of 10 percent or more, then they are considered chronically absent.</w:t>
      </w:r>
    </w:p>
    <w:p w14:paraId="0C27C6DA" w14:textId="4AA2AE4A" w:rsidR="00DC738A" w:rsidRPr="00177FDE" w:rsidRDefault="004F2FD4" w:rsidP="003950D1">
      <w:pPr>
        <w:spacing w:after="240"/>
      </w:pPr>
      <w:r w:rsidRPr="00177FDE">
        <w:lastRenderedPageBreak/>
        <w:t>Local educational agencies (</w:t>
      </w:r>
      <w:r w:rsidR="78929C5A" w:rsidRPr="00177FDE">
        <w:t>LEAs</w:t>
      </w:r>
      <w:r w:rsidRPr="00177FDE">
        <w:t xml:space="preserve">) </w:t>
      </w:r>
      <w:r w:rsidR="78929C5A" w:rsidRPr="00177FDE">
        <w:t>submit the</w:t>
      </w:r>
      <w:r w:rsidR="00571FBF" w:rsidRPr="00177FDE">
        <w:t>ir local</w:t>
      </w:r>
      <w:r w:rsidR="78929C5A" w:rsidRPr="00177FDE">
        <w:t xml:space="preserve"> attendance data used for this indicator through the Student Absence Summary file </w:t>
      </w:r>
      <w:r w:rsidR="00571FBF" w:rsidRPr="00177FDE">
        <w:t xml:space="preserve">which they certified </w:t>
      </w:r>
      <w:r w:rsidR="78929C5A" w:rsidRPr="00177FDE">
        <w:t>in CALPADS End-of-Year</w:t>
      </w:r>
      <w:r w:rsidR="00C0104F" w:rsidRPr="00177FDE">
        <w:t xml:space="preserve"> </w:t>
      </w:r>
      <w:r w:rsidR="78929C5A" w:rsidRPr="00177FDE">
        <w:t>3 data collection. The absences in the formula come directly through the following data fields in CALPADS:</w:t>
      </w:r>
    </w:p>
    <w:p w14:paraId="53164BC6" w14:textId="7B73F725" w:rsidR="00DC738A" w:rsidRPr="00177FDE" w:rsidRDefault="4D7AD987" w:rsidP="00605F94">
      <w:pPr>
        <w:pStyle w:val="ListParagraph"/>
        <w:numPr>
          <w:ilvl w:val="0"/>
          <w:numId w:val="6"/>
        </w:numPr>
        <w:spacing w:after="240"/>
        <w:contextualSpacing w:val="0"/>
      </w:pPr>
      <w:r w:rsidRPr="00177FDE">
        <w:rPr>
          <w:b/>
          <w:bCs/>
        </w:rPr>
        <w:t>Days Absent Excused (In-Person)</w:t>
      </w:r>
      <w:r w:rsidRPr="00177FDE">
        <w:t xml:space="preserve">: Total number of days the student was absent for in-person instruction for the entire school day with a valid excuse, per </w:t>
      </w:r>
      <w:r w:rsidR="003A2661" w:rsidRPr="00177FDE">
        <w:t xml:space="preserve">California </w:t>
      </w:r>
      <w:r w:rsidRPr="00177FDE">
        <w:rPr>
          <w:i/>
          <w:iCs/>
        </w:rPr>
        <w:t>E</w:t>
      </w:r>
      <w:r w:rsidR="00BF4A53" w:rsidRPr="00177FDE">
        <w:rPr>
          <w:i/>
          <w:iCs/>
        </w:rPr>
        <w:t xml:space="preserve">ducation </w:t>
      </w:r>
      <w:r w:rsidRPr="00177FDE">
        <w:rPr>
          <w:i/>
          <w:iCs/>
        </w:rPr>
        <w:t>C</w:t>
      </w:r>
      <w:r w:rsidR="003A2661" w:rsidRPr="00177FDE">
        <w:rPr>
          <w:i/>
          <w:iCs/>
        </w:rPr>
        <w:t>ode</w:t>
      </w:r>
      <w:r w:rsidR="003A2661" w:rsidRPr="00177FDE">
        <w:t xml:space="preserve"> (</w:t>
      </w:r>
      <w:r w:rsidR="003A2661" w:rsidRPr="00177FDE">
        <w:rPr>
          <w:i/>
          <w:iCs/>
        </w:rPr>
        <w:t>EC</w:t>
      </w:r>
      <w:r w:rsidR="003A2661" w:rsidRPr="00177FDE">
        <w:t>)</w:t>
      </w:r>
      <w:r w:rsidRPr="00177FDE">
        <w:t xml:space="preserve"> Section 48260(c). (Field # 13.19)</w:t>
      </w:r>
    </w:p>
    <w:p w14:paraId="437D5F9A" w14:textId="53925A36" w:rsidR="00DC738A" w:rsidRPr="00177FDE" w:rsidRDefault="4D7AD987" w:rsidP="00605F94">
      <w:pPr>
        <w:pStyle w:val="ListParagraph"/>
        <w:numPr>
          <w:ilvl w:val="0"/>
          <w:numId w:val="6"/>
        </w:numPr>
        <w:spacing w:after="240"/>
        <w:contextualSpacing w:val="0"/>
      </w:pPr>
      <w:r w:rsidRPr="00177FDE">
        <w:rPr>
          <w:b/>
          <w:bCs/>
        </w:rPr>
        <w:t>Days Absent Unexcused (In-Person)</w:t>
      </w:r>
      <w:r w:rsidRPr="00177FDE">
        <w:t>:</w:t>
      </w:r>
      <w:r w:rsidR="0650A515" w:rsidRPr="00177FDE">
        <w:t xml:space="preserve"> Total number of days the student was absent from in-person instruction for the entire school day without a valid excuse. (Field # 13.20)</w:t>
      </w:r>
    </w:p>
    <w:p w14:paraId="3707CA85" w14:textId="4A508374" w:rsidR="00DC738A" w:rsidRPr="00177FDE" w:rsidRDefault="4D7AD987" w:rsidP="00605F94">
      <w:pPr>
        <w:pStyle w:val="ListParagraph"/>
        <w:numPr>
          <w:ilvl w:val="0"/>
          <w:numId w:val="6"/>
        </w:numPr>
        <w:spacing w:after="240"/>
        <w:contextualSpacing w:val="0"/>
      </w:pPr>
      <w:r w:rsidRPr="00177FDE">
        <w:rPr>
          <w:b/>
          <w:bCs/>
        </w:rPr>
        <w:t>Out-of-School Suspension Days</w:t>
      </w:r>
      <w:r w:rsidR="489EBAAF" w:rsidRPr="00177FDE">
        <w:t xml:space="preserve">: </w:t>
      </w:r>
      <w:r w:rsidR="097CD3BA" w:rsidRPr="00177FDE">
        <w:t xml:space="preserve">Total number of days the student was absent from the regular classroom for the entire school day due to an out-of-school suspension pursuant to </w:t>
      </w:r>
      <w:r w:rsidR="097CD3BA" w:rsidRPr="00177FDE">
        <w:rPr>
          <w:i/>
          <w:iCs/>
        </w:rPr>
        <w:t>EC</w:t>
      </w:r>
      <w:r w:rsidR="097CD3BA" w:rsidRPr="00177FDE">
        <w:t xml:space="preserve"> Section 48911. (Field # 13.17)</w:t>
      </w:r>
    </w:p>
    <w:p w14:paraId="5457551E" w14:textId="1A5555F8" w:rsidR="00DC738A" w:rsidRPr="00177FDE" w:rsidRDefault="4D7AD987" w:rsidP="00605F94">
      <w:pPr>
        <w:pStyle w:val="ListParagraph"/>
        <w:numPr>
          <w:ilvl w:val="0"/>
          <w:numId w:val="6"/>
        </w:numPr>
        <w:spacing w:after="240"/>
        <w:contextualSpacing w:val="0"/>
      </w:pPr>
      <w:r w:rsidRPr="00177FDE">
        <w:rPr>
          <w:b/>
          <w:bCs/>
        </w:rPr>
        <w:t>Non-ADA Generating Independent Study Days</w:t>
      </w:r>
      <w:r w:rsidRPr="00177FDE">
        <w:t>:</w:t>
      </w:r>
      <w:r w:rsidR="684B1430" w:rsidRPr="00177FDE">
        <w:t xml:space="preserve"> Total number of days the student did not satisfy statutory and regulatory requirements necessary to generate a day attendance for either traditional (</w:t>
      </w:r>
      <w:r w:rsidR="684B1430" w:rsidRPr="00177FDE">
        <w:rPr>
          <w:i/>
          <w:iCs/>
        </w:rPr>
        <w:t>EC</w:t>
      </w:r>
      <w:r w:rsidR="684B1430" w:rsidRPr="00177FDE">
        <w:t xml:space="preserve"> Section 51747.5) or course-based (</w:t>
      </w:r>
      <w:r w:rsidR="684B1430" w:rsidRPr="00177FDE">
        <w:rPr>
          <w:i/>
          <w:iCs/>
        </w:rPr>
        <w:t>EC</w:t>
      </w:r>
      <w:r w:rsidR="684B1430" w:rsidRPr="00177FDE">
        <w:t xml:space="preserve"> Section 51749.5) independent study. (Field # 13.21)</w:t>
      </w:r>
    </w:p>
    <w:p w14:paraId="4B98048E" w14:textId="1EBD62B6" w:rsidR="00F5478D" w:rsidRPr="00AF7397" w:rsidRDefault="00F5478D" w:rsidP="00AF7397">
      <w:pPr>
        <w:pStyle w:val="Heading3"/>
        <w:rPr>
          <w:i w:val="0"/>
          <w:iCs/>
          <w:sz w:val="24"/>
          <w:szCs w:val="20"/>
        </w:rPr>
      </w:pPr>
      <w:r w:rsidRPr="00AF7397">
        <w:rPr>
          <w:i w:val="0"/>
          <w:iCs/>
          <w:sz w:val="24"/>
          <w:szCs w:val="20"/>
        </w:rPr>
        <w:t>DataQuest and Absenteeism Data</w:t>
      </w:r>
    </w:p>
    <w:p w14:paraId="5A0FAF70" w14:textId="3851558C" w:rsidR="003212F5" w:rsidRPr="00177FDE" w:rsidRDefault="003212F5" w:rsidP="005F32A8">
      <w:pPr>
        <w:spacing w:after="240"/>
        <w:rPr>
          <w:rFonts w:ascii="Helvetica" w:hAnsi="Helvetica"/>
          <w:color w:val="000000"/>
          <w:shd w:val="clear" w:color="auto" w:fill="FFFFFF"/>
        </w:rPr>
      </w:pPr>
      <w:r w:rsidRPr="00177FDE">
        <w:t>T</w:t>
      </w:r>
      <w:r w:rsidR="003F2EAB" w:rsidRPr="00177FDE">
        <w:t>he CDE</w:t>
      </w:r>
      <w:r w:rsidR="00F5478D" w:rsidRPr="00177FDE">
        <w:t>’s data reporting website, DataQuest,</w:t>
      </w:r>
      <w:r w:rsidR="003F2EAB" w:rsidRPr="00177FDE">
        <w:t xml:space="preserve"> </w:t>
      </w:r>
      <w:r w:rsidR="007C72D0" w:rsidRPr="00177FDE">
        <w:t>produces two</w:t>
      </w:r>
      <w:r w:rsidR="003F2EAB" w:rsidRPr="00177FDE">
        <w:t xml:space="preserve"> annual report</w:t>
      </w:r>
      <w:r w:rsidR="007C72D0" w:rsidRPr="00177FDE">
        <w:t>s</w:t>
      </w:r>
      <w:r w:rsidR="00F5478D" w:rsidRPr="00177FDE">
        <w:t xml:space="preserve"> that complement the Chronic Absenteeism Indicator</w:t>
      </w:r>
      <w:r w:rsidR="003F2EAB" w:rsidRPr="00177FDE">
        <w:t xml:space="preserve">, </w:t>
      </w:r>
      <w:r w:rsidR="00F219CF" w:rsidRPr="00177FDE">
        <w:t xml:space="preserve">1) </w:t>
      </w:r>
      <w:r w:rsidR="003F2EAB" w:rsidRPr="00177FDE">
        <w:t>Absenteeism by Reason</w:t>
      </w:r>
      <w:r w:rsidR="00F219CF" w:rsidRPr="00177FDE">
        <w:t>,</w:t>
      </w:r>
      <w:r w:rsidR="007C72D0" w:rsidRPr="00177FDE">
        <w:t xml:space="preserve"> and </w:t>
      </w:r>
      <w:r w:rsidR="00F219CF" w:rsidRPr="00177FDE">
        <w:t xml:space="preserve">2) </w:t>
      </w:r>
      <w:r w:rsidR="007C72D0" w:rsidRPr="00177FDE">
        <w:t>Chronic Absenteeism</w:t>
      </w:r>
      <w:r w:rsidR="00571FBF" w:rsidRPr="00177FDE">
        <w:t>. Th</w:t>
      </w:r>
      <w:r w:rsidR="007C72D0" w:rsidRPr="00177FDE">
        <w:t>ese</w:t>
      </w:r>
      <w:r w:rsidR="00571FBF" w:rsidRPr="00177FDE">
        <w:t xml:space="preserve"> report</w:t>
      </w:r>
      <w:r w:rsidR="007C72D0" w:rsidRPr="00177FDE">
        <w:t>s</w:t>
      </w:r>
      <w:r w:rsidR="00571FBF" w:rsidRPr="00177FDE">
        <w:t xml:space="preserve"> </w:t>
      </w:r>
      <w:r w:rsidR="00FA073E" w:rsidRPr="00177FDE">
        <w:rPr>
          <w:rFonts w:ascii="Helvetica" w:hAnsi="Helvetica"/>
          <w:color w:val="000000"/>
          <w:shd w:val="clear" w:color="auto" w:fill="FFFFFF"/>
        </w:rPr>
        <w:t xml:space="preserve">display the annual kindergarten through grade twelve public school absence data by Race/Ethnicity, Program Subgroup, or Academic Year (Multi-Year) for the selected report level (state, county, district, or school). </w:t>
      </w:r>
      <w:r w:rsidR="00BA56AD" w:rsidRPr="00177FDE">
        <w:rPr>
          <w:rFonts w:ascii="Helvetica" w:hAnsi="Helvetica"/>
          <w:color w:val="000000"/>
          <w:shd w:val="clear" w:color="auto" w:fill="FFFFFF"/>
        </w:rPr>
        <w:t xml:space="preserve">Each of these reports are accessible through the Absenteeism Data web page at </w:t>
      </w:r>
      <w:hyperlink r:id="rId29" w:tooltip="Absentesim Data web page with report links" w:history="1">
        <w:r w:rsidR="00BA56AD" w:rsidRPr="00177FDE">
          <w:rPr>
            <w:rStyle w:val="Hyperlink"/>
            <w:rFonts w:ascii="Helvetica" w:hAnsi="Helvetica"/>
            <w:shd w:val="clear" w:color="auto" w:fill="FFFFFF"/>
          </w:rPr>
          <w:t>https://www.cde.ca.gov/ds/ad/crabtop.asp</w:t>
        </w:r>
      </w:hyperlink>
      <w:r w:rsidR="00BA56AD" w:rsidRPr="00177FDE">
        <w:rPr>
          <w:rFonts w:ascii="Helvetica" w:hAnsi="Helvetica"/>
          <w:color w:val="000000"/>
          <w:shd w:val="clear" w:color="auto" w:fill="FFFFFF"/>
        </w:rPr>
        <w:t>.</w:t>
      </w:r>
    </w:p>
    <w:p w14:paraId="52030AAC" w14:textId="4A535B08" w:rsidR="005F32A8" w:rsidRPr="00177FDE" w:rsidRDefault="00FA68CA" w:rsidP="005F32A8">
      <w:pPr>
        <w:spacing w:after="240"/>
        <w:rPr>
          <w:rFonts w:ascii="Helvetica" w:hAnsi="Helvetica"/>
          <w:color w:val="000000"/>
          <w:shd w:val="clear" w:color="auto" w:fill="FFFFFF"/>
        </w:rPr>
      </w:pPr>
      <w:r w:rsidRPr="00177FDE">
        <w:rPr>
          <w:rFonts w:ascii="Helvetica" w:hAnsi="Helvetica"/>
          <w:color w:val="000000"/>
          <w:shd w:val="clear" w:color="auto" w:fill="FFFFFF"/>
        </w:rPr>
        <w:t>A March 2023 PACE report titled, “Disparities in Unexcused Absences Across California Schools,” authored by Clea McNeely, Hedy Chang, and Kevin Gee (</w:t>
      </w:r>
      <w:hyperlink r:id="rId30" w:tooltip="Disparities in Unexcused Absences Across California Schools" w:history="1">
        <w:r w:rsidRPr="00177FDE">
          <w:rPr>
            <w:rStyle w:val="Hyperlink"/>
            <w:rFonts w:ascii="Helvetica" w:hAnsi="Helvetica"/>
            <w:shd w:val="clear" w:color="auto" w:fill="FFFFFF"/>
          </w:rPr>
          <w:t>https://edpolicyinca.org/publications/disparities-unexcused-absences-across-california-schools</w:t>
        </w:r>
      </w:hyperlink>
      <w:r w:rsidRPr="00177FDE">
        <w:rPr>
          <w:rFonts w:ascii="Helvetica" w:hAnsi="Helvetica"/>
          <w:color w:val="000000"/>
          <w:shd w:val="clear" w:color="auto" w:fill="FFFFFF"/>
        </w:rPr>
        <w:t xml:space="preserve">) </w:t>
      </w:r>
      <w:r w:rsidR="00E26F34" w:rsidRPr="00177FDE">
        <w:rPr>
          <w:rFonts w:ascii="Helvetica" w:hAnsi="Helvetica"/>
          <w:color w:val="000000"/>
          <w:shd w:val="clear" w:color="auto" w:fill="FFFFFF"/>
        </w:rPr>
        <w:t>states that</w:t>
      </w:r>
      <w:r w:rsidR="00420BD4" w:rsidRPr="00177FDE">
        <w:rPr>
          <w:rFonts w:ascii="Helvetica" w:hAnsi="Helvetica"/>
          <w:color w:val="000000"/>
          <w:shd w:val="clear" w:color="auto" w:fill="FFFFFF"/>
        </w:rPr>
        <w:t xml:space="preserve"> </w:t>
      </w:r>
      <w:r w:rsidR="00A33DDD" w:rsidRPr="00177FDE">
        <w:rPr>
          <w:rFonts w:ascii="Helvetica" w:hAnsi="Helvetica"/>
          <w:color w:val="000000"/>
          <w:shd w:val="clear" w:color="auto" w:fill="FFFFFF"/>
        </w:rPr>
        <w:t>California’s</w:t>
      </w:r>
      <w:r w:rsidR="00420BD4" w:rsidRPr="00177FDE">
        <w:rPr>
          <w:rFonts w:ascii="Helvetica" w:hAnsi="Helvetica"/>
          <w:color w:val="000000"/>
          <w:shd w:val="clear" w:color="auto" w:fill="FFFFFF"/>
        </w:rPr>
        <w:t xml:space="preserve"> Absenteeism by Reason report </w:t>
      </w:r>
      <w:r w:rsidR="00A33DDD" w:rsidRPr="00177FDE">
        <w:rPr>
          <w:rFonts w:ascii="Helvetica" w:hAnsi="Helvetica"/>
          <w:color w:val="000000"/>
          <w:shd w:val="clear" w:color="auto" w:fill="FFFFFF"/>
        </w:rPr>
        <w:t>“</w:t>
      </w:r>
      <w:r w:rsidR="00A33DDD" w:rsidRPr="00177FDE">
        <w:t>set a precedent for the nation by publishing data on absenteeism (excused and unexcused), making sure they are easy to examine and review</w:t>
      </w:r>
      <w:r w:rsidR="00A33DDD" w:rsidRPr="00177FDE">
        <w:rPr>
          <w:rFonts w:ascii="Helvetica" w:hAnsi="Helvetica"/>
          <w:color w:val="000000"/>
          <w:shd w:val="clear" w:color="auto" w:fill="FFFFFF"/>
        </w:rPr>
        <w:t>”</w:t>
      </w:r>
      <w:r w:rsidR="00E26F34" w:rsidRPr="00177FDE">
        <w:rPr>
          <w:rFonts w:ascii="Helvetica" w:hAnsi="Helvetica"/>
          <w:color w:val="000000"/>
          <w:shd w:val="clear" w:color="auto" w:fill="FFFFFF"/>
        </w:rPr>
        <w:t>.</w:t>
      </w:r>
    </w:p>
    <w:p w14:paraId="1A2C296E" w14:textId="50206BFB" w:rsidR="00DC738A" w:rsidRPr="00AF7397" w:rsidRDefault="003CAAB0" w:rsidP="00AF7397">
      <w:pPr>
        <w:pStyle w:val="Heading3"/>
        <w:rPr>
          <w:i w:val="0"/>
          <w:iCs/>
          <w:sz w:val="24"/>
          <w:szCs w:val="20"/>
        </w:rPr>
      </w:pPr>
      <w:r w:rsidRPr="00AF7397">
        <w:rPr>
          <w:i w:val="0"/>
          <w:iCs/>
          <w:sz w:val="24"/>
          <w:szCs w:val="20"/>
        </w:rPr>
        <w:t xml:space="preserve">Chronic Absenteeism </w:t>
      </w:r>
      <w:r w:rsidR="02EDFDBE" w:rsidRPr="00AF7397">
        <w:rPr>
          <w:i w:val="0"/>
          <w:iCs/>
          <w:sz w:val="24"/>
          <w:szCs w:val="20"/>
        </w:rPr>
        <w:t xml:space="preserve">Status </w:t>
      </w:r>
      <w:r w:rsidR="15ECC561" w:rsidRPr="00AF7397">
        <w:rPr>
          <w:i w:val="0"/>
          <w:iCs/>
          <w:sz w:val="24"/>
          <w:szCs w:val="20"/>
        </w:rPr>
        <w:t xml:space="preserve">Calculation and </w:t>
      </w:r>
      <w:r w:rsidR="02EDFDBE" w:rsidRPr="00AF7397">
        <w:rPr>
          <w:i w:val="0"/>
          <w:iCs/>
          <w:sz w:val="24"/>
          <w:szCs w:val="20"/>
        </w:rPr>
        <w:t>Levels</w:t>
      </w:r>
    </w:p>
    <w:p w14:paraId="08CBCA94" w14:textId="7805FCE5" w:rsidR="00DC738A" w:rsidRPr="00177FDE" w:rsidRDefault="6F69217D" w:rsidP="002D3D36">
      <w:pPr>
        <w:spacing w:after="240"/>
      </w:pPr>
      <w:r w:rsidRPr="00177FDE">
        <w:t xml:space="preserve">Once each student’s absence rate is calculated, the next step is to take all the students who had a chronic absence rate of 10 percent or more and calculate the chronic absenteeism </w:t>
      </w:r>
      <w:r w:rsidR="06F9E2E4" w:rsidRPr="00177FDE">
        <w:t xml:space="preserve">rate </w:t>
      </w:r>
      <w:r w:rsidRPr="00177FDE">
        <w:t xml:space="preserve">for LEAs, schools, and student groups. The </w:t>
      </w:r>
      <w:r w:rsidR="38919018" w:rsidRPr="00177FDE">
        <w:t xml:space="preserve">Chronic Absenteeism </w:t>
      </w:r>
      <w:r w:rsidRPr="00177FDE">
        <w:t>Status</w:t>
      </w:r>
      <w:r w:rsidR="6CB2EBE0" w:rsidRPr="00177FDE">
        <w:t xml:space="preserve"> calculation</w:t>
      </w:r>
      <w:r w:rsidRPr="00177FDE">
        <w:t xml:space="preserve"> for </w:t>
      </w:r>
      <w:r w:rsidR="00EF6077" w:rsidRPr="00177FDE">
        <w:t xml:space="preserve">the </w:t>
      </w:r>
      <w:r w:rsidRPr="00177FDE">
        <w:t>Dashboard</w:t>
      </w:r>
      <w:r w:rsidR="0DA659A4" w:rsidRPr="00177FDE">
        <w:t xml:space="preserve"> is</w:t>
      </w:r>
      <w:r w:rsidR="50293A9B" w:rsidRPr="00177FDE">
        <w:t xml:space="preserve"> the</w:t>
      </w:r>
      <w:r w:rsidR="0DA659A4" w:rsidRPr="00177FDE">
        <w:t>:</w:t>
      </w:r>
    </w:p>
    <w:p w14:paraId="49BAD128" w14:textId="3F0374FF" w:rsidR="00DC738A" w:rsidRPr="00177FDE" w:rsidRDefault="6F69217D" w:rsidP="002D3D36">
      <w:pPr>
        <w:spacing w:after="240"/>
        <w:jc w:val="center"/>
        <w:rPr>
          <w:b/>
          <w:bCs/>
        </w:rPr>
      </w:pPr>
      <w:r w:rsidRPr="00177FDE">
        <w:rPr>
          <w:b/>
          <w:bCs/>
        </w:rPr>
        <w:lastRenderedPageBreak/>
        <w:t>Total Number of Unduplicated Count of Students Who Were Absent 10 Percent or More of Instructional Days (in which the student was expected to attend) During the Academic Year</w:t>
      </w:r>
    </w:p>
    <w:p w14:paraId="554C06C2" w14:textId="37D26D8F" w:rsidR="00DC738A" w:rsidRPr="00177FDE" w:rsidRDefault="6F69217D" w:rsidP="002D3D36">
      <w:pPr>
        <w:spacing w:after="240"/>
        <w:jc w:val="center"/>
        <w:rPr>
          <w:b/>
          <w:bCs/>
          <w:i/>
          <w:iCs/>
        </w:rPr>
      </w:pPr>
      <w:r w:rsidRPr="00177FDE">
        <w:rPr>
          <w:b/>
          <w:bCs/>
          <w:i/>
          <w:iCs/>
        </w:rPr>
        <w:t>divided by</w:t>
      </w:r>
    </w:p>
    <w:p w14:paraId="7251AA16" w14:textId="12EF2110" w:rsidR="00DC738A" w:rsidRPr="00177FDE" w:rsidRDefault="6F69217D" w:rsidP="4EA68CF9">
      <w:pPr>
        <w:jc w:val="center"/>
        <w:rPr>
          <w:b/>
          <w:bCs/>
        </w:rPr>
      </w:pPr>
      <w:r w:rsidRPr="00177FDE">
        <w:rPr>
          <w:b/>
          <w:bCs/>
        </w:rPr>
        <w:t xml:space="preserve">Total Number of Cumulatively Enrolled Students Who Meet Specific </w:t>
      </w:r>
    </w:p>
    <w:p w14:paraId="0152C617" w14:textId="69E2FDBA" w:rsidR="00DC738A" w:rsidRPr="00177FDE" w:rsidRDefault="6F69217D" w:rsidP="002D3D36">
      <w:pPr>
        <w:spacing w:after="240"/>
        <w:jc w:val="center"/>
        <w:rPr>
          <w:b/>
          <w:bCs/>
        </w:rPr>
      </w:pPr>
      <w:r w:rsidRPr="00177FDE">
        <w:rPr>
          <w:b/>
          <w:bCs/>
        </w:rPr>
        <w:t>“Eligible Enrolled” Requirements</w:t>
      </w:r>
      <w:r w:rsidR="4BE7F3C6" w:rsidRPr="00177FDE">
        <w:rPr>
          <w:b/>
          <w:bCs/>
        </w:rPr>
        <w:t>.</w:t>
      </w:r>
    </w:p>
    <w:p w14:paraId="32CA5FA6" w14:textId="0AB5E19D" w:rsidR="00DC738A" w:rsidRPr="00177FDE" w:rsidRDefault="74F4E3EF" w:rsidP="4EA68CF9">
      <w:r w:rsidRPr="00177FDE">
        <w:t xml:space="preserve">Table </w:t>
      </w:r>
      <w:r w:rsidR="4135A3E0" w:rsidRPr="00177FDE">
        <w:t>1</w:t>
      </w:r>
      <w:r w:rsidRPr="00177FDE">
        <w:t xml:space="preserve"> shows the Chronic Absenteeism status cut points approved by the SBE in 2018 and the established the status levels used on the Dashboard.</w:t>
      </w:r>
    </w:p>
    <w:p w14:paraId="0E89F4AF" w14:textId="7DB6823E" w:rsidR="00DC738A" w:rsidRPr="00AF7397" w:rsidRDefault="0E48E027" w:rsidP="00AF7397">
      <w:pPr>
        <w:pStyle w:val="Heading4"/>
      </w:pPr>
      <w:r w:rsidRPr="00177FDE">
        <w:t xml:space="preserve">Table 1: Approved Status Levels for </w:t>
      </w:r>
      <w:r w:rsidR="79E44D65" w:rsidRPr="00177FDE">
        <w:t xml:space="preserve">the </w:t>
      </w:r>
      <w:r w:rsidRPr="00177FDE">
        <w:t>Chronic Absenteeism</w:t>
      </w:r>
      <w:r w:rsidR="0EBA6E3D" w:rsidRPr="00177FDE">
        <w:t xml:space="preserve"> Indicator</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1: Approved Status Levels for the Chronic Absenteeism Indicator"/>
        <w:tblDescription w:val="Table shows status cut points approved by the SBE in 2018 and the established status levels used in the Dashboard."/>
      </w:tblPr>
      <w:tblGrid>
        <w:gridCol w:w="2955"/>
        <w:gridCol w:w="6480"/>
      </w:tblGrid>
      <w:tr w:rsidR="4EA68CF9" w:rsidRPr="00177FDE" w14:paraId="187663FB" w14:textId="77777777" w:rsidTr="00B36341">
        <w:trPr>
          <w:cantSplit/>
          <w:trHeight w:val="300"/>
          <w:tblHeader/>
        </w:trPr>
        <w:tc>
          <w:tcPr>
            <w:tcW w:w="2955" w:type="dxa"/>
            <w:tcBorders>
              <w:top w:val="single" w:sz="6" w:space="0" w:color="auto"/>
              <w:left w:val="single" w:sz="6" w:space="0" w:color="auto"/>
            </w:tcBorders>
            <w:shd w:val="clear" w:color="auto" w:fill="D9D9D9" w:themeFill="background1" w:themeFillShade="D9"/>
            <w:tcMar>
              <w:left w:w="90" w:type="dxa"/>
              <w:right w:w="90" w:type="dxa"/>
            </w:tcMar>
          </w:tcPr>
          <w:p w14:paraId="41FB3777" w14:textId="703732AD" w:rsidR="4EA68CF9" w:rsidRPr="00177FDE" w:rsidRDefault="4EA68CF9" w:rsidP="4EA68CF9">
            <w:pPr>
              <w:spacing w:after="240"/>
              <w:rPr>
                <w:rFonts w:eastAsia="Arial" w:cs="Arial"/>
              </w:rPr>
            </w:pPr>
            <w:r w:rsidRPr="00177FDE">
              <w:rPr>
                <w:rFonts w:eastAsia="Arial" w:cs="Arial"/>
                <w:b/>
                <w:bCs/>
              </w:rPr>
              <w:t>Status Level</w:t>
            </w:r>
          </w:p>
        </w:tc>
        <w:tc>
          <w:tcPr>
            <w:tcW w:w="6480" w:type="dxa"/>
            <w:tcBorders>
              <w:top w:val="single" w:sz="6" w:space="0" w:color="auto"/>
              <w:right w:val="single" w:sz="6" w:space="0" w:color="auto"/>
            </w:tcBorders>
            <w:shd w:val="clear" w:color="auto" w:fill="D9D9D9" w:themeFill="background1" w:themeFillShade="D9"/>
            <w:tcMar>
              <w:left w:w="90" w:type="dxa"/>
              <w:right w:w="90" w:type="dxa"/>
            </w:tcMar>
          </w:tcPr>
          <w:p w14:paraId="6E7D8E45" w14:textId="655A7155" w:rsidR="4EA68CF9" w:rsidRPr="00177FDE" w:rsidRDefault="4EA68CF9" w:rsidP="4EA68CF9">
            <w:pPr>
              <w:spacing w:after="240"/>
              <w:rPr>
                <w:rFonts w:eastAsia="Arial" w:cs="Arial"/>
              </w:rPr>
            </w:pPr>
            <w:r w:rsidRPr="00177FDE">
              <w:rPr>
                <w:rFonts w:eastAsia="Arial" w:cs="Arial"/>
                <w:b/>
                <w:bCs/>
              </w:rPr>
              <w:t>Status Cut Points</w:t>
            </w:r>
          </w:p>
        </w:tc>
      </w:tr>
      <w:tr w:rsidR="4EA68CF9" w:rsidRPr="00177FDE" w14:paraId="093A1491" w14:textId="77777777" w:rsidTr="00B36341">
        <w:trPr>
          <w:cantSplit/>
          <w:trHeight w:val="300"/>
          <w:tblHeader/>
        </w:trPr>
        <w:tc>
          <w:tcPr>
            <w:tcW w:w="2955" w:type="dxa"/>
            <w:tcBorders>
              <w:left w:val="single" w:sz="6" w:space="0" w:color="auto"/>
            </w:tcBorders>
            <w:tcMar>
              <w:left w:w="90" w:type="dxa"/>
              <w:right w:w="90" w:type="dxa"/>
            </w:tcMar>
          </w:tcPr>
          <w:p w14:paraId="3CF0D63A" w14:textId="77777777" w:rsidR="00B36341" w:rsidRPr="00177FDE" w:rsidRDefault="4EA68CF9" w:rsidP="0073281E">
            <w:pPr>
              <w:rPr>
                <w:rFonts w:eastAsia="Arial" w:cs="Arial"/>
              </w:rPr>
            </w:pPr>
            <w:r w:rsidRPr="00177FDE">
              <w:rPr>
                <w:rFonts w:eastAsia="Arial" w:cs="Arial"/>
              </w:rPr>
              <w:t>Very Low</w:t>
            </w:r>
          </w:p>
          <w:p w14:paraId="6C37821D" w14:textId="093121F8" w:rsidR="4EA68CF9" w:rsidRPr="00177FDE" w:rsidRDefault="4CEDA489" w:rsidP="0073281E">
            <w:pPr>
              <w:rPr>
                <w:rFonts w:eastAsia="Arial" w:cs="Arial"/>
              </w:rPr>
            </w:pPr>
            <w:r w:rsidRPr="00177FDE">
              <w:rPr>
                <w:rFonts w:eastAsia="Arial" w:cs="Arial"/>
              </w:rPr>
              <w:t>(highest</w:t>
            </w:r>
            <w:r w:rsidR="45AD87EA" w:rsidRPr="00177FDE">
              <w:rPr>
                <w:rFonts w:eastAsia="Arial" w:cs="Arial"/>
              </w:rPr>
              <w:t xml:space="preserve"> status</w:t>
            </w:r>
            <w:r w:rsidRPr="00177FDE">
              <w:rPr>
                <w:rFonts w:eastAsia="Arial" w:cs="Arial"/>
              </w:rPr>
              <w:t xml:space="preserve"> level)</w:t>
            </w:r>
          </w:p>
        </w:tc>
        <w:tc>
          <w:tcPr>
            <w:tcW w:w="6480" w:type="dxa"/>
            <w:tcBorders>
              <w:right w:val="single" w:sz="6" w:space="0" w:color="auto"/>
            </w:tcBorders>
            <w:tcMar>
              <w:left w:w="90" w:type="dxa"/>
              <w:right w:w="90" w:type="dxa"/>
            </w:tcMar>
          </w:tcPr>
          <w:p w14:paraId="375BC8E0" w14:textId="62242E7D" w:rsidR="4EA68CF9" w:rsidRPr="00177FDE" w:rsidRDefault="4EA68CF9" w:rsidP="0073281E">
            <w:pPr>
              <w:rPr>
                <w:rFonts w:eastAsia="Arial" w:cs="Arial"/>
              </w:rPr>
            </w:pPr>
            <w:r w:rsidRPr="00177FDE">
              <w:rPr>
                <w:rFonts w:eastAsia="Arial" w:cs="Arial"/>
              </w:rPr>
              <w:t xml:space="preserve">Chronic absenteeism rate is 2.5% or less </w:t>
            </w:r>
          </w:p>
        </w:tc>
      </w:tr>
      <w:tr w:rsidR="4EA68CF9" w:rsidRPr="00177FDE" w14:paraId="1BE21816" w14:textId="77777777" w:rsidTr="00B36341">
        <w:trPr>
          <w:cantSplit/>
          <w:trHeight w:val="300"/>
          <w:tblHeader/>
        </w:trPr>
        <w:tc>
          <w:tcPr>
            <w:tcW w:w="2955" w:type="dxa"/>
            <w:tcBorders>
              <w:left w:val="single" w:sz="6" w:space="0" w:color="auto"/>
            </w:tcBorders>
            <w:tcMar>
              <w:left w:w="90" w:type="dxa"/>
              <w:right w:w="90" w:type="dxa"/>
            </w:tcMar>
          </w:tcPr>
          <w:p w14:paraId="7CA5287F" w14:textId="75FF5041" w:rsidR="4EA68CF9" w:rsidRPr="00177FDE" w:rsidRDefault="4EA68CF9" w:rsidP="0073281E">
            <w:pPr>
              <w:rPr>
                <w:rFonts w:eastAsia="Arial" w:cs="Arial"/>
              </w:rPr>
            </w:pPr>
            <w:r w:rsidRPr="00177FDE">
              <w:rPr>
                <w:rFonts w:eastAsia="Arial" w:cs="Arial"/>
              </w:rPr>
              <w:t>Low</w:t>
            </w:r>
          </w:p>
        </w:tc>
        <w:tc>
          <w:tcPr>
            <w:tcW w:w="6480" w:type="dxa"/>
            <w:tcBorders>
              <w:right w:val="single" w:sz="6" w:space="0" w:color="auto"/>
            </w:tcBorders>
            <w:tcMar>
              <w:left w:w="90" w:type="dxa"/>
              <w:right w:w="90" w:type="dxa"/>
            </w:tcMar>
          </w:tcPr>
          <w:p w14:paraId="56C39E0D" w14:textId="02F209E0" w:rsidR="4EA68CF9" w:rsidRPr="00177FDE" w:rsidRDefault="4EA68CF9" w:rsidP="0073281E">
            <w:pPr>
              <w:rPr>
                <w:rFonts w:eastAsia="Arial" w:cs="Arial"/>
              </w:rPr>
            </w:pPr>
            <w:r w:rsidRPr="00177FDE">
              <w:rPr>
                <w:rFonts w:eastAsia="Arial" w:cs="Arial"/>
              </w:rPr>
              <w:t>Chronic absenteeism rate is 2.6% to 5.0%</w:t>
            </w:r>
          </w:p>
        </w:tc>
      </w:tr>
      <w:tr w:rsidR="4EA68CF9" w:rsidRPr="00177FDE" w14:paraId="6F26B2FC" w14:textId="77777777" w:rsidTr="00B36341">
        <w:trPr>
          <w:cantSplit/>
          <w:trHeight w:val="300"/>
          <w:tblHeader/>
        </w:trPr>
        <w:tc>
          <w:tcPr>
            <w:tcW w:w="2955" w:type="dxa"/>
            <w:tcBorders>
              <w:left w:val="single" w:sz="6" w:space="0" w:color="auto"/>
            </w:tcBorders>
            <w:tcMar>
              <w:left w:w="90" w:type="dxa"/>
              <w:right w:w="90" w:type="dxa"/>
            </w:tcMar>
          </w:tcPr>
          <w:p w14:paraId="62B864C8" w14:textId="4D677C4B" w:rsidR="4EA68CF9" w:rsidRPr="00177FDE" w:rsidRDefault="4EA68CF9" w:rsidP="0073281E">
            <w:pPr>
              <w:rPr>
                <w:rFonts w:eastAsia="Arial" w:cs="Arial"/>
              </w:rPr>
            </w:pPr>
            <w:r w:rsidRPr="00177FDE">
              <w:rPr>
                <w:rFonts w:eastAsia="Arial" w:cs="Arial"/>
              </w:rPr>
              <w:t>Medium</w:t>
            </w:r>
          </w:p>
        </w:tc>
        <w:tc>
          <w:tcPr>
            <w:tcW w:w="6480" w:type="dxa"/>
            <w:tcBorders>
              <w:right w:val="single" w:sz="6" w:space="0" w:color="auto"/>
            </w:tcBorders>
            <w:tcMar>
              <w:left w:w="90" w:type="dxa"/>
              <w:right w:w="90" w:type="dxa"/>
            </w:tcMar>
          </w:tcPr>
          <w:p w14:paraId="19B9023A" w14:textId="7DF855E0" w:rsidR="4EA68CF9" w:rsidRPr="00177FDE" w:rsidRDefault="4EA68CF9" w:rsidP="0073281E">
            <w:pPr>
              <w:rPr>
                <w:rFonts w:eastAsia="Arial" w:cs="Arial"/>
              </w:rPr>
            </w:pPr>
            <w:r w:rsidRPr="00177FDE">
              <w:rPr>
                <w:rFonts w:eastAsia="Arial" w:cs="Arial"/>
              </w:rPr>
              <w:t>Chronic absenteeism rate is 5.1% to 10%</w:t>
            </w:r>
          </w:p>
        </w:tc>
      </w:tr>
      <w:tr w:rsidR="4EA68CF9" w:rsidRPr="00177FDE" w14:paraId="136653D0" w14:textId="77777777" w:rsidTr="00B36341">
        <w:trPr>
          <w:cantSplit/>
          <w:trHeight w:val="300"/>
          <w:tblHeader/>
        </w:trPr>
        <w:tc>
          <w:tcPr>
            <w:tcW w:w="2955" w:type="dxa"/>
            <w:tcBorders>
              <w:left w:val="single" w:sz="6" w:space="0" w:color="auto"/>
            </w:tcBorders>
            <w:tcMar>
              <w:left w:w="90" w:type="dxa"/>
              <w:right w:w="90" w:type="dxa"/>
            </w:tcMar>
          </w:tcPr>
          <w:p w14:paraId="4E287A8D" w14:textId="6494AF51" w:rsidR="4EA68CF9" w:rsidRPr="00177FDE" w:rsidRDefault="4EA68CF9" w:rsidP="0073281E">
            <w:pPr>
              <w:rPr>
                <w:rFonts w:eastAsia="Arial" w:cs="Arial"/>
              </w:rPr>
            </w:pPr>
            <w:r w:rsidRPr="00177FDE">
              <w:rPr>
                <w:rFonts w:eastAsia="Arial" w:cs="Arial"/>
              </w:rPr>
              <w:t xml:space="preserve">High </w:t>
            </w:r>
          </w:p>
        </w:tc>
        <w:tc>
          <w:tcPr>
            <w:tcW w:w="6480" w:type="dxa"/>
            <w:tcBorders>
              <w:right w:val="single" w:sz="6" w:space="0" w:color="auto"/>
            </w:tcBorders>
            <w:tcMar>
              <w:left w:w="90" w:type="dxa"/>
              <w:right w:w="90" w:type="dxa"/>
            </w:tcMar>
          </w:tcPr>
          <w:p w14:paraId="2ABF61FA" w14:textId="63C56197" w:rsidR="4EA68CF9" w:rsidRPr="00177FDE" w:rsidRDefault="4EA68CF9" w:rsidP="0073281E">
            <w:pPr>
              <w:rPr>
                <w:rFonts w:eastAsia="Arial" w:cs="Arial"/>
              </w:rPr>
            </w:pPr>
            <w:r w:rsidRPr="00177FDE">
              <w:rPr>
                <w:rFonts w:eastAsia="Arial" w:cs="Arial"/>
              </w:rPr>
              <w:t>Chronic absenteeism rate is 10.1% to 20%</w:t>
            </w:r>
          </w:p>
        </w:tc>
      </w:tr>
      <w:tr w:rsidR="4EA68CF9" w:rsidRPr="00177FDE" w14:paraId="6F470526" w14:textId="77777777" w:rsidTr="00B36341">
        <w:trPr>
          <w:cantSplit/>
          <w:trHeight w:val="300"/>
          <w:tblHeader/>
        </w:trPr>
        <w:tc>
          <w:tcPr>
            <w:tcW w:w="2955" w:type="dxa"/>
            <w:tcBorders>
              <w:left w:val="single" w:sz="6" w:space="0" w:color="auto"/>
              <w:bottom w:val="single" w:sz="6" w:space="0" w:color="auto"/>
            </w:tcBorders>
            <w:tcMar>
              <w:left w:w="90" w:type="dxa"/>
              <w:right w:w="90" w:type="dxa"/>
            </w:tcMar>
          </w:tcPr>
          <w:p w14:paraId="0FE67320" w14:textId="77777777" w:rsidR="00B36341" w:rsidRPr="00177FDE" w:rsidRDefault="4EA68CF9" w:rsidP="0073281E">
            <w:r w:rsidRPr="00177FDE">
              <w:rPr>
                <w:rFonts w:eastAsia="Arial" w:cs="Arial"/>
              </w:rPr>
              <w:t>Very High</w:t>
            </w:r>
          </w:p>
          <w:p w14:paraId="1E1B2543" w14:textId="730131F5" w:rsidR="4EA68CF9" w:rsidRPr="00177FDE" w:rsidRDefault="7F77F66A" w:rsidP="0073281E">
            <w:pPr>
              <w:rPr>
                <w:rFonts w:eastAsia="Arial" w:cs="Arial"/>
              </w:rPr>
            </w:pPr>
            <w:r w:rsidRPr="00177FDE">
              <w:rPr>
                <w:rFonts w:eastAsia="Arial" w:cs="Arial"/>
              </w:rPr>
              <w:t xml:space="preserve">(lowest </w:t>
            </w:r>
            <w:r w:rsidR="76FA3A0C" w:rsidRPr="00177FDE">
              <w:rPr>
                <w:rFonts w:eastAsia="Arial" w:cs="Arial"/>
              </w:rPr>
              <w:t xml:space="preserve">status </w:t>
            </w:r>
            <w:r w:rsidRPr="00177FDE">
              <w:rPr>
                <w:rFonts w:eastAsia="Arial" w:cs="Arial"/>
              </w:rPr>
              <w:t>level)</w:t>
            </w:r>
          </w:p>
        </w:tc>
        <w:tc>
          <w:tcPr>
            <w:tcW w:w="6480" w:type="dxa"/>
            <w:tcBorders>
              <w:bottom w:val="single" w:sz="6" w:space="0" w:color="auto"/>
              <w:right w:val="single" w:sz="6" w:space="0" w:color="auto"/>
            </w:tcBorders>
            <w:tcMar>
              <w:left w:w="90" w:type="dxa"/>
              <w:right w:w="90" w:type="dxa"/>
            </w:tcMar>
          </w:tcPr>
          <w:p w14:paraId="1A38AA28" w14:textId="52255DBD" w:rsidR="4EA68CF9" w:rsidRPr="00177FDE" w:rsidRDefault="4EA68CF9" w:rsidP="0073281E">
            <w:pPr>
              <w:rPr>
                <w:rFonts w:eastAsia="Arial" w:cs="Arial"/>
              </w:rPr>
            </w:pPr>
            <w:r w:rsidRPr="00177FDE">
              <w:rPr>
                <w:rFonts w:eastAsia="Arial" w:cs="Arial"/>
              </w:rPr>
              <w:t>Chronic absenteeism rate is 20.1% or more</w:t>
            </w:r>
          </w:p>
        </w:tc>
      </w:tr>
    </w:tbl>
    <w:p w14:paraId="426562AC" w14:textId="7CB01805" w:rsidR="00DC738A" w:rsidRPr="00AF7397" w:rsidRDefault="7804EB73" w:rsidP="00AF7397">
      <w:pPr>
        <w:pStyle w:val="Heading3"/>
        <w:rPr>
          <w:i w:val="0"/>
          <w:iCs/>
          <w:sz w:val="24"/>
          <w:szCs w:val="20"/>
        </w:rPr>
      </w:pPr>
      <w:r w:rsidRPr="00AF7397">
        <w:rPr>
          <w:i w:val="0"/>
          <w:iCs/>
          <w:sz w:val="24"/>
          <w:szCs w:val="20"/>
        </w:rPr>
        <w:t xml:space="preserve">Chronic Absenteeism </w:t>
      </w:r>
      <w:r w:rsidR="02EDFDBE" w:rsidRPr="00AF7397">
        <w:rPr>
          <w:i w:val="0"/>
          <w:iCs/>
          <w:sz w:val="24"/>
          <w:szCs w:val="20"/>
        </w:rPr>
        <w:t xml:space="preserve">Change </w:t>
      </w:r>
      <w:r w:rsidR="21EC2BC9" w:rsidRPr="00AF7397">
        <w:rPr>
          <w:i w:val="0"/>
          <w:iCs/>
          <w:sz w:val="24"/>
          <w:szCs w:val="20"/>
        </w:rPr>
        <w:t xml:space="preserve">Calculation and </w:t>
      </w:r>
      <w:r w:rsidR="02EDFDBE" w:rsidRPr="00AF7397">
        <w:rPr>
          <w:i w:val="0"/>
          <w:iCs/>
          <w:sz w:val="24"/>
          <w:szCs w:val="20"/>
        </w:rPr>
        <w:t>Levels</w:t>
      </w:r>
    </w:p>
    <w:p w14:paraId="4CFDD21E" w14:textId="003656C6" w:rsidR="00DC738A" w:rsidRPr="00177FDE" w:rsidRDefault="640A742F" w:rsidP="00B36341">
      <w:pPr>
        <w:spacing w:after="240"/>
      </w:pPr>
      <w:r w:rsidRPr="00177FDE">
        <w:t>Change is calculat</w:t>
      </w:r>
      <w:r w:rsidR="1CD36C27" w:rsidRPr="00177FDE">
        <w:t xml:space="preserve">ed on the Dashboard by measuring how </w:t>
      </w:r>
      <w:r w:rsidR="615AB59A" w:rsidRPr="00177FDE">
        <w:t xml:space="preserve">an LEA, school or student group has improved or declined compared to the prior year. </w:t>
      </w:r>
      <w:r w:rsidR="13670A1B" w:rsidRPr="00177FDE">
        <w:t xml:space="preserve">The Chronic Absenteeism Change calculation for </w:t>
      </w:r>
      <w:r w:rsidR="005158A6" w:rsidRPr="00177FDE">
        <w:t xml:space="preserve">the </w:t>
      </w:r>
      <w:r w:rsidR="13670A1B" w:rsidRPr="00177FDE">
        <w:t>Dashboard is the:</w:t>
      </w:r>
    </w:p>
    <w:p w14:paraId="5F3DF266" w14:textId="2EF5344C" w:rsidR="00DC738A" w:rsidRPr="00177FDE" w:rsidRDefault="22B954C7" w:rsidP="004D1C8B">
      <w:pPr>
        <w:spacing w:after="240"/>
        <w:jc w:val="center"/>
        <w:rPr>
          <w:rFonts w:eastAsia="Arial" w:cs="Arial"/>
          <w:b/>
          <w:bCs/>
        </w:rPr>
      </w:pPr>
      <w:r w:rsidRPr="00177FDE">
        <w:rPr>
          <w:rFonts w:eastAsia="Arial" w:cs="Arial"/>
          <w:b/>
          <w:bCs/>
        </w:rPr>
        <w:t>Current Year Chronic Absenteeism Rate [Status]</w:t>
      </w:r>
    </w:p>
    <w:p w14:paraId="440BFE34" w14:textId="0FE4111E" w:rsidR="00DC738A" w:rsidRPr="00177FDE" w:rsidRDefault="22B954C7" w:rsidP="004D1C8B">
      <w:pPr>
        <w:spacing w:after="240"/>
        <w:jc w:val="center"/>
        <w:rPr>
          <w:rFonts w:eastAsia="Arial" w:cs="Arial"/>
          <w:b/>
          <w:bCs/>
          <w:i/>
          <w:iCs/>
        </w:rPr>
      </w:pPr>
      <w:r w:rsidRPr="00177FDE">
        <w:rPr>
          <w:rFonts w:eastAsia="Arial" w:cs="Arial"/>
          <w:b/>
          <w:bCs/>
          <w:i/>
          <w:iCs/>
        </w:rPr>
        <w:t>minus</w:t>
      </w:r>
    </w:p>
    <w:p w14:paraId="26E3EDA1" w14:textId="04BEFF6A" w:rsidR="00DC738A" w:rsidRPr="00177FDE" w:rsidRDefault="22B954C7" w:rsidP="004D1C8B">
      <w:pPr>
        <w:spacing w:after="240"/>
        <w:jc w:val="center"/>
        <w:rPr>
          <w:rFonts w:eastAsia="Arial" w:cs="Arial"/>
          <w:b/>
          <w:bCs/>
        </w:rPr>
      </w:pPr>
      <w:r w:rsidRPr="00177FDE">
        <w:rPr>
          <w:rFonts w:eastAsia="Arial" w:cs="Arial"/>
          <w:b/>
          <w:bCs/>
        </w:rPr>
        <w:t xml:space="preserve">Prior </w:t>
      </w:r>
      <w:r w:rsidR="368FBA00" w:rsidRPr="00177FDE">
        <w:rPr>
          <w:rFonts w:eastAsia="Arial" w:cs="Arial"/>
          <w:b/>
          <w:bCs/>
        </w:rPr>
        <w:t xml:space="preserve">Year Chronic Absenteeism Rate </w:t>
      </w:r>
      <w:r w:rsidRPr="00177FDE">
        <w:rPr>
          <w:rFonts w:eastAsia="Arial" w:cs="Arial"/>
          <w:b/>
          <w:bCs/>
        </w:rPr>
        <w:t>[Prior Year Status]</w:t>
      </w:r>
    </w:p>
    <w:p w14:paraId="53999713" w14:textId="278BF007" w:rsidR="003F00DA" w:rsidRPr="00177FDE" w:rsidRDefault="6379A0AA" w:rsidP="4EA68CF9">
      <w:r w:rsidRPr="00177FDE">
        <w:t xml:space="preserve">Table 2 shows the Chronic Absenteeism </w:t>
      </w:r>
      <w:r w:rsidR="2377C622" w:rsidRPr="00177FDE">
        <w:t xml:space="preserve">change </w:t>
      </w:r>
      <w:r w:rsidRPr="00177FDE">
        <w:t xml:space="preserve">cut points </w:t>
      </w:r>
      <w:r w:rsidR="310DBD40" w:rsidRPr="00177FDE">
        <w:t xml:space="preserve">approved by the SBE </w:t>
      </w:r>
      <w:r w:rsidRPr="00177FDE">
        <w:t xml:space="preserve">in 2018 and </w:t>
      </w:r>
      <w:r w:rsidR="0A260991" w:rsidRPr="00177FDE">
        <w:t xml:space="preserve">the </w:t>
      </w:r>
      <w:r w:rsidRPr="00177FDE">
        <w:t xml:space="preserve">established the </w:t>
      </w:r>
      <w:r w:rsidR="3DD00B36" w:rsidRPr="00177FDE">
        <w:t xml:space="preserve">change </w:t>
      </w:r>
      <w:r w:rsidRPr="00177FDE">
        <w:t>levels</w:t>
      </w:r>
      <w:r w:rsidR="15771A6D" w:rsidRPr="00177FDE">
        <w:t xml:space="preserve"> used on the Dashboard</w:t>
      </w:r>
      <w:r w:rsidRPr="00177FDE">
        <w:t>.</w:t>
      </w:r>
    </w:p>
    <w:p w14:paraId="3E840453" w14:textId="77777777" w:rsidR="003F00DA" w:rsidRPr="00177FDE" w:rsidRDefault="003F00DA">
      <w:pPr>
        <w:spacing w:after="160" w:line="259" w:lineRule="auto"/>
      </w:pPr>
      <w:r w:rsidRPr="00177FDE">
        <w:br w:type="page"/>
      </w:r>
    </w:p>
    <w:p w14:paraId="7863E4DB" w14:textId="6D263DB6" w:rsidR="00DC738A" w:rsidRPr="00AF7397" w:rsidRDefault="78F973FB" w:rsidP="00AF7397">
      <w:pPr>
        <w:pStyle w:val="Heading4"/>
      </w:pPr>
      <w:r w:rsidRPr="00177FDE">
        <w:lastRenderedPageBreak/>
        <w:t>T</w:t>
      </w:r>
      <w:r w:rsidR="12BCE8FA" w:rsidRPr="00177FDE">
        <w:t xml:space="preserve">able </w:t>
      </w:r>
      <w:r w:rsidR="46BBB530" w:rsidRPr="00177FDE">
        <w:t>2</w:t>
      </w:r>
      <w:r w:rsidR="12BCE8FA" w:rsidRPr="00177FDE">
        <w:t xml:space="preserve">: </w:t>
      </w:r>
      <w:r w:rsidR="21C31ED1" w:rsidRPr="00177FDE">
        <w:t xml:space="preserve">Approved </w:t>
      </w:r>
      <w:r w:rsidR="12BCE8FA" w:rsidRPr="00177FDE">
        <w:t>Change Cut Points for the Chronic Absenteeism Indicator</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2: Approved Change Levels"/>
        <w:tblDescription w:val="Chronic Absenteeism change cut points approved by the SBE in 2018. "/>
      </w:tblPr>
      <w:tblGrid>
        <w:gridCol w:w="3000"/>
        <w:gridCol w:w="6406"/>
      </w:tblGrid>
      <w:tr w:rsidR="4EA68CF9" w:rsidRPr="00177FDE" w14:paraId="05ED8F09" w14:textId="77777777" w:rsidTr="00650EFE">
        <w:trPr>
          <w:cantSplit/>
          <w:trHeight w:val="540"/>
          <w:tblHeader/>
        </w:trPr>
        <w:tc>
          <w:tcPr>
            <w:tcW w:w="3000" w:type="dxa"/>
            <w:tcBorders>
              <w:top w:val="single" w:sz="6" w:space="0" w:color="auto"/>
              <w:left w:val="single" w:sz="6" w:space="0" w:color="auto"/>
            </w:tcBorders>
            <w:shd w:val="clear" w:color="auto" w:fill="D9D9D9" w:themeFill="background1" w:themeFillShade="D9"/>
            <w:tcMar>
              <w:left w:w="90" w:type="dxa"/>
              <w:right w:w="90" w:type="dxa"/>
            </w:tcMar>
            <w:vAlign w:val="center"/>
          </w:tcPr>
          <w:p w14:paraId="1B159CC6" w14:textId="1424A608" w:rsidR="4EA68CF9" w:rsidRPr="00177FDE" w:rsidRDefault="4EA68CF9" w:rsidP="005158A6">
            <w:pPr>
              <w:rPr>
                <w:rFonts w:eastAsia="Arial" w:cs="Arial"/>
              </w:rPr>
            </w:pPr>
            <w:r w:rsidRPr="00177FDE">
              <w:rPr>
                <w:rFonts w:eastAsia="Arial" w:cs="Arial"/>
                <w:b/>
                <w:bCs/>
              </w:rPr>
              <w:t>Change Level</w:t>
            </w:r>
          </w:p>
        </w:tc>
        <w:tc>
          <w:tcPr>
            <w:tcW w:w="6406" w:type="dxa"/>
            <w:tcBorders>
              <w:top w:val="single" w:sz="6" w:space="0" w:color="auto"/>
              <w:right w:val="single" w:sz="6" w:space="0" w:color="auto"/>
            </w:tcBorders>
            <w:shd w:val="clear" w:color="auto" w:fill="D9D9D9" w:themeFill="background1" w:themeFillShade="D9"/>
            <w:tcMar>
              <w:left w:w="90" w:type="dxa"/>
              <w:right w:w="90" w:type="dxa"/>
            </w:tcMar>
            <w:vAlign w:val="center"/>
          </w:tcPr>
          <w:p w14:paraId="0E20461A" w14:textId="71F60868" w:rsidR="4EA68CF9" w:rsidRPr="00177FDE" w:rsidRDefault="4EA68CF9" w:rsidP="005158A6">
            <w:pPr>
              <w:rPr>
                <w:rFonts w:eastAsia="Arial" w:cs="Arial"/>
              </w:rPr>
            </w:pPr>
            <w:r w:rsidRPr="00177FDE">
              <w:rPr>
                <w:rFonts w:eastAsia="Arial" w:cs="Arial"/>
                <w:b/>
                <w:bCs/>
              </w:rPr>
              <w:t>Change Cut Points</w:t>
            </w:r>
          </w:p>
        </w:tc>
      </w:tr>
      <w:tr w:rsidR="4EA68CF9" w:rsidRPr="00177FDE" w14:paraId="54064E06" w14:textId="77777777" w:rsidTr="00650EFE">
        <w:trPr>
          <w:cantSplit/>
          <w:trHeight w:val="540"/>
          <w:tblHeader/>
        </w:trPr>
        <w:tc>
          <w:tcPr>
            <w:tcW w:w="3000" w:type="dxa"/>
            <w:tcBorders>
              <w:left w:val="single" w:sz="6" w:space="0" w:color="auto"/>
            </w:tcBorders>
            <w:tcMar>
              <w:left w:w="90" w:type="dxa"/>
              <w:right w:w="90" w:type="dxa"/>
            </w:tcMar>
            <w:vAlign w:val="center"/>
          </w:tcPr>
          <w:p w14:paraId="39F04848" w14:textId="1AE7F324" w:rsidR="4EA68CF9" w:rsidRPr="00177FDE" w:rsidRDefault="4EA68CF9" w:rsidP="005158A6">
            <w:pPr>
              <w:rPr>
                <w:rFonts w:eastAsia="Arial" w:cs="Arial"/>
              </w:rPr>
            </w:pPr>
            <w:r w:rsidRPr="00177FDE">
              <w:rPr>
                <w:rFonts w:eastAsia="Arial" w:cs="Arial"/>
              </w:rPr>
              <w:t>Declined Significantly</w:t>
            </w:r>
            <w:r w:rsidR="7E585638" w:rsidRPr="00177FDE">
              <w:rPr>
                <w:rFonts w:eastAsia="Arial" w:cs="Arial"/>
              </w:rPr>
              <w:t xml:space="preserve"> (highest change level)</w:t>
            </w:r>
          </w:p>
        </w:tc>
        <w:tc>
          <w:tcPr>
            <w:tcW w:w="6406" w:type="dxa"/>
            <w:tcBorders>
              <w:right w:val="single" w:sz="6" w:space="0" w:color="auto"/>
            </w:tcBorders>
            <w:tcMar>
              <w:left w:w="90" w:type="dxa"/>
              <w:right w:w="90" w:type="dxa"/>
            </w:tcMar>
            <w:vAlign w:val="center"/>
          </w:tcPr>
          <w:p w14:paraId="69AE14BF" w14:textId="2FA420A4" w:rsidR="4EA68CF9" w:rsidRPr="00177FDE" w:rsidRDefault="4EA68CF9" w:rsidP="005158A6">
            <w:pPr>
              <w:rPr>
                <w:rFonts w:eastAsia="Arial" w:cs="Arial"/>
              </w:rPr>
            </w:pPr>
            <w:r w:rsidRPr="00177FDE">
              <w:rPr>
                <w:rFonts w:eastAsia="Arial" w:cs="Arial"/>
              </w:rPr>
              <w:t xml:space="preserve">Chronic absenteeism rate declined by 3% or more </w:t>
            </w:r>
          </w:p>
        </w:tc>
      </w:tr>
      <w:tr w:rsidR="4EA68CF9" w:rsidRPr="00177FDE" w14:paraId="6C65C97B" w14:textId="77777777" w:rsidTr="00650EFE">
        <w:trPr>
          <w:cantSplit/>
          <w:trHeight w:val="540"/>
          <w:tblHeader/>
        </w:trPr>
        <w:tc>
          <w:tcPr>
            <w:tcW w:w="3000" w:type="dxa"/>
            <w:tcBorders>
              <w:left w:val="single" w:sz="6" w:space="0" w:color="auto"/>
            </w:tcBorders>
            <w:tcMar>
              <w:left w:w="90" w:type="dxa"/>
              <w:right w:w="90" w:type="dxa"/>
            </w:tcMar>
            <w:vAlign w:val="center"/>
          </w:tcPr>
          <w:p w14:paraId="71FF84FC" w14:textId="1A0F235F" w:rsidR="4EA68CF9" w:rsidRPr="00177FDE" w:rsidRDefault="4EA68CF9" w:rsidP="005158A6">
            <w:pPr>
              <w:rPr>
                <w:rFonts w:eastAsia="Arial" w:cs="Arial"/>
              </w:rPr>
            </w:pPr>
            <w:r w:rsidRPr="00177FDE">
              <w:rPr>
                <w:rFonts w:eastAsia="Arial" w:cs="Arial"/>
              </w:rPr>
              <w:t>Declined</w:t>
            </w:r>
          </w:p>
        </w:tc>
        <w:tc>
          <w:tcPr>
            <w:tcW w:w="6406" w:type="dxa"/>
            <w:tcBorders>
              <w:right w:val="single" w:sz="6" w:space="0" w:color="auto"/>
            </w:tcBorders>
            <w:tcMar>
              <w:left w:w="90" w:type="dxa"/>
              <w:right w:w="90" w:type="dxa"/>
            </w:tcMar>
            <w:vAlign w:val="center"/>
          </w:tcPr>
          <w:p w14:paraId="5B1E5548" w14:textId="1EEBC23D" w:rsidR="4EA68CF9" w:rsidRPr="00177FDE" w:rsidRDefault="4EA68CF9" w:rsidP="005158A6">
            <w:pPr>
              <w:rPr>
                <w:rFonts w:eastAsia="Arial" w:cs="Arial"/>
              </w:rPr>
            </w:pPr>
            <w:r w:rsidRPr="00177FDE">
              <w:rPr>
                <w:rFonts w:eastAsia="Arial" w:cs="Arial"/>
              </w:rPr>
              <w:t>Chronic absenteeism rate declined by 0.5% to 2.9%</w:t>
            </w:r>
          </w:p>
        </w:tc>
      </w:tr>
      <w:tr w:rsidR="4EA68CF9" w:rsidRPr="00177FDE" w14:paraId="5F32B9CE" w14:textId="77777777" w:rsidTr="00650EFE">
        <w:trPr>
          <w:cantSplit/>
          <w:trHeight w:val="540"/>
          <w:tblHeader/>
        </w:trPr>
        <w:tc>
          <w:tcPr>
            <w:tcW w:w="3000" w:type="dxa"/>
            <w:tcBorders>
              <w:left w:val="single" w:sz="6" w:space="0" w:color="auto"/>
            </w:tcBorders>
            <w:tcMar>
              <w:left w:w="90" w:type="dxa"/>
              <w:right w:w="90" w:type="dxa"/>
            </w:tcMar>
            <w:vAlign w:val="center"/>
          </w:tcPr>
          <w:p w14:paraId="7C180C5E" w14:textId="4638C8BD" w:rsidR="4EA68CF9" w:rsidRPr="00177FDE" w:rsidRDefault="4EA68CF9" w:rsidP="005158A6">
            <w:pPr>
              <w:rPr>
                <w:rFonts w:eastAsia="Arial" w:cs="Arial"/>
              </w:rPr>
            </w:pPr>
            <w:r w:rsidRPr="00177FDE">
              <w:rPr>
                <w:rFonts w:eastAsia="Arial" w:cs="Arial"/>
              </w:rPr>
              <w:t>Maintained</w:t>
            </w:r>
          </w:p>
        </w:tc>
        <w:tc>
          <w:tcPr>
            <w:tcW w:w="6406" w:type="dxa"/>
            <w:tcBorders>
              <w:right w:val="single" w:sz="6" w:space="0" w:color="auto"/>
            </w:tcBorders>
            <w:tcMar>
              <w:left w:w="90" w:type="dxa"/>
              <w:right w:w="90" w:type="dxa"/>
            </w:tcMar>
            <w:vAlign w:val="center"/>
          </w:tcPr>
          <w:p w14:paraId="23E67664" w14:textId="57C01C40" w:rsidR="4EA68CF9" w:rsidRPr="00177FDE" w:rsidRDefault="4EA68CF9" w:rsidP="005158A6">
            <w:pPr>
              <w:rPr>
                <w:rFonts w:eastAsia="Arial" w:cs="Arial"/>
              </w:rPr>
            </w:pPr>
            <w:r w:rsidRPr="00177FDE">
              <w:rPr>
                <w:rFonts w:eastAsia="Arial" w:cs="Arial"/>
              </w:rPr>
              <w:t>Chronic absenteeism rate declined or increased by 0.4%</w:t>
            </w:r>
          </w:p>
        </w:tc>
      </w:tr>
      <w:tr w:rsidR="4EA68CF9" w:rsidRPr="00177FDE" w14:paraId="15F79E4E" w14:textId="77777777" w:rsidTr="00650EFE">
        <w:trPr>
          <w:cantSplit/>
          <w:trHeight w:val="540"/>
          <w:tblHeader/>
        </w:trPr>
        <w:tc>
          <w:tcPr>
            <w:tcW w:w="3000" w:type="dxa"/>
            <w:tcBorders>
              <w:left w:val="single" w:sz="6" w:space="0" w:color="auto"/>
            </w:tcBorders>
            <w:tcMar>
              <w:left w:w="90" w:type="dxa"/>
              <w:right w:w="90" w:type="dxa"/>
            </w:tcMar>
            <w:vAlign w:val="center"/>
          </w:tcPr>
          <w:p w14:paraId="26565DAC" w14:textId="537D8E3C" w:rsidR="4EA68CF9" w:rsidRPr="00177FDE" w:rsidRDefault="4EA68CF9" w:rsidP="005158A6">
            <w:pPr>
              <w:rPr>
                <w:rFonts w:eastAsia="Arial" w:cs="Arial"/>
              </w:rPr>
            </w:pPr>
            <w:r w:rsidRPr="00177FDE">
              <w:rPr>
                <w:rFonts w:eastAsia="Arial" w:cs="Arial"/>
              </w:rPr>
              <w:t>Increased</w:t>
            </w:r>
          </w:p>
        </w:tc>
        <w:tc>
          <w:tcPr>
            <w:tcW w:w="6406" w:type="dxa"/>
            <w:tcBorders>
              <w:right w:val="single" w:sz="6" w:space="0" w:color="auto"/>
            </w:tcBorders>
            <w:tcMar>
              <w:left w:w="90" w:type="dxa"/>
              <w:right w:w="90" w:type="dxa"/>
            </w:tcMar>
            <w:vAlign w:val="center"/>
          </w:tcPr>
          <w:p w14:paraId="4495AC9F" w14:textId="3C3C5220" w:rsidR="4EA68CF9" w:rsidRPr="00177FDE" w:rsidRDefault="4EA68CF9" w:rsidP="005158A6">
            <w:pPr>
              <w:rPr>
                <w:rFonts w:eastAsia="Arial" w:cs="Arial"/>
              </w:rPr>
            </w:pPr>
            <w:r w:rsidRPr="00177FDE">
              <w:rPr>
                <w:rFonts w:eastAsia="Arial" w:cs="Arial"/>
              </w:rPr>
              <w:t>Chronic absenteeism rate increased by 0.5% to 2.9%</w:t>
            </w:r>
          </w:p>
        </w:tc>
      </w:tr>
      <w:tr w:rsidR="4EA68CF9" w:rsidRPr="00177FDE" w14:paraId="314E7DF7" w14:textId="77777777" w:rsidTr="00650EFE">
        <w:trPr>
          <w:cantSplit/>
          <w:trHeight w:val="540"/>
          <w:tblHeader/>
        </w:trPr>
        <w:tc>
          <w:tcPr>
            <w:tcW w:w="3000" w:type="dxa"/>
            <w:tcBorders>
              <w:left w:val="single" w:sz="6" w:space="0" w:color="auto"/>
              <w:bottom w:val="single" w:sz="6" w:space="0" w:color="auto"/>
            </w:tcBorders>
            <w:tcMar>
              <w:left w:w="90" w:type="dxa"/>
              <w:right w:w="90" w:type="dxa"/>
            </w:tcMar>
            <w:vAlign w:val="center"/>
          </w:tcPr>
          <w:p w14:paraId="71BF4946" w14:textId="78990E6A" w:rsidR="4EA68CF9" w:rsidRPr="00177FDE" w:rsidRDefault="4EA68CF9" w:rsidP="005158A6">
            <w:pPr>
              <w:rPr>
                <w:rFonts w:eastAsia="Arial" w:cs="Arial"/>
              </w:rPr>
            </w:pPr>
            <w:r w:rsidRPr="00177FDE">
              <w:rPr>
                <w:rFonts w:eastAsia="Arial" w:cs="Arial"/>
              </w:rPr>
              <w:t xml:space="preserve">Increased Significantly </w:t>
            </w:r>
            <w:r w:rsidR="539B0204" w:rsidRPr="00177FDE">
              <w:rPr>
                <w:rFonts w:eastAsia="Arial" w:cs="Arial"/>
              </w:rPr>
              <w:t>(lowest change level)</w:t>
            </w:r>
          </w:p>
        </w:tc>
        <w:tc>
          <w:tcPr>
            <w:tcW w:w="6406" w:type="dxa"/>
            <w:tcBorders>
              <w:bottom w:val="single" w:sz="6" w:space="0" w:color="auto"/>
              <w:right w:val="single" w:sz="6" w:space="0" w:color="auto"/>
            </w:tcBorders>
            <w:tcMar>
              <w:left w:w="90" w:type="dxa"/>
              <w:right w:w="90" w:type="dxa"/>
            </w:tcMar>
            <w:vAlign w:val="center"/>
          </w:tcPr>
          <w:p w14:paraId="6DDF3D2C" w14:textId="0902AF08" w:rsidR="4EA68CF9" w:rsidRPr="00177FDE" w:rsidRDefault="4EA68CF9" w:rsidP="005158A6">
            <w:pPr>
              <w:rPr>
                <w:rFonts w:eastAsia="Arial" w:cs="Arial"/>
              </w:rPr>
            </w:pPr>
            <w:r w:rsidRPr="00177FDE">
              <w:rPr>
                <w:rFonts w:eastAsia="Arial" w:cs="Arial"/>
              </w:rPr>
              <w:t>Chronic absenteeism rate increased by 3% or more</w:t>
            </w:r>
          </w:p>
        </w:tc>
      </w:tr>
    </w:tbl>
    <w:p w14:paraId="4F37846F" w14:textId="2EF74739" w:rsidR="00DC738A" w:rsidRPr="00AF7397" w:rsidRDefault="27F285A4" w:rsidP="00AF7397">
      <w:pPr>
        <w:pStyle w:val="Heading3"/>
        <w:rPr>
          <w:i w:val="0"/>
          <w:iCs/>
          <w:sz w:val="24"/>
          <w:szCs w:val="20"/>
        </w:rPr>
      </w:pPr>
      <w:r w:rsidRPr="00AF7397">
        <w:rPr>
          <w:i w:val="0"/>
          <w:iCs/>
          <w:sz w:val="24"/>
          <w:szCs w:val="20"/>
        </w:rPr>
        <w:t xml:space="preserve">Chronic Absenteeism </w:t>
      </w:r>
      <w:r w:rsidR="37C3D0DB" w:rsidRPr="00AF7397">
        <w:rPr>
          <w:i w:val="0"/>
          <w:iCs/>
          <w:sz w:val="24"/>
          <w:szCs w:val="20"/>
        </w:rPr>
        <w:t xml:space="preserve">Performance Level </w:t>
      </w:r>
      <w:r w:rsidR="02EDFDBE" w:rsidRPr="00AF7397">
        <w:rPr>
          <w:i w:val="0"/>
          <w:iCs/>
          <w:sz w:val="24"/>
          <w:szCs w:val="20"/>
        </w:rPr>
        <w:t>Color Scheme</w:t>
      </w:r>
    </w:p>
    <w:p w14:paraId="3A117B8D" w14:textId="3D249B0D" w:rsidR="00DC738A" w:rsidRPr="00177FDE" w:rsidRDefault="51A35439" w:rsidP="4EA68CF9">
      <w:pPr>
        <w:spacing w:after="160"/>
        <w:rPr>
          <w:rFonts w:eastAsia="Arial" w:cs="Arial"/>
          <w:color w:val="000000" w:themeColor="text1"/>
        </w:rPr>
      </w:pPr>
      <w:r w:rsidRPr="00177FDE">
        <w:rPr>
          <w:rFonts w:eastAsia="Arial" w:cs="Arial"/>
          <w:color w:val="000000" w:themeColor="text1"/>
        </w:rPr>
        <w:t>The combination of an LEA’s or school’s “Status” and “Change” determines an Indicator’s performance category, which are represented by five ranked colors or Performance Levels:</w:t>
      </w:r>
    </w:p>
    <w:p w14:paraId="677C224A" w14:textId="3210AFD0" w:rsidR="00DC738A" w:rsidRPr="00177FDE" w:rsidRDefault="51A35439" w:rsidP="4EA68CF9">
      <w:pPr>
        <w:pStyle w:val="ListParagraph"/>
        <w:numPr>
          <w:ilvl w:val="0"/>
          <w:numId w:val="5"/>
        </w:numPr>
        <w:rPr>
          <w:rFonts w:eastAsia="Arial" w:cs="Arial"/>
          <w:color w:val="000000" w:themeColor="text1"/>
        </w:rPr>
      </w:pPr>
      <w:r w:rsidRPr="00177FDE">
        <w:rPr>
          <w:rFonts w:eastAsia="Arial" w:cs="Arial"/>
          <w:color w:val="000000" w:themeColor="text1"/>
        </w:rPr>
        <w:t>Blue (highest)</w:t>
      </w:r>
    </w:p>
    <w:p w14:paraId="5EC9D8B2" w14:textId="62994392" w:rsidR="00DC738A" w:rsidRPr="00177FDE" w:rsidRDefault="51A35439" w:rsidP="4EA68CF9">
      <w:pPr>
        <w:pStyle w:val="ListParagraph"/>
        <w:numPr>
          <w:ilvl w:val="0"/>
          <w:numId w:val="5"/>
        </w:numPr>
        <w:rPr>
          <w:rFonts w:eastAsia="Arial" w:cs="Arial"/>
          <w:color w:val="000000" w:themeColor="text1"/>
        </w:rPr>
      </w:pPr>
      <w:r w:rsidRPr="00177FDE">
        <w:rPr>
          <w:rFonts w:eastAsia="Arial" w:cs="Arial"/>
          <w:color w:val="000000" w:themeColor="text1"/>
        </w:rPr>
        <w:t>Green</w:t>
      </w:r>
    </w:p>
    <w:p w14:paraId="1B97698F" w14:textId="39CBF773" w:rsidR="00DC738A" w:rsidRPr="00177FDE" w:rsidRDefault="51A35439" w:rsidP="4EA68CF9">
      <w:pPr>
        <w:pStyle w:val="ListParagraph"/>
        <w:numPr>
          <w:ilvl w:val="0"/>
          <w:numId w:val="5"/>
        </w:numPr>
        <w:rPr>
          <w:rFonts w:eastAsia="Arial" w:cs="Arial"/>
          <w:color w:val="000000" w:themeColor="text1"/>
        </w:rPr>
      </w:pPr>
      <w:r w:rsidRPr="00177FDE">
        <w:rPr>
          <w:rFonts w:eastAsia="Arial" w:cs="Arial"/>
          <w:color w:val="000000" w:themeColor="text1"/>
        </w:rPr>
        <w:t>Yellow</w:t>
      </w:r>
    </w:p>
    <w:p w14:paraId="5E421B8C" w14:textId="22FBDAA5" w:rsidR="00DC738A" w:rsidRPr="00177FDE" w:rsidRDefault="51A35439" w:rsidP="4EA68CF9">
      <w:pPr>
        <w:pStyle w:val="ListParagraph"/>
        <w:numPr>
          <w:ilvl w:val="0"/>
          <w:numId w:val="5"/>
        </w:numPr>
        <w:rPr>
          <w:rFonts w:eastAsia="Arial" w:cs="Arial"/>
          <w:color w:val="000000" w:themeColor="text1"/>
        </w:rPr>
      </w:pPr>
      <w:r w:rsidRPr="00177FDE">
        <w:rPr>
          <w:rFonts w:eastAsia="Arial" w:cs="Arial"/>
          <w:color w:val="000000" w:themeColor="text1"/>
        </w:rPr>
        <w:t>Orange</w:t>
      </w:r>
    </w:p>
    <w:p w14:paraId="40E1FDE4" w14:textId="0D7D5837" w:rsidR="00DC738A" w:rsidRPr="00177FDE" w:rsidRDefault="51A35439" w:rsidP="4EA68CF9">
      <w:pPr>
        <w:pStyle w:val="ListParagraph"/>
        <w:numPr>
          <w:ilvl w:val="0"/>
          <w:numId w:val="5"/>
        </w:numPr>
        <w:spacing w:after="240"/>
        <w:rPr>
          <w:rFonts w:eastAsia="Arial" w:cs="Arial"/>
          <w:color w:val="000000" w:themeColor="text1"/>
        </w:rPr>
      </w:pPr>
      <w:r w:rsidRPr="00177FDE">
        <w:rPr>
          <w:rFonts w:eastAsia="Arial" w:cs="Arial"/>
          <w:color w:val="000000" w:themeColor="text1"/>
        </w:rPr>
        <w:t>Red (lowest)</w:t>
      </w:r>
    </w:p>
    <w:p w14:paraId="300E0C40" w14:textId="25384E37" w:rsidR="00DC738A" w:rsidRPr="00177FDE" w:rsidRDefault="51A35439" w:rsidP="4EA68CF9">
      <w:pPr>
        <w:spacing w:after="240"/>
        <w:rPr>
          <w:rFonts w:eastAsia="Arial" w:cs="Arial"/>
          <w:color w:val="000000" w:themeColor="text1"/>
        </w:rPr>
      </w:pPr>
      <w:r w:rsidRPr="00177FDE">
        <w:rPr>
          <w:rFonts w:eastAsia="Arial" w:cs="Arial"/>
          <w:color w:val="000000" w:themeColor="text1"/>
        </w:rPr>
        <w:t xml:space="preserve">Each </w:t>
      </w:r>
      <w:r w:rsidR="00E562B8" w:rsidRPr="00177FDE">
        <w:rPr>
          <w:rFonts w:eastAsia="Arial" w:cs="Arial"/>
          <w:color w:val="000000" w:themeColor="text1"/>
        </w:rPr>
        <w:t>i</w:t>
      </w:r>
      <w:r w:rsidRPr="00177FDE">
        <w:rPr>
          <w:rFonts w:eastAsia="Arial" w:cs="Arial"/>
          <w:color w:val="000000" w:themeColor="text1"/>
        </w:rPr>
        <w:t>ndicator has its own distinct Performance Level color scheme for the five-by-five colored grid, which is adopted by the SBE along with the status and change cut points.</w:t>
      </w:r>
    </w:p>
    <w:p w14:paraId="1ECE3F43" w14:textId="15C60ED9" w:rsidR="00DC738A" w:rsidRPr="00177FDE" w:rsidRDefault="447B942B" w:rsidP="4EA68CF9">
      <w:pPr>
        <w:spacing w:after="240"/>
        <w:rPr>
          <w:rFonts w:eastAsia="Arial" w:cs="Arial"/>
          <w:color w:val="000000" w:themeColor="text1"/>
        </w:rPr>
      </w:pPr>
      <w:r w:rsidRPr="00177FDE">
        <w:rPr>
          <w:rFonts w:eastAsia="Arial" w:cs="Arial"/>
          <w:color w:val="000000" w:themeColor="text1"/>
        </w:rPr>
        <w:t>The SBE adopted the Chronic Absenteeism Performance Level color scheme for five-by-five colored grid as shown in Table 3.</w:t>
      </w:r>
    </w:p>
    <w:p w14:paraId="3F0142C7" w14:textId="77777777" w:rsidR="003F00DA" w:rsidRPr="00177FDE" w:rsidRDefault="003F00DA">
      <w:pPr>
        <w:spacing w:after="160" w:line="259" w:lineRule="auto"/>
        <w:rPr>
          <w:rFonts w:eastAsia="Arial" w:cs="Arial"/>
          <w:b/>
          <w:bCs/>
          <w:color w:val="000000" w:themeColor="text1"/>
        </w:rPr>
      </w:pPr>
      <w:r w:rsidRPr="00177FDE">
        <w:rPr>
          <w:rFonts w:eastAsia="Arial" w:cs="Arial"/>
          <w:b/>
          <w:bCs/>
          <w:color w:val="000000" w:themeColor="text1"/>
        </w:rPr>
        <w:br w:type="page"/>
      </w:r>
    </w:p>
    <w:p w14:paraId="7181E4A5" w14:textId="302CBAA6" w:rsidR="00DC738A" w:rsidRPr="00AF7397" w:rsidRDefault="48EF6C79" w:rsidP="00AF7397">
      <w:pPr>
        <w:pStyle w:val="Heading4"/>
      </w:pPr>
      <w:r w:rsidRPr="00AF7397">
        <w:lastRenderedPageBreak/>
        <w:t>Table 3: Chronic Absenteeism Performance Levels (Colors)</w:t>
      </w:r>
    </w:p>
    <w:tbl>
      <w:tblPr>
        <w:tblStyle w:val="TableGrid"/>
        <w:tblW w:w="93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3: Chronic Absenteeism Performance Levels (Colors)"/>
        <w:tblDescription w:val="5 by 5 grid showing performance levels for the chronic absenteeism indicator as displayed by the five levels, Red, Orange, Yellow, Green, and Blue."/>
      </w:tblPr>
      <w:tblGrid>
        <w:gridCol w:w="1702"/>
        <w:gridCol w:w="1620"/>
        <w:gridCol w:w="1350"/>
        <w:gridCol w:w="1448"/>
        <w:gridCol w:w="1560"/>
        <w:gridCol w:w="1672"/>
      </w:tblGrid>
      <w:tr w:rsidR="4EA68CF9" w:rsidRPr="00177FDE" w14:paraId="6E5486D4" w14:textId="77777777" w:rsidTr="00AF7397">
        <w:trPr>
          <w:cantSplit/>
          <w:trHeight w:val="1515"/>
          <w:tblHeader/>
        </w:trPr>
        <w:tc>
          <w:tcPr>
            <w:tcW w:w="1702" w:type="dxa"/>
            <w:tcBorders>
              <w:top w:val="single" w:sz="6" w:space="0" w:color="auto"/>
              <w:left w:val="single" w:sz="6" w:space="0" w:color="auto"/>
            </w:tcBorders>
            <w:tcMar>
              <w:left w:w="90" w:type="dxa"/>
              <w:right w:w="90" w:type="dxa"/>
            </w:tcMar>
            <w:vAlign w:val="center"/>
          </w:tcPr>
          <w:p w14:paraId="40C70162" w14:textId="01F52A58" w:rsidR="4EA68CF9" w:rsidRPr="00AF7397" w:rsidRDefault="4EA68CF9" w:rsidP="4EA68CF9">
            <w:pPr>
              <w:spacing w:after="240"/>
              <w:jc w:val="center"/>
              <w:rPr>
                <w:rFonts w:eastAsia="Arial" w:cs="Arial"/>
              </w:rPr>
            </w:pPr>
            <w:r w:rsidRPr="00AF7397">
              <w:rPr>
                <w:rFonts w:eastAsia="Arial" w:cs="Arial"/>
                <w:b/>
                <w:bCs/>
              </w:rPr>
              <w:t>Performance Level</w:t>
            </w:r>
          </w:p>
        </w:tc>
        <w:tc>
          <w:tcPr>
            <w:tcW w:w="1620" w:type="dxa"/>
            <w:tcBorders>
              <w:top w:val="single" w:sz="6" w:space="0" w:color="auto"/>
            </w:tcBorders>
            <w:tcMar>
              <w:left w:w="90" w:type="dxa"/>
              <w:right w:w="90" w:type="dxa"/>
            </w:tcMar>
            <w:vAlign w:val="center"/>
          </w:tcPr>
          <w:p w14:paraId="0BA5E9CE" w14:textId="73759E1E" w:rsidR="4EA68CF9" w:rsidRPr="00AF7397" w:rsidRDefault="4EA68CF9" w:rsidP="4EA68CF9">
            <w:pPr>
              <w:spacing w:after="240"/>
              <w:jc w:val="center"/>
              <w:rPr>
                <w:rFonts w:eastAsia="Arial" w:cs="Arial"/>
              </w:rPr>
            </w:pPr>
            <w:r w:rsidRPr="00AF7397">
              <w:rPr>
                <w:rFonts w:eastAsia="Arial" w:cs="Arial"/>
                <w:b/>
                <w:bCs/>
              </w:rPr>
              <w:t>Increased Significantly</w:t>
            </w:r>
          </w:p>
        </w:tc>
        <w:tc>
          <w:tcPr>
            <w:tcW w:w="1350" w:type="dxa"/>
            <w:tcBorders>
              <w:top w:val="single" w:sz="6" w:space="0" w:color="auto"/>
            </w:tcBorders>
            <w:tcMar>
              <w:left w:w="90" w:type="dxa"/>
              <w:right w:w="90" w:type="dxa"/>
            </w:tcMar>
            <w:vAlign w:val="center"/>
          </w:tcPr>
          <w:p w14:paraId="69105DBC" w14:textId="1D8DFD9B" w:rsidR="4EA68CF9" w:rsidRPr="00AF7397" w:rsidRDefault="4EA68CF9" w:rsidP="4EA68CF9">
            <w:pPr>
              <w:spacing w:after="240"/>
              <w:jc w:val="center"/>
              <w:rPr>
                <w:rFonts w:eastAsia="Arial" w:cs="Arial"/>
              </w:rPr>
            </w:pPr>
            <w:r w:rsidRPr="00AF7397">
              <w:rPr>
                <w:rFonts w:eastAsia="Arial" w:cs="Arial"/>
                <w:b/>
                <w:bCs/>
              </w:rPr>
              <w:t>Increased</w:t>
            </w:r>
          </w:p>
        </w:tc>
        <w:tc>
          <w:tcPr>
            <w:tcW w:w="1448" w:type="dxa"/>
            <w:tcBorders>
              <w:top w:val="single" w:sz="6" w:space="0" w:color="auto"/>
            </w:tcBorders>
            <w:tcMar>
              <w:left w:w="90" w:type="dxa"/>
              <w:right w:w="90" w:type="dxa"/>
            </w:tcMar>
            <w:vAlign w:val="center"/>
          </w:tcPr>
          <w:p w14:paraId="6256B5A5" w14:textId="6CF782A2" w:rsidR="4EA68CF9" w:rsidRPr="00AF7397" w:rsidRDefault="4EA68CF9" w:rsidP="4EA68CF9">
            <w:pPr>
              <w:spacing w:after="240"/>
              <w:jc w:val="center"/>
              <w:rPr>
                <w:rFonts w:eastAsia="Arial" w:cs="Arial"/>
              </w:rPr>
            </w:pPr>
            <w:r w:rsidRPr="00AF7397">
              <w:rPr>
                <w:rFonts w:eastAsia="Arial" w:cs="Arial"/>
                <w:b/>
                <w:bCs/>
              </w:rPr>
              <w:t>Maintained</w:t>
            </w:r>
          </w:p>
        </w:tc>
        <w:tc>
          <w:tcPr>
            <w:tcW w:w="1560" w:type="dxa"/>
            <w:tcBorders>
              <w:top w:val="single" w:sz="6" w:space="0" w:color="auto"/>
            </w:tcBorders>
            <w:tcMar>
              <w:left w:w="90" w:type="dxa"/>
              <w:right w:w="90" w:type="dxa"/>
            </w:tcMar>
            <w:vAlign w:val="center"/>
          </w:tcPr>
          <w:p w14:paraId="33794584" w14:textId="6123801C" w:rsidR="4EA68CF9" w:rsidRPr="00AF7397" w:rsidRDefault="4EA68CF9" w:rsidP="4EA68CF9">
            <w:pPr>
              <w:spacing w:after="240"/>
              <w:jc w:val="center"/>
              <w:rPr>
                <w:rFonts w:eastAsia="Arial" w:cs="Arial"/>
              </w:rPr>
            </w:pPr>
            <w:r w:rsidRPr="00AF7397">
              <w:rPr>
                <w:rFonts w:eastAsia="Arial" w:cs="Arial"/>
                <w:b/>
                <w:bCs/>
              </w:rPr>
              <w:t>Declined</w:t>
            </w:r>
          </w:p>
        </w:tc>
        <w:tc>
          <w:tcPr>
            <w:tcW w:w="1672" w:type="dxa"/>
            <w:tcBorders>
              <w:top w:val="single" w:sz="6" w:space="0" w:color="auto"/>
              <w:right w:val="single" w:sz="6" w:space="0" w:color="auto"/>
            </w:tcBorders>
            <w:tcMar>
              <w:left w:w="90" w:type="dxa"/>
              <w:right w:w="90" w:type="dxa"/>
            </w:tcMar>
            <w:vAlign w:val="center"/>
          </w:tcPr>
          <w:p w14:paraId="6F5C434C" w14:textId="18F2C754" w:rsidR="4EA68CF9" w:rsidRPr="00AF7397" w:rsidRDefault="4EA68CF9" w:rsidP="4EA68CF9">
            <w:pPr>
              <w:spacing w:after="240"/>
              <w:jc w:val="center"/>
              <w:rPr>
                <w:rFonts w:eastAsia="Arial" w:cs="Arial"/>
              </w:rPr>
            </w:pPr>
            <w:r w:rsidRPr="00AF7397">
              <w:rPr>
                <w:rFonts w:eastAsia="Arial" w:cs="Arial"/>
                <w:b/>
                <w:bCs/>
              </w:rPr>
              <w:t>Declined Significantly</w:t>
            </w:r>
          </w:p>
        </w:tc>
      </w:tr>
      <w:tr w:rsidR="4EA68CF9" w:rsidRPr="00177FDE" w14:paraId="00C8486F" w14:textId="77777777" w:rsidTr="00AF7397">
        <w:trPr>
          <w:cantSplit/>
          <w:trHeight w:val="1515"/>
          <w:tblHeader/>
        </w:trPr>
        <w:tc>
          <w:tcPr>
            <w:tcW w:w="1702" w:type="dxa"/>
            <w:tcBorders>
              <w:left w:val="single" w:sz="6" w:space="0" w:color="auto"/>
            </w:tcBorders>
            <w:tcMar>
              <w:left w:w="90" w:type="dxa"/>
              <w:right w:w="90" w:type="dxa"/>
            </w:tcMar>
            <w:vAlign w:val="center"/>
          </w:tcPr>
          <w:p w14:paraId="7C82FE7D" w14:textId="1682EA5E" w:rsidR="4EA68CF9" w:rsidRPr="00AF7397" w:rsidRDefault="4EA68CF9" w:rsidP="4EA68CF9">
            <w:pPr>
              <w:spacing w:after="240"/>
              <w:jc w:val="center"/>
              <w:rPr>
                <w:rFonts w:eastAsia="Arial" w:cs="Arial"/>
              </w:rPr>
            </w:pPr>
            <w:r w:rsidRPr="00AF7397">
              <w:rPr>
                <w:rFonts w:eastAsia="Arial" w:cs="Arial"/>
                <w:b/>
                <w:bCs/>
              </w:rPr>
              <w:t>Very Low</w:t>
            </w:r>
          </w:p>
        </w:tc>
        <w:tc>
          <w:tcPr>
            <w:tcW w:w="1620" w:type="dxa"/>
            <w:shd w:val="clear" w:color="auto" w:fill="FFFF00"/>
            <w:tcMar>
              <w:left w:w="90" w:type="dxa"/>
              <w:right w:w="90" w:type="dxa"/>
            </w:tcMar>
            <w:vAlign w:val="center"/>
          </w:tcPr>
          <w:p w14:paraId="5488B607" w14:textId="0BCE6E6F" w:rsidR="4EA68CF9" w:rsidRPr="00AF7397" w:rsidRDefault="4EA68CF9" w:rsidP="4EA68CF9">
            <w:pPr>
              <w:spacing w:after="240"/>
              <w:jc w:val="center"/>
              <w:rPr>
                <w:rFonts w:eastAsia="Arial" w:cs="Arial"/>
              </w:rPr>
            </w:pPr>
            <w:r w:rsidRPr="00AF7397">
              <w:rPr>
                <w:rFonts w:eastAsia="Arial" w:cs="Arial"/>
              </w:rPr>
              <w:t>Yellow</w:t>
            </w:r>
          </w:p>
        </w:tc>
        <w:tc>
          <w:tcPr>
            <w:tcW w:w="1350" w:type="dxa"/>
            <w:shd w:val="clear" w:color="auto" w:fill="006500"/>
            <w:tcMar>
              <w:left w:w="90" w:type="dxa"/>
              <w:right w:w="90" w:type="dxa"/>
            </w:tcMar>
            <w:vAlign w:val="center"/>
          </w:tcPr>
          <w:p w14:paraId="1185BBAF" w14:textId="2F19FBD1"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Green</w:t>
            </w:r>
          </w:p>
        </w:tc>
        <w:tc>
          <w:tcPr>
            <w:tcW w:w="1448" w:type="dxa"/>
            <w:shd w:val="clear" w:color="auto" w:fill="0000FF"/>
            <w:tcMar>
              <w:left w:w="90" w:type="dxa"/>
              <w:right w:w="90" w:type="dxa"/>
            </w:tcMar>
            <w:vAlign w:val="center"/>
          </w:tcPr>
          <w:p w14:paraId="2B5AD925" w14:textId="688DBA56"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Blue</w:t>
            </w:r>
          </w:p>
        </w:tc>
        <w:tc>
          <w:tcPr>
            <w:tcW w:w="1560" w:type="dxa"/>
            <w:shd w:val="clear" w:color="auto" w:fill="0000FF"/>
            <w:tcMar>
              <w:left w:w="90" w:type="dxa"/>
              <w:right w:w="90" w:type="dxa"/>
            </w:tcMar>
            <w:vAlign w:val="center"/>
          </w:tcPr>
          <w:p w14:paraId="7776F1A8" w14:textId="252E79DE"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Blue</w:t>
            </w:r>
          </w:p>
        </w:tc>
        <w:tc>
          <w:tcPr>
            <w:tcW w:w="1672" w:type="dxa"/>
            <w:tcBorders>
              <w:right w:val="single" w:sz="6" w:space="0" w:color="auto"/>
            </w:tcBorders>
            <w:shd w:val="clear" w:color="auto" w:fill="0000FF"/>
            <w:tcMar>
              <w:left w:w="90" w:type="dxa"/>
              <w:right w:w="90" w:type="dxa"/>
            </w:tcMar>
            <w:vAlign w:val="center"/>
          </w:tcPr>
          <w:p w14:paraId="1148E926" w14:textId="36D0D6E0"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Blue</w:t>
            </w:r>
          </w:p>
        </w:tc>
      </w:tr>
      <w:tr w:rsidR="4EA68CF9" w:rsidRPr="00177FDE" w14:paraId="088106CD" w14:textId="77777777" w:rsidTr="00AF7397">
        <w:trPr>
          <w:cantSplit/>
          <w:trHeight w:val="1515"/>
          <w:tblHeader/>
        </w:trPr>
        <w:tc>
          <w:tcPr>
            <w:tcW w:w="1702" w:type="dxa"/>
            <w:tcBorders>
              <w:left w:val="single" w:sz="6" w:space="0" w:color="auto"/>
            </w:tcBorders>
            <w:tcMar>
              <w:left w:w="90" w:type="dxa"/>
              <w:right w:w="90" w:type="dxa"/>
            </w:tcMar>
            <w:vAlign w:val="center"/>
          </w:tcPr>
          <w:p w14:paraId="6013D54E" w14:textId="56973B75" w:rsidR="4EA68CF9" w:rsidRPr="00AF7397" w:rsidRDefault="4EA68CF9" w:rsidP="4EA68CF9">
            <w:pPr>
              <w:spacing w:after="120"/>
              <w:jc w:val="center"/>
              <w:rPr>
                <w:rFonts w:eastAsia="Arial" w:cs="Arial"/>
              </w:rPr>
            </w:pPr>
            <w:r w:rsidRPr="00AF7397">
              <w:rPr>
                <w:rFonts w:eastAsia="Arial" w:cs="Arial"/>
                <w:b/>
                <w:bCs/>
              </w:rPr>
              <w:t>Low</w:t>
            </w:r>
          </w:p>
        </w:tc>
        <w:tc>
          <w:tcPr>
            <w:tcW w:w="1620" w:type="dxa"/>
            <w:shd w:val="clear" w:color="auto" w:fill="FFA500"/>
            <w:tcMar>
              <w:left w:w="90" w:type="dxa"/>
              <w:right w:w="90" w:type="dxa"/>
            </w:tcMar>
            <w:vAlign w:val="center"/>
          </w:tcPr>
          <w:p w14:paraId="6B47F14F" w14:textId="6CBFD150" w:rsidR="4EA68CF9" w:rsidRPr="00AF7397" w:rsidRDefault="4EA68CF9" w:rsidP="4EA68CF9">
            <w:pPr>
              <w:spacing w:after="240"/>
              <w:jc w:val="center"/>
              <w:rPr>
                <w:rFonts w:eastAsia="Arial" w:cs="Arial"/>
              </w:rPr>
            </w:pPr>
            <w:r w:rsidRPr="00AF7397">
              <w:rPr>
                <w:rFonts w:eastAsia="Arial" w:cs="Arial"/>
              </w:rPr>
              <w:t>Orange</w:t>
            </w:r>
          </w:p>
        </w:tc>
        <w:tc>
          <w:tcPr>
            <w:tcW w:w="1350" w:type="dxa"/>
            <w:shd w:val="clear" w:color="auto" w:fill="FFFF00"/>
            <w:tcMar>
              <w:left w:w="90" w:type="dxa"/>
              <w:right w:w="90" w:type="dxa"/>
            </w:tcMar>
            <w:vAlign w:val="center"/>
          </w:tcPr>
          <w:p w14:paraId="001082B3" w14:textId="6516D7A3" w:rsidR="4EA68CF9" w:rsidRPr="00AF7397" w:rsidRDefault="4EA68CF9" w:rsidP="4EA68CF9">
            <w:pPr>
              <w:spacing w:after="240"/>
              <w:jc w:val="center"/>
              <w:rPr>
                <w:rFonts w:eastAsia="Arial" w:cs="Arial"/>
              </w:rPr>
            </w:pPr>
            <w:r w:rsidRPr="00AF7397">
              <w:rPr>
                <w:rFonts w:eastAsia="Arial" w:cs="Arial"/>
              </w:rPr>
              <w:t>Yellow</w:t>
            </w:r>
          </w:p>
        </w:tc>
        <w:tc>
          <w:tcPr>
            <w:tcW w:w="1448" w:type="dxa"/>
            <w:shd w:val="clear" w:color="auto" w:fill="006500"/>
            <w:tcMar>
              <w:left w:w="90" w:type="dxa"/>
              <w:right w:w="90" w:type="dxa"/>
            </w:tcMar>
            <w:vAlign w:val="center"/>
          </w:tcPr>
          <w:p w14:paraId="709CF4E9" w14:textId="3C7F87BD"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Green</w:t>
            </w:r>
          </w:p>
        </w:tc>
        <w:tc>
          <w:tcPr>
            <w:tcW w:w="1560" w:type="dxa"/>
            <w:shd w:val="clear" w:color="auto" w:fill="006500"/>
            <w:tcMar>
              <w:left w:w="90" w:type="dxa"/>
              <w:right w:w="90" w:type="dxa"/>
            </w:tcMar>
            <w:vAlign w:val="center"/>
          </w:tcPr>
          <w:p w14:paraId="43E38C3B" w14:textId="3A48B965"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Green</w:t>
            </w:r>
          </w:p>
        </w:tc>
        <w:tc>
          <w:tcPr>
            <w:tcW w:w="1672" w:type="dxa"/>
            <w:tcBorders>
              <w:right w:val="single" w:sz="6" w:space="0" w:color="auto"/>
            </w:tcBorders>
            <w:shd w:val="clear" w:color="auto" w:fill="0000FF"/>
            <w:tcMar>
              <w:left w:w="90" w:type="dxa"/>
              <w:right w:w="90" w:type="dxa"/>
            </w:tcMar>
            <w:vAlign w:val="center"/>
          </w:tcPr>
          <w:p w14:paraId="2A66F34C" w14:textId="7C840296"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Blue</w:t>
            </w:r>
          </w:p>
        </w:tc>
      </w:tr>
      <w:tr w:rsidR="4EA68CF9" w:rsidRPr="00177FDE" w14:paraId="25E4A75C" w14:textId="77777777" w:rsidTr="00AF7397">
        <w:trPr>
          <w:cantSplit/>
          <w:trHeight w:val="1515"/>
          <w:tblHeader/>
        </w:trPr>
        <w:tc>
          <w:tcPr>
            <w:tcW w:w="1702" w:type="dxa"/>
            <w:tcBorders>
              <w:left w:val="single" w:sz="6" w:space="0" w:color="auto"/>
            </w:tcBorders>
            <w:tcMar>
              <w:left w:w="90" w:type="dxa"/>
              <w:right w:w="90" w:type="dxa"/>
            </w:tcMar>
            <w:vAlign w:val="center"/>
          </w:tcPr>
          <w:p w14:paraId="0EC0316A" w14:textId="544B9878" w:rsidR="4EA68CF9" w:rsidRPr="00AF7397" w:rsidRDefault="4EA68CF9" w:rsidP="4EA68CF9">
            <w:pPr>
              <w:spacing w:after="120"/>
              <w:jc w:val="center"/>
              <w:rPr>
                <w:rFonts w:eastAsia="Arial" w:cs="Arial"/>
              </w:rPr>
            </w:pPr>
            <w:r w:rsidRPr="00AF7397">
              <w:rPr>
                <w:rFonts w:eastAsia="Arial" w:cs="Arial"/>
                <w:b/>
                <w:bCs/>
              </w:rPr>
              <w:t>Medium</w:t>
            </w:r>
          </w:p>
        </w:tc>
        <w:tc>
          <w:tcPr>
            <w:tcW w:w="1620" w:type="dxa"/>
            <w:shd w:val="clear" w:color="auto" w:fill="FFA500"/>
            <w:tcMar>
              <w:left w:w="90" w:type="dxa"/>
              <w:right w:w="90" w:type="dxa"/>
            </w:tcMar>
            <w:vAlign w:val="center"/>
          </w:tcPr>
          <w:p w14:paraId="0F54C040" w14:textId="475C8458" w:rsidR="4EA68CF9" w:rsidRPr="00AF7397" w:rsidRDefault="4EA68CF9" w:rsidP="4EA68CF9">
            <w:pPr>
              <w:spacing w:after="240"/>
              <w:jc w:val="center"/>
              <w:rPr>
                <w:rFonts w:eastAsia="Arial" w:cs="Arial"/>
              </w:rPr>
            </w:pPr>
            <w:r w:rsidRPr="00AF7397">
              <w:rPr>
                <w:rFonts w:eastAsia="Arial" w:cs="Arial"/>
              </w:rPr>
              <w:t>Orange</w:t>
            </w:r>
          </w:p>
        </w:tc>
        <w:tc>
          <w:tcPr>
            <w:tcW w:w="1350" w:type="dxa"/>
            <w:shd w:val="clear" w:color="auto" w:fill="FFA500"/>
            <w:tcMar>
              <w:left w:w="90" w:type="dxa"/>
              <w:right w:w="90" w:type="dxa"/>
            </w:tcMar>
            <w:vAlign w:val="center"/>
          </w:tcPr>
          <w:p w14:paraId="779103D6" w14:textId="7BCA7273" w:rsidR="4EA68CF9" w:rsidRPr="00AF7397" w:rsidRDefault="4EA68CF9" w:rsidP="4EA68CF9">
            <w:pPr>
              <w:spacing w:after="240"/>
              <w:jc w:val="center"/>
              <w:rPr>
                <w:rFonts w:eastAsia="Arial" w:cs="Arial"/>
              </w:rPr>
            </w:pPr>
            <w:r w:rsidRPr="00AF7397">
              <w:rPr>
                <w:rFonts w:eastAsia="Arial" w:cs="Arial"/>
              </w:rPr>
              <w:t>Orange</w:t>
            </w:r>
          </w:p>
        </w:tc>
        <w:tc>
          <w:tcPr>
            <w:tcW w:w="1448" w:type="dxa"/>
            <w:tcBorders>
              <w:bottom w:val="single" w:sz="6" w:space="0" w:color="auto"/>
            </w:tcBorders>
            <w:shd w:val="clear" w:color="auto" w:fill="FFFF00"/>
            <w:tcMar>
              <w:left w:w="90" w:type="dxa"/>
              <w:right w:w="90" w:type="dxa"/>
            </w:tcMar>
            <w:vAlign w:val="center"/>
          </w:tcPr>
          <w:p w14:paraId="4F0FBBF2" w14:textId="594250F0" w:rsidR="4EA68CF9" w:rsidRPr="00AF7397" w:rsidRDefault="4EA68CF9" w:rsidP="4EA68CF9">
            <w:pPr>
              <w:spacing w:after="240"/>
              <w:jc w:val="center"/>
              <w:rPr>
                <w:rFonts w:eastAsia="Arial" w:cs="Arial"/>
              </w:rPr>
            </w:pPr>
            <w:r w:rsidRPr="00AF7397">
              <w:rPr>
                <w:rFonts w:eastAsia="Arial" w:cs="Arial"/>
              </w:rPr>
              <w:t>Yellow</w:t>
            </w:r>
          </w:p>
        </w:tc>
        <w:tc>
          <w:tcPr>
            <w:tcW w:w="1560" w:type="dxa"/>
            <w:shd w:val="clear" w:color="auto" w:fill="006500"/>
            <w:tcMar>
              <w:left w:w="90" w:type="dxa"/>
              <w:right w:w="90" w:type="dxa"/>
            </w:tcMar>
            <w:vAlign w:val="center"/>
          </w:tcPr>
          <w:p w14:paraId="10A394F6" w14:textId="7D4C7FCC"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Green</w:t>
            </w:r>
          </w:p>
        </w:tc>
        <w:tc>
          <w:tcPr>
            <w:tcW w:w="1672" w:type="dxa"/>
            <w:tcBorders>
              <w:right w:val="single" w:sz="6" w:space="0" w:color="auto"/>
            </w:tcBorders>
            <w:shd w:val="clear" w:color="auto" w:fill="006500"/>
            <w:tcMar>
              <w:left w:w="90" w:type="dxa"/>
              <w:right w:w="90" w:type="dxa"/>
            </w:tcMar>
            <w:vAlign w:val="center"/>
          </w:tcPr>
          <w:p w14:paraId="32196D78" w14:textId="63F98A6D"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Green</w:t>
            </w:r>
          </w:p>
        </w:tc>
      </w:tr>
      <w:tr w:rsidR="4EA68CF9" w:rsidRPr="00177FDE" w14:paraId="254FDA11" w14:textId="77777777" w:rsidTr="00AF7397">
        <w:trPr>
          <w:cantSplit/>
          <w:trHeight w:val="1515"/>
          <w:tblHeader/>
        </w:trPr>
        <w:tc>
          <w:tcPr>
            <w:tcW w:w="1702" w:type="dxa"/>
            <w:tcBorders>
              <w:left w:val="single" w:sz="6" w:space="0" w:color="auto"/>
            </w:tcBorders>
            <w:tcMar>
              <w:left w:w="90" w:type="dxa"/>
              <w:right w:w="90" w:type="dxa"/>
            </w:tcMar>
            <w:vAlign w:val="center"/>
          </w:tcPr>
          <w:p w14:paraId="7E1A3181" w14:textId="22877B01" w:rsidR="4EA68CF9" w:rsidRPr="00AF7397" w:rsidRDefault="4EA68CF9" w:rsidP="4EA68CF9">
            <w:pPr>
              <w:spacing w:after="120"/>
              <w:jc w:val="center"/>
              <w:rPr>
                <w:rFonts w:eastAsia="Arial" w:cs="Arial"/>
              </w:rPr>
            </w:pPr>
            <w:r w:rsidRPr="00AF7397">
              <w:rPr>
                <w:rFonts w:eastAsia="Arial" w:cs="Arial"/>
                <w:b/>
                <w:bCs/>
              </w:rPr>
              <w:t>High</w:t>
            </w:r>
          </w:p>
        </w:tc>
        <w:tc>
          <w:tcPr>
            <w:tcW w:w="1620" w:type="dxa"/>
            <w:shd w:val="clear" w:color="auto" w:fill="A20000"/>
            <w:tcMar>
              <w:left w:w="90" w:type="dxa"/>
              <w:right w:w="90" w:type="dxa"/>
            </w:tcMar>
            <w:vAlign w:val="center"/>
          </w:tcPr>
          <w:p w14:paraId="7270B72B" w14:textId="06B36C0B"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Red</w:t>
            </w:r>
          </w:p>
        </w:tc>
        <w:tc>
          <w:tcPr>
            <w:tcW w:w="1350" w:type="dxa"/>
            <w:shd w:val="clear" w:color="auto" w:fill="FFA500"/>
            <w:tcMar>
              <w:left w:w="90" w:type="dxa"/>
              <w:right w:w="90" w:type="dxa"/>
            </w:tcMar>
            <w:vAlign w:val="center"/>
          </w:tcPr>
          <w:p w14:paraId="57F3B999" w14:textId="120854FC" w:rsidR="4EA68CF9" w:rsidRPr="00AF7397" w:rsidRDefault="4EA68CF9" w:rsidP="4EA68CF9">
            <w:pPr>
              <w:spacing w:after="240"/>
              <w:jc w:val="center"/>
              <w:rPr>
                <w:rFonts w:eastAsia="Arial" w:cs="Arial"/>
              </w:rPr>
            </w:pPr>
            <w:r w:rsidRPr="00AF7397">
              <w:rPr>
                <w:rFonts w:eastAsia="Arial" w:cs="Arial"/>
              </w:rPr>
              <w:t>Orange</w:t>
            </w:r>
          </w:p>
        </w:tc>
        <w:tc>
          <w:tcPr>
            <w:tcW w:w="1448" w:type="dxa"/>
            <w:shd w:val="clear" w:color="auto" w:fill="FFA500"/>
            <w:tcMar>
              <w:left w:w="90" w:type="dxa"/>
              <w:right w:w="90" w:type="dxa"/>
            </w:tcMar>
            <w:vAlign w:val="center"/>
          </w:tcPr>
          <w:p w14:paraId="655C5EC3" w14:textId="6B8C0A5B" w:rsidR="4EA68CF9" w:rsidRPr="00AF7397" w:rsidRDefault="4EA68CF9" w:rsidP="4EA68CF9">
            <w:pPr>
              <w:spacing w:after="240"/>
              <w:jc w:val="center"/>
              <w:rPr>
                <w:rFonts w:eastAsia="Arial" w:cs="Arial"/>
              </w:rPr>
            </w:pPr>
            <w:r w:rsidRPr="00AF7397">
              <w:rPr>
                <w:rFonts w:eastAsia="Arial" w:cs="Arial"/>
              </w:rPr>
              <w:t>Orange</w:t>
            </w:r>
          </w:p>
        </w:tc>
        <w:tc>
          <w:tcPr>
            <w:tcW w:w="1560" w:type="dxa"/>
            <w:shd w:val="clear" w:color="auto" w:fill="FFFF00"/>
            <w:tcMar>
              <w:left w:w="90" w:type="dxa"/>
              <w:right w:w="90" w:type="dxa"/>
            </w:tcMar>
            <w:vAlign w:val="center"/>
          </w:tcPr>
          <w:p w14:paraId="358802F6" w14:textId="3AB9FB1A" w:rsidR="4EA68CF9" w:rsidRPr="00AF7397" w:rsidRDefault="4EA68CF9" w:rsidP="4EA68CF9">
            <w:pPr>
              <w:spacing w:after="240"/>
              <w:jc w:val="center"/>
              <w:rPr>
                <w:rFonts w:eastAsia="Arial" w:cs="Arial"/>
              </w:rPr>
            </w:pPr>
            <w:r w:rsidRPr="00AF7397">
              <w:rPr>
                <w:rFonts w:eastAsia="Arial" w:cs="Arial"/>
              </w:rPr>
              <w:t>Yellow</w:t>
            </w:r>
          </w:p>
        </w:tc>
        <w:tc>
          <w:tcPr>
            <w:tcW w:w="1672" w:type="dxa"/>
            <w:tcBorders>
              <w:right w:val="single" w:sz="6" w:space="0" w:color="auto"/>
            </w:tcBorders>
            <w:shd w:val="clear" w:color="auto" w:fill="FFFF00"/>
            <w:tcMar>
              <w:left w:w="90" w:type="dxa"/>
              <w:right w:w="90" w:type="dxa"/>
            </w:tcMar>
            <w:vAlign w:val="center"/>
          </w:tcPr>
          <w:p w14:paraId="204D9C00" w14:textId="026930FE" w:rsidR="4EA68CF9" w:rsidRPr="00AF7397" w:rsidRDefault="4EA68CF9" w:rsidP="4EA68CF9">
            <w:pPr>
              <w:spacing w:after="240"/>
              <w:jc w:val="center"/>
              <w:rPr>
                <w:rFonts w:eastAsia="Arial" w:cs="Arial"/>
              </w:rPr>
            </w:pPr>
            <w:r w:rsidRPr="00AF7397">
              <w:rPr>
                <w:rFonts w:eastAsia="Arial" w:cs="Arial"/>
              </w:rPr>
              <w:t>Yellow</w:t>
            </w:r>
          </w:p>
        </w:tc>
      </w:tr>
      <w:tr w:rsidR="4EA68CF9" w:rsidRPr="00177FDE" w14:paraId="407A6DA5" w14:textId="77777777" w:rsidTr="00AF7397">
        <w:trPr>
          <w:cantSplit/>
          <w:trHeight w:val="1515"/>
          <w:tblHeader/>
        </w:trPr>
        <w:tc>
          <w:tcPr>
            <w:tcW w:w="1702" w:type="dxa"/>
            <w:tcBorders>
              <w:left w:val="single" w:sz="6" w:space="0" w:color="auto"/>
              <w:bottom w:val="single" w:sz="6" w:space="0" w:color="auto"/>
            </w:tcBorders>
            <w:tcMar>
              <w:left w:w="90" w:type="dxa"/>
              <w:right w:w="90" w:type="dxa"/>
            </w:tcMar>
            <w:vAlign w:val="center"/>
          </w:tcPr>
          <w:p w14:paraId="7C6C22EB" w14:textId="33FABDBB" w:rsidR="4EA68CF9" w:rsidRPr="00AF7397" w:rsidRDefault="4EA68CF9" w:rsidP="4EA68CF9">
            <w:pPr>
              <w:spacing w:before="120" w:after="240"/>
              <w:jc w:val="center"/>
              <w:rPr>
                <w:rFonts w:eastAsia="Arial" w:cs="Arial"/>
              </w:rPr>
            </w:pPr>
            <w:r w:rsidRPr="00AF7397">
              <w:rPr>
                <w:rFonts w:eastAsia="Arial" w:cs="Arial"/>
                <w:b/>
                <w:bCs/>
              </w:rPr>
              <w:t>Very High</w:t>
            </w:r>
          </w:p>
        </w:tc>
        <w:tc>
          <w:tcPr>
            <w:tcW w:w="1620" w:type="dxa"/>
            <w:tcBorders>
              <w:bottom w:val="single" w:sz="6" w:space="0" w:color="auto"/>
            </w:tcBorders>
            <w:shd w:val="clear" w:color="auto" w:fill="A20000"/>
            <w:tcMar>
              <w:left w:w="90" w:type="dxa"/>
              <w:right w:w="90" w:type="dxa"/>
            </w:tcMar>
            <w:vAlign w:val="center"/>
          </w:tcPr>
          <w:p w14:paraId="1D1EDFDF" w14:textId="62224B6C"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Red</w:t>
            </w:r>
          </w:p>
        </w:tc>
        <w:tc>
          <w:tcPr>
            <w:tcW w:w="1350" w:type="dxa"/>
            <w:tcBorders>
              <w:bottom w:val="single" w:sz="6" w:space="0" w:color="auto"/>
            </w:tcBorders>
            <w:shd w:val="clear" w:color="auto" w:fill="A20000"/>
            <w:tcMar>
              <w:left w:w="90" w:type="dxa"/>
              <w:right w:w="90" w:type="dxa"/>
            </w:tcMar>
            <w:vAlign w:val="center"/>
          </w:tcPr>
          <w:p w14:paraId="0A3BBCC7" w14:textId="65BD9E72"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Red</w:t>
            </w:r>
          </w:p>
        </w:tc>
        <w:tc>
          <w:tcPr>
            <w:tcW w:w="1448" w:type="dxa"/>
            <w:tcBorders>
              <w:bottom w:val="single" w:sz="6" w:space="0" w:color="auto"/>
            </w:tcBorders>
            <w:shd w:val="clear" w:color="auto" w:fill="A20000"/>
            <w:tcMar>
              <w:left w:w="90" w:type="dxa"/>
              <w:right w:w="90" w:type="dxa"/>
            </w:tcMar>
            <w:vAlign w:val="center"/>
          </w:tcPr>
          <w:p w14:paraId="1E57E3F9" w14:textId="2E6E90FC" w:rsidR="4EA68CF9" w:rsidRPr="00AF7397" w:rsidRDefault="4EA68CF9" w:rsidP="4EA68CF9">
            <w:pPr>
              <w:spacing w:after="240"/>
              <w:jc w:val="center"/>
              <w:rPr>
                <w:rFonts w:eastAsia="Arial" w:cs="Arial"/>
                <w:color w:val="FFFFFF" w:themeColor="background1"/>
              </w:rPr>
            </w:pPr>
            <w:r w:rsidRPr="00AF7397">
              <w:rPr>
                <w:rFonts w:eastAsia="Arial" w:cs="Arial"/>
                <w:color w:val="FFFFFF" w:themeColor="background1"/>
              </w:rPr>
              <w:t>Red</w:t>
            </w:r>
          </w:p>
        </w:tc>
        <w:tc>
          <w:tcPr>
            <w:tcW w:w="1560" w:type="dxa"/>
            <w:tcBorders>
              <w:bottom w:val="single" w:sz="6" w:space="0" w:color="auto"/>
            </w:tcBorders>
            <w:shd w:val="clear" w:color="auto" w:fill="FFA500"/>
            <w:tcMar>
              <w:left w:w="90" w:type="dxa"/>
              <w:right w:w="90" w:type="dxa"/>
            </w:tcMar>
            <w:vAlign w:val="center"/>
          </w:tcPr>
          <w:p w14:paraId="1CF997C6" w14:textId="30FE915A" w:rsidR="4EA68CF9" w:rsidRPr="00AF7397" w:rsidRDefault="4EA68CF9" w:rsidP="4EA68CF9">
            <w:pPr>
              <w:spacing w:after="240"/>
              <w:jc w:val="center"/>
              <w:rPr>
                <w:rFonts w:eastAsia="Arial" w:cs="Arial"/>
              </w:rPr>
            </w:pPr>
            <w:r w:rsidRPr="00AF7397">
              <w:rPr>
                <w:rFonts w:eastAsia="Arial" w:cs="Arial"/>
              </w:rPr>
              <w:t>Orange</w:t>
            </w:r>
          </w:p>
        </w:tc>
        <w:tc>
          <w:tcPr>
            <w:tcW w:w="1672" w:type="dxa"/>
            <w:tcBorders>
              <w:bottom w:val="single" w:sz="6" w:space="0" w:color="auto"/>
              <w:right w:val="single" w:sz="6" w:space="0" w:color="auto"/>
            </w:tcBorders>
            <w:shd w:val="clear" w:color="auto" w:fill="FFFF00"/>
            <w:tcMar>
              <w:left w:w="90" w:type="dxa"/>
              <w:right w:w="90" w:type="dxa"/>
            </w:tcMar>
            <w:vAlign w:val="center"/>
          </w:tcPr>
          <w:p w14:paraId="2120A9CC" w14:textId="782CD0A9" w:rsidR="4EA68CF9" w:rsidRPr="00AF7397" w:rsidRDefault="4EA68CF9" w:rsidP="4EA68CF9">
            <w:pPr>
              <w:spacing w:after="240"/>
              <w:jc w:val="center"/>
              <w:rPr>
                <w:rFonts w:eastAsia="Arial" w:cs="Arial"/>
              </w:rPr>
            </w:pPr>
            <w:r w:rsidRPr="00AF7397">
              <w:rPr>
                <w:rFonts w:eastAsia="Arial" w:cs="Arial"/>
              </w:rPr>
              <w:t>Yellow</w:t>
            </w:r>
          </w:p>
        </w:tc>
      </w:tr>
    </w:tbl>
    <w:p w14:paraId="14584F08" w14:textId="28573E33" w:rsidR="00DC738A" w:rsidRPr="00177FDE" w:rsidRDefault="00DC738A" w:rsidP="4EA68CF9"/>
    <w:p w14:paraId="411DB6BC" w14:textId="6FD0E9E2" w:rsidR="00DC738A" w:rsidRPr="00177FDE" w:rsidRDefault="0067191C" w:rsidP="4EA68CF9">
      <w:pPr>
        <w:spacing w:after="160"/>
        <w:rPr>
          <w:rFonts w:eastAsia="Arial" w:cs="Arial"/>
          <w:color w:val="000000" w:themeColor="text1"/>
        </w:rPr>
      </w:pPr>
      <w:r w:rsidRPr="00177FDE">
        <w:rPr>
          <w:rFonts w:eastAsia="Arial" w:cs="Arial"/>
          <w:color w:val="000000" w:themeColor="text1"/>
        </w:rPr>
        <w:t>To</w:t>
      </w:r>
      <w:r w:rsidR="5B9D8CE7" w:rsidRPr="00177FDE">
        <w:rPr>
          <w:rFonts w:eastAsia="Arial" w:cs="Arial"/>
          <w:color w:val="000000" w:themeColor="text1"/>
        </w:rPr>
        <w:t xml:space="preserve"> receive a blue Performance Level, an LEA, school or student group would either need a status of very low and a change level of maintained, declined or declined significantly, or a status of low and a change level of declined significantly. Conversely, an LEA, school or student group would receive a red Performance Level with a status level of high and a change level of increased significantly, or a status level of very high and a change level of maintained, increased</w:t>
      </w:r>
      <w:r w:rsidR="006751A3" w:rsidRPr="00177FDE">
        <w:rPr>
          <w:rFonts w:eastAsia="Arial" w:cs="Arial"/>
          <w:color w:val="000000" w:themeColor="text1"/>
        </w:rPr>
        <w:t>,</w:t>
      </w:r>
      <w:r w:rsidR="5B9D8CE7" w:rsidRPr="00177FDE">
        <w:rPr>
          <w:rFonts w:eastAsia="Arial" w:cs="Arial"/>
          <w:color w:val="000000" w:themeColor="text1"/>
        </w:rPr>
        <w:t xml:space="preserve"> or increased significantly.</w:t>
      </w:r>
    </w:p>
    <w:p w14:paraId="1B656006" w14:textId="4C5DC422" w:rsidR="1AEB9CE6" w:rsidRPr="00AF7397" w:rsidRDefault="1AEB9CE6" w:rsidP="00AF7397">
      <w:pPr>
        <w:pStyle w:val="Heading3"/>
        <w:rPr>
          <w:i w:val="0"/>
          <w:iCs/>
          <w:sz w:val="24"/>
          <w:szCs w:val="20"/>
        </w:rPr>
      </w:pPr>
      <w:r w:rsidRPr="00AF7397">
        <w:rPr>
          <w:i w:val="0"/>
          <w:iCs/>
          <w:sz w:val="24"/>
          <w:szCs w:val="20"/>
        </w:rPr>
        <w:lastRenderedPageBreak/>
        <w:t>Chronic Absenteeism Indicator on the Dashboar</w:t>
      </w:r>
      <w:r w:rsidR="5B0EDF63" w:rsidRPr="00AF7397">
        <w:rPr>
          <w:i w:val="0"/>
          <w:iCs/>
          <w:sz w:val="24"/>
          <w:szCs w:val="20"/>
        </w:rPr>
        <w:t>d</w:t>
      </w:r>
    </w:p>
    <w:p w14:paraId="5CC9EB9F" w14:textId="5529D565" w:rsidR="5B0EDF63" w:rsidRPr="00177FDE" w:rsidRDefault="5B0EDF63" w:rsidP="138408FB">
      <w:r w:rsidRPr="00177FDE">
        <w:t xml:space="preserve">The above combinations of status cut points, change cut points, and the performance level color scheme create the full Chronic Absenteeism Five-by-Five, as shown in Table 4. </w:t>
      </w:r>
    </w:p>
    <w:p w14:paraId="22E15B07" w14:textId="6AD444AD" w:rsidR="18B9996B" w:rsidRPr="00177FDE" w:rsidRDefault="18B9996B" w:rsidP="71B0D470">
      <w:pPr>
        <w:pStyle w:val="Heading4"/>
        <w:rPr>
          <w:rFonts w:eastAsia="Arial" w:cs="Arial"/>
          <w:color w:val="000000" w:themeColor="text1"/>
        </w:rPr>
      </w:pPr>
      <w:r w:rsidRPr="00177FDE">
        <w:t xml:space="preserve">Table 4: </w:t>
      </w:r>
      <w:r w:rsidR="63A77942" w:rsidRPr="00177FDE">
        <w:rPr>
          <w:rFonts w:eastAsia="Arial" w:cs="Arial"/>
          <w:color w:val="000000" w:themeColor="text1"/>
        </w:rPr>
        <w:t>Chronic Absenteeism Five-by-Five</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Table 3: Chronic Absenteeism Performance Levels (Colors)"/>
        <w:tblDescription w:val="5 by 5 grid showing performance levels for the chronic absenteeism indicator as displayed by the five levels, Red, Orange, Yellow, Green, and Blue."/>
      </w:tblPr>
      <w:tblGrid>
        <w:gridCol w:w="1530"/>
        <w:gridCol w:w="1530"/>
        <w:gridCol w:w="1530"/>
        <w:gridCol w:w="1530"/>
        <w:gridCol w:w="1560"/>
        <w:gridCol w:w="1560"/>
      </w:tblGrid>
      <w:tr w:rsidR="138408FB" w:rsidRPr="00AF7397" w14:paraId="7D2673A3" w14:textId="77777777" w:rsidTr="71B0D470">
        <w:trPr>
          <w:trHeight w:val="1755"/>
        </w:trPr>
        <w:tc>
          <w:tcPr>
            <w:tcW w:w="1530" w:type="dxa"/>
            <w:tcBorders>
              <w:top w:val="single" w:sz="6" w:space="0" w:color="auto"/>
              <w:left w:val="single" w:sz="6" w:space="0" w:color="auto"/>
            </w:tcBorders>
            <w:tcMar>
              <w:left w:w="90" w:type="dxa"/>
              <w:right w:w="90" w:type="dxa"/>
            </w:tcMar>
            <w:vAlign w:val="center"/>
          </w:tcPr>
          <w:p w14:paraId="7248E3A7" w14:textId="01F52A58" w:rsidR="138408FB" w:rsidRPr="00AF7397" w:rsidRDefault="138408FB" w:rsidP="71B0D470">
            <w:pPr>
              <w:spacing w:after="240"/>
              <w:jc w:val="center"/>
              <w:rPr>
                <w:rFonts w:eastAsia="Arial" w:cs="Arial"/>
                <w:sz w:val="22"/>
                <w:szCs w:val="22"/>
              </w:rPr>
            </w:pPr>
            <w:r w:rsidRPr="00AF7397">
              <w:rPr>
                <w:rFonts w:eastAsia="Arial" w:cs="Arial"/>
                <w:b/>
                <w:bCs/>
                <w:sz w:val="22"/>
                <w:szCs w:val="22"/>
              </w:rPr>
              <w:t>Performance Level</w:t>
            </w:r>
          </w:p>
        </w:tc>
        <w:tc>
          <w:tcPr>
            <w:tcW w:w="1530" w:type="dxa"/>
            <w:tcBorders>
              <w:top w:val="single" w:sz="6" w:space="0" w:color="auto"/>
            </w:tcBorders>
            <w:tcMar>
              <w:left w:w="90" w:type="dxa"/>
              <w:right w:w="90" w:type="dxa"/>
            </w:tcMar>
          </w:tcPr>
          <w:p w14:paraId="45120C5A" w14:textId="3960F7D2" w:rsidR="138408FB" w:rsidRPr="00AF7397" w:rsidRDefault="138408FB" w:rsidP="71B0D470">
            <w:pPr>
              <w:spacing w:after="240"/>
              <w:jc w:val="center"/>
              <w:rPr>
                <w:rFonts w:eastAsia="Arial" w:cs="Arial"/>
                <w:sz w:val="22"/>
                <w:szCs w:val="22"/>
              </w:rPr>
            </w:pPr>
            <w:r w:rsidRPr="00AF7397">
              <w:rPr>
                <w:rFonts w:eastAsia="Arial" w:cs="Arial"/>
                <w:b/>
                <w:bCs/>
                <w:sz w:val="22"/>
                <w:szCs w:val="22"/>
              </w:rPr>
              <w:t>Increased Significantly</w:t>
            </w:r>
            <w:r w:rsidR="0F959D0C" w:rsidRPr="00AF7397">
              <w:rPr>
                <w:rFonts w:eastAsia="Arial" w:cs="Arial"/>
                <w:b/>
                <w:bCs/>
                <w:i/>
                <w:iCs/>
                <w:color w:val="000000" w:themeColor="text1"/>
                <w:sz w:val="22"/>
                <w:szCs w:val="22"/>
              </w:rPr>
              <w:t xml:space="preserve"> </w:t>
            </w:r>
            <w:r w:rsidRPr="00AF7397">
              <w:rPr>
                <w:sz w:val="22"/>
                <w:szCs w:val="22"/>
              </w:rPr>
              <w:br/>
            </w:r>
            <w:r w:rsidR="0F959D0C" w:rsidRPr="00AF7397">
              <w:rPr>
                <w:rFonts w:eastAsia="Arial" w:cs="Arial"/>
                <w:i/>
                <w:iCs/>
                <w:color w:val="000000" w:themeColor="text1"/>
                <w:sz w:val="22"/>
                <w:szCs w:val="22"/>
              </w:rPr>
              <w:t>from Prior Year (by greater than 3.0%)</w:t>
            </w:r>
          </w:p>
        </w:tc>
        <w:tc>
          <w:tcPr>
            <w:tcW w:w="1530" w:type="dxa"/>
            <w:tcBorders>
              <w:top w:val="single" w:sz="6" w:space="0" w:color="auto"/>
            </w:tcBorders>
            <w:tcMar>
              <w:left w:w="90" w:type="dxa"/>
              <w:right w:w="90" w:type="dxa"/>
            </w:tcMar>
          </w:tcPr>
          <w:p w14:paraId="003224CE" w14:textId="3305B833" w:rsidR="138408FB" w:rsidRPr="00AF7397" w:rsidRDefault="138408FB" w:rsidP="71B0D470">
            <w:pPr>
              <w:spacing w:after="240"/>
              <w:jc w:val="center"/>
              <w:rPr>
                <w:rFonts w:eastAsia="Arial" w:cs="Arial"/>
                <w:b/>
                <w:bCs/>
                <w:sz w:val="22"/>
                <w:szCs w:val="22"/>
              </w:rPr>
            </w:pPr>
            <w:r w:rsidRPr="00AF7397">
              <w:rPr>
                <w:rFonts w:eastAsia="Arial" w:cs="Arial"/>
                <w:b/>
                <w:bCs/>
                <w:sz w:val="22"/>
                <w:szCs w:val="22"/>
              </w:rPr>
              <w:t>Increased</w:t>
            </w:r>
          </w:p>
          <w:p w14:paraId="01C47788" w14:textId="18459AFC" w:rsidR="0A779D44" w:rsidRPr="00AF7397" w:rsidRDefault="0A779D44" w:rsidP="138408FB">
            <w:pPr>
              <w:spacing w:after="240"/>
              <w:jc w:val="center"/>
              <w:rPr>
                <w:rFonts w:eastAsia="Arial" w:cs="Arial"/>
                <w:sz w:val="22"/>
                <w:szCs w:val="22"/>
              </w:rPr>
            </w:pPr>
            <w:r w:rsidRPr="00AF7397">
              <w:rPr>
                <w:rFonts w:eastAsia="Arial" w:cs="Arial"/>
                <w:i/>
                <w:iCs/>
                <w:color w:val="000000" w:themeColor="text1"/>
                <w:sz w:val="22"/>
                <w:szCs w:val="22"/>
              </w:rPr>
              <w:t>from Prior Year (by 0.5% up to 3.0%)</w:t>
            </w:r>
          </w:p>
        </w:tc>
        <w:tc>
          <w:tcPr>
            <w:tcW w:w="1530" w:type="dxa"/>
            <w:tcBorders>
              <w:top w:val="single" w:sz="6" w:space="0" w:color="auto"/>
            </w:tcBorders>
            <w:tcMar>
              <w:left w:w="90" w:type="dxa"/>
              <w:right w:w="90" w:type="dxa"/>
            </w:tcMar>
          </w:tcPr>
          <w:p w14:paraId="3C5CA2B8" w14:textId="48AA8712" w:rsidR="138408FB" w:rsidRPr="00AF7397" w:rsidRDefault="138408FB" w:rsidP="71B0D470">
            <w:pPr>
              <w:spacing w:after="240"/>
              <w:jc w:val="center"/>
              <w:rPr>
                <w:rFonts w:eastAsia="Arial" w:cs="Arial"/>
                <w:b/>
                <w:bCs/>
                <w:sz w:val="22"/>
                <w:szCs w:val="22"/>
              </w:rPr>
            </w:pPr>
            <w:r w:rsidRPr="00AF7397">
              <w:rPr>
                <w:rFonts w:eastAsia="Arial" w:cs="Arial"/>
                <w:b/>
                <w:bCs/>
                <w:sz w:val="22"/>
                <w:szCs w:val="22"/>
              </w:rPr>
              <w:t>Maintained</w:t>
            </w:r>
          </w:p>
          <w:p w14:paraId="63EB90CD" w14:textId="318AB8F1" w:rsidR="4C7AE2D4" w:rsidRPr="00AF7397" w:rsidRDefault="4C7AE2D4" w:rsidP="138408FB">
            <w:pPr>
              <w:spacing w:after="240"/>
              <w:jc w:val="center"/>
              <w:rPr>
                <w:rFonts w:eastAsia="Arial" w:cs="Arial"/>
                <w:sz w:val="22"/>
                <w:szCs w:val="22"/>
              </w:rPr>
            </w:pPr>
            <w:r w:rsidRPr="00AF7397">
              <w:rPr>
                <w:rFonts w:eastAsia="Arial" w:cs="Arial"/>
                <w:i/>
                <w:iCs/>
                <w:color w:val="000000" w:themeColor="text1"/>
                <w:sz w:val="22"/>
                <w:szCs w:val="22"/>
              </w:rPr>
              <w:t>from Prior Year (declined or increased by less than 0.5%)</w:t>
            </w:r>
          </w:p>
        </w:tc>
        <w:tc>
          <w:tcPr>
            <w:tcW w:w="1560" w:type="dxa"/>
            <w:tcBorders>
              <w:top w:val="single" w:sz="6" w:space="0" w:color="auto"/>
            </w:tcBorders>
            <w:tcMar>
              <w:left w:w="90" w:type="dxa"/>
              <w:right w:w="90" w:type="dxa"/>
            </w:tcMar>
          </w:tcPr>
          <w:p w14:paraId="1A756F86" w14:textId="52055B44" w:rsidR="138408FB" w:rsidRPr="00AF7397" w:rsidRDefault="138408FB" w:rsidP="71B0D470">
            <w:pPr>
              <w:spacing w:after="240"/>
              <w:jc w:val="center"/>
              <w:rPr>
                <w:rFonts w:eastAsia="Arial" w:cs="Arial"/>
                <w:b/>
                <w:bCs/>
                <w:sz w:val="22"/>
                <w:szCs w:val="22"/>
              </w:rPr>
            </w:pPr>
            <w:r w:rsidRPr="00AF7397">
              <w:rPr>
                <w:rFonts w:eastAsia="Arial" w:cs="Arial"/>
                <w:b/>
                <w:bCs/>
                <w:sz w:val="22"/>
                <w:szCs w:val="22"/>
              </w:rPr>
              <w:t>Declined</w:t>
            </w:r>
          </w:p>
          <w:p w14:paraId="21D050E6" w14:textId="53F3AD1C" w:rsidR="49B43557" w:rsidRPr="00AF7397" w:rsidRDefault="49B43557" w:rsidP="138408FB">
            <w:pPr>
              <w:spacing w:after="240"/>
              <w:jc w:val="center"/>
              <w:rPr>
                <w:rFonts w:eastAsia="Arial" w:cs="Arial"/>
                <w:sz w:val="22"/>
                <w:szCs w:val="22"/>
              </w:rPr>
            </w:pPr>
            <w:r w:rsidRPr="00AF7397">
              <w:rPr>
                <w:rFonts w:eastAsia="Arial" w:cs="Arial"/>
                <w:i/>
                <w:iCs/>
                <w:color w:val="000000" w:themeColor="text1"/>
                <w:sz w:val="22"/>
                <w:szCs w:val="22"/>
              </w:rPr>
              <w:t>from Prior Year (by 0.5% to less than 3.0%)</w:t>
            </w:r>
          </w:p>
        </w:tc>
        <w:tc>
          <w:tcPr>
            <w:tcW w:w="1560" w:type="dxa"/>
            <w:tcBorders>
              <w:top w:val="single" w:sz="6" w:space="0" w:color="auto"/>
              <w:right w:val="single" w:sz="6" w:space="0" w:color="auto"/>
            </w:tcBorders>
            <w:tcMar>
              <w:left w:w="90" w:type="dxa"/>
              <w:right w:w="90" w:type="dxa"/>
            </w:tcMar>
          </w:tcPr>
          <w:p w14:paraId="16281424" w14:textId="78F8B23F" w:rsidR="138408FB" w:rsidRPr="00AF7397" w:rsidRDefault="138408FB" w:rsidP="71B0D470">
            <w:pPr>
              <w:spacing w:after="240"/>
              <w:jc w:val="center"/>
              <w:rPr>
                <w:rFonts w:eastAsia="Arial" w:cs="Arial"/>
                <w:sz w:val="22"/>
                <w:szCs w:val="22"/>
              </w:rPr>
            </w:pPr>
            <w:r w:rsidRPr="00AF7397">
              <w:rPr>
                <w:rFonts w:eastAsia="Arial" w:cs="Arial"/>
                <w:b/>
                <w:bCs/>
                <w:sz w:val="22"/>
                <w:szCs w:val="22"/>
              </w:rPr>
              <w:t>Declined Significantl</w:t>
            </w:r>
            <w:r w:rsidR="1D8DD163" w:rsidRPr="00AF7397">
              <w:rPr>
                <w:rFonts w:eastAsia="Arial" w:cs="Arial"/>
                <w:b/>
                <w:bCs/>
                <w:sz w:val="22"/>
                <w:szCs w:val="22"/>
              </w:rPr>
              <w:t>y</w:t>
            </w:r>
            <w:r w:rsidRPr="00AF7397">
              <w:rPr>
                <w:sz w:val="22"/>
                <w:szCs w:val="22"/>
              </w:rPr>
              <w:br/>
            </w:r>
            <w:r w:rsidR="09B338CA" w:rsidRPr="00AF7397">
              <w:rPr>
                <w:rFonts w:eastAsia="Arial" w:cs="Arial"/>
                <w:i/>
                <w:iCs/>
                <w:color w:val="000000" w:themeColor="text1"/>
                <w:sz w:val="22"/>
                <w:szCs w:val="22"/>
              </w:rPr>
              <w:t>from Prior Year (by 3.0% or more)</w:t>
            </w:r>
          </w:p>
        </w:tc>
      </w:tr>
      <w:tr w:rsidR="138408FB" w:rsidRPr="00AF7397" w14:paraId="099B94B4" w14:textId="77777777" w:rsidTr="71B0D470">
        <w:trPr>
          <w:trHeight w:val="1515"/>
        </w:trPr>
        <w:tc>
          <w:tcPr>
            <w:tcW w:w="1530" w:type="dxa"/>
            <w:tcBorders>
              <w:left w:val="single" w:sz="6" w:space="0" w:color="auto"/>
            </w:tcBorders>
            <w:tcMar>
              <w:left w:w="90" w:type="dxa"/>
              <w:right w:w="90" w:type="dxa"/>
            </w:tcMar>
            <w:vAlign w:val="center"/>
          </w:tcPr>
          <w:p w14:paraId="03E74EAC" w14:textId="763CF34E" w:rsidR="138408FB" w:rsidRPr="00AF7397" w:rsidRDefault="138408FB" w:rsidP="71B0D470">
            <w:pPr>
              <w:spacing w:after="240"/>
              <w:jc w:val="center"/>
              <w:rPr>
                <w:rFonts w:eastAsia="Arial" w:cs="Arial"/>
                <w:b/>
                <w:bCs/>
                <w:sz w:val="22"/>
                <w:szCs w:val="22"/>
              </w:rPr>
            </w:pPr>
            <w:r w:rsidRPr="00AF7397">
              <w:rPr>
                <w:rFonts w:eastAsia="Arial" w:cs="Arial"/>
                <w:b/>
                <w:bCs/>
                <w:sz w:val="22"/>
                <w:szCs w:val="22"/>
              </w:rPr>
              <w:t>Very Low</w:t>
            </w:r>
          </w:p>
          <w:p w14:paraId="40335551" w14:textId="54DCBFC7" w:rsidR="5FDDE289" w:rsidRPr="00AF7397" w:rsidRDefault="5FDDE289" w:rsidP="138408FB">
            <w:pPr>
              <w:spacing w:after="240"/>
              <w:jc w:val="center"/>
              <w:rPr>
                <w:rFonts w:eastAsia="Arial" w:cs="Arial"/>
                <w:sz w:val="22"/>
                <w:szCs w:val="22"/>
              </w:rPr>
            </w:pPr>
            <w:r w:rsidRPr="00AF7397">
              <w:rPr>
                <w:rFonts w:eastAsia="Arial" w:cs="Arial"/>
                <w:i/>
                <w:iCs/>
                <w:color w:val="000000" w:themeColor="text1"/>
                <w:sz w:val="22"/>
                <w:szCs w:val="22"/>
              </w:rPr>
              <w:t>2.5% or less in Current Year</w:t>
            </w:r>
          </w:p>
        </w:tc>
        <w:tc>
          <w:tcPr>
            <w:tcW w:w="1530" w:type="dxa"/>
            <w:shd w:val="clear" w:color="auto" w:fill="FFFF00"/>
            <w:tcMar>
              <w:left w:w="90" w:type="dxa"/>
              <w:right w:w="90" w:type="dxa"/>
            </w:tcMar>
            <w:vAlign w:val="center"/>
          </w:tcPr>
          <w:p w14:paraId="1A2091E9" w14:textId="0BCE6E6F" w:rsidR="138408FB" w:rsidRPr="00AF7397" w:rsidRDefault="138408FB" w:rsidP="71B0D470">
            <w:pPr>
              <w:spacing w:after="240"/>
              <w:jc w:val="center"/>
              <w:rPr>
                <w:rFonts w:eastAsia="Arial" w:cs="Arial"/>
              </w:rPr>
            </w:pPr>
            <w:r w:rsidRPr="00AF7397">
              <w:rPr>
                <w:rFonts w:eastAsia="Arial" w:cs="Arial"/>
              </w:rPr>
              <w:t>Yellow</w:t>
            </w:r>
          </w:p>
        </w:tc>
        <w:tc>
          <w:tcPr>
            <w:tcW w:w="1530" w:type="dxa"/>
            <w:shd w:val="clear" w:color="auto" w:fill="006500"/>
            <w:tcMar>
              <w:left w:w="90" w:type="dxa"/>
              <w:right w:w="90" w:type="dxa"/>
            </w:tcMar>
            <w:vAlign w:val="center"/>
          </w:tcPr>
          <w:p w14:paraId="5034E384" w14:textId="2F19FBD1"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Green</w:t>
            </w:r>
          </w:p>
        </w:tc>
        <w:tc>
          <w:tcPr>
            <w:tcW w:w="1530" w:type="dxa"/>
            <w:shd w:val="clear" w:color="auto" w:fill="0000FF"/>
            <w:tcMar>
              <w:left w:w="90" w:type="dxa"/>
              <w:right w:w="90" w:type="dxa"/>
            </w:tcMar>
            <w:vAlign w:val="center"/>
          </w:tcPr>
          <w:p w14:paraId="134468D0" w14:textId="688DBA56"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Blue</w:t>
            </w:r>
          </w:p>
        </w:tc>
        <w:tc>
          <w:tcPr>
            <w:tcW w:w="1560" w:type="dxa"/>
            <w:shd w:val="clear" w:color="auto" w:fill="0000FF"/>
            <w:tcMar>
              <w:left w:w="90" w:type="dxa"/>
              <w:right w:w="90" w:type="dxa"/>
            </w:tcMar>
            <w:vAlign w:val="center"/>
          </w:tcPr>
          <w:p w14:paraId="005746E2" w14:textId="252E79DE"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Blue</w:t>
            </w:r>
          </w:p>
        </w:tc>
        <w:tc>
          <w:tcPr>
            <w:tcW w:w="1560" w:type="dxa"/>
            <w:tcBorders>
              <w:right w:val="single" w:sz="6" w:space="0" w:color="auto"/>
            </w:tcBorders>
            <w:shd w:val="clear" w:color="auto" w:fill="0000FF"/>
            <w:tcMar>
              <w:left w:w="90" w:type="dxa"/>
              <w:right w:w="90" w:type="dxa"/>
            </w:tcMar>
            <w:vAlign w:val="center"/>
          </w:tcPr>
          <w:p w14:paraId="17FE03A6" w14:textId="36D0D6E0"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Blue</w:t>
            </w:r>
          </w:p>
        </w:tc>
      </w:tr>
      <w:tr w:rsidR="138408FB" w:rsidRPr="00AF7397" w14:paraId="4B413735" w14:textId="77777777" w:rsidTr="71B0D470">
        <w:trPr>
          <w:trHeight w:val="1515"/>
        </w:trPr>
        <w:tc>
          <w:tcPr>
            <w:tcW w:w="1530" w:type="dxa"/>
            <w:tcBorders>
              <w:left w:val="single" w:sz="6" w:space="0" w:color="auto"/>
            </w:tcBorders>
            <w:tcMar>
              <w:left w:w="90" w:type="dxa"/>
              <w:right w:w="90" w:type="dxa"/>
            </w:tcMar>
            <w:vAlign w:val="center"/>
          </w:tcPr>
          <w:p w14:paraId="4525E362" w14:textId="12B485FC" w:rsidR="138408FB" w:rsidRPr="00AF7397" w:rsidRDefault="138408FB" w:rsidP="71B0D470">
            <w:pPr>
              <w:spacing w:after="120"/>
              <w:jc w:val="center"/>
              <w:rPr>
                <w:rFonts w:eastAsia="Arial" w:cs="Arial"/>
                <w:b/>
                <w:bCs/>
                <w:sz w:val="22"/>
                <w:szCs w:val="22"/>
              </w:rPr>
            </w:pPr>
            <w:r w:rsidRPr="00AF7397">
              <w:rPr>
                <w:rFonts w:eastAsia="Arial" w:cs="Arial"/>
                <w:b/>
                <w:bCs/>
                <w:sz w:val="22"/>
                <w:szCs w:val="22"/>
              </w:rPr>
              <w:t>Low</w:t>
            </w:r>
          </w:p>
          <w:p w14:paraId="097D796A" w14:textId="60D3BF18" w:rsidR="24364267" w:rsidRPr="00AF7397" w:rsidRDefault="24364267" w:rsidP="138408FB">
            <w:pPr>
              <w:spacing w:after="120"/>
              <w:jc w:val="center"/>
              <w:rPr>
                <w:rFonts w:eastAsia="Arial" w:cs="Arial"/>
                <w:sz w:val="22"/>
                <w:szCs w:val="22"/>
              </w:rPr>
            </w:pPr>
            <w:r w:rsidRPr="00AF7397">
              <w:rPr>
                <w:rFonts w:eastAsia="Arial" w:cs="Arial"/>
                <w:i/>
                <w:iCs/>
                <w:color w:val="000000" w:themeColor="text1"/>
                <w:sz w:val="22"/>
                <w:szCs w:val="22"/>
              </w:rPr>
              <w:t>More than 2.5% to 5.0% in Current Year</w:t>
            </w:r>
          </w:p>
        </w:tc>
        <w:tc>
          <w:tcPr>
            <w:tcW w:w="1530" w:type="dxa"/>
            <w:shd w:val="clear" w:color="auto" w:fill="FFA500"/>
            <w:tcMar>
              <w:left w:w="90" w:type="dxa"/>
              <w:right w:w="90" w:type="dxa"/>
            </w:tcMar>
            <w:vAlign w:val="center"/>
          </w:tcPr>
          <w:p w14:paraId="6B8B2DF2" w14:textId="6CBFD150" w:rsidR="138408FB" w:rsidRPr="00AF7397" w:rsidRDefault="138408FB" w:rsidP="71B0D470">
            <w:pPr>
              <w:spacing w:after="240"/>
              <w:jc w:val="center"/>
              <w:rPr>
                <w:rFonts w:eastAsia="Arial" w:cs="Arial"/>
              </w:rPr>
            </w:pPr>
            <w:r w:rsidRPr="00AF7397">
              <w:rPr>
                <w:rFonts w:eastAsia="Arial" w:cs="Arial"/>
              </w:rPr>
              <w:t>Orange</w:t>
            </w:r>
          </w:p>
        </w:tc>
        <w:tc>
          <w:tcPr>
            <w:tcW w:w="1530" w:type="dxa"/>
            <w:shd w:val="clear" w:color="auto" w:fill="FFFF00"/>
            <w:tcMar>
              <w:left w:w="90" w:type="dxa"/>
              <w:right w:w="90" w:type="dxa"/>
            </w:tcMar>
            <w:vAlign w:val="center"/>
          </w:tcPr>
          <w:p w14:paraId="20370D61" w14:textId="6516D7A3" w:rsidR="138408FB" w:rsidRPr="00AF7397" w:rsidRDefault="138408FB" w:rsidP="71B0D470">
            <w:pPr>
              <w:spacing w:after="240"/>
              <w:jc w:val="center"/>
              <w:rPr>
                <w:rFonts w:eastAsia="Arial" w:cs="Arial"/>
              </w:rPr>
            </w:pPr>
            <w:r w:rsidRPr="00AF7397">
              <w:rPr>
                <w:rFonts w:eastAsia="Arial" w:cs="Arial"/>
              </w:rPr>
              <w:t>Yellow</w:t>
            </w:r>
          </w:p>
        </w:tc>
        <w:tc>
          <w:tcPr>
            <w:tcW w:w="1530" w:type="dxa"/>
            <w:shd w:val="clear" w:color="auto" w:fill="006500"/>
            <w:tcMar>
              <w:left w:w="90" w:type="dxa"/>
              <w:right w:w="90" w:type="dxa"/>
            </w:tcMar>
            <w:vAlign w:val="center"/>
          </w:tcPr>
          <w:p w14:paraId="3F410466" w14:textId="3C7F87BD"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Green</w:t>
            </w:r>
          </w:p>
        </w:tc>
        <w:tc>
          <w:tcPr>
            <w:tcW w:w="1560" w:type="dxa"/>
            <w:shd w:val="clear" w:color="auto" w:fill="006500"/>
            <w:tcMar>
              <w:left w:w="90" w:type="dxa"/>
              <w:right w:w="90" w:type="dxa"/>
            </w:tcMar>
            <w:vAlign w:val="center"/>
          </w:tcPr>
          <w:p w14:paraId="59397BB4" w14:textId="3A48B965"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Green</w:t>
            </w:r>
          </w:p>
        </w:tc>
        <w:tc>
          <w:tcPr>
            <w:tcW w:w="1560" w:type="dxa"/>
            <w:tcBorders>
              <w:right w:val="single" w:sz="6" w:space="0" w:color="auto"/>
            </w:tcBorders>
            <w:shd w:val="clear" w:color="auto" w:fill="0000FF"/>
            <w:tcMar>
              <w:left w:w="90" w:type="dxa"/>
              <w:right w:w="90" w:type="dxa"/>
            </w:tcMar>
            <w:vAlign w:val="center"/>
          </w:tcPr>
          <w:p w14:paraId="57ECFA34" w14:textId="7C840296"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Blue</w:t>
            </w:r>
          </w:p>
        </w:tc>
      </w:tr>
      <w:tr w:rsidR="138408FB" w:rsidRPr="00AF7397" w14:paraId="03804541" w14:textId="77777777" w:rsidTr="71B0D470">
        <w:trPr>
          <w:trHeight w:val="1515"/>
        </w:trPr>
        <w:tc>
          <w:tcPr>
            <w:tcW w:w="1530" w:type="dxa"/>
            <w:tcBorders>
              <w:left w:val="single" w:sz="6" w:space="0" w:color="auto"/>
            </w:tcBorders>
            <w:tcMar>
              <w:left w:w="90" w:type="dxa"/>
              <w:right w:w="90" w:type="dxa"/>
            </w:tcMar>
            <w:vAlign w:val="center"/>
          </w:tcPr>
          <w:p w14:paraId="7D1666B0" w14:textId="49EF35E8" w:rsidR="138408FB" w:rsidRPr="00AF7397" w:rsidRDefault="138408FB" w:rsidP="71B0D470">
            <w:pPr>
              <w:spacing w:after="120"/>
              <w:jc w:val="center"/>
              <w:rPr>
                <w:rFonts w:eastAsia="Arial" w:cs="Arial"/>
                <w:b/>
                <w:bCs/>
                <w:sz w:val="22"/>
                <w:szCs w:val="22"/>
              </w:rPr>
            </w:pPr>
            <w:r w:rsidRPr="00AF7397">
              <w:rPr>
                <w:rFonts w:eastAsia="Arial" w:cs="Arial"/>
                <w:b/>
                <w:bCs/>
                <w:sz w:val="22"/>
                <w:szCs w:val="22"/>
              </w:rPr>
              <w:t>Medium</w:t>
            </w:r>
          </w:p>
          <w:p w14:paraId="698099C8" w14:textId="7E6E23C5" w:rsidR="648DA6E0" w:rsidRPr="00AF7397" w:rsidRDefault="648DA6E0" w:rsidP="138408FB">
            <w:pPr>
              <w:spacing w:after="120"/>
              <w:jc w:val="center"/>
              <w:rPr>
                <w:rFonts w:eastAsia="Arial" w:cs="Arial"/>
                <w:sz w:val="22"/>
                <w:szCs w:val="22"/>
              </w:rPr>
            </w:pPr>
            <w:r w:rsidRPr="00AF7397">
              <w:rPr>
                <w:rFonts w:eastAsia="Arial" w:cs="Arial"/>
                <w:i/>
                <w:iCs/>
                <w:color w:val="000000" w:themeColor="text1"/>
                <w:sz w:val="22"/>
                <w:szCs w:val="22"/>
              </w:rPr>
              <w:t>More than 5.0% to 10.0% in Current Year</w:t>
            </w:r>
          </w:p>
        </w:tc>
        <w:tc>
          <w:tcPr>
            <w:tcW w:w="1530" w:type="dxa"/>
            <w:shd w:val="clear" w:color="auto" w:fill="FFA500"/>
            <w:tcMar>
              <w:left w:w="90" w:type="dxa"/>
              <w:right w:w="90" w:type="dxa"/>
            </w:tcMar>
            <w:vAlign w:val="center"/>
          </w:tcPr>
          <w:p w14:paraId="665B3FC9" w14:textId="475C8458" w:rsidR="138408FB" w:rsidRPr="00AF7397" w:rsidRDefault="138408FB" w:rsidP="71B0D470">
            <w:pPr>
              <w:spacing w:after="240"/>
              <w:jc w:val="center"/>
              <w:rPr>
                <w:rFonts w:eastAsia="Arial" w:cs="Arial"/>
              </w:rPr>
            </w:pPr>
            <w:r w:rsidRPr="00AF7397">
              <w:rPr>
                <w:rFonts w:eastAsia="Arial" w:cs="Arial"/>
              </w:rPr>
              <w:t>Orange</w:t>
            </w:r>
          </w:p>
        </w:tc>
        <w:tc>
          <w:tcPr>
            <w:tcW w:w="1530" w:type="dxa"/>
            <w:shd w:val="clear" w:color="auto" w:fill="FFA500"/>
            <w:tcMar>
              <w:left w:w="90" w:type="dxa"/>
              <w:right w:w="90" w:type="dxa"/>
            </w:tcMar>
            <w:vAlign w:val="center"/>
          </w:tcPr>
          <w:p w14:paraId="4877C50C" w14:textId="7BCA7273" w:rsidR="138408FB" w:rsidRPr="00AF7397" w:rsidRDefault="138408FB" w:rsidP="71B0D470">
            <w:pPr>
              <w:spacing w:after="240"/>
              <w:jc w:val="center"/>
              <w:rPr>
                <w:rFonts w:eastAsia="Arial" w:cs="Arial"/>
              </w:rPr>
            </w:pPr>
            <w:r w:rsidRPr="00AF7397">
              <w:rPr>
                <w:rFonts w:eastAsia="Arial" w:cs="Arial"/>
              </w:rPr>
              <w:t>Orange</w:t>
            </w:r>
          </w:p>
        </w:tc>
        <w:tc>
          <w:tcPr>
            <w:tcW w:w="1530" w:type="dxa"/>
            <w:tcBorders>
              <w:bottom w:val="single" w:sz="6" w:space="0" w:color="auto"/>
            </w:tcBorders>
            <w:shd w:val="clear" w:color="auto" w:fill="FFFF00"/>
            <w:tcMar>
              <w:left w:w="90" w:type="dxa"/>
              <w:right w:w="90" w:type="dxa"/>
            </w:tcMar>
            <w:vAlign w:val="center"/>
          </w:tcPr>
          <w:p w14:paraId="12B30C6D" w14:textId="594250F0" w:rsidR="138408FB" w:rsidRPr="00AF7397" w:rsidRDefault="138408FB" w:rsidP="71B0D470">
            <w:pPr>
              <w:spacing w:after="240"/>
              <w:jc w:val="center"/>
              <w:rPr>
                <w:rFonts w:eastAsia="Arial" w:cs="Arial"/>
              </w:rPr>
            </w:pPr>
            <w:r w:rsidRPr="00AF7397">
              <w:rPr>
                <w:rFonts w:eastAsia="Arial" w:cs="Arial"/>
              </w:rPr>
              <w:t>Yellow</w:t>
            </w:r>
          </w:p>
        </w:tc>
        <w:tc>
          <w:tcPr>
            <w:tcW w:w="1560" w:type="dxa"/>
            <w:shd w:val="clear" w:color="auto" w:fill="006500"/>
            <w:tcMar>
              <w:left w:w="90" w:type="dxa"/>
              <w:right w:w="90" w:type="dxa"/>
            </w:tcMar>
            <w:vAlign w:val="center"/>
          </w:tcPr>
          <w:p w14:paraId="632E3C81" w14:textId="7D4C7FCC"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Green</w:t>
            </w:r>
          </w:p>
        </w:tc>
        <w:tc>
          <w:tcPr>
            <w:tcW w:w="1560" w:type="dxa"/>
            <w:tcBorders>
              <w:right w:val="single" w:sz="6" w:space="0" w:color="auto"/>
            </w:tcBorders>
            <w:shd w:val="clear" w:color="auto" w:fill="006500"/>
            <w:tcMar>
              <w:left w:w="90" w:type="dxa"/>
              <w:right w:w="90" w:type="dxa"/>
            </w:tcMar>
            <w:vAlign w:val="center"/>
          </w:tcPr>
          <w:p w14:paraId="7567F0EE" w14:textId="63F98A6D"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Green</w:t>
            </w:r>
          </w:p>
        </w:tc>
      </w:tr>
      <w:tr w:rsidR="138408FB" w:rsidRPr="00AF7397" w14:paraId="23E1D06C" w14:textId="77777777" w:rsidTr="71B0D470">
        <w:trPr>
          <w:trHeight w:val="1515"/>
        </w:trPr>
        <w:tc>
          <w:tcPr>
            <w:tcW w:w="1530" w:type="dxa"/>
            <w:tcBorders>
              <w:left w:val="single" w:sz="6" w:space="0" w:color="auto"/>
            </w:tcBorders>
            <w:tcMar>
              <w:left w:w="90" w:type="dxa"/>
              <w:right w:w="90" w:type="dxa"/>
            </w:tcMar>
            <w:vAlign w:val="center"/>
          </w:tcPr>
          <w:p w14:paraId="745786C9" w14:textId="42E54624" w:rsidR="138408FB" w:rsidRPr="00AF7397" w:rsidRDefault="138408FB" w:rsidP="71B0D470">
            <w:pPr>
              <w:spacing w:after="120"/>
              <w:jc w:val="center"/>
              <w:rPr>
                <w:rFonts w:eastAsia="Arial" w:cs="Arial"/>
                <w:b/>
                <w:bCs/>
                <w:sz w:val="22"/>
                <w:szCs w:val="22"/>
              </w:rPr>
            </w:pPr>
            <w:r w:rsidRPr="00AF7397">
              <w:rPr>
                <w:rFonts w:eastAsia="Arial" w:cs="Arial"/>
                <w:b/>
                <w:bCs/>
                <w:sz w:val="22"/>
                <w:szCs w:val="22"/>
              </w:rPr>
              <w:t>High</w:t>
            </w:r>
          </w:p>
          <w:p w14:paraId="76319268" w14:textId="23D30C95" w:rsidR="396726D2" w:rsidRPr="00AF7397" w:rsidRDefault="396726D2" w:rsidP="138408FB">
            <w:pPr>
              <w:spacing w:after="120"/>
              <w:jc w:val="center"/>
              <w:rPr>
                <w:rFonts w:eastAsia="Arial" w:cs="Arial"/>
                <w:sz w:val="22"/>
                <w:szCs w:val="22"/>
              </w:rPr>
            </w:pPr>
            <w:r w:rsidRPr="00AF7397">
              <w:rPr>
                <w:rFonts w:eastAsia="Arial" w:cs="Arial"/>
                <w:i/>
                <w:iCs/>
                <w:color w:val="000000" w:themeColor="text1"/>
                <w:sz w:val="22"/>
                <w:szCs w:val="22"/>
              </w:rPr>
              <w:t>More than 10.0% to 20.0% in Current Year</w:t>
            </w:r>
          </w:p>
        </w:tc>
        <w:tc>
          <w:tcPr>
            <w:tcW w:w="1530" w:type="dxa"/>
            <w:shd w:val="clear" w:color="auto" w:fill="A20000"/>
            <w:tcMar>
              <w:left w:w="90" w:type="dxa"/>
              <w:right w:w="90" w:type="dxa"/>
            </w:tcMar>
            <w:vAlign w:val="center"/>
          </w:tcPr>
          <w:p w14:paraId="7967D38C" w14:textId="06B36C0B"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Red</w:t>
            </w:r>
          </w:p>
        </w:tc>
        <w:tc>
          <w:tcPr>
            <w:tcW w:w="1530" w:type="dxa"/>
            <w:shd w:val="clear" w:color="auto" w:fill="FFA500"/>
            <w:tcMar>
              <w:left w:w="90" w:type="dxa"/>
              <w:right w:w="90" w:type="dxa"/>
            </w:tcMar>
            <w:vAlign w:val="center"/>
          </w:tcPr>
          <w:p w14:paraId="2F146243" w14:textId="120854FC" w:rsidR="138408FB" w:rsidRPr="00AF7397" w:rsidRDefault="138408FB" w:rsidP="71B0D470">
            <w:pPr>
              <w:spacing w:after="240"/>
              <w:jc w:val="center"/>
              <w:rPr>
                <w:rFonts w:eastAsia="Arial" w:cs="Arial"/>
              </w:rPr>
            </w:pPr>
            <w:r w:rsidRPr="00AF7397">
              <w:rPr>
                <w:rFonts w:eastAsia="Arial" w:cs="Arial"/>
              </w:rPr>
              <w:t>Orange</w:t>
            </w:r>
          </w:p>
        </w:tc>
        <w:tc>
          <w:tcPr>
            <w:tcW w:w="1530" w:type="dxa"/>
            <w:shd w:val="clear" w:color="auto" w:fill="FFA500"/>
            <w:tcMar>
              <w:left w:w="90" w:type="dxa"/>
              <w:right w:w="90" w:type="dxa"/>
            </w:tcMar>
            <w:vAlign w:val="center"/>
          </w:tcPr>
          <w:p w14:paraId="0A03120E" w14:textId="6B8C0A5B" w:rsidR="138408FB" w:rsidRPr="00AF7397" w:rsidRDefault="138408FB" w:rsidP="71B0D470">
            <w:pPr>
              <w:spacing w:after="240"/>
              <w:jc w:val="center"/>
              <w:rPr>
                <w:rFonts w:eastAsia="Arial" w:cs="Arial"/>
              </w:rPr>
            </w:pPr>
            <w:r w:rsidRPr="00AF7397">
              <w:rPr>
                <w:rFonts w:eastAsia="Arial" w:cs="Arial"/>
              </w:rPr>
              <w:t>Orange</w:t>
            </w:r>
          </w:p>
        </w:tc>
        <w:tc>
          <w:tcPr>
            <w:tcW w:w="1560" w:type="dxa"/>
            <w:shd w:val="clear" w:color="auto" w:fill="FFFF00"/>
            <w:tcMar>
              <w:left w:w="90" w:type="dxa"/>
              <w:right w:w="90" w:type="dxa"/>
            </w:tcMar>
            <w:vAlign w:val="center"/>
          </w:tcPr>
          <w:p w14:paraId="1BC928F3" w14:textId="3AB9FB1A" w:rsidR="138408FB" w:rsidRPr="00AF7397" w:rsidRDefault="138408FB" w:rsidP="71B0D470">
            <w:pPr>
              <w:spacing w:after="240"/>
              <w:jc w:val="center"/>
              <w:rPr>
                <w:rFonts w:eastAsia="Arial" w:cs="Arial"/>
              </w:rPr>
            </w:pPr>
            <w:r w:rsidRPr="00AF7397">
              <w:rPr>
                <w:rFonts w:eastAsia="Arial" w:cs="Arial"/>
              </w:rPr>
              <w:t>Yellow</w:t>
            </w:r>
          </w:p>
        </w:tc>
        <w:tc>
          <w:tcPr>
            <w:tcW w:w="1560" w:type="dxa"/>
            <w:tcBorders>
              <w:right w:val="single" w:sz="6" w:space="0" w:color="auto"/>
            </w:tcBorders>
            <w:shd w:val="clear" w:color="auto" w:fill="FFFF00"/>
            <w:tcMar>
              <w:left w:w="90" w:type="dxa"/>
              <w:right w:w="90" w:type="dxa"/>
            </w:tcMar>
            <w:vAlign w:val="center"/>
          </w:tcPr>
          <w:p w14:paraId="2CE025D1" w14:textId="026930FE" w:rsidR="138408FB" w:rsidRPr="00AF7397" w:rsidRDefault="138408FB" w:rsidP="71B0D470">
            <w:pPr>
              <w:spacing w:after="240"/>
              <w:jc w:val="center"/>
              <w:rPr>
                <w:rFonts w:eastAsia="Arial" w:cs="Arial"/>
              </w:rPr>
            </w:pPr>
            <w:r w:rsidRPr="00AF7397">
              <w:rPr>
                <w:rFonts w:eastAsia="Arial" w:cs="Arial"/>
              </w:rPr>
              <w:t>Yellow</w:t>
            </w:r>
          </w:p>
        </w:tc>
      </w:tr>
      <w:tr w:rsidR="138408FB" w:rsidRPr="00AF7397" w14:paraId="4A666183" w14:textId="77777777" w:rsidTr="71B0D470">
        <w:trPr>
          <w:trHeight w:val="1515"/>
        </w:trPr>
        <w:tc>
          <w:tcPr>
            <w:tcW w:w="1530" w:type="dxa"/>
            <w:tcBorders>
              <w:left w:val="single" w:sz="6" w:space="0" w:color="auto"/>
              <w:bottom w:val="single" w:sz="6" w:space="0" w:color="auto"/>
            </w:tcBorders>
            <w:tcMar>
              <w:left w:w="90" w:type="dxa"/>
              <w:right w:w="90" w:type="dxa"/>
            </w:tcMar>
            <w:vAlign w:val="center"/>
          </w:tcPr>
          <w:p w14:paraId="76DEEEC4" w14:textId="3F9520CB" w:rsidR="138408FB" w:rsidRPr="00AF7397" w:rsidRDefault="138408FB" w:rsidP="71B0D470">
            <w:pPr>
              <w:spacing w:before="120" w:after="240"/>
              <w:jc w:val="center"/>
              <w:rPr>
                <w:rFonts w:eastAsia="Arial" w:cs="Arial"/>
                <w:b/>
                <w:bCs/>
                <w:sz w:val="22"/>
                <w:szCs w:val="22"/>
              </w:rPr>
            </w:pPr>
            <w:r w:rsidRPr="00AF7397">
              <w:rPr>
                <w:rFonts w:eastAsia="Arial" w:cs="Arial"/>
                <w:b/>
                <w:bCs/>
                <w:sz w:val="22"/>
                <w:szCs w:val="22"/>
              </w:rPr>
              <w:t>Very High</w:t>
            </w:r>
          </w:p>
          <w:p w14:paraId="356A25D6" w14:textId="2A01B818" w:rsidR="5B0AF06B" w:rsidRPr="00AF7397" w:rsidRDefault="5B0AF06B" w:rsidP="138408FB">
            <w:pPr>
              <w:spacing w:before="120" w:after="240"/>
              <w:jc w:val="center"/>
              <w:rPr>
                <w:rFonts w:eastAsia="Arial" w:cs="Arial"/>
                <w:sz w:val="22"/>
                <w:szCs w:val="22"/>
              </w:rPr>
            </w:pPr>
            <w:r w:rsidRPr="00AF7397">
              <w:rPr>
                <w:rFonts w:eastAsia="Arial" w:cs="Arial"/>
                <w:i/>
                <w:iCs/>
                <w:color w:val="000000" w:themeColor="text1"/>
                <w:sz w:val="22"/>
                <w:szCs w:val="22"/>
              </w:rPr>
              <w:t>More than 20.0% in Current Year</w:t>
            </w:r>
          </w:p>
        </w:tc>
        <w:tc>
          <w:tcPr>
            <w:tcW w:w="1530" w:type="dxa"/>
            <w:tcBorders>
              <w:bottom w:val="single" w:sz="6" w:space="0" w:color="auto"/>
            </w:tcBorders>
            <w:shd w:val="clear" w:color="auto" w:fill="A20000"/>
            <w:tcMar>
              <w:left w:w="90" w:type="dxa"/>
              <w:right w:w="90" w:type="dxa"/>
            </w:tcMar>
            <w:vAlign w:val="center"/>
          </w:tcPr>
          <w:p w14:paraId="4FDE12D4" w14:textId="62224B6C"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Red</w:t>
            </w:r>
          </w:p>
        </w:tc>
        <w:tc>
          <w:tcPr>
            <w:tcW w:w="1530" w:type="dxa"/>
            <w:tcBorders>
              <w:bottom w:val="single" w:sz="6" w:space="0" w:color="auto"/>
            </w:tcBorders>
            <w:shd w:val="clear" w:color="auto" w:fill="A20000"/>
            <w:tcMar>
              <w:left w:w="90" w:type="dxa"/>
              <w:right w:w="90" w:type="dxa"/>
            </w:tcMar>
            <w:vAlign w:val="center"/>
          </w:tcPr>
          <w:p w14:paraId="77515D3B" w14:textId="65BD9E72"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Red</w:t>
            </w:r>
          </w:p>
        </w:tc>
        <w:tc>
          <w:tcPr>
            <w:tcW w:w="1530" w:type="dxa"/>
            <w:tcBorders>
              <w:bottom w:val="single" w:sz="6" w:space="0" w:color="auto"/>
            </w:tcBorders>
            <w:shd w:val="clear" w:color="auto" w:fill="A20000"/>
            <w:tcMar>
              <w:left w:w="90" w:type="dxa"/>
              <w:right w:w="90" w:type="dxa"/>
            </w:tcMar>
            <w:vAlign w:val="center"/>
          </w:tcPr>
          <w:p w14:paraId="4778F4F8" w14:textId="2E6E90FC" w:rsidR="138408FB" w:rsidRPr="00AF7397" w:rsidRDefault="138408FB" w:rsidP="71B0D470">
            <w:pPr>
              <w:spacing w:after="240"/>
              <w:jc w:val="center"/>
              <w:rPr>
                <w:rFonts w:eastAsia="Arial" w:cs="Arial"/>
                <w:color w:val="FFFFFF" w:themeColor="background1"/>
              </w:rPr>
            </w:pPr>
            <w:r w:rsidRPr="00AF7397">
              <w:rPr>
                <w:rFonts w:eastAsia="Arial" w:cs="Arial"/>
                <w:color w:val="FFFFFF" w:themeColor="background1"/>
              </w:rPr>
              <w:t>Red</w:t>
            </w:r>
          </w:p>
        </w:tc>
        <w:tc>
          <w:tcPr>
            <w:tcW w:w="1560" w:type="dxa"/>
            <w:tcBorders>
              <w:bottom w:val="single" w:sz="6" w:space="0" w:color="auto"/>
            </w:tcBorders>
            <w:shd w:val="clear" w:color="auto" w:fill="FFA500"/>
            <w:tcMar>
              <w:left w:w="90" w:type="dxa"/>
              <w:right w:w="90" w:type="dxa"/>
            </w:tcMar>
            <w:vAlign w:val="center"/>
          </w:tcPr>
          <w:p w14:paraId="021B78EF" w14:textId="30FE915A" w:rsidR="138408FB" w:rsidRPr="00AF7397" w:rsidRDefault="138408FB" w:rsidP="71B0D470">
            <w:pPr>
              <w:spacing w:after="240"/>
              <w:jc w:val="center"/>
              <w:rPr>
                <w:rFonts w:eastAsia="Arial" w:cs="Arial"/>
              </w:rPr>
            </w:pPr>
            <w:r w:rsidRPr="00AF7397">
              <w:rPr>
                <w:rFonts w:eastAsia="Arial" w:cs="Arial"/>
              </w:rPr>
              <w:t>Orange</w:t>
            </w:r>
          </w:p>
        </w:tc>
        <w:tc>
          <w:tcPr>
            <w:tcW w:w="1560" w:type="dxa"/>
            <w:tcBorders>
              <w:bottom w:val="single" w:sz="6" w:space="0" w:color="auto"/>
              <w:right w:val="single" w:sz="6" w:space="0" w:color="auto"/>
            </w:tcBorders>
            <w:shd w:val="clear" w:color="auto" w:fill="FFFF00"/>
            <w:tcMar>
              <w:left w:w="90" w:type="dxa"/>
              <w:right w:w="90" w:type="dxa"/>
            </w:tcMar>
            <w:vAlign w:val="center"/>
          </w:tcPr>
          <w:p w14:paraId="5AABC3A2" w14:textId="782CD0A9" w:rsidR="138408FB" w:rsidRPr="00AF7397" w:rsidRDefault="138408FB" w:rsidP="71B0D470">
            <w:pPr>
              <w:spacing w:after="240"/>
              <w:jc w:val="center"/>
              <w:rPr>
                <w:rFonts w:eastAsia="Arial" w:cs="Arial"/>
              </w:rPr>
            </w:pPr>
            <w:r w:rsidRPr="00AF7397">
              <w:rPr>
                <w:rFonts w:eastAsia="Arial" w:cs="Arial"/>
              </w:rPr>
              <w:t>Yellow</w:t>
            </w:r>
          </w:p>
        </w:tc>
      </w:tr>
    </w:tbl>
    <w:p w14:paraId="2BEA2237" w14:textId="09117BE3" w:rsidR="085821FC" w:rsidRPr="00AF7397" w:rsidRDefault="085821FC" w:rsidP="00AF7397">
      <w:pPr>
        <w:pStyle w:val="Heading2"/>
        <w:rPr>
          <w:i/>
          <w:iCs/>
          <w:sz w:val="32"/>
          <w:szCs w:val="24"/>
        </w:rPr>
      </w:pPr>
      <w:r w:rsidRPr="00AF7397">
        <w:rPr>
          <w:i/>
          <w:iCs/>
          <w:sz w:val="32"/>
          <w:szCs w:val="24"/>
        </w:rPr>
        <w:lastRenderedPageBreak/>
        <w:t>Options Available to the State Board of Education to Modify the Chronic Absenteeism Indicator</w:t>
      </w:r>
    </w:p>
    <w:p w14:paraId="051B14FE" w14:textId="57026593" w:rsidR="002A6056" w:rsidRPr="00177FDE" w:rsidRDefault="00D00BFE" w:rsidP="00027E39">
      <w:pPr>
        <w:spacing w:after="240"/>
      </w:pPr>
      <w:r w:rsidRPr="00177FDE">
        <w:t xml:space="preserve">As </w:t>
      </w:r>
      <w:r w:rsidR="006127B6" w:rsidRPr="00177FDE">
        <w:t>detailed in the March 2023 accountability SBE item</w:t>
      </w:r>
      <w:r w:rsidR="00A868A2" w:rsidRPr="00177FDE">
        <w:t xml:space="preserve"> (</w:t>
      </w:r>
      <w:hyperlink r:id="rId31" w:tooltip="March 2023 accountability SBE item" w:history="1">
        <w:r w:rsidR="00C2086E" w:rsidRPr="00177FDE">
          <w:rPr>
            <w:rStyle w:val="Hyperlink"/>
          </w:rPr>
          <w:t>https://www.cde.ca.gov/be/ag/ag/yr23/documents/mar23item03.docx</w:t>
        </w:r>
      </w:hyperlink>
      <w:r w:rsidR="00A868A2" w:rsidRPr="00177FDE">
        <w:t>)</w:t>
      </w:r>
      <w:r w:rsidR="00D62F7F" w:rsidRPr="00177FDE">
        <w:t>,</w:t>
      </w:r>
      <w:r w:rsidR="00A868A2" w:rsidRPr="00177FDE">
        <w:t xml:space="preserve"> </w:t>
      </w:r>
      <w:r w:rsidR="005A5EC0" w:rsidRPr="00177FDE">
        <w:rPr>
          <w:rStyle w:val="Heading4Char"/>
          <w:b w:val="0"/>
          <w:bCs/>
          <w:iCs w:val="0"/>
        </w:rPr>
        <w:t xml:space="preserve">California’s </w:t>
      </w:r>
      <w:r w:rsidR="002A6056" w:rsidRPr="00177FDE">
        <w:rPr>
          <w:rStyle w:val="Heading4Char"/>
          <w:b w:val="0"/>
          <w:bCs/>
          <w:iCs w:val="0"/>
        </w:rPr>
        <w:t>c</w:t>
      </w:r>
      <w:r w:rsidR="005A5EC0" w:rsidRPr="00177FDE">
        <w:rPr>
          <w:rStyle w:val="Heading4Char"/>
          <w:b w:val="0"/>
          <w:bCs/>
          <w:iCs w:val="0"/>
        </w:rPr>
        <w:t xml:space="preserve">hronic </w:t>
      </w:r>
      <w:r w:rsidR="002A6056" w:rsidRPr="00177FDE">
        <w:rPr>
          <w:rStyle w:val="Heading4Char"/>
          <w:b w:val="0"/>
          <w:bCs/>
          <w:iCs w:val="0"/>
        </w:rPr>
        <w:t>a</w:t>
      </w:r>
      <w:r w:rsidR="005A5EC0" w:rsidRPr="00177FDE">
        <w:rPr>
          <w:rStyle w:val="Heading4Char"/>
          <w:b w:val="0"/>
          <w:bCs/>
          <w:iCs w:val="0"/>
        </w:rPr>
        <w:t>bsenteeism</w:t>
      </w:r>
      <w:r w:rsidR="006127B6" w:rsidRPr="00177FDE">
        <w:t xml:space="preserve"> </w:t>
      </w:r>
      <w:r w:rsidR="00D62F7F" w:rsidRPr="00177FDE">
        <w:t xml:space="preserve">rate </w:t>
      </w:r>
      <w:r w:rsidR="006127B6" w:rsidRPr="00177FDE">
        <w:t xml:space="preserve">increased from 14.3 percent in 2020–21 to 30 percent in 2021–22, mirroring trends in other states. </w:t>
      </w:r>
      <w:r w:rsidR="002A6056" w:rsidRPr="00177FDE">
        <w:t xml:space="preserve">The </w:t>
      </w:r>
      <w:r w:rsidR="006C3127" w:rsidRPr="00177FDE">
        <w:t xml:space="preserve">data </w:t>
      </w:r>
      <w:r w:rsidR="002A6056" w:rsidRPr="00177FDE">
        <w:t>collecti</w:t>
      </w:r>
      <w:r w:rsidR="006C3127" w:rsidRPr="00177FDE">
        <w:t xml:space="preserve">on period for these data </w:t>
      </w:r>
      <w:r w:rsidR="00D62F7F" w:rsidRPr="00177FDE">
        <w:t xml:space="preserve">is ongoing; </w:t>
      </w:r>
      <w:r w:rsidR="006C3127" w:rsidRPr="00177FDE">
        <w:t>open</w:t>
      </w:r>
      <w:r w:rsidR="00D62F7F" w:rsidRPr="00177FDE">
        <w:t>ing</w:t>
      </w:r>
      <w:r w:rsidR="006C3127" w:rsidRPr="00177FDE">
        <w:t xml:space="preserve"> in May and clos</w:t>
      </w:r>
      <w:r w:rsidR="00D62F7F" w:rsidRPr="00177FDE">
        <w:t>ing</w:t>
      </w:r>
      <w:r w:rsidR="006C3127" w:rsidRPr="00177FDE">
        <w:t xml:space="preserve"> in August </w:t>
      </w:r>
      <w:r w:rsidR="002A6056" w:rsidRPr="00177FDE">
        <w:t xml:space="preserve">for </w:t>
      </w:r>
      <w:r w:rsidR="006C3127" w:rsidRPr="00177FDE">
        <w:t xml:space="preserve">students enrolled in California public schools in </w:t>
      </w:r>
      <w:r w:rsidR="002A6056" w:rsidRPr="00177FDE">
        <w:t>the 2022–23 school year</w:t>
      </w:r>
      <w:r w:rsidR="006C3127" w:rsidRPr="00177FDE">
        <w:t>.</w:t>
      </w:r>
    </w:p>
    <w:p w14:paraId="05B760BC" w14:textId="36645B44" w:rsidR="00F80D40" w:rsidRPr="00177FDE" w:rsidRDefault="006C3127" w:rsidP="00027E39">
      <w:pPr>
        <w:spacing w:after="240"/>
      </w:pPr>
      <w:r w:rsidRPr="00177FDE">
        <w:t xml:space="preserve">Over the past six months, CDE has participated in numerous listening sessions and presentations </w:t>
      </w:r>
      <w:r w:rsidR="00BD24C3" w:rsidRPr="00177FDE">
        <w:t>dedicated to reducing chronic absenteeism</w:t>
      </w:r>
      <w:r w:rsidR="009E69C3" w:rsidRPr="00177FDE">
        <w:t>. The CDE</w:t>
      </w:r>
      <w:r w:rsidR="00BD24C3" w:rsidRPr="00177FDE">
        <w:t xml:space="preserve"> continues to assist </w:t>
      </w:r>
      <w:r w:rsidRPr="00177FDE">
        <w:t xml:space="preserve">county offices of education </w:t>
      </w:r>
      <w:r w:rsidR="00BD24C3" w:rsidRPr="00177FDE">
        <w:t xml:space="preserve">who </w:t>
      </w:r>
      <w:r w:rsidRPr="00177FDE">
        <w:t xml:space="preserve">are actively supporting LEAs </w:t>
      </w:r>
      <w:r w:rsidR="00BD24C3" w:rsidRPr="00177FDE">
        <w:t>that</w:t>
      </w:r>
      <w:r w:rsidRPr="00177FDE">
        <w:t xml:space="preserve"> were determined to be eligible for assistance, in part, due to their performance on the Chronic Absenteeism Indicator. </w:t>
      </w:r>
      <w:r w:rsidR="009E69C3" w:rsidRPr="00177FDE">
        <w:t>In addition, the</w:t>
      </w:r>
      <w:r w:rsidR="00BB570B" w:rsidRPr="00177FDE">
        <w:t xml:space="preserve"> CDE has engaged in direct conversations with other states who use this metric in their accountability systems and has also consulted with the U.S. Department of Education on this issue. </w:t>
      </w:r>
      <w:r w:rsidR="00F47FD4" w:rsidRPr="00177FDE">
        <w:t xml:space="preserve">A national study on the use of these data in state accountability systems is described in a </w:t>
      </w:r>
      <w:r w:rsidR="00F80D40" w:rsidRPr="00177FDE">
        <w:t xml:space="preserve">June 2023 </w:t>
      </w:r>
      <w:r w:rsidR="00F47FD4" w:rsidRPr="00177FDE">
        <w:t>publication</w:t>
      </w:r>
      <w:r w:rsidR="00F80D40" w:rsidRPr="00177FDE">
        <w:t xml:space="preserve"> titled</w:t>
      </w:r>
      <w:r w:rsidR="00F47FD4" w:rsidRPr="00177FDE">
        <w:t>, “Monitoring Data Matters Even More: A Review of State Attendance Data Policy and Practice in School Year 2022</w:t>
      </w:r>
      <w:r w:rsidR="00F47FD4" w:rsidRPr="00177FDE">
        <w:rPr>
          <w:rFonts w:cs="Arial"/>
        </w:rPr>
        <w:t>–</w:t>
      </w:r>
      <w:r w:rsidR="00F47FD4" w:rsidRPr="00177FDE">
        <w:t>23</w:t>
      </w:r>
      <w:r w:rsidR="00F80D40" w:rsidRPr="00177FDE">
        <w:t>,</w:t>
      </w:r>
      <w:r w:rsidR="00F47FD4" w:rsidRPr="00177FDE">
        <w:t>” by Attendance Works</w:t>
      </w:r>
      <w:r w:rsidR="00DC7C42" w:rsidRPr="00177FDE">
        <w:t xml:space="preserve"> (</w:t>
      </w:r>
      <w:hyperlink r:id="rId32" w:history="1">
        <w:r w:rsidR="00A02FFC" w:rsidRPr="00177FDE">
          <w:rPr>
            <w:rStyle w:val="Hyperlink"/>
          </w:rPr>
          <w:t>https://www.attendanceworks.org/monitoring-data-matters-even-more-a-review-of-state-attendance-data-policy-and-practice-in-school-year-2022-23/</w:t>
        </w:r>
      </w:hyperlink>
      <w:r w:rsidR="00DC7C42" w:rsidRPr="00177FDE">
        <w:t>)</w:t>
      </w:r>
      <w:r w:rsidR="00F47FD4" w:rsidRPr="00177FDE">
        <w:t>.</w:t>
      </w:r>
      <w:r w:rsidR="001E26FB" w:rsidRPr="00177FDE">
        <w:t xml:space="preserve"> </w:t>
      </w:r>
      <w:r w:rsidR="00581CE7" w:rsidRPr="00177FDE">
        <w:t xml:space="preserve">In light of the current discussion by the SBE, it is important to </w:t>
      </w:r>
      <w:r w:rsidR="00B060B9" w:rsidRPr="00177FDE">
        <w:t xml:space="preserve">uplift </w:t>
      </w:r>
      <w:r w:rsidR="00A02FFC" w:rsidRPr="00177FDE">
        <w:t xml:space="preserve">one </w:t>
      </w:r>
      <w:r w:rsidR="001E26FB" w:rsidRPr="00177FDE">
        <w:t>of the report’s key findings: “States are resuming use of chronic absence as a school accountability metric, but the pandemic has complicated its use.”</w:t>
      </w:r>
    </w:p>
    <w:p w14:paraId="52132612" w14:textId="430E212F" w:rsidR="00796F9F" w:rsidRPr="00177FDE" w:rsidRDefault="00581CE7" w:rsidP="4EA68CF9">
      <w:pPr>
        <w:spacing w:after="240"/>
      </w:pPr>
      <w:r w:rsidRPr="00177FDE">
        <w:t xml:space="preserve">With this context in mind, the CDE developed </w:t>
      </w:r>
      <w:r w:rsidR="00A05BF2" w:rsidRPr="00177FDE">
        <w:t>short</w:t>
      </w:r>
      <w:r w:rsidR="006F387B" w:rsidRPr="00177FDE">
        <w:t>-term</w:t>
      </w:r>
      <w:r w:rsidR="00A05BF2" w:rsidRPr="00177FDE">
        <w:t xml:space="preserve"> and long</w:t>
      </w:r>
      <w:r w:rsidR="006F387B" w:rsidRPr="00177FDE">
        <w:t>-term</w:t>
      </w:r>
      <w:r w:rsidR="00A05BF2" w:rsidRPr="00177FDE">
        <w:t xml:space="preserve"> </w:t>
      </w:r>
      <w:r w:rsidR="34016840" w:rsidRPr="00177FDE">
        <w:t xml:space="preserve">options </w:t>
      </w:r>
      <w:r w:rsidR="00D92982" w:rsidRPr="00177FDE">
        <w:t xml:space="preserve">and considerations for each option </w:t>
      </w:r>
      <w:r w:rsidR="34016840" w:rsidRPr="00177FDE">
        <w:t>for the SBE</w:t>
      </w:r>
      <w:r w:rsidRPr="00177FDE">
        <w:t xml:space="preserve"> to review </w:t>
      </w:r>
      <w:r w:rsidR="002B234C" w:rsidRPr="00177FDE">
        <w:t>and discuss at their July meeting.</w:t>
      </w:r>
    </w:p>
    <w:p w14:paraId="3BDC28DB" w14:textId="101BEDFB" w:rsidR="35565E93" w:rsidRPr="00177FDE" w:rsidRDefault="00C20DE0" w:rsidP="4EA68CF9">
      <w:pPr>
        <w:spacing w:after="240"/>
        <w:rPr>
          <w:i/>
          <w:iCs/>
        </w:rPr>
      </w:pPr>
      <w:r w:rsidRPr="00177FDE">
        <w:rPr>
          <w:i/>
          <w:iCs/>
        </w:rPr>
        <w:t xml:space="preserve">Note: </w:t>
      </w:r>
      <w:r w:rsidR="00CA3785" w:rsidRPr="00177FDE">
        <w:rPr>
          <w:i/>
          <w:iCs/>
        </w:rPr>
        <w:t>Due to the timing of the request for this item, t</w:t>
      </w:r>
      <w:r w:rsidR="00420571" w:rsidRPr="00177FDE">
        <w:rPr>
          <w:i/>
          <w:iCs/>
        </w:rPr>
        <w:t xml:space="preserve">hese options have not been vetted through the </w:t>
      </w:r>
      <w:r w:rsidRPr="00177FDE">
        <w:rPr>
          <w:i/>
          <w:iCs/>
        </w:rPr>
        <w:t xml:space="preserve">CDE’s </w:t>
      </w:r>
      <w:r w:rsidR="00420571" w:rsidRPr="00177FDE">
        <w:rPr>
          <w:i/>
          <w:iCs/>
        </w:rPr>
        <w:t>technical or policy workgroups that the CDE depends on for critical feedback on the validity</w:t>
      </w:r>
      <w:r w:rsidR="00D92982" w:rsidRPr="00177FDE">
        <w:rPr>
          <w:i/>
          <w:iCs/>
        </w:rPr>
        <w:t xml:space="preserve"> and</w:t>
      </w:r>
      <w:r w:rsidR="00420571" w:rsidRPr="00177FDE">
        <w:rPr>
          <w:i/>
          <w:iCs/>
        </w:rPr>
        <w:t xml:space="preserve"> reliability</w:t>
      </w:r>
      <w:r w:rsidR="00D92982" w:rsidRPr="00177FDE">
        <w:rPr>
          <w:i/>
          <w:iCs/>
        </w:rPr>
        <w:t xml:space="preserve"> of the options</w:t>
      </w:r>
      <w:r w:rsidR="00796F9F" w:rsidRPr="00177FDE">
        <w:rPr>
          <w:i/>
          <w:iCs/>
        </w:rPr>
        <w:t xml:space="preserve"> being considered</w:t>
      </w:r>
      <w:r w:rsidR="00D92982" w:rsidRPr="00177FDE">
        <w:rPr>
          <w:i/>
          <w:iCs/>
        </w:rPr>
        <w:t>.</w:t>
      </w:r>
    </w:p>
    <w:p w14:paraId="4E73930E" w14:textId="788A7EF9" w:rsidR="65EF0E4D" w:rsidRPr="00AF7397" w:rsidRDefault="65EF0E4D" w:rsidP="00AF7397">
      <w:pPr>
        <w:pStyle w:val="Heading3"/>
        <w:rPr>
          <w:i w:val="0"/>
          <w:iCs/>
          <w:sz w:val="24"/>
          <w:szCs w:val="20"/>
        </w:rPr>
      </w:pPr>
      <w:r w:rsidRPr="00AF7397">
        <w:rPr>
          <w:i w:val="0"/>
          <w:iCs/>
          <w:sz w:val="24"/>
          <w:szCs w:val="20"/>
        </w:rPr>
        <w:t>Short-Term Modifications (</w:t>
      </w:r>
      <w:r w:rsidR="006B0541" w:rsidRPr="00AF7397">
        <w:rPr>
          <w:i w:val="0"/>
          <w:iCs/>
          <w:sz w:val="24"/>
          <w:szCs w:val="20"/>
        </w:rPr>
        <w:t>for implementation on the</w:t>
      </w:r>
      <w:r w:rsidRPr="00AF7397">
        <w:rPr>
          <w:i w:val="0"/>
          <w:iCs/>
          <w:sz w:val="24"/>
          <w:szCs w:val="20"/>
        </w:rPr>
        <w:t xml:space="preserve"> 2023 Dashboard)</w:t>
      </w:r>
    </w:p>
    <w:p w14:paraId="17767372" w14:textId="0102FCA6" w:rsidR="2038EA36" w:rsidRPr="00177FDE" w:rsidRDefault="00044170" w:rsidP="00CD5682">
      <w:pPr>
        <w:pStyle w:val="ListParagraph"/>
        <w:numPr>
          <w:ilvl w:val="0"/>
          <w:numId w:val="7"/>
        </w:numPr>
        <w:spacing w:before="240" w:after="240"/>
        <w:contextualSpacing w:val="0"/>
      </w:pPr>
      <w:r w:rsidRPr="00177FDE">
        <w:t xml:space="preserve">Option 1a: </w:t>
      </w:r>
      <w:r w:rsidR="34016840" w:rsidRPr="00177FDE">
        <w:t>Modify the Cut Points for Status and/or Change Levels</w:t>
      </w:r>
    </w:p>
    <w:p w14:paraId="11337CD2" w14:textId="2D628FCE" w:rsidR="34016840" w:rsidRPr="00177FDE" w:rsidRDefault="00044170" w:rsidP="00CD5682">
      <w:pPr>
        <w:pStyle w:val="ListParagraph"/>
        <w:numPr>
          <w:ilvl w:val="0"/>
          <w:numId w:val="7"/>
        </w:numPr>
        <w:spacing w:before="240" w:after="240"/>
        <w:contextualSpacing w:val="0"/>
      </w:pPr>
      <w:r w:rsidRPr="00177FDE">
        <w:t xml:space="preserve">Option 1b: </w:t>
      </w:r>
      <w:r w:rsidR="34016840" w:rsidRPr="00177FDE">
        <w:t xml:space="preserve">Modify the </w:t>
      </w:r>
      <w:r w:rsidR="377F9F84" w:rsidRPr="00177FDE">
        <w:rPr>
          <w:rFonts w:eastAsia="Arial" w:cs="Arial"/>
          <w:color w:val="000000" w:themeColor="text1"/>
        </w:rPr>
        <w:t>Performance Level Color Scheme for Five-by-Five Colored Grid</w:t>
      </w:r>
    </w:p>
    <w:p w14:paraId="68C067FE" w14:textId="3A612A8D" w:rsidR="3D942D49" w:rsidRPr="00177FDE" w:rsidRDefault="00044170" w:rsidP="00CD5682">
      <w:pPr>
        <w:pStyle w:val="ListParagraph"/>
        <w:numPr>
          <w:ilvl w:val="0"/>
          <w:numId w:val="7"/>
        </w:numPr>
        <w:spacing w:before="240" w:after="240"/>
        <w:contextualSpacing w:val="0"/>
      </w:pPr>
      <w:r w:rsidRPr="00177FDE">
        <w:t xml:space="preserve">Option 1c: </w:t>
      </w:r>
      <w:r w:rsidR="3D942D49" w:rsidRPr="00177FDE">
        <w:t>Modify the Chronically Absent Student Calculation Methodology</w:t>
      </w:r>
    </w:p>
    <w:p w14:paraId="33F27C2A" w14:textId="7C921C8D" w:rsidR="154B646F" w:rsidRPr="00AF7397" w:rsidRDefault="154B646F" w:rsidP="00AF7397">
      <w:pPr>
        <w:pStyle w:val="Heading3"/>
        <w:rPr>
          <w:i w:val="0"/>
          <w:iCs/>
          <w:sz w:val="24"/>
          <w:szCs w:val="20"/>
        </w:rPr>
      </w:pPr>
      <w:r w:rsidRPr="00AF7397">
        <w:rPr>
          <w:i w:val="0"/>
          <w:iCs/>
          <w:sz w:val="24"/>
          <w:szCs w:val="20"/>
        </w:rPr>
        <w:t>Long-Term Modifications (</w:t>
      </w:r>
      <w:r w:rsidR="006B0541" w:rsidRPr="00AF7397">
        <w:rPr>
          <w:i w:val="0"/>
          <w:iCs/>
          <w:sz w:val="24"/>
          <w:szCs w:val="20"/>
        </w:rPr>
        <w:t xml:space="preserve">for implementation beyond </w:t>
      </w:r>
      <w:r w:rsidRPr="00AF7397">
        <w:rPr>
          <w:i w:val="0"/>
          <w:iCs/>
          <w:sz w:val="24"/>
          <w:szCs w:val="20"/>
        </w:rPr>
        <w:t>the 2023 Dashboard)</w:t>
      </w:r>
    </w:p>
    <w:p w14:paraId="4060657D" w14:textId="042459A5" w:rsidR="3D942D49" w:rsidRPr="00177FDE" w:rsidRDefault="00044170" w:rsidP="005B3F10">
      <w:pPr>
        <w:pStyle w:val="ListParagraph"/>
        <w:numPr>
          <w:ilvl w:val="0"/>
          <w:numId w:val="7"/>
        </w:numPr>
        <w:spacing w:before="240" w:after="240"/>
        <w:contextualSpacing w:val="0"/>
      </w:pPr>
      <w:r w:rsidRPr="00177FDE">
        <w:t xml:space="preserve">Option 2a: </w:t>
      </w:r>
      <w:r w:rsidR="3D942D49" w:rsidRPr="00177FDE">
        <w:t>Modify the Granularity of Information Collected Around Student Absences</w:t>
      </w:r>
    </w:p>
    <w:p w14:paraId="79C9C184" w14:textId="3BD4C3D3" w:rsidR="78FEAABB" w:rsidRPr="00177FDE" w:rsidRDefault="00044170" w:rsidP="005B3F10">
      <w:pPr>
        <w:pStyle w:val="ListParagraph"/>
        <w:numPr>
          <w:ilvl w:val="0"/>
          <w:numId w:val="7"/>
        </w:numPr>
        <w:spacing w:before="240" w:after="240"/>
        <w:contextualSpacing w:val="0"/>
      </w:pPr>
      <w:r w:rsidRPr="00177FDE">
        <w:lastRenderedPageBreak/>
        <w:t xml:space="preserve">Option 2b: </w:t>
      </w:r>
      <w:r w:rsidR="78FEAABB" w:rsidRPr="00177FDE">
        <w:t>R</w:t>
      </w:r>
      <w:r w:rsidR="287D75C4" w:rsidRPr="00177FDE">
        <w:t xml:space="preserve">eplace </w:t>
      </w:r>
      <w:r w:rsidR="78FEAABB" w:rsidRPr="00177FDE">
        <w:t>the Chronic Absenteeism Indicator from the Dashboard for Accountability Purposes</w:t>
      </w:r>
    </w:p>
    <w:p w14:paraId="381E9951" w14:textId="45F0323B" w:rsidR="2A7657C1" w:rsidRPr="00AF7397" w:rsidRDefault="00580771" w:rsidP="00AF7397">
      <w:pPr>
        <w:pStyle w:val="Heading3"/>
        <w:rPr>
          <w:i w:val="0"/>
          <w:iCs/>
          <w:sz w:val="24"/>
          <w:szCs w:val="20"/>
        </w:rPr>
      </w:pPr>
      <w:r w:rsidRPr="00AF7397">
        <w:rPr>
          <w:i w:val="0"/>
          <w:iCs/>
          <w:sz w:val="24"/>
          <w:szCs w:val="20"/>
        </w:rPr>
        <w:t xml:space="preserve">Option 1a: </w:t>
      </w:r>
      <w:r w:rsidR="2A7657C1" w:rsidRPr="00AF7397">
        <w:rPr>
          <w:i w:val="0"/>
          <w:iCs/>
          <w:sz w:val="24"/>
          <w:szCs w:val="20"/>
        </w:rPr>
        <w:t xml:space="preserve">Short-Term Modification: </w:t>
      </w:r>
      <w:r w:rsidR="40B222D4" w:rsidRPr="00AF7397">
        <w:rPr>
          <w:i w:val="0"/>
          <w:iCs/>
          <w:sz w:val="24"/>
          <w:szCs w:val="20"/>
        </w:rPr>
        <w:t>Modify the Cut Points for Status and/or Change Levels</w:t>
      </w:r>
    </w:p>
    <w:p w14:paraId="37B43BAB" w14:textId="387D6794" w:rsidR="404A83B5" w:rsidRPr="00177FDE" w:rsidRDefault="404A83B5" w:rsidP="4EA68CF9">
      <w:pPr>
        <w:spacing w:before="240" w:after="240"/>
      </w:pPr>
      <w:r w:rsidRPr="00177FDE">
        <w:t>Th</w:t>
      </w:r>
      <w:r w:rsidR="00A91EEB" w:rsidRPr="00177FDE">
        <w:t>is option would</w:t>
      </w:r>
      <w:r w:rsidRPr="00177FDE">
        <w:t xml:space="preserve"> reset the cut points for the Chronic Absenteeism indicator and establish new cut points for either status levels, change levels or both</w:t>
      </w:r>
      <w:r w:rsidR="0E649232" w:rsidRPr="00177FDE">
        <w:t xml:space="preserve">. </w:t>
      </w:r>
      <w:r w:rsidR="326A81CA" w:rsidRPr="00177FDE">
        <w:t xml:space="preserve">Changing the cut points for the </w:t>
      </w:r>
      <w:r w:rsidR="4D785BA3" w:rsidRPr="00177FDE">
        <w:t>Indicator</w:t>
      </w:r>
      <w:r w:rsidR="326A81CA" w:rsidRPr="00177FDE">
        <w:t xml:space="preserve"> would decrease the likelihood of a large number of schools and LEAs falling into the red performance level.</w:t>
      </w:r>
    </w:p>
    <w:p w14:paraId="121EC02E" w14:textId="3FA0036C" w:rsidR="1F353660" w:rsidRPr="00177FDE" w:rsidRDefault="1F353660" w:rsidP="4EA68CF9">
      <w:pPr>
        <w:spacing w:before="240" w:after="240"/>
      </w:pPr>
      <w:r w:rsidRPr="00177FDE">
        <w:t>The SBE adopted a methodology of setting cut points for status and change levels based on the distributions of rates across LEAs</w:t>
      </w:r>
      <w:r w:rsidR="16186A5F" w:rsidRPr="00177FDE">
        <w:t xml:space="preserve"> in California</w:t>
      </w:r>
      <w:r w:rsidR="5DCBE277" w:rsidRPr="00177FDE">
        <w:t>.</w:t>
      </w:r>
      <w:r w:rsidR="5CDB1B68" w:rsidRPr="00177FDE">
        <w:t xml:space="preserve"> On the 2022 Dashboard, the distribution of status </w:t>
      </w:r>
      <w:r w:rsidR="11805A01" w:rsidRPr="00177FDE">
        <w:t xml:space="preserve">in Chronic Absenteeism </w:t>
      </w:r>
      <w:r w:rsidR="5CDB1B68" w:rsidRPr="00177FDE">
        <w:t>deviated greatly from the status rates seen on the 2018 and 2019 Dashboard</w:t>
      </w:r>
      <w:r w:rsidR="2C699E27" w:rsidRPr="00177FDE">
        <w:t xml:space="preserve"> (</w:t>
      </w:r>
      <w:hyperlink r:id="rId33" w:tooltip="Review of establishing cut points for status and change on the dashboard" w:history="1">
        <w:r w:rsidR="008E5554" w:rsidRPr="00177FDE">
          <w:rPr>
            <w:rStyle w:val="Hyperlink"/>
          </w:rPr>
          <w:t>https://www.cde.ca.gov/be/pn/im/documents/jun23memoamard01.docx</w:t>
        </w:r>
      </w:hyperlink>
      <w:r w:rsidR="2C699E27" w:rsidRPr="00177FDE">
        <w:t>)</w:t>
      </w:r>
      <w:r w:rsidR="5CDB1B68" w:rsidRPr="00177FDE">
        <w:t>.</w:t>
      </w:r>
    </w:p>
    <w:p w14:paraId="0985EEDE" w14:textId="50277D9D" w:rsidR="4CE71FF9" w:rsidRPr="00177FDE" w:rsidRDefault="4CE71FF9" w:rsidP="4EA68CF9">
      <w:pPr>
        <w:spacing w:before="240" w:after="240"/>
      </w:pPr>
      <w:r w:rsidRPr="00177FDE">
        <w:t>Modifications to the cut points would need to be adopted at the September 2023 meeting</w:t>
      </w:r>
      <w:r w:rsidR="79FFFF70" w:rsidRPr="00177FDE">
        <w:t xml:space="preserve"> to </w:t>
      </w:r>
      <w:r w:rsidR="008E5554" w:rsidRPr="00177FDE">
        <w:t>be used o</w:t>
      </w:r>
      <w:r w:rsidR="1E076626" w:rsidRPr="00177FDE">
        <w:t>n the 2023 Dashboard</w:t>
      </w:r>
      <w:r w:rsidR="659B6CAF" w:rsidRPr="00177FDE">
        <w:t>, and subsequent Local Control Funding Formula (LCFF) and ESSA support determinations</w:t>
      </w:r>
      <w:r w:rsidR="2A005EB9" w:rsidRPr="00177FDE">
        <w:t xml:space="preserve">. </w:t>
      </w:r>
      <w:r w:rsidR="52FA14BF" w:rsidRPr="00177FDE">
        <w:t>The CDE will not have additional information from the 2022</w:t>
      </w:r>
      <w:r w:rsidR="00B00985" w:rsidRPr="00177FDE">
        <w:rPr>
          <w:rFonts w:cs="Arial"/>
        </w:rPr>
        <w:t>–</w:t>
      </w:r>
      <w:r w:rsidR="52FA14BF" w:rsidRPr="00177FDE">
        <w:t>23 school year data collection to</w:t>
      </w:r>
      <w:r w:rsidR="063A1EA2" w:rsidRPr="00177FDE">
        <w:t xml:space="preserve"> share with the SBE to</w:t>
      </w:r>
      <w:r w:rsidR="52FA14BF" w:rsidRPr="00177FDE">
        <w:t xml:space="preserve"> inform these choices</w:t>
      </w:r>
      <w:r w:rsidR="00B00985" w:rsidRPr="00177FDE">
        <w:t>;</w:t>
      </w:r>
      <w:r w:rsidR="52FA14BF" w:rsidRPr="00177FDE">
        <w:t xml:space="preserve"> therefore</w:t>
      </w:r>
      <w:r w:rsidR="00B00985" w:rsidRPr="00177FDE">
        <w:t>,</w:t>
      </w:r>
      <w:r w:rsidR="52FA14BF" w:rsidRPr="00177FDE">
        <w:t xml:space="preserve"> </w:t>
      </w:r>
      <w:r w:rsidR="00B00985" w:rsidRPr="00177FDE">
        <w:t xml:space="preserve">these </w:t>
      </w:r>
      <w:r w:rsidR="17D4FFD1" w:rsidRPr="00177FDE">
        <w:t xml:space="preserve">decisions </w:t>
      </w:r>
      <w:r w:rsidR="52FA14BF" w:rsidRPr="00177FDE">
        <w:t xml:space="preserve">would need to rely on historical data. </w:t>
      </w:r>
      <w:r w:rsidR="244051E1" w:rsidRPr="00177FDE">
        <w:t xml:space="preserve">Additionally, </w:t>
      </w:r>
      <w:r w:rsidR="060ACC31" w:rsidRPr="00177FDE">
        <w:t xml:space="preserve">any </w:t>
      </w:r>
      <w:r w:rsidR="43CA53F8" w:rsidRPr="00177FDE">
        <w:t>changes adopted</w:t>
      </w:r>
      <w:r w:rsidR="244051E1" w:rsidRPr="00177FDE">
        <w:t xml:space="preserve"> </w:t>
      </w:r>
      <w:r w:rsidR="52FA14BF" w:rsidRPr="00177FDE">
        <w:t xml:space="preserve">to the cut points for the Chronic Absenteeism Indicator would require </w:t>
      </w:r>
      <w:r w:rsidR="005B4829" w:rsidRPr="00177FDE">
        <w:t xml:space="preserve">a corresponding action by </w:t>
      </w:r>
      <w:r w:rsidR="52FA14BF" w:rsidRPr="00177FDE">
        <w:t xml:space="preserve">the SBE to adopt and submit an </w:t>
      </w:r>
      <w:r w:rsidR="249463AD" w:rsidRPr="00177FDE">
        <w:t xml:space="preserve">ESSA </w:t>
      </w:r>
      <w:r w:rsidR="52FA14BF" w:rsidRPr="00177FDE">
        <w:t>amendment to</w:t>
      </w:r>
      <w:r w:rsidR="00C64C37" w:rsidRPr="00177FDE">
        <w:t xml:space="preserve"> California’s State Plan to</w:t>
      </w:r>
      <w:r w:rsidR="52FA14BF" w:rsidRPr="00177FDE">
        <w:t xml:space="preserve"> </w:t>
      </w:r>
      <w:r w:rsidR="7E23044F" w:rsidRPr="00177FDE">
        <w:t xml:space="preserve">the </w:t>
      </w:r>
      <w:r w:rsidR="00B220C6" w:rsidRPr="00177FDE">
        <w:t xml:space="preserve">U.S. </w:t>
      </w:r>
      <w:r w:rsidR="7E23044F" w:rsidRPr="00177FDE">
        <w:t xml:space="preserve">Department of Education </w:t>
      </w:r>
      <w:r w:rsidR="17E911CF" w:rsidRPr="00177FDE">
        <w:t>shortly thereafter.</w:t>
      </w:r>
    </w:p>
    <w:p w14:paraId="07330C09" w14:textId="0217B54E" w:rsidR="566BABE8" w:rsidRPr="00AF7397" w:rsidRDefault="00580771" w:rsidP="00AF7397">
      <w:pPr>
        <w:pStyle w:val="Heading3"/>
        <w:rPr>
          <w:i w:val="0"/>
          <w:iCs/>
          <w:sz w:val="24"/>
          <w:szCs w:val="20"/>
        </w:rPr>
      </w:pPr>
      <w:r w:rsidRPr="00AF7397">
        <w:rPr>
          <w:i w:val="0"/>
          <w:iCs/>
          <w:sz w:val="24"/>
          <w:szCs w:val="20"/>
        </w:rPr>
        <w:t xml:space="preserve">Option 1b: </w:t>
      </w:r>
      <w:r w:rsidR="566BABE8" w:rsidRPr="00AF7397">
        <w:rPr>
          <w:i w:val="0"/>
          <w:iCs/>
          <w:sz w:val="24"/>
          <w:szCs w:val="20"/>
        </w:rPr>
        <w:t xml:space="preserve">Short-Term Modification: </w:t>
      </w:r>
      <w:r w:rsidR="4BBA8EDC" w:rsidRPr="00AF7397">
        <w:rPr>
          <w:i w:val="0"/>
          <w:iCs/>
          <w:sz w:val="24"/>
          <w:szCs w:val="20"/>
        </w:rPr>
        <w:t>Modify the Performance Level Color Scheme for Five-by-Five Colored Grid</w:t>
      </w:r>
    </w:p>
    <w:p w14:paraId="5B4D1B2F" w14:textId="78B018A7" w:rsidR="5C7EA0AE" w:rsidRPr="00177FDE" w:rsidRDefault="00A91EEB" w:rsidP="4EA68CF9">
      <w:pPr>
        <w:spacing w:before="240" w:after="240"/>
      </w:pPr>
      <w:r w:rsidRPr="00177FDE">
        <w:t>This option would</w:t>
      </w:r>
      <w:r w:rsidR="5C7EA0AE" w:rsidRPr="00177FDE">
        <w:t xml:space="preserve"> modify the colors that populate each box in the adopted five-by-five color grid that results in performance level determinations for Chronic Absenteeism.</w:t>
      </w:r>
      <w:r w:rsidR="3BB67A5C" w:rsidRPr="00177FDE">
        <w:t xml:space="preserve"> This </w:t>
      </w:r>
      <w:r w:rsidR="0082770B" w:rsidRPr="00177FDE">
        <w:t>option</w:t>
      </w:r>
      <w:r w:rsidR="3BB67A5C" w:rsidRPr="00177FDE">
        <w:t xml:space="preserve"> allow</w:t>
      </w:r>
      <w:r w:rsidR="0082770B" w:rsidRPr="00177FDE">
        <w:t xml:space="preserve">s </w:t>
      </w:r>
      <w:r w:rsidR="3BB67A5C" w:rsidRPr="00177FDE">
        <w:t xml:space="preserve">the </w:t>
      </w:r>
      <w:r w:rsidR="0082770B" w:rsidRPr="00177FDE">
        <w:t>SBE</w:t>
      </w:r>
      <w:r w:rsidR="3BB67A5C" w:rsidRPr="00177FDE">
        <w:t xml:space="preserve"> to directly adjust the number of red and orange boxes available </w:t>
      </w:r>
      <w:r w:rsidR="4FDDA772" w:rsidRPr="00177FDE">
        <w:t>for</w:t>
      </w:r>
      <w:r w:rsidR="3BB67A5C" w:rsidRPr="00177FDE">
        <w:t xml:space="preserve"> LEAs, schools</w:t>
      </w:r>
      <w:r w:rsidR="0082770B" w:rsidRPr="00177FDE">
        <w:t>,</w:t>
      </w:r>
      <w:r w:rsidR="3BB67A5C" w:rsidRPr="00177FDE">
        <w:t xml:space="preserve"> and student groups</w:t>
      </w:r>
      <w:r w:rsidR="47C20F57" w:rsidRPr="00177FDE">
        <w:t xml:space="preserve">. For instance, </w:t>
      </w:r>
      <w:r w:rsidR="0082770B" w:rsidRPr="00177FDE">
        <w:t>a</w:t>
      </w:r>
      <w:r w:rsidR="47C20F57" w:rsidRPr="00177FDE">
        <w:t xml:space="preserve"> change </w:t>
      </w:r>
      <w:r w:rsidR="0082770B" w:rsidRPr="00177FDE">
        <w:t xml:space="preserve">to </w:t>
      </w:r>
      <w:r w:rsidR="47C20F57" w:rsidRPr="00177FDE">
        <w:t xml:space="preserve">the color of the </w:t>
      </w:r>
      <w:r w:rsidR="0082770B" w:rsidRPr="00177FDE">
        <w:t>R</w:t>
      </w:r>
      <w:r w:rsidR="47C20F57" w:rsidRPr="00177FDE">
        <w:t xml:space="preserve">ed box for the status/change combination of </w:t>
      </w:r>
      <w:r w:rsidR="3596B06F" w:rsidRPr="00177FDE">
        <w:t>“H</w:t>
      </w:r>
      <w:r w:rsidR="47C20F57" w:rsidRPr="00177FDE">
        <w:t>igh</w:t>
      </w:r>
      <w:r w:rsidR="29BC7E73" w:rsidRPr="00177FDE">
        <w:t>”</w:t>
      </w:r>
      <w:r w:rsidR="47C20F57" w:rsidRPr="00177FDE">
        <w:t>/</w:t>
      </w:r>
      <w:r w:rsidR="675108B3" w:rsidRPr="00177FDE">
        <w:t>”I</w:t>
      </w:r>
      <w:r w:rsidR="47C20F57" w:rsidRPr="00177FDE">
        <w:t xml:space="preserve">ncreased </w:t>
      </w:r>
      <w:r w:rsidR="7C86525A" w:rsidRPr="00177FDE">
        <w:t>S</w:t>
      </w:r>
      <w:r w:rsidR="47C20F57" w:rsidRPr="00177FDE">
        <w:t>ignificantly</w:t>
      </w:r>
      <w:r w:rsidR="685AD674" w:rsidRPr="00177FDE">
        <w:t xml:space="preserve">” to </w:t>
      </w:r>
      <w:r w:rsidR="0082770B" w:rsidRPr="00177FDE">
        <w:t>O</w:t>
      </w:r>
      <w:r w:rsidR="685AD674" w:rsidRPr="00177FDE">
        <w:t xml:space="preserve">range, in order to remove the possibility of receiving a </w:t>
      </w:r>
      <w:r w:rsidR="0082770B" w:rsidRPr="00177FDE">
        <w:t>R</w:t>
      </w:r>
      <w:r w:rsidR="685AD674" w:rsidRPr="00177FDE">
        <w:t>ed for all LEAs, schools</w:t>
      </w:r>
      <w:r w:rsidR="0082770B" w:rsidRPr="00177FDE">
        <w:t>,</w:t>
      </w:r>
      <w:r w:rsidR="685AD674" w:rsidRPr="00177FDE">
        <w:t xml:space="preserve"> and student groups that received a status of “High.”</w:t>
      </w:r>
    </w:p>
    <w:p w14:paraId="5D6BE2C5" w14:textId="45D2F3A8" w:rsidR="0C2F0C44" w:rsidRPr="00177FDE" w:rsidRDefault="0C2F0C44" w:rsidP="4EA68CF9">
      <w:pPr>
        <w:spacing w:before="240" w:after="240"/>
      </w:pPr>
      <w:r w:rsidRPr="00177FDE">
        <w:t>Modifications to the c</w:t>
      </w:r>
      <w:r w:rsidR="6FBDEE51" w:rsidRPr="00177FDE">
        <w:t xml:space="preserve">olor scheme </w:t>
      </w:r>
      <w:r w:rsidRPr="00177FDE">
        <w:t xml:space="preserve">would need to be adopted at the September 2023 meeting </w:t>
      </w:r>
      <w:r w:rsidR="0082770B" w:rsidRPr="00177FDE">
        <w:t xml:space="preserve">to be used </w:t>
      </w:r>
      <w:r w:rsidRPr="00177FDE">
        <w:t xml:space="preserve">on the 2023 Dashboard, and subsequent </w:t>
      </w:r>
      <w:r w:rsidR="00AF6931" w:rsidRPr="00177FDE">
        <w:t>LCFF and ESSA support determinations. The CDE will not have additional information from the 2022</w:t>
      </w:r>
      <w:r w:rsidR="00AF6931" w:rsidRPr="00177FDE">
        <w:rPr>
          <w:rFonts w:cs="Arial"/>
        </w:rPr>
        <w:t>–</w:t>
      </w:r>
      <w:r w:rsidR="00AF6931" w:rsidRPr="00177FDE">
        <w:t>23 school year data collection to share with the SBE to inform these choices; therefore, these decisions would need to rely on historical data. Additionally, any changes adopted to the color scheme for the Chronic Absenteeism Indicator would require a corresponding action by the SBE to adopt and submit an ESSA amendment to California’s State Plan to the U.S. Department of Education shortly thereafter.</w:t>
      </w:r>
    </w:p>
    <w:p w14:paraId="0E7B98BD" w14:textId="08E1E16F" w:rsidR="495F2E54" w:rsidRPr="00AF7397" w:rsidRDefault="00580771" w:rsidP="00AF7397">
      <w:pPr>
        <w:pStyle w:val="Heading3"/>
        <w:rPr>
          <w:i w:val="0"/>
          <w:iCs/>
          <w:sz w:val="24"/>
          <w:szCs w:val="20"/>
        </w:rPr>
      </w:pPr>
      <w:r w:rsidRPr="00AF7397">
        <w:rPr>
          <w:i w:val="0"/>
          <w:iCs/>
          <w:sz w:val="24"/>
          <w:szCs w:val="20"/>
        </w:rPr>
        <w:lastRenderedPageBreak/>
        <w:t xml:space="preserve">Option 1c: </w:t>
      </w:r>
      <w:r w:rsidR="495F2E54" w:rsidRPr="00AF7397">
        <w:rPr>
          <w:i w:val="0"/>
          <w:iCs/>
          <w:sz w:val="24"/>
          <w:szCs w:val="20"/>
        </w:rPr>
        <w:t xml:space="preserve">Short-Term Modification: </w:t>
      </w:r>
      <w:r w:rsidR="1F353660" w:rsidRPr="00AF7397">
        <w:rPr>
          <w:i w:val="0"/>
          <w:iCs/>
          <w:sz w:val="24"/>
          <w:szCs w:val="20"/>
        </w:rPr>
        <w:t>Modify the Chronically Absent Student Calculation Methodology</w:t>
      </w:r>
    </w:p>
    <w:p w14:paraId="3FB365DD" w14:textId="16AEB761" w:rsidR="149A9812" w:rsidRPr="00177FDE" w:rsidRDefault="149A9812" w:rsidP="4EA68CF9">
      <w:pPr>
        <w:spacing w:before="240" w:after="240"/>
      </w:pPr>
      <w:r w:rsidRPr="00177FDE">
        <w:t>Th</w:t>
      </w:r>
      <w:r w:rsidR="00AF6931" w:rsidRPr="00177FDE">
        <w:t>is option</w:t>
      </w:r>
      <w:r w:rsidRPr="00177FDE">
        <w:t xml:space="preserve"> modif</w:t>
      </w:r>
      <w:r w:rsidR="00AF6931" w:rsidRPr="00177FDE">
        <w:t>ies</w:t>
      </w:r>
      <w:r w:rsidRPr="00177FDE">
        <w:t xml:space="preserve"> the student-level calculation that determines whether a student is counted as chronically absent.</w:t>
      </w:r>
      <w:r w:rsidR="0C3B1FB1" w:rsidRPr="00177FDE">
        <w:t xml:space="preserve"> </w:t>
      </w:r>
      <w:r w:rsidR="54B53FA7" w:rsidRPr="00177FDE">
        <w:t xml:space="preserve">The definition of chronic absenteeism currently used in California includes all absences and is codified in </w:t>
      </w:r>
      <w:r w:rsidR="00AF6931" w:rsidRPr="00177FDE">
        <w:rPr>
          <w:i/>
          <w:iCs/>
        </w:rPr>
        <w:t xml:space="preserve">Education </w:t>
      </w:r>
      <w:r w:rsidR="54B53FA7" w:rsidRPr="00177FDE">
        <w:rPr>
          <w:i/>
          <w:iCs/>
        </w:rPr>
        <w:t>C</w:t>
      </w:r>
      <w:r w:rsidR="00AF6931" w:rsidRPr="00177FDE">
        <w:rPr>
          <w:i/>
          <w:iCs/>
        </w:rPr>
        <w:t>ode</w:t>
      </w:r>
      <w:r w:rsidR="54B53FA7" w:rsidRPr="00177FDE">
        <w:t xml:space="preserve"> Section 60901. As an example, </w:t>
      </w:r>
      <w:r w:rsidR="0C3B1FB1" w:rsidRPr="00177FDE">
        <w:t>t</w:t>
      </w:r>
      <w:r w:rsidR="3EA54356" w:rsidRPr="00177FDE">
        <w:t xml:space="preserve">he </w:t>
      </w:r>
      <w:r w:rsidR="3E0ED548" w:rsidRPr="00177FDE">
        <w:t xml:space="preserve">SBE could modify the </w:t>
      </w:r>
      <w:r w:rsidR="3EA54356" w:rsidRPr="00177FDE">
        <w:t xml:space="preserve">formula by removing excused absences from the calculation, which would </w:t>
      </w:r>
      <w:r w:rsidR="6EC7FA08" w:rsidRPr="00177FDE">
        <w:t>alter</w:t>
      </w:r>
      <w:r w:rsidR="3EA54356" w:rsidRPr="00177FDE">
        <w:t xml:space="preserve"> </w:t>
      </w:r>
      <w:r w:rsidR="5E792843" w:rsidRPr="00177FDE">
        <w:t xml:space="preserve">the calculation </w:t>
      </w:r>
      <w:r w:rsidR="0CF38E75" w:rsidRPr="00177FDE">
        <w:t xml:space="preserve">and </w:t>
      </w:r>
      <w:r w:rsidR="5E792843" w:rsidRPr="00177FDE">
        <w:t>creat</w:t>
      </w:r>
      <w:r w:rsidR="1818BA3B" w:rsidRPr="00177FDE">
        <w:t>e</w:t>
      </w:r>
      <w:r w:rsidR="5E792843" w:rsidRPr="00177FDE">
        <w:t xml:space="preserve"> a</w:t>
      </w:r>
      <w:r w:rsidR="3EA54356" w:rsidRPr="00177FDE">
        <w:t xml:space="preserve"> chronic truancy </w:t>
      </w:r>
      <w:r w:rsidR="5ACEAF74" w:rsidRPr="00177FDE">
        <w:t>rate</w:t>
      </w:r>
      <w:r w:rsidR="70ACC21F" w:rsidRPr="00177FDE">
        <w:t>.</w:t>
      </w:r>
      <w:r w:rsidR="00CD0110" w:rsidRPr="00177FDE">
        <w:t xml:space="preserve"> While the CDE publicly reports on Absences by Reason (i.e., unexcused absences, excused absences, etc.), these data were not collected, nor were they intended, for high-stakes determinations as stand-alone data points as described in this proposed option.</w:t>
      </w:r>
    </w:p>
    <w:p w14:paraId="6BF403BF" w14:textId="607D535D" w:rsidR="5B595B90" w:rsidRPr="00177FDE" w:rsidRDefault="5B595B90" w:rsidP="4EA68CF9">
      <w:pPr>
        <w:spacing w:before="240" w:after="240"/>
      </w:pPr>
      <w:r w:rsidRPr="00177FDE">
        <w:t xml:space="preserve">Modifications to the student-level calculation would need to be adopted at the September 2023 meeting </w:t>
      </w:r>
      <w:r w:rsidR="00AF6931" w:rsidRPr="00177FDE">
        <w:t>to be used</w:t>
      </w:r>
      <w:r w:rsidRPr="00177FDE">
        <w:t xml:space="preserve"> on the 2023 Dashboard, and subsequent </w:t>
      </w:r>
      <w:r w:rsidR="00AF6931" w:rsidRPr="00177FDE">
        <w:t>LCFF and ESSA support determinations. The CDE will not have additional information from the 2022</w:t>
      </w:r>
      <w:r w:rsidR="00AF6931" w:rsidRPr="00177FDE">
        <w:rPr>
          <w:rFonts w:cs="Arial"/>
        </w:rPr>
        <w:t>–</w:t>
      </w:r>
      <w:r w:rsidR="00AF6931" w:rsidRPr="00177FDE">
        <w:t xml:space="preserve">23 school year data collection to share with the SBE to inform these choices; therefore, these decisions would need to rely on historical data. </w:t>
      </w:r>
      <w:r w:rsidR="18D52458" w:rsidRPr="00177FDE">
        <w:rPr>
          <w:rFonts w:eastAsia="Arial" w:cs="Arial"/>
          <w:color w:val="000000" w:themeColor="text1"/>
        </w:rPr>
        <w:t>The SBE would also need to adopt new cut points for status and change based on</w:t>
      </w:r>
      <w:r w:rsidR="00AF6931" w:rsidRPr="00177FDE">
        <w:rPr>
          <w:rFonts w:eastAsia="Arial" w:cs="Arial"/>
          <w:color w:val="000000" w:themeColor="text1"/>
        </w:rPr>
        <w:t xml:space="preserve"> the </w:t>
      </w:r>
      <w:r w:rsidR="18D52458" w:rsidRPr="00177FDE">
        <w:rPr>
          <w:rFonts w:eastAsia="Arial" w:cs="Arial"/>
          <w:color w:val="000000" w:themeColor="text1"/>
        </w:rPr>
        <w:t xml:space="preserve">distribution of LEA scores using the revised </w:t>
      </w:r>
      <w:r w:rsidR="00CD0110" w:rsidRPr="00177FDE">
        <w:rPr>
          <w:rFonts w:eastAsia="Arial" w:cs="Arial"/>
          <w:color w:val="000000" w:themeColor="text1"/>
        </w:rPr>
        <w:t>student-level calculation</w:t>
      </w:r>
      <w:r w:rsidR="00AF6931" w:rsidRPr="00177FDE">
        <w:rPr>
          <w:rFonts w:eastAsia="Arial" w:cs="Arial"/>
          <w:color w:val="000000" w:themeColor="text1"/>
        </w:rPr>
        <w:t xml:space="preserve"> </w:t>
      </w:r>
      <w:r w:rsidR="18D52458" w:rsidRPr="00177FDE">
        <w:rPr>
          <w:rFonts w:eastAsia="Arial" w:cs="Arial"/>
          <w:color w:val="000000" w:themeColor="text1"/>
        </w:rPr>
        <w:t xml:space="preserve">methodology. Additionally, these changes to both the student-level calculation and cut points </w:t>
      </w:r>
      <w:r w:rsidR="00AF6931" w:rsidRPr="00177FDE">
        <w:t>for the Chronic Absenteeism Indicator would require a corresponding action by the SBE to adopt and submit an ESSA amendment to California’s State Plan to the U.S. Department of Education shortly thereafter.</w:t>
      </w:r>
    </w:p>
    <w:p w14:paraId="1490D546" w14:textId="2BA3D4FD" w:rsidR="00B54BD1" w:rsidRPr="00AF7397" w:rsidRDefault="00580771" w:rsidP="00AF7397">
      <w:pPr>
        <w:pStyle w:val="Heading3"/>
        <w:rPr>
          <w:i w:val="0"/>
          <w:iCs/>
          <w:sz w:val="24"/>
          <w:szCs w:val="20"/>
        </w:rPr>
      </w:pPr>
      <w:r w:rsidRPr="00AF7397">
        <w:rPr>
          <w:i w:val="0"/>
          <w:iCs/>
          <w:sz w:val="24"/>
          <w:szCs w:val="20"/>
        </w:rPr>
        <w:t xml:space="preserve">Option 2a: </w:t>
      </w:r>
      <w:r w:rsidR="5B595B90" w:rsidRPr="00AF7397">
        <w:rPr>
          <w:i w:val="0"/>
          <w:iCs/>
          <w:sz w:val="24"/>
          <w:szCs w:val="20"/>
        </w:rPr>
        <w:t xml:space="preserve">Long-Term Modification: </w:t>
      </w:r>
      <w:r w:rsidR="1F353660" w:rsidRPr="00AF7397">
        <w:rPr>
          <w:i w:val="0"/>
          <w:iCs/>
          <w:sz w:val="24"/>
          <w:szCs w:val="20"/>
        </w:rPr>
        <w:t>Modify the Granularity of Information Collected Around Student Absences</w:t>
      </w:r>
    </w:p>
    <w:p w14:paraId="5720EFB8" w14:textId="47BDCFB1" w:rsidR="5B595B90" w:rsidRPr="00177FDE" w:rsidRDefault="274A291C" w:rsidP="4EA68CF9">
      <w:pPr>
        <w:spacing w:before="240" w:after="240"/>
      </w:pPr>
      <w:r w:rsidRPr="00177FDE">
        <w:t>Th</w:t>
      </w:r>
      <w:r w:rsidR="000C095F" w:rsidRPr="00177FDE">
        <w:t>is option requires the</w:t>
      </w:r>
      <w:r w:rsidRPr="00177FDE">
        <w:t xml:space="preserve"> SBE to</w:t>
      </w:r>
      <w:r w:rsidR="3384EAA8" w:rsidRPr="00177FDE">
        <w:t xml:space="preserve"> request that </w:t>
      </w:r>
      <w:r w:rsidR="000C095F" w:rsidRPr="00177FDE">
        <w:t>the CDE</w:t>
      </w:r>
      <w:r w:rsidRPr="00177FDE">
        <w:t xml:space="preserve"> </w:t>
      </w:r>
      <w:r w:rsidR="2429DA6B" w:rsidRPr="00177FDE">
        <w:t xml:space="preserve">increase the information that is gathered around student absences </w:t>
      </w:r>
      <w:r w:rsidR="623FA7EA" w:rsidRPr="00177FDE">
        <w:t xml:space="preserve">within the CALPADS </w:t>
      </w:r>
      <w:r w:rsidR="000C095F" w:rsidRPr="00177FDE">
        <w:t xml:space="preserve">data </w:t>
      </w:r>
      <w:r w:rsidR="623FA7EA" w:rsidRPr="00177FDE">
        <w:t>file</w:t>
      </w:r>
      <w:r w:rsidR="34091CCA" w:rsidRPr="00177FDE">
        <w:t xml:space="preserve">. </w:t>
      </w:r>
      <w:r w:rsidR="124EFA93" w:rsidRPr="00177FDE">
        <w:t xml:space="preserve">Presently, there is no detail submitted through CALPADS about absences other than the generic categories of </w:t>
      </w:r>
      <w:r w:rsidR="65587285" w:rsidRPr="00177FDE">
        <w:t xml:space="preserve">Days Absent Excused (In-Person), Days Absent Unexcused (In-Person), Out-of-School Suspension Days and Non-ADA-Generating Independent Study Days. </w:t>
      </w:r>
      <w:r w:rsidR="54810305" w:rsidRPr="00177FDE">
        <w:t xml:space="preserve">For example, SBE could request additional details on the reasons for each Excused Absence. This would allow the SBE to modify the student-level </w:t>
      </w:r>
      <w:r w:rsidR="44FDA0A0" w:rsidRPr="00177FDE">
        <w:t>calculation of chronic absenteeism by selectively excluding certain categories of absences.</w:t>
      </w:r>
    </w:p>
    <w:p w14:paraId="59E3BC38" w14:textId="6810EF1F" w:rsidR="135A24D9" w:rsidRPr="00177FDE" w:rsidRDefault="135A24D9" w:rsidP="4EA68CF9">
      <w:pPr>
        <w:spacing w:before="240" w:after="240"/>
      </w:pPr>
      <w:r w:rsidRPr="00177FDE">
        <w:t xml:space="preserve">Current absenteeism data is gathered through the same file and mechanism as Average Daily Attendance (ADA) data, and any changes to this mechanism would require extensive work. </w:t>
      </w:r>
      <w:r w:rsidR="00D96212" w:rsidRPr="00177FDE">
        <w:t xml:space="preserve">This work includes, but is not limited to, developing definitions for the additional details on the reason for the absences, training LEAs on the new data collection metrics, and developing the respective reports in the data system. </w:t>
      </w:r>
      <w:r w:rsidRPr="00177FDE">
        <w:t>There</w:t>
      </w:r>
      <w:r w:rsidR="5A896ACF" w:rsidRPr="00177FDE">
        <w:t>fore, m</w:t>
      </w:r>
      <w:r w:rsidR="46F4C8CF" w:rsidRPr="00177FDE">
        <w:t>odifications to the collection of absence data w</w:t>
      </w:r>
      <w:r w:rsidR="26F73037" w:rsidRPr="00177FDE">
        <w:t xml:space="preserve">ould </w:t>
      </w:r>
      <w:r w:rsidR="46F4C8CF" w:rsidRPr="00177FDE">
        <w:t>take a minimum of t</w:t>
      </w:r>
      <w:r w:rsidR="71351B3F" w:rsidRPr="00177FDE">
        <w:t xml:space="preserve">wo additional collection </w:t>
      </w:r>
      <w:r w:rsidR="46F4C8CF" w:rsidRPr="00177FDE">
        <w:t>years to complete</w:t>
      </w:r>
      <w:r w:rsidR="48AA8388" w:rsidRPr="00177FDE">
        <w:t xml:space="preserve"> and would </w:t>
      </w:r>
      <w:r w:rsidR="73139FC8" w:rsidRPr="00177FDE">
        <w:t>becom</w:t>
      </w:r>
      <w:r w:rsidR="5C090BF8" w:rsidRPr="00177FDE">
        <w:t>e</w:t>
      </w:r>
      <w:r w:rsidR="73139FC8" w:rsidRPr="00177FDE">
        <w:t xml:space="preserve"> available in 2024</w:t>
      </w:r>
      <w:r w:rsidR="00681F18" w:rsidRPr="00177FDE">
        <w:rPr>
          <w:rFonts w:cs="Arial"/>
        </w:rPr>
        <w:t>–</w:t>
      </w:r>
      <w:r w:rsidR="73139FC8" w:rsidRPr="00177FDE">
        <w:t xml:space="preserve">25 at the earliest. This </w:t>
      </w:r>
      <w:r w:rsidR="485E0BE7" w:rsidRPr="00177FDE">
        <w:t>data would</w:t>
      </w:r>
      <w:r w:rsidR="73139FC8" w:rsidRPr="00177FDE">
        <w:t xml:space="preserve"> not </w:t>
      </w:r>
      <w:r w:rsidR="46F4C8CF" w:rsidRPr="00177FDE">
        <w:t>affect performance level determinations and subsequent LCFF and ESSA support determinations</w:t>
      </w:r>
      <w:r w:rsidR="08C5DCA6" w:rsidRPr="00177FDE">
        <w:t xml:space="preserve"> until the 2026 Dashboard</w:t>
      </w:r>
      <w:r w:rsidR="46F4C8CF" w:rsidRPr="00177FDE">
        <w:t xml:space="preserve">. </w:t>
      </w:r>
      <w:r w:rsidR="0FA065B3" w:rsidRPr="00177FDE">
        <w:t xml:space="preserve">Additionally, changes to the calculation of chronic absenteeism would need to be approved by the SBE and would </w:t>
      </w:r>
      <w:r w:rsidR="005901C3" w:rsidRPr="00177FDE">
        <w:lastRenderedPageBreak/>
        <w:t xml:space="preserve">require a corresponding action by the </w:t>
      </w:r>
      <w:r w:rsidR="006377E8" w:rsidRPr="00177FDE">
        <w:t>SBE to adopt and submit an ESSA amendment to California’s State Plan to the U.S. Department of Education.</w:t>
      </w:r>
    </w:p>
    <w:p w14:paraId="6AB7D6EE" w14:textId="317B8D5E" w:rsidR="46F4C8CF" w:rsidRPr="00AF7397" w:rsidRDefault="00580771" w:rsidP="00AF7397">
      <w:pPr>
        <w:pStyle w:val="Heading3"/>
        <w:rPr>
          <w:i w:val="0"/>
          <w:iCs/>
          <w:sz w:val="24"/>
          <w:szCs w:val="20"/>
        </w:rPr>
      </w:pPr>
      <w:r w:rsidRPr="00AF7397">
        <w:rPr>
          <w:i w:val="0"/>
          <w:iCs/>
          <w:sz w:val="24"/>
          <w:szCs w:val="20"/>
        </w:rPr>
        <w:t xml:space="preserve">Option 2b: </w:t>
      </w:r>
      <w:r w:rsidR="46F4C8CF" w:rsidRPr="00AF7397">
        <w:rPr>
          <w:i w:val="0"/>
          <w:iCs/>
          <w:sz w:val="24"/>
          <w:szCs w:val="20"/>
        </w:rPr>
        <w:t xml:space="preserve">Long-Term Modification: </w:t>
      </w:r>
      <w:r w:rsidR="1F353660" w:rsidRPr="00AF7397">
        <w:rPr>
          <w:i w:val="0"/>
          <w:iCs/>
          <w:sz w:val="24"/>
          <w:szCs w:val="20"/>
        </w:rPr>
        <w:t>Re</w:t>
      </w:r>
      <w:r w:rsidR="3EABB88B" w:rsidRPr="00AF7397">
        <w:rPr>
          <w:i w:val="0"/>
          <w:iCs/>
          <w:sz w:val="24"/>
          <w:szCs w:val="20"/>
        </w:rPr>
        <w:t xml:space="preserve">place </w:t>
      </w:r>
      <w:r w:rsidR="1F353660" w:rsidRPr="00AF7397">
        <w:rPr>
          <w:i w:val="0"/>
          <w:iCs/>
          <w:sz w:val="24"/>
          <w:szCs w:val="20"/>
        </w:rPr>
        <w:t xml:space="preserve">the Chronic Absenteeism Indicator </w:t>
      </w:r>
      <w:r w:rsidR="2397393D" w:rsidRPr="00AF7397">
        <w:rPr>
          <w:i w:val="0"/>
          <w:iCs/>
          <w:sz w:val="24"/>
          <w:szCs w:val="20"/>
        </w:rPr>
        <w:t>on</w:t>
      </w:r>
      <w:r w:rsidR="1F353660" w:rsidRPr="00AF7397">
        <w:rPr>
          <w:i w:val="0"/>
          <w:iCs/>
          <w:sz w:val="24"/>
          <w:szCs w:val="20"/>
        </w:rPr>
        <w:t xml:space="preserve"> the Dashboard for Accountability Purposes</w:t>
      </w:r>
    </w:p>
    <w:p w14:paraId="0B956730" w14:textId="195F98E4" w:rsidR="72785ACF" w:rsidRPr="00177FDE" w:rsidRDefault="72785ACF" w:rsidP="4EA68CF9">
      <w:pPr>
        <w:spacing w:before="240" w:after="240"/>
      </w:pPr>
      <w:r w:rsidRPr="00177FDE">
        <w:t>Th</w:t>
      </w:r>
      <w:r w:rsidR="008E5D7D" w:rsidRPr="00177FDE">
        <w:t>is option</w:t>
      </w:r>
      <w:r w:rsidRPr="00177FDE">
        <w:t xml:space="preserve"> re</w:t>
      </w:r>
      <w:r w:rsidR="55BABEBC" w:rsidRPr="00177FDE">
        <w:t>plac</w:t>
      </w:r>
      <w:r w:rsidRPr="00177FDE">
        <w:t>e</w:t>
      </w:r>
      <w:r w:rsidR="008E5D7D" w:rsidRPr="00177FDE">
        <w:t>s</w:t>
      </w:r>
      <w:r w:rsidRPr="00177FDE">
        <w:t xml:space="preserve"> the Chronic Absenteeism Indicator </w:t>
      </w:r>
      <w:r w:rsidR="583512B0" w:rsidRPr="00177FDE">
        <w:t xml:space="preserve">on </w:t>
      </w:r>
      <w:r w:rsidR="1A2F7D14" w:rsidRPr="00177FDE">
        <w:t xml:space="preserve">future </w:t>
      </w:r>
      <w:r w:rsidR="583512B0" w:rsidRPr="00177FDE">
        <w:t>Dashboard</w:t>
      </w:r>
      <w:r w:rsidR="4DFB350C" w:rsidRPr="00177FDE">
        <w:t>s</w:t>
      </w:r>
      <w:r w:rsidR="583512B0" w:rsidRPr="00177FDE">
        <w:t xml:space="preserve">. </w:t>
      </w:r>
      <w:r w:rsidR="3D8C0FBA" w:rsidRPr="00177FDE">
        <w:t xml:space="preserve">Within ESSA, California has identified Chronic Absenteeism as the additional academic indicator for grades kindergarten through eighth grade. Therefore, the SBE would need to </w:t>
      </w:r>
      <w:r w:rsidR="5104D80D" w:rsidRPr="00177FDE">
        <w:t xml:space="preserve">adopt </w:t>
      </w:r>
      <w:r w:rsidR="3D8C0FBA" w:rsidRPr="00177FDE">
        <w:t>an additional academic measure</w:t>
      </w:r>
      <w:r w:rsidR="1C674DD1" w:rsidRPr="00177FDE">
        <w:t xml:space="preserve"> </w:t>
      </w:r>
      <w:r w:rsidR="68F0A73D" w:rsidRPr="00177FDE">
        <w:t xml:space="preserve">for the Dashboard </w:t>
      </w:r>
      <w:r w:rsidR="3D8C0FBA" w:rsidRPr="00177FDE">
        <w:t xml:space="preserve">to </w:t>
      </w:r>
      <w:r w:rsidR="250F83E6" w:rsidRPr="00177FDE">
        <w:t xml:space="preserve">maintain compliance with </w:t>
      </w:r>
      <w:r w:rsidR="00847479" w:rsidRPr="00177FDE">
        <w:t xml:space="preserve">federal accountability requirements under </w:t>
      </w:r>
      <w:r w:rsidR="250F83E6" w:rsidRPr="00177FDE">
        <w:t>ESSA.</w:t>
      </w:r>
      <w:r w:rsidR="78FDBD8A" w:rsidRPr="00177FDE">
        <w:t xml:space="preserve"> The Chronic Absenteeism Indicator would remain on the Dashboard until </w:t>
      </w:r>
      <w:r w:rsidR="1826C32E" w:rsidRPr="00177FDE">
        <w:t xml:space="preserve">it </w:t>
      </w:r>
      <w:r w:rsidR="00847479" w:rsidRPr="00177FDE">
        <w:t>could</w:t>
      </w:r>
      <w:r w:rsidR="1826C32E" w:rsidRPr="00177FDE">
        <w:t xml:space="preserve"> be replaced with a new measure.</w:t>
      </w:r>
    </w:p>
    <w:p w14:paraId="42D92B75" w14:textId="1CAB7E06" w:rsidR="4EA68CF9" w:rsidRDefault="158C2181" w:rsidP="4EA68CF9">
      <w:pPr>
        <w:spacing w:before="240" w:after="240"/>
      </w:pPr>
      <w:r w:rsidRPr="00177FDE">
        <w:t>Timing on this m</w:t>
      </w:r>
      <w:r w:rsidR="72785ACF" w:rsidRPr="00177FDE">
        <w:t>odification</w:t>
      </w:r>
      <w:r w:rsidR="4C06CA7A" w:rsidRPr="00177FDE">
        <w:t xml:space="preserve"> is variable, as the SBE would need to decide which new Indicator it would like to create. If the Indicator </w:t>
      </w:r>
      <w:r w:rsidR="078E2524" w:rsidRPr="00177FDE">
        <w:t xml:space="preserve">was created based on existing data collected </w:t>
      </w:r>
      <w:r w:rsidR="003448C2" w:rsidRPr="00177FDE">
        <w:t>in CALPADS</w:t>
      </w:r>
      <w:r w:rsidR="078E2524" w:rsidRPr="00177FDE">
        <w:t xml:space="preserve">, then such an indicator could be available as soon as the 2024 Dashboard. However, if there was not data readily available, the CDE would need to begin a new data collection, </w:t>
      </w:r>
      <w:r w:rsidR="003448C2" w:rsidRPr="00177FDE">
        <w:t xml:space="preserve">and </w:t>
      </w:r>
      <w:r w:rsidR="4C156E97" w:rsidRPr="00177FDE">
        <w:t xml:space="preserve">such an indicator would not be available until the 2026 Dashboard at the earliest. Additionally, the replacement of an Indicator on </w:t>
      </w:r>
      <w:r w:rsidR="6FEF2AA3" w:rsidRPr="00177FDE">
        <w:t>t</w:t>
      </w:r>
      <w:r w:rsidR="4C156E97" w:rsidRPr="00177FDE">
        <w:t xml:space="preserve">he ESSA State Plan would </w:t>
      </w:r>
      <w:r w:rsidR="003448C2" w:rsidRPr="00177FDE">
        <w:t>require a corresponding action by the SBE to adopt and submit an ESSA amendment to California’s State Plan to the U.S. Department of Education.</w:t>
      </w:r>
    </w:p>
    <w:sectPr w:rsidR="4EA68CF9" w:rsidSect="00351A6B">
      <w:headerReference w:type="default" r:id="rId34"/>
      <w:headerReference w:type="first" r:id="rId35"/>
      <w:footerReference w:type="firs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DA2A" w14:textId="77777777" w:rsidR="00C111A3" w:rsidRDefault="00C111A3" w:rsidP="000E09DC">
      <w:r>
        <w:separator/>
      </w:r>
    </w:p>
  </w:endnote>
  <w:endnote w:type="continuationSeparator" w:id="0">
    <w:p w14:paraId="1EA946B6" w14:textId="77777777" w:rsidR="00C111A3" w:rsidRDefault="00C111A3" w:rsidP="000E09DC">
      <w:r>
        <w:continuationSeparator/>
      </w:r>
    </w:p>
  </w:endnote>
  <w:endnote w:type="continuationNotice" w:id="1">
    <w:p w14:paraId="31CCAEFF" w14:textId="77777777" w:rsidR="00C111A3" w:rsidRDefault="00C11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Web3"/>
      <w:tblW w:w="0" w:type="auto"/>
      <w:tblLayout w:type="fixed"/>
      <w:tblLook w:val="06A0" w:firstRow="1" w:lastRow="0" w:firstColumn="1" w:lastColumn="0" w:noHBand="1" w:noVBand="1"/>
    </w:tblPr>
    <w:tblGrid>
      <w:gridCol w:w="1500"/>
      <w:gridCol w:w="1480"/>
      <w:gridCol w:w="1500"/>
    </w:tblGrid>
    <w:tr w:rsidR="002C6F40" w14:paraId="752F4A2F" w14:textId="77777777" w:rsidTr="005F1FB6">
      <w:trPr>
        <w:cnfStyle w:val="100000000000" w:firstRow="1" w:lastRow="0" w:firstColumn="0" w:lastColumn="0" w:oddVBand="0" w:evenVBand="0" w:oddHBand="0" w:evenHBand="0" w:firstRowFirstColumn="0" w:firstRowLastColumn="0" w:lastRowFirstColumn="0" w:lastRowLastColumn="0"/>
        <w:trHeight w:val="300"/>
      </w:trPr>
      <w:tc>
        <w:tcPr>
          <w:tcW w:w="1440" w:type="dxa"/>
        </w:tcPr>
        <w:p w14:paraId="2F4556BC" w14:textId="40D96435" w:rsidR="002C6F40" w:rsidRDefault="002C6F40" w:rsidP="00B12CB1">
          <w:pPr>
            <w:pStyle w:val="Header"/>
            <w:ind w:left="-115"/>
          </w:pPr>
        </w:p>
      </w:tc>
      <w:tc>
        <w:tcPr>
          <w:tcW w:w="1440" w:type="dxa"/>
        </w:tcPr>
        <w:p w14:paraId="70AE4395" w14:textId="247DE95C" w:rsidR="002C6F40" w:rsidRDefault="002C6F40" w:rsidP="00B12CB1">
          <w:pPr>
            <w:pStyle w:val="Header"/>
            <w:jc w:val="center"/>
          </w:pPr>
        </w:p>
      </w:tc>
      <w:tc>
        <w:tcPr>
          <w:tcW w:w="1440" w:type="dxa"/>
        </w:tcPr>
        <w:p w14:paraId="2B87C402" w14:textId="68A50A98" w:rsidR="002C6F40" w:rsidRDefault="002C6F40" w:rsidP="00B12CB1">
          <w:pPr>
            <w:pStyle w:val="Header"/>
            <w:ind w:right="-115"/>
            <w:jc w:val="right"/>
          </w:pPr>
        </w:p>
      </w:tc>
    </w:tr>
  </w:tbl>
  <w:p w14:paraId="76588371" w14:textId="111C1283" w:rsidR="002C6F40" w:rsidRDefault="002C6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7710852B" w14:textId="77777777" w:rsidTr="008F6E2A">
      <w:trPr>
        <w:trHeight w:val="300"/>
      </w:trPr>
      <w:tc>
        <w:tcPr>
          <w:tcW w:w="3120" w:type="dxa"/>
        </w:tcPr>
        <w:p w14:paraId="1D52F7F3" w14:textId="5729D07B" w:rsidR="002C6F40" w:rsidRDefault="002C6F40" w:rsidP="00B12CB1">
          <w:pPr>
            <w:pStyle w:val="Header"/>
            <w:ind w:left="-115"/>
          </w:pPr>
        </w:p>
      </w:tc>
      <w:tc>
        <w:tcPr>
          <w:tcW w:w="3120" w:type="dxa"/>
        </w:tcPr>
        <w:p w14:paraId="166F5B11" w14:textId="65765A74" w:rsidR="002C6F40" w:rsidRDefault="002C6F40" w:rsidP="00B12CB1">
          <w:pPr>
            <w:pStyle w:val="Header"/>
            <w:jc w:val="center"/>
          </w:pPr>
        </w:p>
      </w:tc>
      <w:tc>
        <w:tcPr>
          <w:tcW w:w="3120" w:type="dxa"/>
        </w:tcPr>
        <w:p w14:paraId="0BA86362" w14:textId="55426102" w:rsidR="002C6F40" w:rsidRDefault="002C6F40" w:rsidP="00B12CB1">
          <w:pPr>
            <w:pStyle w:val="Header"/>
            <w:ind w:right="-115"/>
            <w:jc w:val="right"/>
          </w:pPr>
        </w:p>
      </w:tc>
    </w:tr>
  </w:tbl>
  <w:p w14:paraId="034D3936" w14:textId="10119CC0" w:rsidR="002C6F40" w:rsidRDefault="002C6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717ABBC2" w14:textId="77777777" w:rsidTr="008F6E2A">
      <w:trPr>
        <w:trHeight w:val="300"/>
      </w:trPr>
      <w:tc>
        <w:tcPr>
          <w:tcW w:w="3120" w:type="dxa"/>
        </w:tcPr>
        <w:p w14:paraId="39023AA5" w14:textId="281096C1" w:rsidR="002C6F40" w:rsidRDefault="002C6F40" w:rsidP="00B12CB1">
          <w:pPr>
            <w:pStyle w:val="Header"/>
            <w:ind w:left="-115"/>
          </w:pPr>
        </w:p>
      </w:tc>
      <w:tc>
        <w:tcPr>
          <w:tcW w:w="3120" w:type="dxa"/>
        </w:tcPr>
        <w:p w14:paraId="4CEDD1D8" w14:textId="548DF421" w:rsidR="002C6F40" w:rsidRDefault="002C6F40" w:rsidP="00B12CB1">
          <w:pPr>
            <w:pStyle w:val="Header"/>
            <w:jc w:val="center"/>
          </w:pPr>
        </w:p>
      </w:tc>
      <w:tc>
        <w:tcPr>
          <w:tcW w:w="3120" w:type="dxa"/>
        </w:tcPr>
        <w:p w14:paraId="565CEDE0" w14:textId="3E13AA35" w:rsidR="002C6F40" w:rsidRDefault="002C6F40" w:rsidP="00B12CB1">
          <w:pPr>
            <w:pStyle w:val="Header"/>
            <w:ind w:right="-115"/>
            <w:jc w:val="right"/>
          </w:pPr>
        </w:p>
      </w:tc>
    </w:tr>
  </w:tbl>
  <w:p w14:paraId="1D84281A" w14:textId="7681D588" w:rsidR="002C6F40" w:rsidRDefault="002C6F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D2" w14:textId="77777777" w:rsidR="002C6F40" w:rsidRDefault="002C6F40" w:rsidP="000A32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5A8C6D7B" w14:textId="77777777" w:rsidTr="008F6E2A">
      <w:trPr>
        <w:trHeight w:val="300"/>
      </w:trPr>
      <w:tc>
        <w:tcPr>
          <w:tcW w:w="3120" w:type="dxa"/>
        </w:tcPr>
        <w:p w14:paraId="3D2AA816" w14:textId="3C813CB6" w:rsidR="002C6F40" w:rsidRDefault="002C6F40" w:rsidP="00B12CB1">
          <w:pPr>
            <w:pStyle w:val="Header"/>
            <w:ind w:left="-115"/>
          </w:pPr>
        </w:p>
      </w:tc>
      <w:tc>
        <w:tcPr>
          <w:tcW w:w="3120" w:type="dxa"/>
        </w:tcPr>
        <w:p w14:paraId="6C9412FF" w14:textId="55444A2C" w:rsidR="002C6F40" w:rsidRDefault="002C6F40" w:rsidP="00B12CB1">
          <w:pPr>
            <w:pStyle w:val="Header"/>
            <w:jc w:val="center"/>
          </w:pPr>
        </w:p>
      </w:tc>
      <w:tc>
        <w:tcPr>
          <w:tcW w:w="3120" w:type="dxa"/>
        </w:tcPr>
        <w:p w14:paraId="45552807" w14:textId="1E440991" w:rsidR="002C6F40" w:rsidRDefault="002C6F40" w:rsidP="00B12CB1">
          <w:pPr>
            <w:pStyle w:val="Header"/>
            <w:ind w:right="-115"/>
            <w:jc w:val="right"/>
          </w:pPr>
        </w:p>
      </w:tc>
    </w:tr>
  </w:tbl>
  <w:p w14:paraId="1E41797A" w14:textId="488439D5" w:rsidR="002C6F40" w:rsidRDefault="002C6F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4800"/>
      <w:gridCol w:w="4800"/>
      <w:gridCol w:w="4800"/>
    </w:tblGrid>
    <w:tr w:rsidR="002C6F40" w14:paraId="0C9D0911" w14:textId="77777777" w:rsidTr="00120B16">
      <w:trPr>
        <w:trHeight w:val="300"/>
      </w:trPr>
      <w:tc>
        <w:tcPr>
          <w:tcW w:w="4800" w:type="dxa"/>
        </w:tcPr>
        <w:p w14:paraId="0A640299" w14:textId="438D4D8B" w:rsidR="002C6F40" w:rsidRDefault="002C6F40" w:rsidP="00B12CB1">
          <w:pPr>
            <w:pStyle w:val="Header"/>
            <w:ind w:left="-115"/>
          </w:pPr>
        </w:p>
      </w:tc>
      <w:tc>
        <w:tcPr>
          <w:tcW w:w="4800" w:type="dxa"/>
        </w:tcPr>
        <w:p w14:paraId="692A507E" w14:textId="1AC9C5CD" w:rsidR="002C6F40" w:rsidRDefault="002C6F40" w:rsidP="00B12CB1">
          <w:pPr>
            <w:pStyle w:val="Header"/>
            <w:jc w:val="center"/>
          </w:pPr>
        </w:p>
      </w:tc>
      <w:tc>
        <w:tcPr>
          <w:tcW w:w="4800" w:type="dxa"/>
        </w:tcPr>
        <w:p w14:paraId="750B8CB5" w14:textId="3EE0BEFE" w:rsidR="002C6F40" w:rsidRDefault="002C6F40" w:rsidP="00B12CB1">
          <w:pPr>
            <w:pStyle w:val="Header"/>
            <w:ind w:right="-115"/>
            <w:jc w:val="right"/>
          </w:pPr>
        </w:p>
      </w:tc>
    </w:tr>
  </w:tbl>
  <w:p w14:paraId="0756A841" w14:textId="62ADBC10" w:rsidR="002C6F40" w:rsidRDefault="002C6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BCBF" w14:textId="77777777" w:rsidR="00C111A3" w:rsidRDefault="00C111A3" w:rsidP="000E09DC">
      <w:r>
        <w:separator/>
      </w:r>
    </w:p>
  </w:footnote>
  <w:footnote w:type="continuationSeparator" w:id="0">
    <w:p w14:paraId="5FFECC4C" w14:textId="77777777" w:rsidR="00C111A3" w:rsidRDefault="00C111A3" w:rsidP="000E09DC">
      <w:r>
        <w:continuationSeparator/>
      </w:r>
    </w:p>
  </w:footnote>
  <w:footnote w:type="continuationNotice" w:id="1">
    <w:p w14:paraId="3CEEF394" w14:textId="77777777" w:rsidR="00C111A3" w:rsidRDefault="00C11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CD" w14:textId="77777777" w:rsidR="002C6F40" w:rsidRPr="000E09DC" w:rsidRDefault="002C6F4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2C6F40" w:rsidRDefault="002C6F4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2C6F40" w:rsidRPr="00527B0E" w:rsidRDefault="002C6F40"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7394D6DB" w14:textId="77777777" w:rsidTr="008F6E2A">
      <w:trPr>
        <w:trHeight w:val="300"/>
      </w:trPr>
      <w:tc>
        <w:tcPr>
          <w:tcW w:w="3120" w:type="dxa"/>
        </w:tcPr>
        <w:p w14:paraId="7E57F985" w14:textId="2AAA564F" w:rsidR="002C6F40" w:rsidRDefault="002C6F40" w:rsidP="00B12CB1">
          <w:pPr>
            <w:pStyle w:val="Header"/>
            <w:ind w:left="-115"/>
          </w:pPr>
        </w:p>
      </w:tc>
      <w:tc>
        <w:tcPr>
          <w:tcW w:w="3120" w:type="dxa"/>
        </w:tcPr>
        <w:p w14:paraId="05FA46E9" w14:textId="3CB1F4C5" w:rsidR="002C6F40" w:rsidRDefault="002C6F40" w:rsidP="00B12CB1">
          <w:pPr>
            <w:pStyle w:val="Header"/>
            <w:jc w:val="center"/>
          </w:pPr>
        </w:p>
      </w:tc>
      <w:tc>
        <w:tcPr>
          <w:tcW w:w="3120" w:type="dxa"/>
        </w:tcPr>
        <w:p w14:paraId="31B411F2" w14:textId="44A60D02" w:rsidR="002C6F40" w:rsidRDefault="002C6F40" w:rsidP="00B12CB1">
          <w:pPr>
            <w:pStyle w:val="Header"/>
            <w:ind w:right="-115"/>
            <w:jc w:val="right"/>
          </w:pPr>
        </w:p>
      </w:tc>
    </w:tr>
  </w:tbl>
  <w:p w14:paraId="514BD85C" w14:textId="0A2E26C7" w:rsidR="002C6F40" w:rsidRDefault="002C6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D0" w14:textId="59995295" w:rsidR="002C6F40" w:rsidRDefault="002C6F40" w:rsidP="000E09DC">
    <w:pPr>
      <w:pStyle w:val="Header"/>
      <w:jc w:val="right"/>
    </w:pPr>
    <w:r>
      <w:t>itb-amard-</w:t>
    </w:r>
    <w:r w:rsidR="00C455CF">
      <w:t>jul</w:t>
    </w:r>
    <w:r>
      <w:t>23item</w:t>
    </w:r>
    <w:r w:rsidRPr="00943728">
      <w:t>01</w:t>
    </w:r>
  </w:p>
  <w:p w14:paraId="32C27CDD" w14:textId="31C1DAD3" w:rsidR="002C6F40" w:rsidRPr="00943728" w:rsidRDefault="002C6F40" w:rsidP="000A324A">
    <w:pPr>
      <w:pStyle w:val="Header"/>
      <w:spacing w:after="480"/>
      <w:jc w:val="right"/>
      <w:rPr>
        <w:rFonts w:cs="Arial"/>
      </w:rPr>
    </w:pPr>
    <w:r w:rsidRPr="00943728">
      <w:rPr>
        <w:rFonts w:cs="Arial"/>
      </w:rPr>
      <w:t xml:space="preserve">Page </w:t>
    </w:r>
    <w:r w:rsidRPr="00943728">
      <w:rPr>
        <w:rFonts w:cs="Arial"/>
        <w:bCs/>
      </w:rPr>
      <w:fldChar w:fldCharType="begin"/>
    </w:r>
    <w:r w:rsidRPr="00943728">
      <w:rPr>
        <w:rFonts w:cs="Arial"/>
        <w:bCs/>
      </w:rPr>
      <w:instrText xml:space="preserve"> PAGE  \* Arabic  \* MERGEFORMAT </w:instrText>
    </w:r>
    <w:r w:rsidRPr="00943728">
      <w:rPr>
        <w:rFonts w:cs="Arial"/>
        <w:bCs/>
      </w:rPr>
      <w:fldChar w:fldCharType="separate"/>
    </w:r>
    <w:r w:rsidRPr="00943728">
      <w:rPr>
        <w:rFonts w:cs="Arial"/>
        <w:bCs/>
        <w:noProof/>
      </w:rPr>
      <w:t>1</w:t>
    </w:r>
    <w:r w:rsidRPr="00943728">
      <w:rPr>
        <w:rFonts w:cs="Arial"/>
        <w:bCs/>
      </w:rPr>
      <w:fldChar w:fldCharType="end"/>
    </w:r>
    <w:r w:rsidRPr="00943728">
      <w:rPr>
        <w:rFonts w:cs="Arial"/>
      </w:rPr>
      <w:t xml:space="preserve"> of </w:t>
    </w:r>
    <w:r w:rsidR="004B329B">
      <w:rPr>
        <w:rFonts w:cs="Arial"/>
        <w:bC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7D74219C" w14:textId="77777777" w:rsidTr="008F6E2A">
      <w:trPr>
        <w:trHeight w:val="300"/>
      </w:trPr>
      <w:tc>
        <w:tcPr>
          <w:tcW w:w="3120" w:type="dxa"/>
        </w:tcPr>
        <w:p w14:paraId="2D3DA32B" w14:textId="196A0B93" w:rsidR="002C6F40" w:rsidRDefault="002C6F40" w:rsidP="00B12CB1">
          <w:pPr>
            <w:pStyle w:val="Header"/>
            <w:ind w:left="-115"/>
          </w:pPr>
        </w:p>
      </w:tc>
      <w:tc>
        <w:tcPr>
          <w:tcW w:w="3120" w:type="dxa"/>
        </w:tcPr>
        <w:p w14:paraId="6D5FA5F6" w14:textId="48504055" w:rsidR="002C6F40" w:rsidRDefault="002C6F40" w:rsidP="00B12CB1">
          <w:pPr>
            <w:pStyle w:val="Header"/>
            <w:jc w:val="center"/>
          </w:pPr>
        </w:p>
      </w:tc>
      <w:tc>
        <w:tcPr>
          <w:tcW w:w="3120" w:type="dxa"/>
        </w:tcPr>
        <w:p w14:paraId="14ECC7ED" w14:textId="546F53D4" w:rsidR="002C6F40" w:rsidRDefault="002C6F40" w:rsidP="00B12CB1">
          <w:pPr>
            <w:pStyle w:val="Header"/>
            <w:ind w:right="-115"/>
            <w:jc w:val="right"/>
          </w:pPr>
        </w:p>
      </w:tc>
    </w:tr>
  </w:tbl>
  <w:p w14:paraId="5FF5547F" w14:textId="0B7513C1" w:rsidR="002C6F40" w:rsidRDefault="002C6F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E3" w14:textId="39713BA1" w:rsidR="002C6F40" w:rsidRPr="0094206D" w:rsidRDefault="002C6F40" w:rsidP="005A0B39">
    <w:pPr>
      <w:jc w:val="right"/>
      <w:rPr>
        <w:rFonts w:cs="Arial"/>
        <w:color w:val="000000"/>
      </w:rPr>
    </w:pPr>
    <w:r>
      <w:rPr>
        <w:rFonts w:cs="Arial"/>
        <w:color w:val="000000"/>
      </w:rPr>
      <w:t>i</w:t>
    </w:r>
    <w:r w:rsidRPr="0094206D">
      <w:rPr>
        <w:rFonts w:cs="Arial"/>
        <w:color w:val="000000"/>
      </w:rPr>
      <w:t>tb-amard-</w:t>
    </w:r>
    <w:r w:rsidR="00DE4513">
      <w:rPr>
        <w:rFonts w:cs="Arial"/>
        <w:color w:val="000000"/>
      </w:rPr>
      <w:t>jul</w:t>
    </w:r>
    <w:r>
      <w:rPr>
        <w:rFonts w:cs="Arial"/>
        <w:color w:val="000000"/>
      </w:rPr>
      <w:t>23</w:t>
    </w:r>
    <w:r w:rsidRPr="0094206D">
      <w:rPr>
        <w:rFonts w:cs="Arial"/>
        <w:color w:val="000000"/>
      </w:rPr>
      <w:t>item</w:t>
    </w:r>
    <w:r>
      <w:rPr>
        <w:rFonts w:cs="Arial"/>
        <w:color w:val="000000"/>
      </w:rPr>
      <w:t>01</w:t>
    </w:r>
  </w:p>
  <w:p w14:paraId="423228E4" w14:textId="2D1D67AD" w:rsidR="002C6F40" w:rsidRPr="0094206D" w:rsidRDefault="002C6F40" w:rsidP="005A0B39">
    <w:pPr>
      <w:jc w:val="right"/>
      <w:rPr>
        <w:rFonts w:cs="Arial"/>
      </w:rPr>
    </w:pPr>
    <w:r>
      <w:rPr>
        <w:rFonts w:cs="Arial"/>
      </w:rPr>
      <w:t xml:space="preserve">Attachment </w:t>
    </w:r>
    <w:r w:rsidR="0010080D">
      <w:rPr>
        <w:rFonts w:cs="Arial"/>
      </w:rPr>
      <w:t>1</w:t>
    </w:r>
  </w:p>
  <w:p w14:paraId="423228E5" w14:textId="5E20C73E" w:rsidR="002C6F40" w:rsidRPr="0094206D" w:rsidRDefault="002C6F40" w:rsidP="00C82D8F">
    <w:pPr>
      <w:pStyle w:val="Header"/>
      <w:spacing w:after="240"/>
      <w:jc w:val="right"/>
      <w:rPr>
        <w:rFonts w:cs="Arial"/>
      </w:rPr>
    </w:pPr>
    <w:r w:rsidRPr="0094206D">
      <w:rPr>
        <w:rFonts w:cs="Arial"/>
      </w:rPr>
      <w:t xml:space="preserve">Page </w:t>
    </w:r>
    <w:r w:rsidRPr="0094206D">
      <w:rPr>
        <w:rFonts w:cs="Arial"/>
      </w:rPr>
      <w:fldChar w:fldCharType="begin"/>
    </w:r>
    <w:r w:rsidRPr="0094206D">
      <w:rPr>
        <w:rFonts w:cs="Arial"/>
      </w:rPr>
      <w:instrText xml:space="preserve"> PAGE   \* MERGEFORMAT </w:instrText>
    </w:r>
    <w:r w:rsidRPr="0094206D">
      <w:rPr>
        <w:rFonts w:cs="Arial"/>
      </w:rPr>
      <w:fldChar w:fldCharType="separate"/>
    </w:r>
    <w:r>
      <w:rPr>
        <w:rFonts w:cs="Arial"/>
        <w:noProof/>
      </w:rPr>
      <w:t>8</w:t>
    </w:r>
    <w:r w:rsidRPr="0094206D">
      <w:rPr>
        <w:rFonts w:cs="Arial"/>
        <w:noProof/>
      </w:rPr>
      <w:fldChar w:fldCharType="end"/>
    </w:r>
    <w:r>
      <w:rPr>
        <w:rFonts w:cs="Arial"/>
      </w:rPr>
      <w:t xml:space="preserve"> of </w:t>
    </w:r>
    <w:r w:rsidR="00BA0CCA">
      <w:rPr>
        <w:rFonts w:cs="Arial"/>
      </w:rPr>
      <w:t>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4800"/>
      <w:gridCol w:w="4800"/>
      <w:gridCol w:w="4800"/>
    </w:tblGrid>
    <w:tr w:rsidR="002C6F40" w14:paraId="0E0C4282" w14:textId="77777777" w:rsidTr="008F6E2A">
      <w:trPr>
        <w:trHeight w:val="300"/>
      </w:trPr>
      <w:tc>
        <w:tcPr>
          <w:tcW w:w="4800" w:type="dxa"/>
        </w:tcPr>
        <w:p w14:paraId="7E27D414" w14:textId="31254A82" w:rsidR="002C6F40" w:rsidRDefault="002C6F40" w:rsidP="32BA3F26">
          <w:pPr>
            <w:pStyle w:val="Header"/>
            <w:ind w:left="-115"/>
          </w:pPr>
        </w:p>
      </w:tc>
      <w:tc>
        <w:tcPr>
          <w:tcW w:w="4800" w:type="dxa"/>
        </w:tcPr>
        <w:p w14:paraId="2F321490" w14:textId="1F5417CD" w:rsidR="002C6F40" w:rsidRDefault="002C6F40" w:rsidP="00B12CB1">
          <w:pPr>
            <w:pStyle w:val="Header"/>
            <w:jc w:val="center"/>
          </w:pPr>
        </w:p>
      </w:tc>
      <w:tc>
        <w:tcPr>
          <w:tcW w:w="4800" w:type="dxa"/>
        </w:tcPr>
        <w:p w14:paraId="675ABA55" w14:textId="3AE71320" w:rsidR="002C6F40" w:rsidRDefault="002C6F40" w:rsidP="00B12CB1">
          <w:pPr>
            <w:pStyle w:val="Header"/>
            <w:ind w:right="-115"/>
            <w:jc w:val="right"/>
          </w:pPr>
        </w:p>
      </w:tc>
    </w:tr>
  </w:tbl>
  <w:p w14:paraId="4E6161B5" w14:textId="4E149B5D" w:rsidR="002C6F40" w:rsidRDefault="002C6F40">
    <w:pPr>
      <w:pStyle w:val="Header"/>
    </w:pPr>
  </w:p>
</w:hdr>
</file>

<file path=word/intelligence2.xml><?xml version="1.0" encoding="utf-8"?>
<int2:intelligence xmlns:int2="http://schemas.microsoft.com/office/intelligence/2020/intelligence" xmlns:oel="http://schemas.microsoft.com/office/2019/extlst">
  <int2:observations>
    <int2:textHash int2:hashCode="TegdO70xWd5JWH" int2:id="PQHn8ASH">
      <int2:state int2:value="Rejected" int2:type="LegacyProofing"/>
    </int2:textHash>
    <int2:bookmark int2:bookmarkName="_Int_9vnNLIyX" int2:invalidationBookmarkName="" int2:hashCode="GE6MaLTlpY+aZc" int2:id="9Fd6S6eL">
      <int2:state int2:value="Rejected" int2:type="AugLoop_Text_Critique"/>
    </int2:bookmark>
    <int2:bookmark int2:bookmarkName="_Int_Xm918TRc" int2:invalidationBookmarkName="" int2:hashCode="GeA9R+QnmBabP2" int2:id="LApD1sSR">
      <int2:state int2:value="Rejected" int2:type="AugLoop_Text_Critique"/>
    </int2:bookmark>
    <int2:bookmark int2:bookmarkName="_Int_Kr7ltya0" int2:invalidationBookmarkName="" int2:hashCode="DBeYLPVtcjkHjf" int2:id="kFNltXcs">
      <int2:state int2:value="Rejected" int2:type="AugLoop_Text_Critique"/>
    </int2:bookmark>
    <int2:bookmark int2:bookmarkName="_Int_1A6MwXXF" int2:invalidationBookmarkName="" int2:hashCode="Prm5jujDCeZV9s" int2:id="nJiiPBsw">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3F8"/>
    <w:multiLevelType w:val="hybridMultilevel"/>
    <w:tmpl w:val="EC10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F607F"/>
    <w:multiLevelType w:val="hybridMultilevel"/>
    <w:tmpl w:val="561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B81A"/>
    <w:multiLevelType w:val="multilevel"/>
    <w:tmpl w:val="29120BC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1290640C"/>
    <w:multiLevelType w:val="hybridMultilevel"/>
    <w:tmpl w:val="C14612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2FC0CDF"/>
    <w:multiLevelType w:val="hybridMultilevel"/>
    <w:tmpl w:val="17D0F72C"/>
    <w:lvl w:ilvl="0" w:tplc="E3FA6DE4">
      <w:start w:val="1"/>
      <w:numFmt w:val="bullet"/>
      <w:lvlText w:val="•"/>
      <w:lvlJc w:val="left"/>
      <w:pPr>
        <w:tabs>
          <w:tab w:val="num" w:pos="720"/>
        </w:tabs>
        <w:ind w:left="720" w:hanging="360"/>
      </w:pPr>
      <w:rPr>
        <w:rFonts w:ascii="Arial" w:hAnsi="Arial" w:hint="default"/>
      </w:rPr>
    </w:lvl>
    <w:lvl w:ilvl="1" w:tplc="577EEF12">
      <w:start w:val="249"/>
      <w:numFmt w:val="bullet"/>
      <w:lvlText w:val="◦"/>
      <w:lvlJc w:val="left"/>
      <w:pPr>
        <w:tabs>
          <w:tab w:val="num" w:pos="1440"/>
        </w:tabs>
        <w:ind w:left="1440" w:hanging="360"/>
      </w:pPr>
      <w:rPr>
        <w:rFonts w:ascii="Arial" w:hAnsi="Arial" w:hint="default"/>
      </w:rPr>
    </w:lvl>
    <w:lvl w:ilvl="2" w:tplc="1AACAC6C" w:tentative="1">
      <w:start w:val="1"/>
      <w:numFmt w:val="bullet"/>
      <w:lvlText w:val="•"/>
      <w:lvlJc w:val="left"/>
      <w:pPr>
        <w:tabs>
          <w:tab w:val="num" w:pos="2160"/>
        </w:tabs>
        <w:ind w:left="2160" w:hanging="360"/>
      </w:pPr>
      <w:rPr>
        <w:rFonts w:ascii="Arial" w:hAnsi="Arial" w:hint="default"/>
      </w:rPr>
    </w:lvl>
    <w:lvl w:ilvl="3" w:tplc="51BAAF4A" w:tentative="1">
      <w:start w:val="1"/>
      <w:numFmt w:val="bullet"/>
      <w:lvlText w:val="•"/>
      <w:lvlJc w:val="left"/>
      <w:pPr>
        <w:tabs>
          <w:tab w:val="num" w:pos="2880"/>
        </w:tabs>
        <w:ind w:left="2880" w:hanging="360"/>
      </w:pPr>
      <w:rPr>
        <w:rFonts w:ascii="Arial" w:hAnsi="Arial" w:hint="default"/>
      </w:rPr>
    </w:lvl>
    <w:lvl w:ilvl="4" w:tplc="1E8C40DC" w:tentative="1">
      <w:start w:val="1"/>
      <w:numFmt w:val="bullet"/>
      <w:lvlText w:val="•"/>
      <w:lvlJc w:val="left"/>
      <w:pPr>
        <w:tabs>
          <w:tab w:val="num" w:pos="3600"/>
        </w:tabs>
        <w:ind w:left="3600" w:hanging="360"/>
      </w:pPr>
      <w:rPr>
        <w:rFonts w:ascii="Arial" w:hAnsi="Arial" w:hint="default"/>
      </w:rPr>
    </w:lvl>
    <w:lvl w:ilvl="5" w:tplc="BCA24248" w:tentative="1">
      <w:start w:val="1"/>
      <w:numFmt w:val="bullet"/>
      <w:lvlText w:val="•"/>
      <w:lvlJc w:val="left"/>
      <w:pPr>
        <w:tabs>
          <w:tab w:val="num" w:pos="4320"/>
        </w:tabs>
        <w:ind w:left="4320" w:hanging="360"/>
      </w:pPr>
      <w:rPr>
        <w:rFonts w:ascii="Arial" w:hAnsi="Arial" w:hint="default"/>
      </w:rPr>
    </w:lvl>
    <w:lvl w:ilvl="6" w:tplc="3724BF4A" w:tentative="1">
      <w:start w:val="1"/>
      <w:numFmt w:val="bullet"/>
      <w:lvlText w:val="•"/>
      <w:lvlJc w:val="left"/>
      <w:pPr>
        <w:tabs>
          <w:tab w:val="num" w:pos="5040"/>
        </w:tabs>
        <w:ind w:left="5040" w:hanging="360"/>
      </w:pPr>
      <w:rPr>
        <w:rFonts w:ascii="Arial" w:hAnsi="Arial" w:hint="default"/>
      </w:rPr>
    </w:lvl>
    <w:lvl w:ilvl="7" w:tplc="2D265C82" w:tentative="1">
      <w:start w:val="1"/>
      <w:numFmt w:val="bullet"/>
      <w:lvlText w:val="•"/>
      <w:lvlJc w:val="left"/>
      <w:pPr>
        <w:tabs>
          <w:tab w:val="num" w:pos="5760"/>
        </w:tabs>
        <w:ind w:left="5760" w:hanging="360"/>
      </w:pPr>
      <w:rPr>
        <w:rFonts w:ascii="Arial" w:hAnsi="Arial" w:hint="default"/>
      </w:rPr>
    </w:lvl>
    <w:lvl w:ilvl="8" w:tplc="791232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105693"/>
    <w:multiLevelType w:val="hybridMultilevel"/>
    <w:tmpl w:val="D4484F6A"/>
    <w:lvl w:ilvl="0" w:tplc="26E0D76E">
      <w:start w:val="1"/>
      <w:numFmt w:val="bullet"/>
      <w:lvlText w:val=""/>
      <w:lvlJc w:val="left"/>
      <w:pPr>
        <w:ind w:left="720" w:hanging="360"/>
      </w:pPr>
      <w:rPr>
        <w:rFonts w:ascii="Symbol" w:hAnsi="Symbol" w:hint="default"/>
      </w:rPr>
    </w:lvl>
    <w:lvl w:ilvl="1" w:tplc="441C78E4">
      <w:start w:val="1"/>
      <w:numFmt w:val="bullet"/>
      <w:lvlText w:val="o"/>
      <w:lvlJc w:val="left"/>
      <w:pPr>
        <w:ind w:left="1440" w:hanging="360"/>
      </w:pPr>
      <w:rPr>
        <w:rFonts w:ascii="Courier New" w:hAnsi="Courier New" w:hint="default"/>
      </w:rPr>
    </w:lvl>
    <w:lvl w:ilvl="2" w:tplc="4A7AA1EC">
      <w:start w:val="1"/>
      <w:numFmt w:val="bullet"/>
      <w:lvlText w:val=""/>
      <w:lvlJc w:val="left"/>
      <w:pPr>
        <w:ind w:left="2160" w:hanging="360"/>
      </w:pPr>
      <w:rPr>
        <w:rFonts w:ascii="Wingdings" w:hAnsi="Wingdings" w:hint="default"/>
      </w:rPr>
    </w:lvl>
    <w:lvl w:ilvl="3" w:tplc="89AE4026">
      <w:start w:val="1"/>
      <w:numFmt w:val="bullet"/>
      <w:lvlText w:val=""/>
      <w:lvlJc w:val="left"/>
      <w:pPr>
        <w:ind w:left="2880" w:hanging="360"/>
      </w:pPr>
      <w:rPr>
        <w:rFonts w:ascii="Symbol" w:hAnsi="Symbol" w:hint="default"/>
      </w:rPr>
    </w:lvl>
    <w:lvl w:ilvl="4" w:tplc="6E92654A">
      <w:start w:val="1"/>
      <w:numFmt w:val="bullet"/>
      <w:lvlText w:val="o"/>
      <w:lvlJc w:val="left"/>
      <w:pPr>
        <w:ind w:left="3600" w:hanging="360"/>
      </w:pPr>
      <w:rPr>
        <w:rFonts w:ascii="Courier New" w:hAnsi="Courier New" w:hint="default"/>
      </w:rPr>
    </w:lvl>
    <w:lvl w:ilvl="5" w:tplc="4148D27A">
      <w:start w:val="1"/>
      <w:numFmt w:val="bullet"/>
      <w:lvlText w:val=""/>
      <w:lvlJc w:val="left"/>
      <w:pPr>
        <w:ind w:left="4320" w:hanging="360"/>
      </w:pPr>
      <w:rPr>
        <w:rFonts w:ascii="Wingdings" w:hAnsi="Wingdings" w:hint="default"/>
      </w:rPr>
    </w:lvl>
    <w:lvl w:ilvl="6" w:tplc="2D74200A">
      <w:start w:val="1"/>
      <w:numFmt w:val="bullet"/>
      <w:lvlText w:val=""/>
      <w:lvlJc w:val="left"/>
      <w:pPr>
        <w:ind w:left="5040" w:hanging="360"/>
      </w:pPr>
      <w:rPr>
        <w:rFonts w:ascii="Symbol" w:hAnsi="Symbol" w:hint="default"/>
      </w:rPr>
    </w:lvl>
    <w:lvl w:ilvl="7" w:tplc="71A2C546">
      <w:start w:val="1"/>
      <w:numFmt w:val="bullet"/>
      <w:lvlText w:val="o"/>
      <w:lvlJc w:val="left"/>
      <w:pPr>
        <w:ind w:left="5760" w:hanging="360"/>
      </w:pPr>
      <w:rPr>
        <w:rFonts w:ascii="Courier New" w:hAnsi="Courier New" w:hint="default"/>
      </w:rPr>
    </w:lvl>
    <w:lvl w:ilvl="8" w:tplc="8796FE7A">
      <w:start w:val="1"/>
      <w:numFmt w:val="bullet"/>
      <w:lvlText w:val=""/>
      <w:lvlJc w:val="left"/>
      <w:pPr>
        <w:ind w:left="6480" w:hanging="360"/>
      </w:pPr>
      <w:rPr>
        <w:rFonts w:ascii="Wingdings" w:hAnsi="Wingdings" w:hint="default"/>
      </w:rPr>
    </w:lvl>
  </w:abstractNum>
  <w:abstractNum w:abstractNumId="6" w15:restartNumberingAfterBreak="0">
    <w:nsid w:val="1CF086C7"/>
    <w:multiLevelType w:val="hybridMultilevel"/>
    <w:tmpl w:val="D124E378"/>
    <w:lvl w:ilvl="0" w:tplc="359AA30A">
      <w:start w:val="1"/>
      <w:numFmt w:val="bullet"/>
      <w:lvlText w:val=""/>
      <w:lvlJc w:val="left"/>
      <w:pPr>
        <w:ind w:left="720" w:hanging="360"/>
      </w:pPr>
      <w:rPr>
        <w:rFonts w:ascii="Symbol" w:hAnsi="Symbol" w:hint="default"/>
      </w:rPr>
    </w:lvl>
    <w:lvl w:ilvl="1" w:tplc="4E4E6D40">
      <w:start w:val="1"/>
      <w:numFmt w:val="bullet"/>
      <w:lvlText w:val="o"/>
      <w:lvlJc w:val="left"/>
      <w:pPr>
        <w:ind w:left="1440" w:hanging="360"/>
      </w:pPr>
      <w:rPr>
        <w:rFonts w:ascii="Courier New" w:hAnsi="Courier New" w:hint="default"/>
      </w:rPr>
    </w:lvl>
    <w:lvl w:ilvl="2" w:tplc="AE04773E">
      <w:start w:val="1"/>
      <w:numFmt w:val="bullet"/>
      <w:lvlText w:val=""/>
      <w:lvlJc w:val="left"/>
      <w:pPr>
        <w:ind w:left="2160" w:hanging="360"/>
      </w:pPr>
      <w:rPr>
        <w:rFonts w:ascii="Wingdings" w:hAnsi="Wingdings" w:hint="default"/>
      </w:rPr>
    </w:lvl>
    <w:lvl w:ilvl="3" w:tplc="EB98B0B2">
      <w:start w:val="1"/>
      <w:numFmt w:val="bullet"/>
      <w:lvlText w:val=""/>
      <w:lvlJc w:val="left"/>
      <w:pPr>
        <w:ind w:left="2880" w:hanging="360"/>
      </w:pPr>
      <w:rPr>
        <w:rFonts w:ascii="Symbol" w:hAnsi="Symbol" w:hint="default"/>
      </w:rPr>
    </w:lvl>
    <w:lvl w:ilvl="4" w:tplc="1DD6DE42">
      <w:start w:val="1"/>
      <w:numFmt w:val="bullet"/>
      <w:lvlText w:val="o"/>
      <w:lvlJc w:val="left"/>
      <w:pPr>
        <w:ind w:left="3600" w:hanging="360"/>
      </w:pPr>
      <w:rPr>
        <w:rFonts w:ascii="Courier New" w:hAnsi="Courier New" w:hint="default"/>
      </w:rPr>
    </w:lvl>
    <w:lvl w:ilvl="5" w:tplc="442E2D56">
      <w:start w:val="1"/>
      <w:numFmt w:val="bullet"/>
      <w:lvlText w:val=""/>
      <w:lvlJc w:val="left"/>
      <w:pPr>
        <w:ind w:left="4320" w:hanging="360"/>
      </w:pPr>
      <w:rPr>
        <w:rFonts w:ascii="Wingdings" w:hAnsi="Wingdings" w:hint="default"/>
      </w:rPr>
    </w:lvl>
    <w:lvl w:ilvl="6" w:tplc="B600A29E">
      <w:start w:val="1"/>
      <w:numFmt w:val="bullet"/>
      <w:lvlText w:val=""/>
      <w:lvlJc w:val="left"/>
      <w:pPr>
        <w:ind w:left="5040" w:hanging="360"/>
      </w:pPr>
      <w:rPr>
        <w:rFonts w:ascii="Symbol" w:hAnsi="Symbol" w:hint="default"/>
      </w:rPr>
    </w:lvl>
    <w:lvl w:ilvl="7" w:tplc="120CD5F2">
      <w:start w:val="1"/>
      <w:numFmt w:val="bullet"/>
      <w:lvlText w:val="o"/>
      <w:lvlJc w:val="left"/>
      <w:pPr>
        <w:ind w:left="5760" w:hanging="360"/>
      </w:pPr>
      <w:rPr>
        <w:rFonts w:ascii="Courier New" w:hAnsi="Courier New" w:hint="default"/>
      </w:rPr>
    </w:lvl>
    <w:lvl w:ilvl="8" w:tplc="439C2AFE">
      <w:start w:val="1"/>
      <w:numFmt w:val="bullet"/>
      <w:lvlText w:val=""/>
      <w:lvlJc w:val="left"/>
      <w:pPr>
        <w:ind w:left="6480" w:hanging="360"/>
      </w:pPr>
      <w:rPr>
        <w:rFonts w:ascii="Wingdings" w:hAnsi="Wingdings" w:hint="default"/>
      </w:rPr>
    </w:lvl>
  </w:abstractNum>
  <w:abstractNum w:abstractNumId="7" w15:restartNumberingAfterBreak="0">
    <w:nsid w:val="213385C0"/>
    <w:multiLevelType w:val="hybridMultilevel"/>
    <w:tmpl w:val="43E63A60"/>
    <w:lvl w:ilvl="0" w:tplc="C3DE93A6">
      <w:start w:val="1"/>
      <w:numFmt w:val="bullet"/>
      <w:lvlText w:val=""/>
      <w:lvlJc w:val="left"/>
      <w:pPr>
        <w:ind w:left="720" w:hanging="360"/>
      </w:pPr>
      <w:rPr>
        <w:rFonts w:ascii="Symbol" w:hAnsi="Symbol" w:hint="default"/>
      </w:rPr>
    </w:lvl>
    <w:lvl w:ilvl="1" w:tplc="EF44C26E">
      <w:start w:val="1"/>
      <w:numFmt w:val="bullet"/>
      <w:lvlText w:val="o"/>
      <w:lvlJc w:val="left"/>
      <w:pPr>
        <w:ind w:left="1440" w:hanging="360"/>
      </w:pPr>
      <w:rPr>
        <w:rFonts w:ascii="Courier New" w:hAnsi="Courier New" w:hint="default"/>
      </w:rPr>
    </w:lvl>
    <w:lvl w:ilvl="2" w:tplc="79703A18">
      <w:start w:val="1"/>
      <w:numFmt w:val="bullet"/>
      <w:lvlText w:val=""/>
      <w:lvlJc w:val="left"/>
      <w:pPr>
        <w:ind w:left="2160" w:hanging="360"/>
      </w:pPr>
      <w:rPr>
        <w:rFonts w:ascii="Wingdings" w:hAnsi="Wingdings" w:hint="default"/>
      </w:rPr>
    </w:lvl>
    <w:lvl w:ilvl="3" w:tplc="08FE6FC2">
      <w:start w:val="1"/>
      <w:numFmt w:val="bullet"/>
      <w:lvlText w:val=""/>
      <w:lvlJc w:val="left"/>
      <w:pPr>
        <w:ind w:left="2880" w:hanging="360"/>
      </w:pPr>
      <w:rPr>
        <w:rFonts w:ascii="Symbol" w:hAnsi="Symbol" w:hint="default"/>
      </w:rPr>
    </w:lvl>
    <w:lvl w:ilvl="4" w:tplc="C79E72F4">
      <w:start w:val="1"/>
      <w:numFmt w:val="bullet"/>
      <w:lvlText w:val="o"/>
      <w:lvlJc w:val="left"/>
      <w:pPr>
        <w:ind w:left="3600" w:hanging="360"/>
      </w:pPr>
      <w:rPr>
        <w:rFonts w:ascii="Courier New" w:hAnsi="Courier New" w:hint="default"/>
      </w:rPr>
    </w:lvl>
    <w:lvl w:ilvl="5" w:tplc="74D0C1EC">
      <w:start w:val="1"/>
      <w:numFmt w:val="bullet"/>
      <w:lvlText w:val=""/>
      <w:lvlJc w:val="left"/>
      <w:pPr>
        <w:ind w:left="4320" w:hanging="360"/>
      </w:pPr>
      <w:rPr>
        <w:rFonts w:ascii="Wingdings" w:hAnsi="Wingdings" w:hint="default"/>
      </w:rPr>
    </w:lvl>
    <w:lvl w:ilvl="6" w:tplc="303012B2">
      <w:start w:val="1"/>
      <w:numFmt w:val="bullet"/>
      <w:lvlText w:val=""/>
      <w:lvlJc w:val="left"/>
      <w:pPr>
        <w:ind w:left="5040" w:hanging="360"/>
      </w:pPr>
      <w:rPr>
        <w:rFonts w:ascii="Symbol" w:hAnsi="Symbol" w:hint="default"/>
      </w:rPr>
    </w:lvl>
    <w:lvl w:ilvl="7" w:tplc="997219C2">
      <w:start w:val="1"/>
      <w:numFmt w:val="bullet"/>
      <w:lvlText w:val="o"/>
      <w:lvlJc w:val="left"/>
      <w:pPr>
        <w:ind w:left="5760" w:hanging="360"/>
      </w:pPr>
      <w:rPr>
        <w:rFonts w:ascii="Courier New" w:hAnsi="Courier New" w:hint="default"/>
      </w:rPr>
    </w:lvl>
    <w:lvl w:ilvl="8" w:tplc="9F6439AE">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E1EDF"/>
    <w:multiLevelType w:val="hybridMultilevel"/>
    <w:tmpl w:val="3AB8268C"/>
    <w:lvl w:ilvl="0" w:tplc="55AAC6FE">
      <w:start w:val="1"/>
      <w:numFmt w:val="bullet"/>
      <w:lvlText w:val=""/>
      <w:lvlJc w:val="left"/>
      <w:pPr>
        <w:ind w:left="720" w:hanging="360"/>
      </w:pPr>
      <w:rPr>
        <w:rFonts w:ascii="Symbol" w:hAnsi="Symbol" w:hint="default"/>
      </w:rPr>
    </w:lvl>
    <w:lvl w:ilvl="1" w:tplc="A19EABF8">
      <w:start w:val="1"/>
      <w:numFmt w:val="bullet"/>
      <w:lvlText w:val="o"/>
      <w:lvlJc w:val="left"/>
      <w:pPr>
        <w:ind w:left="1440" w:hanging="360"/>
      </w:pPr>
      <w:rPr>
        <w:rFonts w:ascii="Courier New" w:hAnsi="Courier New" w:hint="default"/>
      </w:rPr>
    </w:lvl>
    <w:lvl w:ilvl="2" w:tplc="DB1098BA">
      <w:start w:val="1"/>
      <w:numFmt w:val="bullet"/>
      <w:lvlText w:val=""/>
      <w:lvlJc w:val="left"/>
      <w:pPr>
        <w:ind w:left="2160" w:hanging="360"/>
      </w:pPr>
      <w:rPr>
        <w:rFonts w:ascii="Wingdings" w:hAnsi="Wingdings" w:hint="default"/>
      </w:rPr>
    </w:lvl>
    <w:lvl w:ilvl="3" w:tplc="8A2A0FB0">
      <w:start w:val="1"/>
      <w:numFmt w:val="bullet"/>
      <w:lvlText w:val=""/>
      <w:lvlJc w:val="left"/>
      <w:pPr>
        <w:ind w:left="2880" w:hanging="360"/>
      </w:pPr>
      <w:rPr>
        <w:rFonts w:ascii="Symbol" w:hAnsi="Symbol" w:hint="default"/>
      </w:rPr>
    </w:lvl>
    <w:lvl w:ilvl="4" w:tplc="59243F90">
      <w:start w:val="1"/>
      <w:numFmt w:val="bullet"/>
      <w:lvlText w:val="o"/>
      <w:lvlJc w:val="left"/>
      <w:pPr>
        <w:ind w:left="3600" w:hanging="360"/>
      </w:pPr>
      <w:rPr>
        <w:rFonts w:ascii="Courier New" w:hAnsi="Courier New" w:hint="default"/>
      </w:rPr>
    </w:lvl>
    <w:lvl w:ilvl="5" w:tplc="09402BF0">
      <w:start w:val="1"/>
      <w:numFmt w:val="bullet"/>
      <w:lvlText w:val=""/>
      <w:lvlJc w:val="left"/>
      <w:pPr>
        <w:ind w:left="4320" w:hanging="360"/>
      </w:pPr>
      <w:rPr>
        <w:rFonts w:ascii="Wingdings" w:hAnsi="Wingdings" w:hint="default"/>
      </w:rPr>
    </w:lvl>
    <w:lvl w:ilvl="6" w:tplc="02F0F0C8">
      <w:start w:val="1"/>
      <w:numFmt w:val="bullet"/>
      <w:lvlText w:val=""/>
      <w:lvlJc w:val="left"/>
      <w:pPr>
        <w:ind w:left="5040" w:hanging="360"/>
      </w:pPr>
      <w:rPr>
        <w:rFonts w:ascii="Symbol" w:hAnsi="Symbol" w:hint="default"/>
      </w:rPr>
    </w:lvl>
    <w:lvl w:ilvl="7" w:tplc="D696B814">
      <w:start w:val="1"/>
      <w:numFmt w:val="bullet"/>
      <w:lvlText w:val="o"/>
      <w:lvlJc w:val="left"/>
      <w:pPr>
        <w:ind w:left="5760" w:hanging="360"/>
      </w:pPr>
      <w:rPr>
        <w:rFonts w:ascii="Courier New" w:hAnsi="Courier New" w:hint="default"/>
      </w:rPr>
    </w:lvl>
    <w:lvl w:ilvl="8" w:tplc="55669C0C">
      <w:start w:val="1"/>
      <w:numFmt w:val="bullet"/>
      <w:lvlText w:val=""/>
      <w:lvlJc w:val="left"/>
      <w:pPr>
        <w:ind w:left="6480" w:hanging="360"/>
      </w:pPr>
      <w:rPr>
        <w:rFonts w:ascii="Wingdings" w:hAnsi="Wingdings" w:hint="default"/>
      </w:rPr>
    </w:lvl>
  </w:abstractNum>
  <w:abstractNum w:abstractNumId="10" w15:restartNumberingAfterBreak="0">
    <w:nsid w:val="2AB06079"/>
    <w:multiLevelType w:val="hybridMultilevel"/>
    <w:tmpl w:val="82E2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91AD6"/>
    <w:multiLevelType w:val="hybridMultilevel"/>
    <w:tmpl w:val="63D415C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93125"/>
    <w:multiLevelType w:val="hybridMultilevel"/>
    <w:tmpl w:val="5AD6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684A61"/>
    <w:multiLevelType w:val="hybridMultilevel"/>
    <w:tmpl w:val="533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F2145"/>
    <w:multiLevelType w:val="hybridMultilevel"/>
    <w:tmpl w:val="BBB0F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45ABE3"/>
    <w:multiLevelType w:val="hybridMultilevel"/>
    <w:tmpl w:val="7848C718"/>
    <w:lvl w:ilvl="0" w:tplc="970C1D0C">
      <w:start w:val="1"/>
      <w:numFmt w:val="bullet"/>
      <w:lvlText w:val=""/>
      <w:lvlJc w:val="left"/>
      <w:pPr>
        <w:ind w:left="720" w:hanging="360"/>
      </w:pPr>
      <w:rPr>
        <w:rFonts w:ascii="Symbol" w:hAnsi="Symbol" w:hint="default"/>
      </w:rPr>
    </w:lvl>
    <w:lvl w:ilvl="1" w:tplc="C16C00C4">
      <w:start w:val="1"/>
      <w:numFmt w:val="bullet"/>
      <w:lvlText w:val="o"/>
      <w:lvlJc w:val="left"/>
      <w:pPr>
        <w:ind w:left="1440" w:hanging="360"/>
      </w:pPr>
      <w:rPr>
        <w:rFonts w:ascii="Courier New" w:hAnsi="Courier New" w:hint="default"/>
      </w:rPr>
    </w:lvl>
    <w:lvl w:ilvl="2" w:tplc="C0F40AFA">
      <w:start w:val="1"/>
      <w:numFmt w:val="bullet"/>
      <w:lvlText w:val=""/>
      <w:lvlJc w:val="left"/>
      <w:pPr>
        <w:ind w:left="2160" w:hanging="360"/>
      </w:pPr>
      <w:rPr>
        <w:rFonts w:ascii="Wingdings" w:hAnsi="Wingdings" w:hint="default"/>
      </w:rPr>
    </w:lvl>
    <w:lvl w:ilvl="3" w:tplc="757477A4">
      <w:start w:val="1"/>
      <w:numFmt w:val="bullet"/>
      <w:lvlText w:val=""/>
      <w:lvlJc w:val="left"/>
      <w:pPr>
        <w:ind w:left="2880" w:hanging="360"/>
      </w:pPr>
      <w:rPr>
        <w:rFonts w:ascii="Symbol" w:hAnsi="Symbol" w:hint="default"/>
      </w:rPr>
    </w:lvl>
    <w:lvl w:ilvl="4" w:tplc="350A2C52">
      <w:start w:val="1"/>
      <w:numFmt w:val="bullet"/>
      <w:lvlText w:val="o"/>
      <w:lvlJc w:val="left"/>
      <w:pPr>
        <w:ind w:left="3600" w:hanging="360"/>
      </w:pPr>
      <w:rPr>
        <w:rFonts w:ascii="Courier New" w:hAnsi="Courier New" w:hint="default"/>
      </w:rPr>
    </w:lvl>
    <w:lvl w:ilvl="5" w:tplc="C8529490">
      <w:start w:val="1"/>
      <w:numFmt w:val="bullet"/>
      <w:lvlText w:val=""/>
      <w:lvlJc w:val="left"/>
      <w:pPr>
        <w:ind w:left="4320" w:hanging="360"/>
      </w:pPr>
      <w:rPr>
        <w:rFonts w:ascii="Wingdings" w:hAnsi="Wingdings" w:hint="default"/>
      </w:rPr>
    </w:lvl>
    <w:lvl w:ilvl="6" w:tplc="DB969858">
      <w:start w:val="1"/>
      <w:numFmt w:val="bullet"/>
      <w:lvlText w:val=""/>
      <w:lvlJc w:val="left"/>
      <w:pPr>
        <w:ind w:left="5040" w:hanging="360"/>
      </w:pPr>
      <w:rPr>
        <w:rFonts w:ascii="Symbol" w:hAnsi="Symbol" w:hint="default"/>
      </w:rPr>
    </w:lvl>
    <w:lvl w:ilvl="7" w:tplc="FCC6F834">
      <w:start w:val="1"/>
      <w:numFmt w:val="bullet"/>
      <w:lvlText w:val="o"/>
      <w:lvlJc w:val="left"/>
      <w:pPr>
        <w:ind w:left="5760" w:hanging="360"/>
      </w:pPr>
      <w:rPr>
        <w:rFonts w:ascii="Courier New" w:hAnsi="Courier New" w:hint="default"/>
      </w:rPr>
    </w:lvl>
    <w:lvl w:ilvl="8" w:tplc="8B3E5CD8">
      <w:start w:val="1"/>
      <w:numFmt w:val="bullet"/>
      <w:lvlText w:val=""/>
      <w:lvlJc w:val="left"/>
      <w:pPr>
        <w:ind w:left="6480" w:hanging="360"/>
      </w:pPr>
      <w:rPr>
        <w:rFonts w:ascii="Wingdings" w:hAnsi="Wingdings" w:hint="default"/>
      </w:rPr>
    </w:lvl>
  </w:abstractNum>
  <w:abstractNum w:abstractNumId="17" w15:restartNumberingAfterBreak="0">
    <w:nsid w:val="35C621F3"/>
    <w:multiLevelType w:val="hybridMultilevel"/>
    <w:tmpl w:val="75244AFA"/>
    <w:lvl w:ilvl="0" w:tplc="C6262532">
      <w:start w:val="1"/>
      <w:numFmt w:val="bullet"/>
      <w:lvlText w:val=""/>
      <w:lvlJc w:val="left"/>
      <w:pPr>
        <w:ind w:left="720" w:hanging="360"/>
      </w:pPr>
      <w:rPr>
        <w:rFonts w:ascii="Symbol" w:hAnsi="Symbol" w:hint="default"/>
      </w:rPr>
    </w:lvl>
    <w:lvl w:ilvl="1" w:tplc="39D8A1AA">
      <w:start w:val="1"/>
      <w:numFmt w:val="bullet"/>
      <w:lvlText w:val="o"/>
      <w:lvlJc w:val="left"/>
      <w:pPr>
        <w:ind w:left="1440" w:hanging="360"/>
      </w:pPr>
      <w:rPr>
        <w:rFonts w:ascii="Courier New" w:hAnsi="Courier New" w:hint="default"/>
      </w:rPr>
    </w:lvl>
    <w:lvl w:ilvl="2" w:tplc="A852F250">
      <w:start w:val="1"/>
      <w:numFmt w:val="bullet"/>
      <w:lvlText w:val=""/>
      <w:lvlJc w:val="left"/>
      <w:pPr>
        <w:ind w:left="2160" w:hanging="360"/>
      </w:pPr>
      <w:rPr>
        <w:rFonts w:ascii="Wingdings" w:hAnsi="Wingdings" w:hint="default"/>
      </w:rPr>
    </w:lvl>
    <w:lvl w:ilvl="3" w:tplc="8206C656">
      <w:start w:val="1"/>
      <w:numFmt w:val="bullet"/>
      <w:lvlText w:val=""/>
      <w:lvlJc w:val="left"/>
      <w:pPr>
        <w:ind w:left="2880" w:hanging="360"/>
      </w:pPr>
      <w:rPr>
        <w:rFonts w:ascii="Symbol" w:hAnsi="Symbol" w:hint="default"/>
      </w:rPr>
    </w:lvl>
    <w:lvl w:ilvl="4" w:tplc="66B0DEE4">
      <w:start w:val="1"/>
      <w:numFmt w:val="bullet"/>
      <w:lvlText w:val="o"/>
      <w:lvlJc w:val="left"/>
      <w:pPr>
        <w:ind w:left="3600" w:hanging="360"/>
      </w:pPr>
      <w:rPr>
        <w:rFonts w:ascii="Courier New" w:hAnsi="Courier New" w:hint="default"/>
      </w:rPr>
    </w:lvl>
    <w:lvl w:ilvl="5" w:tplc="5CA0D6B4">
      <w:start w:val="1"/>
      <w:numFmt w:val="bullet"/>
      <w:lvlText w:val=""/>
      <w:lvlJc w:val="left"/>
      <w:pPr>
        <w:ind w:left="4320" w:hanging="360"/>
      </w:pPr>
      <w:rPr>
        <w:rFonts w:ascii="Wingdings" w:hAnsi="Wingdings" w:hint="default"/>
      </w:rPr>
    </w:lvl>
    <w:lvl w:ilvl="6" w:tplc="5F0EF740">
      <w:start w:val="1"/>
      <w:numFmt w:val="bullet"/>
      <w:lvlText w:val=""/>
      <w:lvlJc w:val="left"/>
      <w:pPr>
        <w:ind w:left="5040" w:hanging="360"/>
      </w:pPr>
      <w:rPr>
        <w:rFonts w:ascii="Symbol" w:hAnsi="Symbol" w:hint="default"/>
      </w:rPr>
    </w:lvl>
    <w:lvl w:ilvl="7" w:tplc="1542D3B8">
      <w:start w:val="1"/>
      <w:numFmt w:val="bullet"/>
      <w:lvlText w:val="o"/>
      <w:lvlJc w:val="left"/>
      <w:pPr>
        <w:ind w:left="5760" w:hanging="360"/>
      </w:pPr>
      <w:rPr>
        <w:rFonts w:ascii="Courier New" w:hAnsi="Courier New" w:hint="default"/>
      </w:rPr>
    </w:lvl>
    <w:lvl w:ilvl="8" w:tplc="ED2EA75E">
      <w:start w:val="1"/>
      <w:numFmt w:val="bullet"/>
      <w:lvlText w:val=""/>
      <w:lvlJc w:val="left"/>
      <w:pPr>
        <w:ind w:left="6480" w:hanging="360"/>
      </w:pPr>
      <w:rPr>
        <w:rFonts w:ascii="Wingdings" w:hAnsi="Wingdings" w:hint="default"/>
      </w:rPr>
    </w:lvl>
  </w:abstractNum>
  <w:abstractNum w:abstractNumId="18" w15:restartNumberingAfterBreak="0">
    <w:nsid w:val="3A8C48E3"/>
    <w:multiLevelType w:val="hybridMultilevel"/>
    <w:tmpl w:val="C5B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7A3F"/>
    <w:multiLevelType w:val="hybridMultilevel"/>
    <w:tmpl w:val="54863096"/>
    <w:lvl w:ilvl="0" w:tplc="291A4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EBA2F"/>
    <w:multiLevelType w:val="hybridMultilevel"/>
    <w:tmpl w:val="AB5C85CC"/>
    <w:lvl w:ilvl="0" w:tplc="FFFFFFFF">
      <w:start w:val="1"/>
      <w:numFmt w:val="bullet"/>
      <w:lvlText w:val=""/>
      <w:lvlJc w:val="left"/>
      <w:pPr>
        <w:ind w:left="720" w:hanging="360"/>
      </w:pPr>
      <w:rPr>
        <w:rFonts w:ascii="Symbol" w:hAnsi="Symbol" w:hint="default"/>
      </w:rPr>
    </w:lvl>
    <w:lvl w:ilvl="1" w:tplc="09766028">
      <w:start w:val="1"/>
      <w:numFmt w:val="bullet"/>
      <w:lvlText w:val="o"/>
      <w:lvlJc w:val="left"/>
      <w:pPr>
        <w:ind w:left="1440" w:hanging="360"/>
      </w:pPr>
      <w:rPr>
        <w:rFonts w:ascii="Courier New" w:hAnsi="Courier New" w:hint="default"/>
      </w:rPr>
    </w:lvl>
    <w:lvl w:ilvl="2" w:tplc="54E42172">
      <w:start w:val="1"/>
      <w:numFmt w:val="bullet"/>
      <w:lvlText w:val=""/>
      <w:lvlJc w:val="left"/>
      <w:pPr>
        <w:ind w:left="2160" w:hanging="360"/>
      </w:pPr>
      <w:rPr>
        <w:rFonts w:ascii="Wingdings" w:hAnsi="Wingdings" w:hint="default"/>
      </w:rPr>
    </w:lvl>
    <w:lvl w:ilvl="3" w:tplc="571897DC">
      <w:start w:val="1"/>
      <w:numFmt w:val="bullet"/>
      <w:lvlText w:val=""/>
      <w:lvlJc w:val="left"/>
      <w:pPr>
        <w:ind w:left="2880" w:hanging="360"/>
      </w:pPr>
      <w:rPr>
        <w:rFonts w:ascii="Symbol" w:hAnsi="Symbol" w:hint="default"/>
      </w:rPr>
    </w:lvl>
    <w:lvl w:ilvl="4" w:tplc="4BC2A9CE">
      <w:start w:val="1"/>
      <w:numFmt w:val="bullet"/>
      <w:lvlText w:val="o"/>
      <w:lvlJc w:val="left"/>
      <w:pPr>
        <w:ind w:left="3600" w:hanging="360"/>
      </w:pPr>
      <w:rPr>
        <w:rFonts w:ascii="Courier New" w:hAnsi="Courier New" w:hint="default"/>
      </w:rPr>
    </w:lvl>
    <w:lvl w:ilvl="5" w:tplc="D174F338">
      <w:start w:val="1"/>
      <w:numFmt w:val="bullet"/>
      <w:lvlText w:val=""/>
      <w:lvlJc w:val="left"/>
      <w:pPr>
        <w:ind w:left="4320" w:hanging="360"/>
      </w:pPr>
      <w:rPr>
        <w:rFonts w:ascii="Wingdings" w:hAnsi="Wingdings" w:hint="default"/>
      </w:rPr>
    </w:lvl>
    <w:lvl w:ilvl="6" w:tplc="312CF01A">
      <w:start w:val="1"/>
      <w:numFmt w:val="bullet"/>
      <w:lvlText w:val=""/>
      <w:lvlJc w:val="left"/>
      <w:pPr>
        <w:ind w:left="5040" w:hanging="360"/>
      </w:pPr>
      <w:rPr>
        <w:rFonts w:ascii="Symbol" w:hAnsi="Symbol" w:hint="default"/>
      </w:rPr>
    </w:lvl>
    <w:lvl w:ilvl="7" w:tplc="A52E5D8C">
      <w:start w:val="1"/>
      <w:numFmt w:val="bullet"/>
      <w:lvlText w:val="o"/>
      <w:lvlJc w:val="left"/>
      <w:pPr>
        <w:ind w:left="5760" w:hanging="360"/>
      </w:pPr>
      <w:rPr>
        <w:rFonts w:ascii="Courier New" w:hAnsi="Courier New" w:hint="default"/>
      </w:rPr>
    </w:lvl>
    <w:lvl w:ilvl="8" w:tplc="37B692E4">
      <w:start w:val="1"/>
      <w:numFmt w:val="bullet"/>
      <w:lvlText w:val=""/>
      <w:lvlJc w:val="left"/>
      <w:pPr>
        <w:ind w:left="6480" w:hanging="360"/>
      </w:pPr>
      <w:rPr>
        <w:rFonts w:ascii="Wingdings" w:hAnsi="Wingdings" w:hint="default"/>
      </w:rPr>
    </w:lvl>
  </w:abstractNum>
  <w:abstractNum w:abstractNumId="21"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BE27EC"/>
    <w:multiLevelType w:val="hybridMultilevel"/>
    <w:tmpl w:val="7E18E88A"/>
    <w:lvl w:ilvl="0" w:tplc="88827ADA">
      <w:start w:val="1"/>
      <w:numFmt w:val="bullet"/>
      <w:lvlText w:val=""/>
      <w:lvlJc w:val="left"/>
      <w:pPr>
        <w:ind w:left="720" w:hanging="360"/>
      </w:pPr>
      <w:rPr>
        <w:rFonts w:ascii="Symbol" w:hAnsi="Symbol" w:hint="default"/>
      </w:rPr>
    </w:lvl>
    <w:lvl w:ilvl="1" w:tplc="71BC9E18">
      <w:start w:val="1"/>
      <w:numFmt w:val="bullet"/>
      <w:lvlText w:val="o"/>
      <w:lvlJc w:val="left"/>
      <w:pPr>
        <w:ind w:left="1440" w:hanging="360"/>
      </w:pPr>
      <w:rPr>
        <w:rFonts w:ascii="Courier New" w:hAnsi="Courier New" w:hint="default"/>
      </w:rPr>
    </w:lvl>
    <w:lvl w:ilvl="2" w:tplc="840C5AB2">
      <w:start w:val="1"/>
      <w:numFmt w:val="bullet"/>
      <w:lvlText w:val=""/>
      <w:lvlJc w:val="left"/>
      <w:pPr>
        <w:ind w:left="2160" w:hanging="360"/>
      </w:pPr>
      <w:rPr>
        <w:rFonts w:ascii="Wingdings" w:hAnsi="Wingdings" w:hint="default"/>
      </w:rPr>
    </w:lvl>
    <w:lvl w:ilvl="3" w:tplc="B49071BC">
      <w:start w:val="1"/>
      <w:numFmt w:val="bullet"/>
      <w:lvlText w:val=""/>
      <w:lvlJc w:val="left"/>
      <w:pPr>
        <w:ind w:left="2880" w:hanging="360"/>
      </w:pPr>
      <w:rPr>
        <w:rFonts w:ascii="Symbol" w:hAnsi="Symbol" w:hint="default"/>
      </w:rPr>
    </w:lvl>
    <w:lvl w:ilvl="4" w:tplc="DC845DA0">
      <w:start w:val="1"/>
      <w:numFmt w:val="bullet"/>
      <w:lvlText w:val="o"/>
      <w:lvlJc w:val="left"/>
      <w:pPr>
        <w:ind w:left="3600" w:hanging="360"/>
      </w:pPr>
      <w:rPr>
        <w:rFonts w:ascii="Courier New" w:hAnsi="Courier New" w:hint="default"/>
      </w:rPr>
    </w:lvl>
    <w:lvl w:ilvl="5" w:tplc="3F26E8EE">
      <w:start w:val="1"/>
      <w:numFmt w:val="bullet"/>
      <w:lvlText w:val=""/>
      <w:lvlJc w:val="left"/>
      <w:pPr>
        <w:ind w:left="4320" w:hanging="360"/>
      </w:pPr>
      <w:rPr>
        <w:rFonts w:ascii="Wingdings" w:hAnsi="Wingdings" w:hint="default"/>
      </w:rPr>
    </w:lvl>
    <w:lvl w:ilvl="6" w:tplc="B10E1C1A">
      <w:start w:val="1"/>
      <w:numFmt w:val="bullet"/>
      <w:lvlText w:val=""/>
      <w:lvlJc w:val="left"/>
      <w:pPr>
        <w:ind w:left="5040" w:hanging="360"/>
      </w:pPr>
      <w:rPr>
        <w:rFonts w:ascii="Symbol" w:hAnsi="Symbol" w:hint="default"/>
      </w:rPr>
    </w:lvl>
    <w:lvl w:ilvl="7" w:tplc="50DEABE0">
      <w:start w:val="1"/>
      <w:numFmt w:val="bullet"/>
      <w:lvlText w:val="o"/>
      <w:lvlJc w:val="left"/>
      <w:pPr>
        <w:ind w:left="5760" w:hanging="360"/>
      </w:pPr>
      <w:rPr>
        <w:rFonts w:ascii="Courier New" w:hAnsi="Courier New" w:hint="default"/>
      </w:rPr>
    </w:lvl>
    <w:lvl w:ilvl="8" w:tplc="3D2E8C18">
      <w:start w:val="1"/>
      <w:numFmt w:val="bullet"/>
      <w:lvlText w:val=""/>
      <w:lvlJc w:val="left"/>
      <w:pPr>
        <w:ind w:left="6480" w:hanging="360"/>
      </w:pPr>
      <w:rPr>
        <w:rFonts w:ascii="Wingdings" w:hAnsi="Wingdings" w:hint="default"/>
      </w:rPr>
    </w:lvl>
  </w:abstractNum>
  <w:abstractNum w:abstractNumId="23" w15:restartNumberingAfterBreak="0">
    <w:nsid w:val="61B94D65"/>
    <w:multiLevelType w:val="hybridMultilevel"/>
    <w:tmpl w:val="D05CF47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00CC6"/>
    <w:multiLevelType w:val="hybridMultilevel"/>
    <w:tmpl w:val="A5D44EF0"/>
    <w:lvl w:ilvl="0" w:tplc="C764C78A">
      <w:start w:val="1"/>
      <w:numFmt w:val="bullet"/>
      <w:lvlText w:val=""/>
      <w:lvlJc w:val="left"/>
      <w:pPr>
        <w:ind w:left="720" w:hanging="360"/>
      </w:pPr>
      <w:rPr>
        <w:rFonts w:ascii="Symbol" w:hAnsi="Symbol" w:hint="default"/>
      </w:rPr>
    </w:lvl>
    <w:lvl w:ilvl="1" w:tplc="814814EC">
      <w:start w:val="1"/>
      <w:numFmt w:val="bullet"/>
      <w:lvlText w:val="o"/>
      <w:lvlJc w:val="left"/>
      <w:pPr>
        <w:ind w:left="1440" w:hanging="360"/>
      </w:pPr>
      <w:rPr>
        <w:rFonts w:ascii="Courier New" w:hAnsi="Courier New" w:hint="default"/>
      </w:rPr>
    </w:lvl>
    <w:lvl w:ilvl="2" w:tplc="F15C184C">
      <w:start w:val="1"/>
      <w:numFmt w:val="bullet"/>
      <w:lvlText w:val=""/>
      <w:lvlJc w:val="left"/>
      <w:pPr>
        <w:ind w:left="2160" w:hanging="360"/>
      </w:pPr>
      <w:rPr>
        <w:rFonts w:ascii="Wingdings" w:hAnsi="Wingdings" w:hint="default"/>
      </w:rPr>
    </w:lvl>
    <w:lvl w:ilvl="3" w:tplc="8C8AFA58">
      <w:start w:val="1"/>
      <w:numFmt w:val="bullet"/>
      <w:lvlText w:val=""/>
      <w:lvlJc w:val="left"/>
      <w:pPr>
        <w:ind w:left="2880" w:hanging="360"/>
      </w:pPr>
      <w:rPr>
        <w:rFonts w:ascii="Symbol" w:hAnsi="Symbol" w:hint="default"/>
      </w:rPr>
    </w:lvl>
    <w:lvl w:ilvl="4" w:tplc="9CA26436">
      <w:start w:val="1"/>
      <w:numFmt w:val="bullet"/>
      <w:lvlText w:val="o"/>
      <w:lvlJc w:val="left"/>
      <w:pPr>
        <w:ind w:left="3600" w:hanging="360"/>
      </w:pPr>
      <w:rPr>
        <w:rFonts w:ascii="Courier New" w:hAnsi="Courier New" w:hint="default"/>
      </w:rPr>
    </w:lvl>
    <w:lvl w:ilvl="5" w:tplc="DCA8CAD4">
      <w:start w:val="1"/>
      <w:numFmt w:val="bullet"/>
      <w:lvlText w:val=""/>
      <w:lvlJc w:val="left"/>
      <w:pPr>
        <w:ind w:left="4320" w:hanging="360"/>
      </w:pPr>
      <w:rPr>
        <w:rFonts w:ascii="Wingdings" w:hAnsi="Wingdings" w:hint="default"/>
      </w:rPr>
    </w:lvl>
    <w:lvl w:ilvl="6" w:tplc="D3C23D16">
      <w:start w:val="1"/>
      <w:numFmt w:val="bullet"/>
      <w:lvlText w:val=""/>
      <w:lvlJc w:val="left"/>
      <w:pPr>
        <w:ind w:left="5040" w:hanging="360"/>
      </w:pPr>
      <w:rPr>
        <w:rFonts w:ascii="Symbol" w:hAnsi="Symbol" w:hint="default"/>
      </w:rPr>
    </w:lvl>
    <w:lvl w:ilvl="7" w:tplc="03A67228">
      <w:start w:val="1"/>
      <w:numFmt w:val="bullet"/>
      <w:lvlText w:val="o"/>
      <w:lvlJc w:val="left"/>
      <w:pPr>
        <w:ind w:left="5760" w:hanging="360"/>
      </w:pPr>
      <w:rPr>
        <w:rFonts w:ascii="Courier New" w:hAnsi="Courier New" w:hint="default"/>
      </w:rPr>
    </w:lvl>
    <w:lvl w:ilvl="8" w:tplc="E4644C3A">
      <w:start w:val="1"/>
      <w:numFmt w:val="bullet"/>
      <w:lvlText w:val=""/>
      <w:lvlJc w:val="left"/>
      <w:pPr>
        <w:ind w:left="6480" w:hanging="360"/>
      </w:pPr>
      <w:rPr>
        <w:rFonts w:ascii="Wingdings" w:hAnsi="Wingdings" w:hint="default"/>
      </w:rPr>
    </w:lvl>
  </w:abstractNum>
  <w:abstractNum w:abstractNumId="25" w15:restartNumberingAfterBreak="0">
    <w:nsid w:val="6724118F"/>
    <w:multiLevelType w:val="hybridMultilevel"/>
    <w:tmpl w:val="BB0C6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28DC3E"/>
    <w:multiLevelType w:val="hybridMultilevel"/>
    <w:tmpl w:val="41585B40"/>
    <w:lvl w:ilvl="0" w:tplc="0CDEFA36">
      <w:start w:val="1"/>
      <w:numFmt w:val="bullet"/>
      <w:lvlText w:val=""/>
      <w:lvlJc w:val="left"/>
      <w:pPr>
        <w:ind w:left="720" w:hanging="360"/>
      </w:pPr>
      <w:rPr>
        <w:rFonts w:ascii="Symbol" w:hAnsi="Symbol" w:hint="default"/>
      </w:rPr>
    </w:lvl>
    <w:lvl w:ilvl="1" w:tplc="80500B2C">
      <w:start w:val="1"/>
      <w:numFmt w:val="bullet"/>
      <w:lvlText w:val="o"/>
      <w:lvlJc w:val="left"/>
      <w:pPr>
        <w:ind w:left="1440" w:hanging="360"/>
      </w:pPr>
      <w:rPr>
        <w:rFonts w:ascii="Courier New" w:hAnsi="Courier New" w:hint="default"/>
      </w:rPr>
    </w:lvl>
    <w:lvl w:ilvl="2" w:tplc="D11CD68A">
      <w:start w:val="1"/>
      <w:numFmt w:val="bullet"/>
      <w:lvlText w:val=""/>
      <w:lvlJc w:val="left"/>
      <w:pPr>
        <w:ind w:left="2160" w:hanging="360"/>
      </w:pPr>
      <w:rPr>
        <w:rFonts w:ascii="Wingdings" w:hAnsi="Wingdings" w:hint="default"/>
      </w:rPr>
    </w:lvl>
    <w:lvl w:ilvl="3" w:tplc="EA869336">
      <w:start w:val="1"/>
      <w:numFmt w:val="bullet"/>
      <w:lvlText w:val=""/>
      <w:lvlJc w:val="left"/>
      <w:pPr>
        <w:ind w:left="2880" w:hanging="360"/>
      </w:pPr>
      <w:rPr>
        <w:rFonts w:ascii="Symbol" w:hAnsi="Symbol" w:hint="default"/>
      </w:rPr>
    </w:lvl>
    <w:lvl w:ilvl="4" w:tplc="160E795A">
      <w:start w:val="1"/>
      <w:numFmt w:val="bullet"/>
      <w:lvlText w:val="o"/>
      <w:lvlJc w:val="left"/>
      <w:pPr>
        <w:ind w:left="3600" w:hanging="360"/>
      </w:pPr>
      <w:rPr>
        <w:rFonts w:ascii="Courier New" w:hAnsi="Courier New" w:hint="default"/>
      </w:rPr>
    </w:lvl>
    <w:lvl w:ilvl="5" w:tplc="F030E8B0">
      <w:start w:val="1"/>
      <w:numFmt w:val="bullet"/>
      <w:lvlText w:val=""/>
      <w:lvlJc w:val="left"/>
      <w:pPr>
        <w:ind w:left="4320" w:hanging="360"/>
      </w:pPr>
      <w:rPr>
        <w:rFonts w:ascii="Wingdings" w:hAnsi="Wingdings" w:hint="default"/>
      </w:rPr>
    </w:lvl>
    <w:lvl w:ilvl="6" w:tplc="280CD03C">
      <w:start w:val="1"/>
      <w:numFmt w:val="bullet"/>
      <w:lvlText w:val=""/>
      <w:lvlJc w:val="left"/>
      <w:pPr>
        <w:ind w:left="5040" w:hanging="360"/>
      </w:pPr>
      <w:rPr>
        <w:rFonts w:ascii="Symbol" w:hAnsi="Symbol" w:hint="default"/>
      </w:rPr>
    </w:lvl>
    <w:lvl w:ilvl="7" w:tplc="458A0EBA">
      <w:start w:val="1"/>
      <w:numFmt w:val="bullet"/>
      <w:lvlText w:val="o"/>
      <w:lvlJc w:val="left"/>
      <w:pPr>
        <w:ind w:left="5760" w:hanging="360"/>
      </w:pPr>
      <w:rPr>
        <w:rFonts w:ascii="Courier New" w:hAnsi="Courier New" w:hint="default"/>
      </w:rPr>
    </w:lvl>
    <w:lvl w:ilvl="8" w:tplc="783C2952">
      <w:start w:val="1"/>
      <w:numFmt w:val="bullet"/>
      <w:lvlText w:val=""/>
      <w:lvlJc w:val="left"/>
      <w:pPr>
        <w:ind w:left="6480" w:hanging="360"/>
      </w:pPr>
      <w:rPr>
        <w:rFonts w:ascii="Wingdings" w:hAnsi="Wingdings" w:hint="default"/>
      </w:rPr>
    </w:lvl>
  </w:abstractNum>
  <w:abstractNum w:abstractNumId="27" w15:restartNumberingAfterBreak="0">
    <w:nsid w:val="71050C06"/>
    <w:multiLevelType w:val="hybridMultilevel"/>
    <w:tmpl w:val="C5B8D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803957357">
    <w:abstractNumId w:val="16"/>
  </w:num>
  <w:num w:numId="2" w16cid:durableId="1120880082">
    <w:abstractNumId w:val="24"/>
  </w:num>
  <w:num w:numId="3" w16cid:durableId="277025328">
    <w:abstractNumId w:val="7"/>
  </w:num>
  <w:num w:numId="4" w16cid:durableId="297927515">
    <w:abstractNumId w:val="5"/>
  </w:num>
  <w:num w:numId="5" w16cid:durableId="734931502">
    <w:abstractNumId w:val="26"/>
  </w:num>
  <w:num w:numId="6" w16cid:durableId="608397367">
    <w:abstractNumId w:val="22"/>
  </w:num>
  <w:num w:numId="7" w16cid:durableId="1216240029">
    <w:abstractNumId w:val="6"/>
  </w:num>
  <w:num w:numId="8" w16cid:durableId="927927722">
    <w:abstractNumId w:val="9"/>
  </w:num>
  <w:num w:numId="9" w16cid:durableId="84542943">
    <w:abstractNumId w:val="20"/>
  </w:num>
  <w:num w:numId="10" w16cid:durableId="1355960030">
    <w:abstractNumId w:val="8"/>
  </w:num>
  <w:num w:numId="11" w16cid:durableId="735007988">
    <w:abstractNumId w:val="15"/>
  </w:num>
  <w:num w:numId="12" w16cid:durableId="1840004528">
    <w:abstractNumId w:val="12"/>
  </w:num>
  <w:num w:numId="13" w16cid:durableId="703865444">
    <w:abstractNumId w:val="0"/>
  </w:num>
  <w:num w:numId="14" w16cid:durableId="1746995005">
    <w:abstractNumId w:val="11"/>
  </w:num>
  <w:num w:numId="15" w16cid:durableId="2135056635">
    <w:abstractNumId w:val="13"/>
  </w:num>
  <w:num w:numId="16" w16cid:durableId="651718835">
    <w:abstractNumId w:val="1"/>
  </w:num>
  <w:num w:numId="17" w16cid:durableId="261569806">
    <w:abstractNumId w:val="18"/>
  </w:num>
  <w:num w:numId="18" w16cid:durableId="1722440839">
    <w:abstractNumId w:val="17"/>
  </w:num>
  <w:num w:numId="19" w16cid:durableId="1135608904">
    <w:abstractNumId w:val="10"/>
  </w:num>
  <w:num w:numId="20" w16cid:durableId="873423333">
    <w:abstractNumId w:val="27"/>
  </w:num>
  <w:num w:numId="21" w16cid:durableId="2037732928">
    <w:abstractNumId w:val="21"/>
  </w:num>
  <w:num w:numId="22" w16cid:durableId="242573677">
    <w:abstractNumId w:val="3"/>
  </w:num>
  <w:num w:numId="23" w16cid:durableId="5985777">
    <w:abstractNumId w:val="4"/>
  </w:num>
  <w:num w:numId="24" w16cid:durableId="1043945089">
    <w:abstractNumId w:val="2"/>
  </w:num>
  <w:num w:numId="25" w16cid:durableId="1823736452">
    <w:abstractNumId w:val="14"/>
  </w:num>
  <w:num w:numId="26" w16cid:durableId="682245972">
    <w:abstractNumId w:val="25"/>
  </w:num>
  <w:num w:numId="27" w16cid:durableId="475338914">
    <w:abstractNumId w:val="19"/>
  </w:num>
  <w:num w:numId="28" w16cid:durableId="106129685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460"/>
    <w:rsid w:val="00000D18"/>
    <w:rsid w:val="00001C48"/>
    <w:rsid w:val="000021BB"/>
    <w:rsid w:val="0000234D"/>
    <w:rsid w:val="00002B47"/>
    <w:rsid w:val="0000321E"/>
    <w:rsid w:val="000040D5"/>
    <w:rsid w:val="0000416D"/>
    <w:rsid w:val="00004908"/>
    <w:rsid w:val="00005768"/>
    <w:rsid w:val="000077DC"/>
    <w:rsid w:val="00007E27"/>
    <w:rsid w:val="00010061"/>
    <w:rsid w:val="0001016F"/>
    <w:rsid w:val="0001041C"/>
    <w:rsid w:val="00010D86"/>
    <w:rsid w:val="00012B93"/>
    <w:rsid w:val="00012F2E"/>
    <w:rsid w:val="0001384A"/>
    <w:rsid w:val="0001395D"/>
    <w:rsid w:val="00014D00"/>
    <w:rsid w:val="00014F72"/>
    <w:rsid w:val="00015204"/>
    <w:rsid w:val="00015AFD"/>
    <w:rsid w:val="00015B7C"/>
    <w:rsid w:val="00016293"/>
    <w:rsid w:val="00016715"/>
    <w:rsid w:val="00016759"/>
    <w:rsid w:val="000170DE"/>
    <w:rsid w:val="0001752C"/>
    <w:rsid w:val="00017BFF"/>
    <w:rsid w:val="00020ABD"/>
    <w:rsid w:val="00020CDB"/>
    <w:rsid w:val="00020E35"/>
    <w:rsid w:val="0002118B"/>
    <w:rsid w:val="0002319F"/>
    <w:rsid w:val="0002335A"/>
    <w:rsid w:val="000245D2"/>
    <w:rsid w:val="000248C2"/>
    <w:rsid w:val="00024E7E"/>
    <w:rsid w:val="00025951"/>
    <w:rsid w:val="00026482"/>
    <w:rsid w:val="00027B23"/>
    <w:rsid w:val="00027E39"/>
    <w:rsid w:val="000307C9"/>
    <w:rsid w:val="00030F41"/>
    <w:rsid w:val="00031045"/>
    <w:rsid w:val="000310A3"/>
    <w:rsid w:val="00031604"/>
    <w:rsid w:val="00031995"/>
    <w:rsid w:val="000322A8"/>
    <w:rsid w:val="000324AD"/>
    <w:rsid w:val="000325E4"/>
    <w:rsid w:val="00032857"/>
    <w:rsid w:val="0003410E"/>
    <w:rsid w:val="00034B65"/>
    <w:rsid w:val="00035278"/>
    <w:rsid w:val="0003718B"/>
    <w:rsid w:val="00037768"/>
    <w:rsid w:val="00037B25"/>
    <w:rsid w:val="000405CE"/>
    <w:rsid w:val="00040737"/>
    <w:rsid w:val="000418AF"/>
    <w:rsid w:val="00042314"/>
    <w:rsid w:val="0004237B"/>
    <w:rsid w:val="000425D3"/>
    <w:rsid w:val="00043708"/>
    <w:rsid w:val="00044170"/>
    <w:rsid w:val="00044BEC"/>
    <w:rsid w:val="000460DC"/>
    <w:rsid w:val="000502B8"/>
    <w:rsid w:val="0005247F"/>
    <w:rsid w:val="000530D9"/>
    <w:rsid w:val="00054B27"/>
    <w:rsid w:val="00055CB6"/>
    <w:rsid w:val="000564F5"/>
    <w:rsid w:val="000566BB"/>
    <w:rsid w:val="00056961"/>
    <w:rsid w:val="00056C27"/>
    <w:rsid w:val="00057700"/>
    <w:rsid w:val="00060673"/>
    <w:rsid w:val="0006196C"/>
    <w:rsid w:val="00062239"/>
    <w:rsid w:val="0006225F"/>
    <w:rsid w:val="0006282E"/>
    <w:rsid w:val="00063265"/>
    <w:rsid w:val="00063C6B"/>
    <w:rsid w:val="00063CD9"/>
    <w:rsid w:val="00064E5C"/>
    <w:rsid w:val="00065308"/>
    <w:rsid w:val="000660DB"/>
    <w:rsid w:val="00067BBB"/>
    <w:rsid w:val="00067F95"/>
    <w:rsid w:val="00068D26"/>
    <w:rsid w:val="000701CF"/>
    <w:rsid w:val="000711F2"/>
    <w:rsid w:val="00072680"/>
    <w:rsid w:val="00073D89"/>
    <w:rsid w:val="00075659"/>
    <w:rsid w:val="00075B73"/>
    <w:rsid w:val="00075EFE"/>
    <w:rsid w:val="00075F6C"/>
    <w:rsid w:val="00081A9B"/>
    <w:rsid w:val="00083C54"/>
    <w:rsid w:val="00084206"/>
    <w:rsid w:val="00084AF2"/>
    <w:rsid w:val="00085EF9"/>
    <w:rsid w:val="00086154"/>
    <w:rsid w:val="00086D1D"/>
    <w:rsid w:val="00086FB3"/>
    <w:rsid w:val="00087A1D"/>
    <w:rsid w:val="000901D2"/>
    <w:rsid w:val="0009296F"/>
    <w:rsid w:val="000937A2"/>
    <w:rsid w:val="00094E96"/>
    <w:rsid w:val="00096701"/>
    <w:rsid w:val="000A0DD9"/>
    <w:rsid w:val="000A13DB"/>
    <w:rsid w:val="000A2B09"/>
    <w:rsid w:val="000A2F88"/>
    <w:rsid w:val="000A324A"/>
    <w:rsid w:val="000A4E51"/>
    <w:rsid w:val="000A617B"/>
    <w:rsid w:val="000B0E69"/>
    <w:rsid w:val="000B19C2"/>
    <w:rsid w:val="000B1A9B"/>
    <w:rsid w:val="000B28DA"/>
    <w:rsid w:val="000B2D42"/>
    <w:rsid w:val="000B369E"/>
    <w:rsid w:val="000B5C90"/>
    <w:rsid w:val="000B67D5"/>
    <w:rsid w:val="000C067E"/>
    <w:rsid w:val="000C0726"/>
    <w:rsid w:val="000C095F"/>
    <w:rsid w:val="000C3A4C"/>
    <w:rsid w:val="000C3BA6"/>
    <w:rsid w:val="000C3DBF"/>
    <w:rsid w:val="000C4704"/>
    <w:rsid w:val="000C5A03"/>
    <w:rsid w:val="000C677D"/>
    <w:rsid w:val="000C67C2"/>
    <w:rsid w:val="000D13C0"/>
    <w:rsid w:val="000D17AF"/>
    <w:rsid w:val="000D1901"/>
    <w:rsid w:val="000D1DE3"/>
    <w:rsid w:val="000D28FF"/>
    <w:rsid w:val="000D2C5B"/>
    <w:rsid w:val="000D3282"/>
    <w:rsid w:val="000D37C1"/>
    <w:rsid w:val="000D4280"/>
    <w:rsid w:val="000D64C5"/>
    <w:rsid w:val="000D6F70"/>
    <w:rsid w:val="000D7F73"/>
    <w:rsid w:val="000E0965"/>
    <w:rsid w:val="000E09DC"/>
    <w:rsid w:val="000E0CF0"/>
    <w:rsid w:val="000E0E9F"/>
    <w:rsid w:val="000E1692"/>
    <w:rsid w:val="000E182A"/>
    <w:rsid w:val="000E2159"/>
    <w:rsid w:val="000E24A7"/>
    <w:rsid w:val="000E3091"/>
    <w:rsid w:val="000E35BD"/>
    <w:rsid w:val="000E3724"/>
    <w:rsid w:val="000E40BC"/>
    <w:rsid w:val="000E4B7C"/>
    <w:rsid w:val="000E5452"/>
    <w:rsid w:val="000E5E95"/>
    <w:rsid w:val="000F0B28"/>
    <w:rsid w:val="000F0EC3"/>
    <w:rsid w:val="000F0F68"/>
    <w:rsid w:val="000F14B1"/>
    <w:rsid w:val="000F2005"/>
    <w:rsid w:val="000F4625"/>
    <w:rsid w:val="000F4B75"/>
    <w:rsid w:val="000F528A"/>
    <w:rsid w:val="000F59C5"/>
    <w:rsid w:val="000F5B69"/>
    <w:rsid w:val="000F5C98"/>
    <w:rsid w:val="000F7380"/>
    <w:rsid w:val="000F7B1B"/>
    <w:rsid w:val="0010080D"/>
    <w:rsid w:val="00100A25"/>
    <w:rsid w:val="00101411"/>
    <w:rsid w:val="00101694"/>
    <w:rsid w:val="00101698"/>
    <w:rsid w:val="00102245"/>
    <w:rsid w:val="001035DC"/>
    <w:rsid w:val="0010457A"/>
    <w:rsid w:val="001048F3"/>
    <w:rsid w:val="00104C06"/>
    <w:rsid w:val="0010523F"/>
    <w:rsid w:val="0010575A"/>
    <w:rsid w:val="0010763D"/>
    <w:rsid w:val="0011068E"/>
    <w:rsid w:val="0011270F"/>
    <w:rsid w:val="001127B3"/>
    <w:rsid w:val="0011332C"/>
    <w:rsid w:val="0011333D"/>
    <w:rsid w:val="00114163"/>
    <w:rsid w:val="00114B6F"/>
    <w:rsid w:val="00114C2D"/>
    <w:rsid w:val="00115F1E"/>
    <w:rsid w:val="00120B16"/>
    <w:rsid w:val="00121CEE"/>
    <w:rsid w:val="001225E1"/>
    <w:rsid w:val="001228D4"/>
    <w:rsid w:val="001230A8"/>
    <w:rsid w:val="001231A0"/>
    <w:rsid w:val="00123FA3"/>
    <w:rsid w:val="001253C3"/>
    <w:rsid w:val="00126EB5"/>
    <w:rsid w:val="001276BC"/>
    <w:rsid w:val="001278E7"/>
    <w:rsid w:val="001279A4"/>
    <w:rsid w:val="00130059"/>
    <w:rsid w:val="00131400"/>
    <w:rsid w:val="00131D6E"/>
    <w:rsid w:val="001321E9"/>
    <w:rsid w:val="00132946"/>
    <w:rsid w:val="0013592F"/>
    <w:rsid w:val="0014190A"/>
    <w:rsid w:val="001421F3"/>
    <w:rsid w:val="00142EF2"/>
    <w:rsid w:val="001430D2"/>
    <w:rsid w:val="00143309"/>
    <w:rsid w:val="00143773"/>
    <w:rsid w:val="00143890"/>
    <w:rsid w:val="00144229"/>
    <w:rsid w:val="00145ECC"/>
    <w:rsid w:val="00146233"/>
    <w:rsid w:val="00147C1A"/>
    <w:rsid w:val="0015184B"/>
    <w:rsid w:val="00151B5B"/>
    <w:rsid w:val="00151D97"/>
    <w:rsid w:val="00151E58"/>
    <w:rsid w:val="0015255E"/>
    <w:rsid w:val="00154399"/>
    <w:rsid w:val="00160458"/>
    <w:rsid w:val="001610F8"/>
    <w:rsid w:val="0016149E"/>
    <w:rsid w:val="00163BCB"/>
    <w:rsid w:val="0016506E"/>
    <w:rsid w:val="001650A2"/>
    <w:rsid w:val="00165195"/>
    <w:rsid w:val="00165DD1"/>
    <w:rsid w:val="00166351"/>
    <w:rsid w:val="00166515"/>
    <w:rsid w:val="00167E8A"/>
    <w:rsid w:val="00171E57"/>
    <w:rsid w:val="001732A8"/>
    <w:rsid w:val="0017488E"/>
    <w:rsid w:val="00174987"/>
    <w:rsid w:val="00176A36"/>
    <w:rsid w:val="00176CB6"/>
    <w:rsid w:val="00177FDE"/>
    <w:rsid w:val="00180173"/>
    <w:rsid w:val="00180911"/>
    <w:rsid w:val="00180C34"/>
    <w:rsid w:val="00180D08"/>
    <w:rsid w:val="0018148D"/>
    <w:rsid w:val="0018152E"/>
    <w:rsid w:val="00181554"/>
    <w:rsid w:val="00183BF9"/>
    <w:rsid w:val="001842CE"/>
    <w:rsid w:val="00184536"/>
    <w:rsid w:val="00185551"/>
    <w:rsid w:val="00186A1D"/>
    <w:rsid w:val="001879FB"/>
    <w:rsid w:val="0019019F"/>
    <w:rsid w:val="001904B8"/>
    <w:rsid w:val="00192F44"/>
    <w:rsid w:val="001931B1"/>
    <w:rsid w:val="0019382F"/>
    <w:rsid w:val="00193B5A"/>
    <w:rsid w:val="00193C3E"/>
    <w:rsid w:val="0019486B"/>
    <w:rsid w:val="00196058"/>
    <w:rsid w:val="001A0CA5"/>
    <w:rsid w:val="001A170D"/>
    <w:rsid w:val="001A2242"/>
    <w:rsid w:val="001A5999"/>
    <w:rsid w:val="001A5C02"/>
    <w:rsid w:val="001A65B1"/>
    <w:rsid w:val="001A7F93"/>
    <w:rsid w:val="001B0517"/>
    <w:rsid w:val="001B062D"/>
    <w:rsid w:val="001B179E"/>
    <w:rsid w:val="001B1B3B"/>
    <w:rsid w:val="001B32A8"/>
    <w:rsid w:val="001B3958"/>
    <w:rsid w:val="001B46A5"/>
    <w:rsid w:val="001B4CE7"/>
    <w:rsid w:val="001B4D51"/>
    <w:rsid w:val="001B695E"/>
    <w:rsid w:val="001B773D"/>
    <w:rsid w:val="001B7B4B"/>
    <w:rsid w:val="001C01DD"/>
    <w:rsid w:val="001C0283"/>
    <w:rsid w:val="001C223D"/>
    <w:rsid w:val="001C22AB"/>
    <w:rsid w:val="001C2341"/>
    <w:rsid w:val="001C38AC"/>
    <w:rsid w:val="001C3E8E"/>
    <w:rsid w:val="001C4CA3"/>
    <w:rsid w:val="001C517C"/>
    <w:rsid w:val="001C7D6C"/>
    <w:rsid w:val="001D18D7"/>
    <w:rsid w:val="001D1B24"/>
    <w:rsid w:val="001D3B0C"/>
    <w:rsid w:val="001D423F"/>
    <w:rsid w:val="001D47E2"/>
    <w:rsid w:val="001D4805"/>
    <w:rsid w:val="001D4D62"/>
    <w:rsid w:val="001D4E1C"/>
    <w:rsid w:val="001D53E0"/>
    <w:rsid w:val="001E03FE"/>
    <w:rsid w:val="001E0B1D"/>
    <w:rsid w:val="001E0FBF"/>
    <w:rsid w:val="001E1929"/>
    <w:rsid w:val="001E26FB"/>
    <w:rsid w:val="001E312E"/>
    <w:rsid w:val="001E3721"/>
    <w:rsid w:val="001E68E2"/>
    <w:rsid w:val="001E6A91"/>
    <w:rsid w:val="001E75BD"/>
    <w:rsid w:val="001E784C"/>
    <w:rsid w:val="001E7B33"/>
    <w:rsid w:val="001E7F85"/>
    <w:rsid w:val="001F08C9"/>
    <w:rsid w:val="001F0AB9"/>
    <w:rsid w:val="001F1703"/>
    <w:rsid w:val="001F1F4C"/>
    <w:rsid w:val="001F2379"/>
    <w:rsid w:val="001F25E1"/>
    <w:rsid w:val="001F2FFE"/>
    <w:rsid w:val="001F314A"/>
    <w:rsid w:val="001F31EB"/>
    <w:rsid w:val="001F389F"/>
    <w:rsid w:val="001F3B8A"/>
    <w:rsid w:val="001F6791"/>
    <w:rsid w:val="001F7AA0"/>
    <w:rsid w:val="00200C18"/>
    <w:rsid w:val="002010B9"/>
    <w:rsid w:val="00201B9B"/>
    <w:rsid w:val="00202655"/>
    <w:rsid w:val="00204141"/>
    <w:rsid w:val="00204AC8"/>
    <w:rsid w:val="00204C47"/>
    <w:rsid w:val="00205DD1"/>
    <w:rsid w:val="002078C8"/>
    <w:rsid w:val="002103A3"/>
    <w:rsid w:val="0021197E"/>
    <w:rsid w:val="00211F09"/>
    <w:rsid w:val="00212127"/>
    <w:rsid w:val="00212377"/>
    <w:rsid w:val="002129CD"/>
    <w:rsid w:val="00212DE8"/>
    <w:rsid w:val="00214E5D"/>
    <w:rsid w:val="002156F7"/>
    <w:rsid w:val="00217D67"/>
    <w:rsid w:val="00217FDC"/>
    <w:rsid w:val="00220BA2"/>
    <w:rsid w:val="002214E0"/>
    <w:rsid w:val="00221B81"/>
    <w:rsid w:val="00222255"/>
    <w:rsid w:val="00222C06"/>
    <w:rsid w:val="00223112"/>
    <w:rsid w:val="00224297"/>
    <w:rsid w:val="002246F0"/>
    <w:rsid w:val="00224CD7"/>
    <w:rsid w:val="00225287"/>
    <w:rsid w:val="00225C57"/>
    <w:rsid w:val="00225F52"/>
    <w:rsid w:val="00226214"/>
    <w:rsid w:val="00226D7B"/>
    <w:rsid w:val="00227199"/>
    <w:rsid w:val="002273E7"/>
    <w:rsid w:val="00227B2F"/>
    <w:rsid w:val="002306AA"/>
    <w:rsid w:val="00230C43"/>
    <w:rsid w:val="00231130"/>
    <w:rsid w:val="00233BC2"/>
    <w:rsid w:val="0023650C"/>
    <w:rsid w:val="00236CD0"/>
    <w:rsid w:val="00240046"/>
    <w:rsid w:val="00240B26"/>
    <w:rsid w:val="00241EFC"/>
    <w:rsid w:val="002422FF"/>
    <w:rsid w:val="002439B4"/>
    <w:rsid w:val="00243E16"/>
    <w:rsid w:val="0024407D"/>
    <w:rsid w:val="002460BC"/>
    <w:rsid w:val="002460E9"/>
    <w:rsid w:val="00246B1A"/>
    <w:rsid w:val="00247744"/>
    <w:rsid w:val="0024780F"/>
    <w:rsid w:val="00247F32"/>
    <w:rsid w:val="00250426"/>
    <w:rsid w:val="00250DC6"/>
    <w:rsid w:val="0025177A"/>
    <w:rsid w:val="00251C7B"/>
    <w:rsid w:val="00251F6F"/>
    <w:rsid w:val="00253188"/>
    <w:rsid w:val="0025370C"/>
    <w:rsid w:val="002542F6"/>
    <w:rsid w:val="00255299"/>
    <w:rsid w:val="002552AE"/>
    <w:rsid w:val="00256A71"/>
    <w:rsid w:val="002602F3"/>
    <w:rsid w:val="002605E9"/>
    <w:rsid w:val="00262BBD"/>
    <w:rsid w:val="00262DC2"/>
    <w:rsid w:val="00263940"/>
    <w:rsid w:val="00264A04"/>
    <w:rsid w:val="002650C0"/>
    <w:rsid w:val="00265A21"/>
    <w:rsid w:val="00266038"/>
    <w:rsid w:val="0026639F"/>
    <w:rsid w:val="00267879"/>
    <w:rsid w:val="00271245"/>
    <w:rsid w:val="00272DAD"/>
    <w:rsid w:val="00272DBA"/>
    <w:rsid w:val="0027312D"/>
    <w:rsid w:val="0027316F"/>
    <w:rsid w:val="00274878"/>
    <w:rsid w:val="00276B81"/>
    <w:rsid w:val="002776EB"/>
    <w:rsid w:val="0028013D"/>
    <w:rsid w:val="0028235F"/>
    <w:rsid w:val="00283541"/>
    <w:rsid w:val="00284DAE"/>
    <w:rsid w:val="00285F9D"/>
    <w:rsid w:val="00286AA6"/>
    <w:rsid w:val="00287203"/>
    <w:rsid w:val="0028784E"/>
    <w:rsid w:val="00287923"/>
    <w:rsid w:val="00287D20"/>
    <w:rsid w:val="00287FA4"/>
    <w:rsid w:val="002911EF"/>
    <w:rsid w:val="00292661"/>
    <w:rsid w:val="0029324B"/>
    <w:rsid w:val="0029357C"/>
    <w:rsid w:val="00294427"/>
    <w:rsid w:val="002959C9"/>
    <w:rsid w:val="00295B09"/>
    <w:rsid w:val="002967F7"/>
    <w:rsid w:val="00296D16"/>
    <w:rsid w:val="00297426"/>
    <w:rsid w:val="002A053E"/>
    <w:rsid w:val="002A2BF0"/>
    <w:rsid w:val="002A2E83"/>
    <w:rsid w:val="002A35FC"/>
    <w:rsid w:val="002A363B"/>
    <w:rsid w:val="002A4378"/>
    <w:rsid w:val="002A6056"/>
    <w:rsid w:val="002A66E6"/>
    <w:rsid w:val="002A74F1"/>
    <w:rsid w:val="002A7F26"/>
    <w:rsid w:val="002B00E2"/>
    <w:rsid w:val="002B03BB"/>
    <w:rsid w:val="002B234C"/>
    <w:rsid w:val="002B4B14"/>
    <w:rsid w:val="002C03DD"/>
    <w:rsid w:val="002C208A"/>
    <w:rsid w:val="002C3196"/>
    <w:rsid w:val="002C31A0"/>
    <w:rsid w:val="002C3D8F"/>
    <w:rsid w:val="002C42D3"/>
    <w:rsid w:val="002C4729"/>
    <w:rsid w:val="002C6F40"/>
    <w:rsid w:val="002C7472"/>
    <w:rsid w:val="002C75DF"/>
    <w:rsid w:val="002C75FF"/>
    <w:rsid w:val="002D07FE"/>
    <w:rsid w:val="002D184E"/>
    <w:rsid w:val="002D1A82"/>
    <w:rsid w:val="002D267B"/>
    <w:rsid w:val="002D2912"/>
    <w:rsid w:val="002D3896"/>
    <w:rsid w:val="002D3D36"/>
    <w:rsid w:val="002D54CB"/>
    <w:rsid w:val="002D580A"/>
    <w:rsid w:val="002D7FDB"/>
    <w:rsid w:val="002D8366"/>
    <w:rsid w:val="002E05C1"/>
    <w:rsid w:val="002E0FBA"/>
    <w:rsid w:val="002E11D0"/>
    <w:rsid w:val="002E1763"/>
    <w:rsid w:val="002E2261"/>
    <w:rsid w:val="002E45CC"/>
    <w:rsid w:val="002E45FA"/>
    <w:rsid w:val="002E49ED"/>
    <w:rsid w:val="002E4CB5"/>
    <w:rsid w:val="002E4F90"/>
    <w:rsid w:val="002E5B1A"/>
    <w:rsid w:val="002E5BCB"/>
    <w:rsid w:val="002E6FCA"/>
    <w:rsid w:val="002E76D5"/>
    <w:rsid w:val="002F0837"/>
    <w:rsid w:val="002F1055"/>
    <w:rsid w:val="002F1FE7"/>
    <w:rsid w:val="002F279B"/>
    <w:rsid w:val="002F27D0"/>
    <w:rsid w:val="002F2BEF"/>
    <w:rsid w:val="002F45C1"/>
    <w:rsid w:val="002F4B9C"/>
    <w:rsid w:val="002F4EBC"/>
    <w:rsid w:val="002F563B"/>
    <w:rsid w:val="002F5662"/>
    <w:rsid w:val="002F56C4"/>
    <w:rsid w:val="002F5C03"/>
    <w:rsid w:val="002F6689"/>
    <w:rsid w:val="002F6B97"/>
    <w:rsid w:val="002F6C31"/>
    <w:rsid w:val="002F7D11"/>
    <w:rsid w:val="00300038"/>
    <w:rsid w:val="00300DFC"/>
    <w:rsid w:val="00300EBA"/>
    <w:rsid w:val="0030139F"/>
    <w:rsid w:val="003021B2"/>
    <w:rsid w:val="003031F7"/>
    <w:rsid w:val="00304520"/>
    <w:rsid w:val="003048F9"/>
    <w:rsid w:val="00304B65"/>
    <w:rsid w:val="00306369"/>
    <w:rsid w:val="0031283B"/>
    <w:rsid w:val="0031300E"/>
    <w:rsid w:val="00313767"/>
    <w:rsid w:val="00313B28"/>
    <w:rsid w:val="00313B3A"/>
    <w:rsid w:val="00313EAF"/>
    <w:rsid w:val="00315131"/>
    <w:rsid w:val="003155EE"/>
    <w:rsid w:val="00317030"/>
    <w:rsid w:val="00317551"/>
    <w:rsid w:val="00317CFB"/>
    <w:rsid w:val="00317DFE"/>
    <w:rsid w:val="003212F5"/>
    <w:rsid w:val="00321333"/>
    <w:rsid w:val="00322958"/>
    <w:rsid w:val="00323A32"/>
    <w:rsid w:val="00324648"/>
    <w:rsid w:val="003256BF"/>
    <w:rsid w:val="00326136"/>
    <w:rsid w:val="00326F47"/>
    <w:rsid w:val="0032724F"/>
    <w:rsid w:val="00330624"/>
    <w:rsid w:val="003329A8"/>
    <w:rsid w:val="00332FE1"/>
    <w:rsid w:val="003331C2"/>
    <w:rsid w:val="003333A9"/>
    <w:rsid w:val="00335A09"/>
    <w:rsid w:val="003360A4"/>
    <w:rsid w:val="0033737B"/>
    <w:rsid w:val="003400CB"/>
    <w:rsid w:val="00341492"/>
    <w:rsid w:val="003416B3"/>
    <w:rsid w:val="0034204C"/>
    <w:rsid w:val="00342455"/>
    <w:rsid w:val="00343396"/>
    <w:rsid w:val="00343C67"/>
    <w:rsid w:val="003448C2"/>
    <w:rsid w:val="00350184"/>
    <w:rsid w:val="00350189"/>
    <w:rsid w:val="00350BF3"/>
    <w:rsid w:val="003512BE"/>
    <w:rsid w:val="00351A6B"/>
    <w:rsid w:val="00351C00"/>
    <w:rsid w:val="00351FC8"/>
    <w:rsid w:val="003524CA"/>
    <w:rsid w:val="003526B4"/>
    <w:rsid w:val="00354A9A"/>
    <w:rsid w:val="00355908"/>
    <w:rsid w:val="0035627B"/>
    <w:rsid w:val="003572C9"/>
    <w:rsid w:val="0036062D"/>
    <w:rsid w:val="00360A35"/>
    <w:rsid w:val="00362636"/>
    <w:rsid w:val="00362A3D"/>
    <w:rsid w:val="00362D98"/>
    <w:rsid w:val="00363520"/>
    <w:rsid w:val="003644BB"/>
    <w:rsid w:val="00364BC4"/>
    <w:rsid w:val="003654DC"/>
    <w:rsid w:val="003664A6"/>
    <w:rsid w:val="00367624"/>
    <w:rsid w:val="003705FC"/>
    <w:rsid w:val="00371563"/>
    <w:rsid w:val="00371A60"/>
    <w:rsid w:val="0037314B"/>
    <w:rsid w:val="003743DE"/>
    <w:rsid w:val="00374C7B"/>
    <w:rsid w:val="00377090"/>
    <w:rsid w:val="003802A7"/>
    <w:rsid w:val="003803EB"/>
    <w:rsid w:val="0038075C"/>
    <w:rsid w:val="00383C28"/>
    <w:rsid w:val="00384ACF"/>
    <w:rsid w:val="00384F5E"/>
    <w:rsid w:val="00385BB6"/>
    <w:rsid w:val="00391965"/>
    <w:rsid w:val="003919F9"/>
    <w:rsid w:val="0039235A"/>
    <w:rsid w:val="003928EC"/>
    <w:rsid w:val="00392C68"/>
    <w:rsid w:val="00392F29"/>
    <w:rsid w:val="00393A6C"/>
    <w:rsid w:val="00394326"/>
    <w:rsid w:val="0039457A"/>
    <w:rsid w:val="003950D1"/>
    <w:rsid w:val="0039646D"/>
    <w:rsid w:val="003967BE"/>
    <w:rsid w:val="00396C4E"/>
    <w:rsid w:val="003970B1"/>
    <w:rsid w:val="003A134E"/>
    <w:rsid w:val="003A1440"/>
    <w:rsid w:val="003A2661"/>
    <w:rsid w:val="003A3D4A"/>
    <w:rsid w:val="003A3EB6"/>
    <w:rsid w:val="003A4CAD"/>
    <w:rsid w:val="003A4D70"/>
    <w:rsid w:val="003A4DE6"/>
    <w:rsid w:val="003A4EAD"/>
    <w:rsid w:val="003A72DD"/>
    <w:rsid w:val="003A7819"/>
    <w:rsid w:val="003A7BDA"/>
    <w:rsid w:val="003B04DC"/>
    <w:rsid w:val="003B0DC1"/>
    <w:rsid w:val="003B10EF"/>
    <w:rsid w:val="003B13F5"/>
    <w:rsid w:val="003B4EA2"/>
    <w:rsid w:val="003B6358"/>
    <w:rsid w:val="003B7421"/>
    <w:rsid w:val="003B7BBC"/>
    <w:rsid w:val="003C0654"/>
    <w:rsid w:val="003C0AC7"/>
    <w:rsid w:val="003C0E7A"/>
    <w:rsid w:val="003C0F00"/>
    <w:rsid w:val="003C1B1D"/>
    <w:rsid w:val="003C1C5E"/>
    <w:rsid w:val="003C2FD9"/>
    <w:rsid w:val="003C3751"/>
    <w:rsid w:val="003C565F"/>
    <w:rsid w:val="003C5C97"/>
    <w:rsid w:val="003C658F"/>
    <w:rsid w:val="003C67FC"/>
    <w:rsid w:val="003C7C4B"/>
    <w:rsid w:val="003CAAB0"/>
    <w:rsid w:val="003D1A67"/>
    <w:rsid w:val="003D1ECD"/>
    <w:rsid w:val="003D2B9A"/>
    <w:rsid w:val="003D2E13"/>
    <w:rsid w:val="003D3465"/>
    <w:rsid w:val="003D3514"/>
    <w:rsid w:val="003D37FD"/>
    <w:rsid w:val="003D3D99"/>
    <w:rsid w:val="003D5659"/>
    <w:rsid w:val="003D6622"/>
    <w:rsid w:val="003D7249"/>
    <w:rsid w:val="003D7F56"/>
    <w:rsid w:val="003E0129"/>
    <w:rsid w:val="003E01BA"/>
    <w:rsid w:val="003E12F0"/>
    <w:rsid w:val="003E1E8D"/>
    <w:rsid w:val="003E212D"/>
    <w:rsid w:val="003E2136"/>
    <w:rsid w:val="003E23DE"/>
    <w:rsid w:val="003E3A44"/>
    <w:rsid w:val="003E3AC7"/>
    <w:rsid w:val="003E450E"/>
    <w:rsid w:val="003E4C31"/>
    <w:rsid w:val="003E4DF7"/>
    <w:rsid w:val="003E4FDD"/>
    <w:rsid w:val="003E5026"/>
    <w:rsid w:val="003E5BDB"/>
    <w:rsid w:val="003E5C5A"/>
    <w:rsid w:val="003E62AE"/>
    <w:rsid w:val="003E67C9"/>
    <w:rsid w:val="003E68CD"/>
    <w:rsid w:val="003E7585"/>
    <w:rsid w:val="003F00DA"/>
    <w:rsid w:val="003F15BB"/>
    <w:rsid w:val="003F1832"/>
    <w:rsid w:val="003F2632"/>
    <w:rsid w:val="003F28AC"/>
    <w:rsid w:val="003F2EA1"/>
    <w:rsid w:val="003F2EAB"/>
    <w:rsid w:val="003F395B"/>
    <w:rsid w:val="003F4859"/>
    <w:rsid w:val="003F514B"/>
    <w:rsid w:val="003F5CB5"/>
    <w:rsid w:val="003F7D47"/>
    <w:rsid w:val="00400CF7"/>
    <w:rsid w:val="00400E2A"/>
    <w:rsid w:val="00400F3A"/>
    <w:rsid w:val="0040155A"/>
    <w:rsid w:val="00402A7D"/>
    <w:rsid w:val="00405AC8"/>
    <w:rsid w:val="004068C3"/>
    <w:rsid w:val="00406F50"/>
    <w:rsid w:val="0040703E"/>
    <w:rsid w:val="00407AB5"/>
    <w:rsid w:val="00407CA1"/>
    <w:rsid w:val="00407E9B"/>
    <w:rsid w:val="00414C9B"/>
    <w:rsid w:val="0041627D"/>
    <w:rsid w:val="004164A0"/>
    <w:rsid w:val="0041656A"/>
    <w:rsid w:val="0041664B"/>
    <w:rsid w:val="004203BC"/>
    <w:rsid w:val="00420571"/>
    <w:rsid w:val="00420875"/>
    <w:rsid w:val="00420BD4"/>
    <w:rsid w:val="00421E92"/>
    <w:rsid w:val="00421F67"/>
    <w:rsid w:val="00422AAF"/>
    <w:rsid w:val="00423F34"/>
    <w:rsid w:val="004248EA"/>
    <w:rsid w:val="00424B5B"/>
    <w:rsid w:val="00426E9E"/>
    <w:rsid w:val="0042744C"/>
    <w:rsid w:val="004276F6"/>
    <w:rsid w:val="00427FD2"/>
    <w:rsid w:val="00431205"/>
    <w:rsid w:val="00431749"/>
    <w:rsid w:val="00431F0E"/>
    <w:rsid w:val="0043202F"/>
    <w:rsid w:val="004338E2"/>
    <w:rsid w:val="00433A12"/>
    <w:rsid w:val="00435C27"/>
    <w:rsid w:val="004368AE"/>
    <w:rsid w:val="004368B0"/>
    <w:rsid w:val="00436B5A"/>
    <w:rsid w:val="00440E35"/>
    <w:rsid w:val="0044190F"/>
    <w:rsid w:val="00441FBF"/>
    <w:rsid w:val="004423BB"/>
    <w:rsid w:val="00443317"/>
    <w:rsid w:val="0044369B"/>
    <w:rsid w:val="004454F4"/>
    <w:rsid w:val="00445536"/>
    <w:rsid w:val="004457A4"/>
    <w:rsid w:val="00445BDF"/>
    <w:rsid w:val="00446657"/>
    <w:rsid w:val="0044670C"/>
    <w:rsid w:val="00446B3B"/>
    <w:rsid w:val="00447338"/>
    <w:rsid w:val="004475F3"/>
    <w:rsid w:val="004509BC"/>
    <w:rsid w:val="00451967"/>
    <w:rsid w:val="0045214C"/>
    <w:rsid w:val="00452684"/>
    <w:rsid w:val="004532B0"/>
    <w:rsid w:val="0045376D"/>
    <w:rsid w:val="004537EB"/>
    <w:rsid w:val="00453913"/>
    <w:rsid w:val="00455A78"/>
    <w:rsid w:val="00455E50"/>
    <w:rsid w:val="00457B6E"/>
    <w:rsid w:val="00460040"/>
    <w:rsid w:val="00462115"/>
    <w:rsid w:val="004624F8"/>
    <w:rsid w:val="00463743"/>
    <w:rsid w:val="00465015"/>
    <w:rsid w:val="0046501B"/>
    <w:rsid w:val="00465762"/>
    <w:rsid w:val="00466E0F"/>
    <w:rsid w:val="00466EA4"/>
    <w:rsid w:val="00470DFC"/>
    <w:rsid w:val="004710CD"/>
    <w:rsid w:val="00471A1B"/>
    <w:rsid w:val="00471B8A"/>
    <w:rsid w:val="004729EB"/>
    <w:rsid w:val="00472CCB"/>
    <w:rsid w:val="00473BAA"/>
    <w:rsid w:val="004743A0"/>
    <w:rsid w:val="0047534A"/>
    <w:rsid w:val="00475B24"/>
    <w:rsid w:val="00475C2E"/>
    <w:rsid w:val="004766BA"/>
    <w:rsid w:val="004768E6"/>
    <w:rsid w:val="00476C2D"/>
    <w:rsid w:val="004801DD"/>
    <w:rsid w:val="00480272"/>
    <w:rsid w:val="00480E78"/>
    <w:rsid w:val="0048148B"/>
    <w:rsid w:val="0048316D"/>
    <w:rsid w:val="00483587"/>
    <w:rsid w:val="00483BB9"/>
    <w:rsid w:val="004847A7"/>
    <w:rsid w:val="00484B8E"/>
    <w:rsid w:val="00485262"/>
    <w:rsid w:val="0048688A"/>
    <w:rsid w:val="0048720C"/>
    <w:rsid w:val="00487384"/>
    <w:rsid w:val="0049385E"/>
    <w:rsid w:val="00493D71"/>
    <w:rsid w:val="0049472E"/>
    <w:rsid w:val="00494A04"/>
    <w:rsid w:val="00494EEF"/>
    <w:rsid w:val="00496D38"/>
    <w:rsid w:val="004972A7"/>
    <w:rsid w:val="004977ED"/>
    <w:rsid w:val="004A0358"/>
    <w:rsid w:val="004A04DA"/>
    <w:rsid w:val="004A0CE8"/>
    <w:rsid w:val="004A0F53"/>
    <w:rsid w:val="004A1CE5"/>
    <w:rsid w:val="004A30D6"/>
    <w:rsid w:val="004A40CF"/>
    <w:rsid w:val="004A4219"/>
    <w:rsid w:val="004A4A84"/>
    <w:rsid w:val="004A67A6"/>
    <w:rsid w:val="004A684F"/>
    <w:rsid w:val="004A68BF"/>
    <w:rsid w:val="004A703B"/>
    <w:rsid w:val="004A7FA0"/>
    <w:rsid w:val="004B2116"/>
    <w:rsid w:val="004B2377"/>
    <w:rsid w:val="004B2C6F"/>
    <w:rsid w:val="004B30B5"/>
    <w:rsid w:val="004B329B"/>
    <w:rsid w:val="004B34EF"/>
    <w:rsid w:val="004B376A"/>
    <w:rsid w:val="004B48D6"/>
    <w:rsid w:val="004B4EE1"/>
    <w:rsid w:val="004B5448"/>
    <w:rsid w:val="004B6E5A"/>
    <w:rsid w:val="004B705D"/>
    <w:rsid w:val="004B7C4B"/>
    <w:rsid w:val="004C14AF"/>
    <w:rsid w:val="004C153D"/>
    <w:rsid w:val="004C2257"/>
    <w:rsid w:val="004C2A07"/>
    <w:rsid w:val="004C3A22"/>
    <w:rsid w:val="004C5AC9"/>
    <w:rsid w:val="004C5DD4"/>
    <w:rsid w:val="004C64A6"/>
    <w:rsid w:val="004C6CE3"/>
    <w:rsid w:val="004C75BB"/>
    <w:rsid w:val="004D0A2C"/>
    <w:rsid w:val="004D1775"/>
    <w:rsid w:val="004D1C8B"/>
    <w:rsid w:val="004D341E"/>
    <w:rsid w:val="004D3A87"/>
    <w:rsid w:val="004D3AAA"/>
    <w:rsid w:val="004D413C"/>
    <w:rsid w:val="004D5AE8"/>
    <w:rsid w:val="004D6653"/>
    <w:rsid w:val="004D6D5B"/>
    <w:rsid w:val="004D76D6"/>
    <w:rsid w:val="004E0065"/>
    <w:rsid w:val="004E029B"/>
    <w:rsid w:val="004E0E14"/>
    <w:rsid w:val="004E17F5"/>
    <w:rsid w:val="004E2BC3"/>
    <w:rsid w:val="004E2E23"/>
    <w:rsid w:val="004E33E0"/>
    <w:rsid w:val="004E41D3"/>
    <w:rsid w:val="004E4E64"/>
    <w:rsid w:val="004E6465"/>
    <w:rsid w:val="004E6B05"/>
    <w:rsid w:val="004F03E9"/>
    <w:rsid w:val="004F09A1"/>
    <w:rsid w:val="004F0C3E"/>
    <w:rsid w:val="004F1B43"/>
    <w:rsid w:val="004F2FD4"/>
    <w:rsid w:val="004F49C5"/>
    <w:rsid w:val="004F6C57"/>
    <w:rsid w:val="004F6DB9"/>
    <w:rsid w:val="004F7207"/>
    <w:rsid w:val="00501281"/>
    <w:rsid w:val="00501393"/>
    <w:rsid w:val="005023A4"/>
    <w:rsid w:val="00502665"/>
    <w:rsid w:val="00503F36"/>
    <w:rsid w:val="00505FDF"/>
    <w:rsid w:val="005064B0"/>
    <w:rsid w:val="00506DDE"/>
    <w:rsid w:val="00507582"/>
    <w:rsid w:val="00510D33"/>
    <w:rsid w:val="00510FBA"/>
    <w:rsid w:val="005110C9"/>
    <w:rsid w:val="0051124C"/>
    <w:rsid w:val="00512F31"/>
    <w:rsid w:val="00514BDB"/>
    <w:rsid w:val="005158A6"/>
    <w:rsid w:val="00517276"/>
    <w:rsid w:val="00517595"/>
    <w:rsid w:val="00517C00"/>
    <w:rsid w:val="00520E0E"/>
    <w:rsid w:val="0052169B"/>
    <w:rsid w:val="005240A9"/>
    <w:rsid w:val="00524A13"/>
    <w:rsid w:val="0052563E"/>
    <w:rsid w:val="00525F5E"/>
    <w:rsid w:val="005261AB"/>
    <w:rsid w:val="00526855"/>
    <w:rsid w:val="00526C10"/>
    <w:rsid w:val="00526DBA"/>
    <w:rsid w:val="00527B0E"/>
    <w:rsid w:val="00527DF4"/>
    <w:rsid w:val="00530243"/>
    <w:rsid w:val="00530453"/>
    <w:rsid w:val="00531888"/>
    <w:rsid w:val="005331F7"/>
    <w:rsid w:val="0053347D"/>
    <w:rsid w:val="00533CEB"/>
    <w:rsid w:val="00534C47"/>
    <w:rsid w:val="00535C96"/>
    <w:rsid w:val="00536ECD"/>
    <w:rsid w:val="00536F32"/>
    <w:rsid w:val="00540B48"/>
    <w:rsid w:val="005417DA"/>
    <w:rsid w:val="00541C82"/>
    <w:rsid w:val="00541F65"/>
    <w:rsid w:val="005426AF"/>
    <w:rsid w:val="005455E0"/>
    <w:rsid w:val="0054644D"/>
    <w:rsid w:val="0054655E"/>
    <w:rsid w:val="00550923"/>
    <w:rsid w:val="0055103D"/>
    <w:rsid w:val="00551DBB"/>
    <w:rsid w:val="00552355"/>
    <w:rsid w:val="005533AD"/>
    <w:rsid w:val="00553528"/>
    <w:rsid w:val="0055359C"/>
    <w:rsid w:val="005553CF"/>
    <w:rsid w:val="005561DB"/>
    <w:rsid w:val="00556745"/>
    <w:rsid w:val="00557584"/>
    <w:rsid w:val="00557D6C"/>
    <w:rsid w:val="00560558"/>
    <w:rsid w:val="00560614"/>
    <w:rsid w:val="005625FD"/>
    <w:rsid w:val="00562676"/>
    <w:rsid w:val="005626AC"/>
    <w:rsid w:val="00562AE7"/>
    <w:rsid w:val="00571C31"/>
    <w:rsid w:val="00571F6A"/>
    <w:rsid w:val="00571FBF"/>
    <w:rsid w:val="005723D3"/>
    <w:rsid w:val="00572A1D"/>
    <w:rsid w:val="00573D0C"/>
    <w:rsid w:val="00573F01"/>
    <w:rsid w:val="00574815"/>
    <w:rsid w:val="0057503B"/>
    <w:rsid w:val="00576049"/>
    <w:rsid w:val="00577ECF"/>
    <w:rsid w:val="00580054"/>
    <w:rsid w:val="005800B4"/>
    <w:rsid w:val="005806AB"/>
    <w:rsid w:val="00580771"/>
    <w:rsid w:val="00580A27"/>
    <w:rsid w:val="00581273"/>
    <w:rsid w:val="00581CE7"/>
    <w:rsid w:val="00581FEE"/>
    <w:rsid w:val="005823B9"/>
    <w:rsid w:val="00582F02"/>
    <w:rsid w:val="005847A6"/>
    <w:rsid w:val="00586580"/>
    <w:rsid w:val="005865E5"/>
    <w:rsid w:val="0058770B"/>
    <w:rsid w:val="005901C3"/>
    <w:rsid w:val="00591774"/>
    <w:rsid w:val="005928C6"/>
    <w:rsid w:val="0059304C"/>
    <w:rsid w:val="00593207"/>
    <w:rsid w:val="00593489"/>
    <w:rsid w:val="005939F1"/>
    <w:rsid w:val="00594477"/>
    <w:rsid w:val="00594A62"/>
    <w:rsid w:val="00594F19"/>
    <w:rsid w:val="005952CA"/>
    <w:rsid w:val="005977EC"/>
    <w:rsid w:val="005A0B39"/>
    <w:rsid w:val="005A0E30"/>
    <w:rsid w:val="005A14E9"/>
    <w:rsid w:val="005A18A5"/>
    <w:rsid w:val="005A1E34"/>
    <w:rsid w:val="005A39D0"/>
    <w:rsid w:val="005A3D0D"/>
    <w:rsid w:val="005A3FC2"/>
    <w:rsid w:val="005A439A"/>
    <w:rsid w:val="005A56B1"/>
    <w:rsid w:val="005A5EBD"/>
    <w:rsid w:val="005A5EC0"/>
    <w:rsid w:val="005A6631"/>
    <w:rsid w:val="005A70EB"/>
    <w:rsid w:val="005B02A8"/>
    <w:rsid w:val="005B0C9C"/>
    <w:rsid w:val="005B0D78"/>
    <w:rsid w:val="005B0FDC"/>
    <w:rsid w:val="005B123A"/>
    <w:rsid w:val="005B220A"/>
    <w:rsid w:val="005B2C85"/>
    <w:rsid w:val="005B3734"/>
    <w:rsid w:val="005B3D0F"/>
    <w:rsid w:val="005B3F10"/>
    <w:rsid w:val="005B47B9"/>
    <w:rsid w:val="005B4829"/>
    <w:rsid w:val="005B5A35"/>
    <w:rsid w:val="005B64D4"/>
    <w:rsid w:val="005B7429"/>
    <w:rsid w:val="005C2A4B"/>
    <w:rsid w:val="005C2DC2"/>
    <w:rsid w:val="005C4661"/>
    <w:rsid w:val="005C47D3"/>
    <w:rsid w:val="005C5438"/>
    <w:rsid w:val="005C57AB"/>
    <w:rsid w:val="005C7601"/>
    <w:rsid w:val="005D062D"/>
    <w:rsid w:val="005D31EE"/>
    <w:rsid w:val="005D5D8F"/>
    <w:rsid w:val="005D7368"/>
    <w:rsid w:val="005E0150"/>
    <w:rsid w:val="005E079D"/>
    <w:rsid w:val="005E119F"/>
    <w:rsid w:val="005E281C"/>
    <w:rsid w:val="005E2AC5"/>
    <w:rsid w:val="005E2DCC"/>
    <w:rsid w:val="005E3BBA"/>
    <w:rsid w:val="005E476C"/>
    <w:rsid w:val="005E5C6F"/>
    <w:rsid w:val="005E6D8F"/>
    <w:rsid w:val="005F0A46"/>
    <w:rsid w:val="005F1FB6"/>
    <w:rsid w:val="005F2022"/>
    <w:rsid w:val="005F21FF"/>
    <w:rsid w:val="005F24B0"/>
    <w:rsid w:val="005F2DC9"/>
    <w:rsid w:val="005F32A8"/>
    <w:rsid w:val="005F3FE8"/>
    <w:rsid w:val="005F4849"/>
    <w:rsid w:val="005F5501"/>
    <w:rsid w:val="005F5666"/>
    <w:rsid w:val="005F58E9"/>
    <w:rsid w:val="005F6312"/>
    <w:rsid w:val="005F6707"/>
    <w:rsid w:val="00601734"/>
    <w:rsid w:val="00601854"/>
    <w:rsid w:val="00602338"/>
    <w:rsid w:val="00603BC4"/>
    <w:rsid w:val="00604320"/>
    <w:rsid w:val="00604426"/>
    <w:rsid w:val="00604755"/>
    <w:rsid w:val="00605906"/>
    <w:rsid w:val="00605BE8"/>
    <w:rsid w:val="00605F94"/>
    <w:rsid w:val="006063A8"/>
    <w:rsid w:val="00606707"/>
    <w:rsid w:val="00607048"/>
    <w:rsid w:val="006072FA"/>
    <w:rsid w:val="00607602"/>
    <w:rsid w:val="00607626"/>
    <w:rsid w:val="00610BAC"/>
    <w:rsid w:val="00611C7D"/>
    <w:rsid w:val="006122A8"/>
    <w:rsid w:val="0061238F"/>
    <w:rsid w:val="006127B6"/>
    <w:rsid w:val="00613E22"/>
    <w:rsid w:val="0061583C"/>
    <w:rsid w:val="006158F6"/>
    <w:rsid w:val="00616DDA"/>
    <w:rsid w:val="00616E52"/>
    <w:rsid w:val="00616E7C"/>
    <w:rsid w:val="006171BC"/>
    <w:rsid w:val="00617366"/>
    <w:rsid w:val="006175AF"/>
    <w:rsid w:val="00617822"/>
    <w:rsid w:val="006201E0"/>
    <w:rsid w:val="00622993"/>
    <w:rsid w:val="00622B04"/>
    <w:rsid w:val="0062372C"/>
    <w:rsid w:val="00624498"/>
    <w:rsid w:val="00625613"/>
    <w:rsid w:val="00626543"/>
    <w:rsid w:val="0062687B"/>
    <w:rsid w:val="00626D52"/>
    <w:rsid w:val="00627AF9"/>
    <w:rsid w:val="00627D32"/>
    <w:rsid w:val="0063134B"/>
    <w:rsid w:val="00631864"/>
    <w:rsid w:val="00634A23"/>
    <w:rsid w:val="006369AF"/>
    <w:rsid w:val="0063713D"/>
    <w:rsid w:val="00637410"/>
    <w:rsid w:val="006377E8"/>
    <w:rsid w:val="00637D5F"/>
    <w:rsid w:val="00641BA2"/>
    <w:rsid w:val="00641D67"/>
    <w:rsid w:val="0064205C"/>
    <w:rsid w:val="00642858"/>
    <w:rsid w:val="00642EAA"/>
    <w:rsid w:val="0064316D"/>
    <w:rsid w:val="00643C54"/>
    <w:rsid w:val="0064446A"/>
    <w:rsid w:val="0064562F"/>
    <w:rsid w:val="00645FC9"/>
    <w:rsid w:val="00646D57"/>
    <w:rsid w:val="006474D5"/>
    <w:rsid w:val="00647ADD"/>
    <w:rsid w:val="00647DC6"/>
    <w:rsid w:val="00650632"/>
    <w:rsid w:val="00650EFE"/>
    <w:rsid w:val="00652588"/>
    <w:rsid w:val="0065262E"/>
    <w:rsid w:val="00652898"/>
    <w:rsid w:val="0065388C"/>
    <w:rsid w:val="00654031"/>
    <w:rsid w:val="00654076"/>
    <w:rsid w:val="00654AD7"/>
    <w:rsid w:val="00655641"/>
    <w:rsid w:val="006556C8"/>
    <w:rsid w:val="0065720A"/>
    <w:rsid w:val="00657249"/>
    <w:rsid w:val="00657B9D"/>
    <w:rsid w:val="00657BBC"/>
    <w:rsid w:val="00661503"/>
    <w:rsid w:val="00662330"/>
    <w:rsid w:val="00664B29"/>
    <w:rsid w:val="0066501C"/>
    <w:rsid w:val="0066559F"/>
    <w:rsid w:val="0066641A"/>
    <w:rsid w:val="00667CC0"/>
    <w:rsid w:val="00671505"/>
    <w:rsid w:val="00671692"/>
    <w:rsid w:val="0067191C"/>
    <w:rsid w:val="006726A7"/>
    <w:rsid w:val="00672BB0"/>
    <w:rsid w:val="006734BD"/>
    <w:rsid w:val="00674570"/>
    <w:rsid w:val="00674CC9"/>
    <w:rsid w:val="006751A3"/>
    <w:rsid w:val="00675E8A"/>
    <w:rsid w:val="00676AB2"/>
    <w:rsid w:val="00676F17"/>
    <w:rsid w:val="00677ABE"/>
    <w:rsid w:val="00677E76"/>
    <w:rsid w:val="00677F6E"/>
    <w:rsid w:val="006806B9"/>
    <w:rsid w:val="00680B51"/>
    <w:rsid w:val="00681F18"/>
    <w:rsid w:val="00684969"/>
    <w:rsid w:val="006857F4"/>
    <w:rsid w:val="00686B76"/>
    <w:rsid w:val="00690796"/>
    <w:rsid w:val="00692300"/>
    <w:rsid w:val="00693063"/>
    <w:rsid w:val="00693951"/>
    <w:rsid w:val="006950B1"/>
    <w:rsid w:val="006974DD"/>
    <w:rsid w:val="006A1580"/>
    <w:rsid w:val="006A21BF"/>
    <w:rsid w:val="006A3107"/>
    <w:rsid w:val="006A3553"/>
    <w:rsid w:val="006A5589"/>
    <w:rsid w:val="006A6713"/>
    <w:rsid w:val="006AA75F"/>
    <w:rsid w:val="006B0541"/>
    <w:rsid w:val="006B133D"/>
    <w:rsid w:val="006B2111"/>
    <w:rsid w:val="006B227E"/>
    <w:rsid w:val="006B259B"/>
    <w:rsid w:val="006B4A66"/>
    <w:rsid w:val="006B588F"/>
    <w:rsid w:val="006B5A19"/>
    <w:rsid w:val="006B6E50"/>
    <w:rsid w:val="006B7475"/>
    <w:rsid w:val="006B7CB5"/>
    <w:rsid w:val="006C2E76"/>
    <w:rsid w:val="006C3127"/>
    <w:rsid w:val="006C3257"/>
    <w:rsid w:val="006C3B76"/>
    <w:rsid w:val="006C3BA6"/>
    <w:rsid w:val="006C4758"/>
    <w:rsid w:val="006C5076"/>
    <w:rsid w:val="006C68AC"/>
    <w:rsid w:val="006C744F"/>
    <w:rsid w:val="006D0223"/>
    <w:rsid w:val="006D10BE"/>
    <w:rsid w:val="006D3458"/>
    <w:rsid w:val="006D42EE"/>
    <w:rsid w:val="006D4A68"/>
    <w:rsid w:val="006D4A7E"/>
    <w:rsid w:val="006D509E"/>
    <w:rsid w:val="006D5A42"/>
    <w:rsid w:val="006D665B"/>
    <w:rsid w:val="006D698C"/>
    <w:rsid w:val="006D6C67"/>
    <w:rsid w:val="006E06C6"/>
    <w:rsid w:val="006E06F6"/>
    <w:rsid w:val="006E2448"/>
    <w:rsid w:val="006E25C9"/>
    <w:rsid w:val="006E47D6"/>
    <w:rsid w:val="006E5249"/>
    <w:rsid w:val="006E5934"/>
    <w:rsid w:val="006E5AC7"/>
    <w:rsid w:val="006E5F9F"/>
    <w:rsid w:val="006E733A"/>
    <w:rsid w:val="006E7571"/>
    <w:rsid w:val="006F17EF"/>
    <w:rsid w:val="006F1A85"/>
    <w:rsid w:val="006F1DAC"/>
    <w:rsid w:val="006F2F3C"/>
    <w:rsid w:val="006F387B"/>
    <w:rsid w:val="006F483F"/>
    <w:rsid w:val="006F507A"/>
    <w:rsid w:val="006F5B61"/>
    <w:rsid w:val="006F5EC8"/>
    <w:rsid w:val="006F711F"/>
    <w:rsid w:val="006F7155"/>
    <w:rsid w:val="007006FF"/>
    <w:rsid w:val="00700EC5"/>
    <w:rsid w:val="00702232"/>
    <w:rsid w:val="00702F89"/>
    <w:rsid w:val="00703499"/>
    <w:rsid w:val="00703D1D"/>
    <w:rsid w:val="00705A98"/>
    <w:rsid w:val="00705D8C"/>
    <w:rsid w:val="00705FAA"/>
    <w:rsid w:val="00707CF3"/>
    <w:rsid w:val="00710044"/>
    <w:rsid w:val="00710887"/>
    <w:rsid w:val="0071094D"/>
    <w:rsid w:val="00710BB3"/>
    <w:rsid w:val="00710E06"/>
    <w:rsid w:val="0071264C"/>
    <w:rsid w:val="007129D8"/>
    <w:rsid w:val="00714862"/>
    <w:rsid w:val="0071587A"/>
    <w:rsid w:val="00715E3F"/>
    <w:rsid w:val="00717D79"/>
    <w:rsid w:val="007234C1"/>
    <w:rsid w:val="00723771"/>
    <w:rsid w:val="007237B3"/>
    <w:rsid w:val="007237D2"/>
    <w:rsid w:val="00723DC6"/>
    <w:rsid w:val="00724871"/>
    <w:rsid w:val="00724BA7"/>
    <w:rsid w:val="00726883"/>
    <w:rsid w:val="00726BCE"/>
    <w:rsid w:val="00726EDA"/>
    <w:rsid w:val="0072750B"/>
    <w:rsid w:val="0073058A"/>
    <w:rsid w:val="00730A64"/>
    <w:rsid w:val="007313A3"/>
    <w:rsid w:val="007318F9"/>
    <w:rsid w:val="0073281E"/>
    <w:rsid w:val="00735024"/>
    <w:rsid w:val="007363EA"/>
    <w:rsid w:val="00736CB6"/>
    <w:rsid w:val="0073799D"/>
    <w:rsid w:val="00740A88"/>
    <w:rsid w:val="00740D95"/>
    <w:rsid w:val="007412E5"/>
    <w:rsid w:val="007424C0"/>
    <w:rsid w:val="007428B8"/>
    <w:rsid w:val="007431B8"/>
    <w:rsid w:val="00743499"/>
    <w:rsid w:val="007438D1"/>
    <w:rsid w:val="00743E2C"/>
    <w:rsid w:val="0074481C"/>
    <w:rsid w:val="00745435"/>
    <w:rsid w:val="0074570E"/>
    <w:rsid w:val="00745922"/>
    <w:rsid w:val="00746164"/>
    <w:rsid w:val="0074647B"/>
    <w:rsid w:val="00750B85"/>
    <w:rsid w:val="007511D4"/>
    <w:rsid w:val="00752A1D"/>
    <w:rsid w:val="00753471"/>
    <w:rsid w:val="00753887"/>
    <w:rsid w:val="00754008"/>
    <w:rsid w:val="0075405E"/>
    <w:rsid w:val="00754317"/>
    <w:rsid w:val="0075431D"/>
    <w:rsid w:val="007557DD"/>
    <w:rsid w:val="00756364"/>
    <w:rsid w:val="007567D2"/>
    <w:rsid w:val="00761D67"/>
    <w:rsid w:val="00762A65"/>
    <w:rsid w:val="00762A67"/>
    <w:rsid w:val="007634C2"/>
    <w:rsid w:val="00764303"/>
    <w:rsid w:val="007670E0"/>
    <w:rsid w:val="00767892"/>
    <w:rsid w:val="007678EB"/>
    <w:rsid w:val="00767E6F"/>
    <w:rsid w:val="0077060A"/>
    <w:rsid w:val="00771D84"/>
    <w:rsid w:val="00771E70"/>
    <w:rsid w:val="00773AD7"/>
    <w:rsid w:val="007740E5"/>
    <w:rsid w:val="0077648A"/>
    <w:rsid w:val="0077682C"/>
    <w:rsid w:val="007773E8"/>
    <w:rsid w:val="0077770F"/>
    <w:rsid w:val="00780BB6"/>
    <w:rsid w:val="00783402"/>
    <w:rsid w:val="0078344D"/>
    <w:rsid w:val="00783F0A"/>
    <w:rsid w:val="00785178"/>
    <w:rsid w:val="007855F8"/>
    <w:rsid w:val="0078627C"/>
    <w:rsid w:val="00786A5B"/>
    <w:rsid w:val="007870ED"/>
    <w:rsid w:val="0078790D"/>
    <w:rsid w:val="00790170"/>
    <w:rsid w:val="007904CC"/>
    <w:rsid w:val="00791F51"/>
    <w:rsid w:val="00793177"/>
    <w:rsid w:val="00793EF9"/>
    <w:rsid w:val="0079440F"/>
    <w:rsid w:val="007947C8"/>
    <w:rsid w:val="007959BB"/>
    <w:rsid w:val="00796E45"/>
    <w:rsid w:val="00796F9F"/>
    <w:rsid w:val="00796FA7"/>
    <w:rsid w:val="007A16DA"/>
    <w:rsid w:val="007A2599"/>
    <w:rsid w:val="007A2DE8"/>
    <w:rsid w:val="007A3911"/>
    <w:rsid w:val="007A4EBA"/>
    <w:rsid w:val="007A5779"/>
    <w:rsid w:val="007A59F6"/>
    <w:rsid w:val="007A77AC"/>
    <w:rsid w:val="007B1425"/>
    <w:rsid w:val="007B20BD"/>
    <w:rsid w:val="007B2511"/>
    <w:rsid w:val="007B2BEF"/>
    <w:rsid w:val="007B5F0D"/>
    <w:rsid w:val="007B6901"/>
    <w:rsid w:val="007B6A7F"/>
    <w:rsid w:val="007B6CB4"/>
    <w:rsid w:val="007B748D"/>
    <w:rsid w:val="007B769A"/>
    <w:rsid w:val="007B7B5B"/>
    <w:rsid w:val="007C1B27"/>
    <w:rsid w:val="007C207E"/>
    <w:rsid w:val="007C23E8"/>
    <w:rsid w:val="007C29D2"/>
    <w:rsid w:val="007C3AD4"/>
    <w:rsid w:val="007C43C2"/>
    <w:rsid w:val="007C446E"/>
    <w:rsid w:val="007C5697"/>
    <w:rsid w:val="007C5FB8"/>
    <w:rsid w:val="007C72D0"/>
    <w:rsid w:val="007C7308"/>
    <w:rsid w:val="007C73A8"/>
    <w:rsid w:val="007C74EC"/>
    <w:rsid w:val="007D18EF"/>
    <w:rsid w:val="007D1B7C"/>
    <w:rsid w:val="007D25A6"/>
    <w:rsid w:val="007D2E7F"/>
    <w:rsid w:val="007D3736"/>
    <w:rsid w:val="007D55EE"/>
    <w:rsid w:val="007D6A8F"/>
    <w:rsid w:val="007D70D1"/>
    <w:rsid w:val="007E077C"/>
    <w:rsid w:val="007E0E9D"/>
    <w:rsid w:val="007E307A"/>
    <w:rsid w:val="007E3BAE"/>
    <w:rsid w:val="007E4BD6"/>
    <w:rsid w:val="007E556F"/>
    <w:rsid w:val="007E63BF"/>
    <w:rsid w:val="007E6418"/>
    <w:rsid w:val="007F09F1"/>
    <w:rsid w:val="007F0DB2"/>
    <w:rsid w:val="007F2B45"/>
    <w:rsid w:val="007F318E"/>
    <w:rsid w:val="007F51B1"/>
    <w:rsid w:val="007F5958"/>
    <w:rsid w:val="007F6BA3"/>
    <w:rsid w:val="007F6C52"/>
    <w:rsid w:val="007F7C28"/>
    <w:rsid w:val="00800BF8"/>
    <w:rsid w:val="00803767"/>
    <w:rsid w:val="00803BF1"/>
    <w:rsid w:val="00804D96"/>
    <w:rsid w:val="00805A63"/>
    <w:rsid w:val="00805C91"/>
    <w:rsid w:val="0080625D"/>
    <w:rsid w:val="00806C07"/>
    <w:rsid w:val="008105B8"/>
    <w:rsid w:val="008111B5"/>
    <w:rsid w:val="008118F5"/>
    <w:rsid w:val="00812400"/>
    <w:rsid w:val="00812644"/>
    <w:rsid w:val="0081281B"/>
    <w:rsid w:val="00812E76"/>
    <w:rsid w:val="00813737"/>
    <w:rsid w:val="0081393D"/>
    <w:rsid w:val="00813D1F"/>
    <w:rsid w:val="008145E1"/>
    <w:rsid w:val="008166F3"/>
    <w:rsid w:val="008201E0"/>
    <w:rsid w:val="008204A3"/>
    <w:rsid w:val="00820B71"/>
    <w:rsid w:val="00820FE1"/>
    <w:rsid w:val="0082218E"/>
    <w:rsid w:val="008222B9"/>
    <w:rsid w:val="00823E28"/>
    <w:rsid w:val="00824037"/>
    <w:rsid w:val="0082584D"/>
    <w:rsid w:val="00825C01"/>
    <w:rsid w:val="00826E41"/>
    <w:rsid w:val="00827539"/>
    <w:rsid w:val="0082770B"/>
    <w:rsid w:val="0082786E"/>
    <w:rsid w:val="00827DB1"/>
    <w:rsid w:val="0083010A"/>
    <w:rsid w:val="00830E60"/>
    <w:rsid w:val="00830EF5"/>
    <w:rsid w:val="0083176A"/>
    <w:rsid w:val="00831D62"/>
    <w:rsid w:val="008320FA"/>
    <w:rsid w:val="00832269"/>
    <w:rsid w:val="008323B9"/>
    <w:rsid w:val="00832536"/>
    <w:rsid w:val="008326CB"/>
    <w:rsid w:val="00832845"/>
    <w:rsid w:val="00833657"/>
    <w:rsid w:val="00833725"/>
    <w:rsid w:val="008340AB"/>
    <w:rsid w:val="008342CC"/>
    <w:rsid w:val="00834F07"/>
    <w:rsid w:val="0083517F"/>
    <w:rsid w:val="00835A15"/>
    <w:rsid w:val="0083688A"/>
    <w:rsid w:val="00836BBA"/>
    <w:rsid w:val="00841B87"/>
    <w:rsid w:val="0084221B"/>
    <w:rsid w:val="00843472"/>
    <w:rsid w:val="008438E0"/>
    <w:rsid w:val="0084426C"/>
    <w:rsid w:val="00844B00"/>
    <w:rsid w:val="00844F81"/>
    <w:rsid w:val="00845958"/>
    <w:rsid w:val="008471F9"/>
    <w:rsid w:val="00847479"/>
    <w:rsid w:val="008511A6"/>
    <w:rsid w:val="00851610"/>
    <w:rsid w:val="00851839"/>
    <w:rsid w:val="00851C5A"/>
    <w:rsid w:val="00853520"/>
    <w:rsid w:val="00853716"/>
    <w:rsid w:val="0085388F"/>
    <w:rsid w:val="00853C3A"/>
    <w:rsid w:val="0085464A"/>
    <w:rsid w:val="0085572C"/>
    <w:rsid w:val="00856CD0"/>
    <w:rsid w:val="00856F59"/>
    <w:rsid w:val="00857312"/>
    <w:rsid w:val="00860504"/>
    <w:rsid w:val="008615E7"/>
    <w:rsid w:val="00862F7B"/>
    <w:rsid w:val="00863FC8"/>
    <w:rsid w:val="008648F5"/>
    <w:rsid w:val="00866309"/>
    <w:rsid w:val="00866A70"/>
    <w:rsid w:val="008700C0"/>
    <w:rsid w:val="008707C7"/>
    <w:rsid w:val="00871920"/>
    <w:rsid w:val="00872211"/>
    <w:rsid w:val="008723C4"/>
    <w:rsid w:val="0087275B"/>
    <w:rsid w:val="008727BA"/>
    <w:rsid w:val="00872FC1"/>
    <w:rsid w:val="00873A70"/>
    <w:rsid w:val="00873C10"/>
    <w:rsid w:val="00874A6A"/>
    <w:rsid w:val="00875363"/>
    <w:rsid w:val="00875A02"/>
    <w:rsid w:val="00875AB3"/>
    <w:rsid w:val="00875B70"/>
    <w:rsid w:val="00876FE9"/>
    <w:rsid w:val="00877B5B"/>
    <w:rsid w:val="00877D62"/>
    <w:rsid w:val="00880D6D"/>
    <w:rsid w:val="008817EE"/>
    <w:rsid w:val="008821C9"/>
    <w:rsid w:val="00883211"/>
    <w:rsid w:val="00883A26"/>
    <w:rsid w:val="008851CA"/>
    <w:rsid w:val="00886716"/>
    <w:rsid w:val="00886E3E"/>
    <w:rsid w:val="00887669"/>
    <w:rsid w:val="008902DB"/>
    <w:rsid w:val="008909EE"/>
    <w:rsid w:val="00890B1B"/>
    <w:rsid w:val="008916A3"/>
    <w:rsid w:val="0089190C"/>
    <w:rsid w:val="00891C90"/>
    <w:rsid w:val="00892CC7"/>
    <w:rsid w:val="008932A2"/>
    <w:rsid w:val="008932A8"/>
    <w:rsid w:val="00894662"/>
    <w:rsid w:val="0089484D"/>
    <w:rsid w:val="00894EE9"/>
    <w:rsid w:val="0089525E"/>
    <w:rsid w:val="00895A51"/>
    <w:rsid w:val="008970E8"/>
    <w:rsid w:val="008976D8"/>
    <w:rsid w:val="008A0A45"/>
    <w:rsid w:val="008A0A46"/>
    <w:rsid w:val="008A1642"/>
    <w:rsid w:val="008A26BE"/>
    <w:rsid w:val="008A27E2"/>
    <w:rsid w:val="008A3020"/>
    <w:rsid w:val="008A3E08"/>
    <w:rsid w:val="008A4E9D"/>
    <w:rsid w:val="008A5322"/>
    <w:rsid w:val="008A6715"/>
    <w:rsid w:val="008A6CA5"/>
    <w:rsid w:val="008A750F"/>
    <w:rsid w:val="008A769F"/>
    <w:rsid w:val="008B26AE"/>
    <w:rsid w:val="008B287A"/>
    <w:rsid w:val="008B2880"/>
    <w:rsid w:val="008B34EA"/>
    <w:rsid w:val="008B3836"/>
    <w:rsid w:val="008B4B3C"/>
    <w:rsid w:val="008B53F5"/>
    <w:rsid w:val="008B69A7"/>
    <w:rsid w:val="008C0038"/>
    <w:rsid w:val="008C219F"/>
    <w:rsid w:val="008C2DFC"/>
    <w:rsid w:val="008C4AD0"/>
    <w:rsid w:val="008C4F81"/>
    <w:rsid w:val="008C5F16"/>
    <w:rsid w:val="008C6387"/>
    <w:rsid w:val="008C736E"/>
    <w:rsid w:val="008C777F"/>
    <w:rsid w:val="008C7BC6"/>
    <w:rsid w:val="008C7C6A"/>
    <w:rsid w:val="008D0F2E"/>
    <w:rsid w:val="008D386F"/>
    <w:rsid w:val="008D47BE"/>
    <w:rsid w:val="008D57C6"/>
    <w:rsid w:val="008D5C0B"/>
    <w:rsid w:val="008D63B7"/>
    <w:rsid w:val="008D64BB"/>
    <w:rsid w:val="008D64BE"/>
    <w:rsid w:val="008D6742"/>
    <w:rsid w:val="008D71B1"/>
    <w:rsid w:val="008D7205"/>
    <w:rsid w:val="008D7695"/>
    <w:rsid w:val="008D785E"/>
    <w:rsid w:val="008D7CB9"/>
    <w:rsid w:val="008D7F67"/>
    <w:rsid w:val="008D7FD8"/>
    <w:rsid w:val="008E05F7"/>
    <w:rsid w:val="008E46DC"/>
    <w:rsid w:val="008E4F26"/>
    <w:rsid w:val="008E5554"/>
    <w:rsid w:val="008E5D7D"/>
    <w:rsid w:val="008F1113"/>
    <w:rsid w:val="008F13F7"/>
    <w:rsid w:val="008F3AC2"/>
    <w:rsid w:val="008F476C"/>
    <w:rsid w:val="008F5CA1"/>
    <w:rsid w:val="008F6E2A"/>
    <w:rsid w:val="008F7143"/>
    <w:rsid w:val="00900BAF"/>
    <w:rsid w:val="009014FF"/>
    <w:rsid w:val="00901D96"/>
    <w:rsid w:val="00903EBF"/>
    <w:rsid w:val="00907B64"/>
    <w:rsid w:val="00907E01"/>
    <w:rsid w:val="0091074B"/>
    <w:rsid w:val="00910C5F"/>
    <w:rsid w:val="0091117B"/>
    <w:rsid w:val="00911980"/>
    <w:rsid w:val="009130E3"/>
    <w:rsid w:val="009134EE"/>
    <w:rsid w:val="0091379F"/>
    <w:rsid w:val="009138C6"/>
    <w:rsid w:val="009150FA"/>
    <w:rsid w:val="009154E2"/>
    <w:rsid w:val="00916ABE"/>
    <w:rsid w:val="00916E5C"/>
    <w:rsid w:val="009173F2"/>
    <w:rsid w:val="00920509"/>
    <w:rsid w:val="00920603"/>
    <w:rsid w:val="00920F1D"/>
    <w:rsid w:val="009212B6"/>
    <w:rsid w:val="00921806"/>
    <w:rsid w:val="00921BBE"/>
    <w:rsid w:val="009229F8"/>
    <w:rsid w:val="00922C2B"/>
    <w:rsid w:val="00923A09"/>
    <w:rsid w:val="00924C86"/>
    <w:rsid w:val="00926811"/>
    <w:rsid w:val="0092787A"/>
    <w:rsid w:val="00930CA6"/>
    <w:rsid w:val="009317A9"/>
    <w:rsid w:val="00931EC6"/>
    <w:rsid w:val="009338B9"/>
    <w:rsid w:val="00933FB5"/>
    <w:rsid w:val="009340AD"/>
    <w:rsid w:val="00934674"/>
    <w:rsid w:val="00934889"/>
    <w:rsid w:val="00934B6D"/>
    <w:rsid w:val="00934E28"/>
    <w:rsid w:val="00935973"/>
    <w:rsid w:val="009363F0"/>
    <w:rsid w:val="009372BE"/>
    <w:rsid w:val="009377F0"/>
    <w:rsid w:val="00937F4B"/>
    <w:rsid w:val="00940179"/>
    <w:rsid w:val="00940517"/>
    <w:rsid w:val="00940840"/>
    <w:rsid w:val="00943728"/>
    <w:rsid w:val="00943DC5"/>
    <w:rsid w:val="00944F91"/>
    <w:rsid w:val="009454E8"/>
    <w:rsid w:val="00946FE6"/>
    <w:rsid w:val="00950AD5"/>
    <w:rsid w:val="009517CE"/>
    <w:rsid w:val="0095243B"/>
    <w:rsid w:val="0095249F"/>
    <w:rsid w:val="009531D2"/>
    <w:rsid w:val="00953277"/>
    <w:rsid w:val="00954180"/>
    <w:rsid w:val="00954A22"/>
    <w:rsid w:val="00955448"/>
    <w:rsid w:val="0095547E"/>
    <w:rsid w:val="00957BBF"/>
    <w:rsid w:val="009602A9"/>
    <w:rsid w:val="009604A2"/>
    <w:rsid w:val="0096073D"/>
    <w:rsid w:val="00960C82"/>
    <w:rsid w:val="009621E0"/>
    <w:rsid w:val="00964ABB"/>
    <w:rsid w:val="009655C6"/>
    <w:rsid w:val="00965EE7"/>
    <w:rsid w:val="0096648D"/>
    <w:rsid w:val="009667D3"/>
    <w:rsid w:val="00966A36"/>
    <w:rsid w:val="00970994"/>
    <w:rsid w:val="009718D3"/>
    <w:rsid w:val="00971B71"/>
    <w:rsid w:val="00971E94"/>
    <w:rsid w:val="0097270F"/>
    <w:rsid w:val="00974106"/>
    <w:rsid w:val="00974548"/>
    <w:rsid w:val="0097458D"/>
    <w:rsid w:val="00974672"/>
    <w:rsid w:val="00976E6B"/>
    <w:rsid w:val="00977743"/>
    <w:rsid w:val="00977F9E"/>
    <w:rsid w:val="009801B1"/>
    <w:rsid w:val="0098056E"/>
    <w:rsid w:val="00981410"/>
    <w:rsid w:val="0098171A"/>
    <w:rsid w:val="00982C61"/>
    <w:rsid w:val="0098396F"/>
    <w:rsid w:val="0098418C"/>
    <w:rsid w:val="00984763"/>
    <w:rsid w:val="00985895"/>
    <w:rsid w:val="00986347"/>
    <w:rsid w:val="00986571"/>
    <w:rsid w:val="00987570"/>
    <w:rsid w:val="0099039E"/>
    <w:rsid w:val="0099090E"/>
    <w:rsid w:val="009909D4"/>
    <w:rsid w:val="009909F7"/>
    <w:rsid w:val="00992628"/>
    <w:rsid w:val="00993630"/>
    <w:rsid w:val="0099540C"/>
    <w:rsid w:val="00995A10"/>
    <w:rsid w:val="00995AA7"/>
    <w:rsid w:val="00996777"/>
    <w:rsid w:val="00996934"/>
    <w:rsid w:val="00996D52"/>
    <w:rsid w:val="0099717E"/>
    <w:rsid w:val="009A0612"/>
    <w:rsid w:val="009A140D"/>
    <w:rsid w:val="009A16EA"/>
    <w:rsid w:val="009A1FBB"/>
    <w:rsid w:val="009A2A4C"/>
    <w:rsid w:val="009A3ACE"/>
    <w:rsid w:val="009A5883"/>
    <w:rsid w:val="009A5BB5"/>
    <w:rsid w:val="009A767E"/>
    <w:rsid w:val="009A78FF"/>
    <w:rsid w:val="009B04E1"/>
    <w:rsid w:val="009B096C"/>
    <w:rsid w:val="009B1951"/>
    <w:rsid w:val="009B38F8"/>
    <w:rsid w:val="009B42EE"/>
    <w:rsid w:val="009B491B"/>
    <w:rsid w:val="009B5253"/>
    <w:rsid w:val="009B5D67"/>
    <w:rsid w:val="009B60A5"/>
    <w:rsid w:val="009B684F"/>
    <w:rsid w:val="009C0A1C"/>
    <w:rsid w:val="009C0A4E"/>
    <w:rsid w:val="009C119D"/>
    <w:rsid w:val="009C305F"/>
    <w:rsid w:val="009C392F"/>
    <w:rsid w:val="009C4F46"/>
    <w:rsid w:val="009C60F1"/>
    <w:rsid w:val="009C6D56"/>
    <w:rsid w:val="009D0164"/>
    <w:rsid w:val="009D14C7"/>
    <w:rsid w:val="009D1666"/>
    <w:rsid w:val="009D223B"/>
    <w:rsid w:val="009D2743"/>
    <w:rsid w:val="009D2744"/>
    <w:rsid w:val="009D2995"/>
    <w:rsid w:val="009D299A"/>
    <w:rsid w:val="009D34F2"/>
    <w:rsid w:val="009D3568"/>
    <w:rsid w:val="009D3B82"/>
    <w:rsid w:val="009D407E"/>
    <w:rsid w:val="009D4200"/>
    <w:rsid w:val="009D4EF4"/>
    <w:rsid w:val="009D5028"/>
    <w:rsid w:val="009D57BA"/>
    <w:rsid w:val="009D68EC"/>
    <w:rsid w:val="009D6EE5"/>
    <w:rsid w:val="009D7335"/>
    <w:rsid w:val="009D7447"/>
    <w:rsid w:val="009D76D8"/>
    <w:rsid w:val="009D7F40"/>
    <w:rsid w:val="009E0A2C"/>
    <w:rsid w:val="009E11A3"/>
    <w:rsid w:val="009E1DC8"/>
    <w:rsid w:val="009E3E5A"/>
    <w:rsid w:val="009E404D"/>
    <w:rsid w:val="009E434C"/>
    <w:rsid w:val="009E4B94"/>
    <w:rsid w:val="009E4EBF"/>
    <w:rsid w:val="009E56BD"/>
    <w:rsid w:val="009E69C3"/>
    <w:rsid w:val="009E6D4E"/>
    <w:rsid w:val="009E7129"/>
    <w:rsid w:val="009E73A2"/>
    <w:rsid w:val="009F018D"/>
    <w:rsid w:val="009F0985"/>
    <w:rsid w:val="009F1350"/>
    <w:rsid w:val="009F2008"/>
    <w:rsid w:val="009F2E78"/>
    <w:rsid w:val="009F366C"/>
    <w:rsid w:val="009F3A0C"/>
    <w:rsid w:val="009F4A7C"/>
    <w:rsid w:val="009F5AA1"/>
    <w:rsid w:val="009F67AB"/>
    <w:rsid w:val="009F6AE8"/>
    <w:rsid w:val="009F6E3A"/>
    <w:rsid w:val="009F7547"/>
    <w:rsid w:val="009F7E58"/>
    <w:rsid w:val="00A003E6"/>
    <w:rsid w:val="00A007E5"/>
    <w:rsid w:val="00A00CD1"/>
    <w:rsid w:val="00A011CE"/>
    <w:rsid w:val="00A02FFC"/>
    <w:rsid w:val="00A037DB"/>
    <w:rsid w:val="00A037E0"/>
    <w:rsid w:val="00A037E3"/>
    <w:rsid w:val="00A047B6"/>
    <w:rsid w:val="00A04B97"/>
    <w:rsid w:val="00A04CDB"/>
    <w:rsid w:val="00A05BF2"/>
    <w:rsid w:val="00A06908"/>
    <w:rsid w:val="00A0715D"/>
    <w:rsid w:val="00A079AD"/>
    <w:rsid w:val="00A07F42"/>
    <w:rsid w:val="00A13AE5"/>
    <w:rsid w:val="00A1496D"/>
    <w:rsid w:val="00A152D8"/>
    <w:rsid w:val="00A158F2"/>
    <w:rsid w:val="00A15917"/>
    <w:rsid w:val="00A15AE2"/>
    <w:rsid w:val="00A1608E"/>
    <w:rsid w:val="00A16315"/>
    <w:rsid w:val="00A16520"/>
    <w:rsid w:val="00A16821"/>
    <w:rsid w:val="00A16A01"/>
    <w:rsid w:val="00A16C18"/>
    <w:rsid w:val="00A17615"/>
    <w:rsid w:val="00A213D1"/>
    <w:rsid w:val="00A217A1"/>
    <w:rsid w:val="00A21AB1"/>
    <w:rsid w:val="00A2234D"/>
    <w:rsid w:val="00A23A14"/>
    <w:rsid w:val="00A24AF4"/>
    <w:rsid w:val="00A27279"/>
    <w:rsid w:val="00A27340"/>
    <w:rsid w:val="00A274C1"/>
    <w:rsid w:val="00A27A2D"/>
    <w:rsid w:val="00A27F53"/>
    <w:rsid w:val="00A30B3C"/>
    <w:rsid w:val="00A32365"/>
    <w:rsid w:val="00A33DDD"/>
    <w:rsid w:val="00A35090"/>
    <w:rsid w:val="00A35818"/>
    <w:rsid w:val="00A35876"/>
    <w:rsid w:val="00A35DDA"/>
    <w:rsid w:val="00A36336"/>
    <w:rsid w:val="00A3649C"/>
    <w:rsid w:val="00A3753E"/>
    <w:rsid w:val="00A379C9"/>
    <w:rsid w:val="00A40A0F"/>
    <w:rsid w:val="00A40D9B"/>
    <w:rsid w:val="00A4151B"/>
    <w:rsid w:val="00A4386C"/>
    <w:rsid w:val="00A443BE"/>
    <w:rsid w:val="00A4511B"/>
    <w:rsid w:val="00A45911"/>
    <w:rsid w:val="00A45959"/>
    <w:rsid w:val="00A46680"/>
    <w:rsid w:val="00A52704"/>
    <w:rsid w:val="00A52D88"/>
    <w:rsid w:val="00A5378A"/>
    <w:rsid w:val="00A53BED"/>
    <w:rsid w:val="00A53D23"/>
    <w:rsid w:val="00A54109"/>
    <w:rsid w:val="00A54A46"/>
    <w:rsid w:val="00A54B76"/>
    <w:rsid w:val="00A54BC2"/>
    <w:rsid w:val="00A54E4D"/>
    <w:rsid w:val="00A54F8F"/>
    <w:rsid w:val="00A55646"/>
    <w:rsid w:val="00A559EE"/>
    <w:rsid w:val="00A562D4"/>
    <w:rsid w:val="00A5691E"/>
    <w:rsid w:val="00A56DF6"/>
    <w:rsid w:val="00A60106"/>
    <w:rsid w:val="00A6070E"/>
    <w:rsid w:val="00A608E5"/>
    <w:rsid w:val="00A615EB"/>
    <w:rsid w:val="00A61672"/>
    <w:rsid w:val="00A622EC"/>
    <w:rsid w:val="00A6342F"/>
    <w:rsid w:val="00A6389E"/>
    <w:rsid w:val="00A64496"/>
    <w:rsid w:val="00A645A6"/>
    <w:rsid w:val="00A647E8"/>
    <w:rsid w:val="00A67F29"/>
    <w:rsid w:val="00A6AA8A"/>
    <w:rsid w:val="00A71246"/>
    <w:rsid w:val="00A71DC5"/>
    <w:rsid w:val="00A727E1"/>
    <w:rsid w:val="00A72D1E"/>
    <w:rsid w:val="00A7353D"/>
    <w:rsid w:val="00A76FE1"/>
    <w:rsid w:val="00A80CDC"/>
    <w:rsid w:val="00A8126B"/>
    <w:rsid w:val="00A81320"/>
    <w:rsid w:val="00A82790"/>
    <w:rsid w:val="00A82803"/>
    <w:rsid w:val="00A83BB8"/>
    <w:rsid w:val="00A843F6"/>
    <w:rsid w:val="00A84EAF"/>
    <w:rsid w:val="00A84F61"/>
    <w:rsid w:val="00A860D4"/>
    <w:rsid w:val="00A866A2"/>
    <w:rsid w:val="00A868A2"/>
    <w:rsid w:val="00A86D8E"/>
    <w:rsid w:val="00A909CD"/>
    <w:rsid w:val="00A90F49"/>
    <w:rsid w:val="00A91EEB"/>
    <w:rsid w:val="00A92593"/>
    <w:rsid w:val="00A925DD"/>
    <w:rsid w:val="00A927E9"/>
    <w:rsid w:val="00A92F95"/>
    <w:rsid w:val="00A930E7"/>
    <w:rsid w:val="00A94053"/>
    <w:rsid w:val="00A95541"/>
    <w:rsid w:val="00A95902"/>
    <w:rsid w:val="00A95B29"/>
    <w:rsid w:val="00A9605F"/>
    <w:rsid w:val="00A968D7"/>
    <w:rsid w:val="00AA02FD"/>
    <w:rsid w:val="00AA1891"/>
    <w:rsid w:val="00AA19FC"/>
    <w:rsid w:val="00AA223A"/>
    <w:rsid w:val="00AA2B0E"/>
    <w:rsid w:val="00AA3148"/>
    <w:rsid w:val="00AA315F"/>
    <w:rsid w:val="00AA351C"/>
    <w:rsid w:val="00AA6AC8"/>
    <w:rsid w:val="00AA7C4B"/>
    <w:rsid w:val="00AB1209"/>
    <w:rsid w:val="00AB1448"/>
    <w:rsid w:val="00AB250D"/>
    <w:rsid w:val="00AB5A7D"/>
    <w:rsid w:val="00AB5C0C"/>
    <w:rsid w:val="00AB6AF9"/>
    <w:rsid w:val="00AC05E0"/>
    <w:rsid w:val="00AC0C48"/>
    <w:rsid w:val="00AC0D42"/>
    <w:rsid w:val="00AC12E0"/>
    <w:rsid w:val="00AC194A"/>
    <w:rsid w:val="00AC3883"/>
    <w:rsid w:val="00AC41F5"/>
    <w:rsid w:val="00AC5342"/>
    <w:rsid w:val="00AC635C"/>
    <w:rsid w:val="00AC643F"/>
    <w:rsid w:val="00AC7009"/>
    <w:rsid w:val="00AD044B"/>
    <w:rsid w:val="00AD0EB8"/>
    <w:rsid w:val="00AD1E44"/>
    <w:rsid w:val="00AD3590"/>
    <w:rsid w:val="00AD447A"/>
    <w:rsid w:val="00AD44F2"/>
    <w:rsid w:val="00AD5024"/>
    <w:rsid w:val="00AD5ED5"/>
    <w:rsid w:val="00AD605C"/>
    <w:rsid w:val="00AD656B"/>
    <w:rsid w:val="00AD6BCD"/>
    <w:rsid w:val="00AE0E33"/>
    <w:rsid w:val="00AE143B"/>
    <w:rsid w:val="00AE20E7"/>
    <w:rsid w:val="00AE2BFB"/>
    <w:rsid w:val="00AE2C59"/>
    <w:rsid w:val="00AE3491"/>
    <w:rsid w:val="00AF0C8B"/>
    <w:rsid w:val="00AF11A7"/>
    <w:rsid w:val="00AF1298"/>
    <w:rsid w:val="00AF23B1"/>
    <w:rsid w:val="00AF2C70"/>
    <w:rsid w:val="00AF30CF"/>
    <w:rsid w:val="00AF3ADC"/>
    <w:rsid w:val="00AF3E33"/>
    <w:rsid w:val="00AF4200"/>
    <w:rsid w:val="00AF4480"/>
    <w:rsid w:val="00AF55B4"/>
    <w:rsid w:val="00AF665B"/>
    <w:rsid w:val="00AF6931"/>
    <w:rsid w:val="00AF7397"/>
    <w:rsid w:val="00AF7CF1"/>
    <w:rsid w:val="00B00985"/>
    <w:rsid w:val="00B01A58"/>
    <w:rsid w:val="00B0226B"/>
    <w:rsid w:val="00B02BC4"/>
    <w:rsid w:val="00B03A10"/>
    <w:rsid w:val="00B03A96"/>
    <w:rsid w:val="00B0412D"/>
    <w:rsid w:val="00B04E03"/>
    <w:rsid w:val="00B060B9"/>
    <w:rsid w:val="00B065D9"/>
    <w:rsid w:val="00B06979"/>
    <w:rsid w:val="00B06C5D"/>
    <w:rsid w:val="00B10120"/>
    <w:rsid w:val="00B108A5"/>
    <w:rsid w:val="00B109ED"/>
    <w:rsid w:val="00B11106"/>
    <w:rsid w:val="00B1162B"/>
    <w:rsid w:val="00B128FD"/>
    <w:rsid w:val="00B12CB1"/>
    <w:rsid w:val="00B12F49"/>
    <w:rsid w:val="00B13DEC"/>
    <w:rsid w:val="00B15572"/>
    <w:rsid w:val="00B160F9"/>
    <w:rsid w:val="00B174F9"/>
    <w:rsid w:val="00B176C6"/>
    <w:rsid w:val="00B20705"/>
    <w:rsid w:val="00B20E11"/>
    <w:rsid w:val="00B213AB"/>
    <w:rsid w:val="00B21437"/>
    <w:rsid w:val="00B220C6"/>
    <w:rsid w:val="00B2318C"/>
    <w:rsid w:val="00B23ABC"/>
    <w:rsid w:val="00B24414"/>
    <w:rsid w:val="00B270CC"/>
    <w:rsid w:val="00B2738C"/>
    <w:rsid w:val="00B27E2A"/>
    <w:rsid w:val="00B32693"/>
    <w:rsid w:val="00B32845"/>
    <w:rsid w:val="00B33191"/>
    <w:rsid w:val="00B33346"/>
    <w:rsid w:val="00B33DA4"/>
    <w:rsid w:val="00B3546F"/>
    <w:rsid w:val="00B36341"/>
    <w:rsid w:val="00B3691D"/>
    <w:rsid w:val="00B3699A"/>
    <w:rsid w:val="00B369E0"/>
    <w:rsid w:val="00B374C4"/>
    <w:rsid w:val="00B379A5"/>
    <w:rsid w:val="00B379B1"/>
    <w:rsid w:val="00B37E25"/>
    <w:rsid w:val="00B40315"/>
    <w:rsid w:val="00B43624"/>
    <w:rsid w:val="00B4475C"/>
    <w:rsid w:val="00B44F0A"/>
    <w:rsid w:val="00B45A4F"/>
    <w:rsid w:val="00B473D1"/>
    <w:rsid w:val="00B478BC"/>
    <w:rsid w:val="00B47FE7"/>
    <w:rsid w:val="00B5170F"/>
    <w:rsid w:val="00B53D96"/>
    <w:rsid w:val="00B53F8F"/>
    <w:rsid w:val="00B5405C"/>
    <w:rsid w:val="00B54BD1"/>
    <w:rsid w:val="00B554B7"/>
    <w:rsid w:val="00B556F3"/>
    <w:rsid w:val="00B572EA"/>
    <w:rsid w:val="00B57794"/>
    <w:rsid w:val="00B62547"/>
    <w:rsid w:val="00B625EF"/>
    <w:rsid w:val="00B6306B"/>
    <w:rsid w:val="00B63912"/>
    <w:rsid w:val="00B63A4C"/>
    <w:rsid w:val="00B63C38"/>
    <w:rsid w:val="00B64644"/>
    <w:rsid w:val="00B64A58"/>
    <w:rsid w:val="00B64DFD"/>
    <w:rsid w:val="00B650BE"/>
    <w:rsid w:val="00B657CB"/>
    <w:rsid w:val="00B65873"/>
    <w:rsid w:val="00B65B68"/>
    <w:rsid w:val="00B65FF9"/>
    <w:rsid w:val="00B67431"/>
    <w:rsid w:val="00B67C9A"/>
    <w:rsid w:val="00B7216F"/>
    <w:rsid w:val="00B723BE"/>
    <w:rsid w:val="00B7288A"/>
    <w:rsid w:val="00B73105"/>
    <w:rsid w:val="00B7358F"/>
    <w:rsid w:val="00B74DC7"/>
    <w:rsid w:val="00B768B2"/>
    <w:rsid w:val="00B809BE"/>
    <w:rsid w:val="00B81F6D"/>
    <w:rsid w:val="00B82705"/>
    <w:rsid w:val="00B827FA"/>
    <w:rsid w:val="00B832DF"/>
    <w:rsid w:val="00B83372"/>
    <w:rsid w:val="00B834F4"/>
    <w:rsid w:val="00B83873"/>
    <w:rsid w:val="00B84D33"/>
    <w:rsid w:val="00B85084"/>
    <w:rsid w:val="00B853E0"/>
    <w:rsid w:val="00B85825"/>
    <w:rsid w:val="00B85A53"/>
    <w:rsid w:val="00B86286"/>
    <w:rsid w:val="00B8637D"/>
    <w:rsid w:val="00B876AD"/>
    <w:rsid w:val="00B87A35"/>
    <w:rsid w:val="00B9079F"/>
    <w:rsid w:val="00B90B45"/>
    <w:rsid w:val="00B9293D"/>
    <w:rsid w:val="00B92E74"/>
    <w:rsid w:val="00B932B1"/>
    <w:rsid w:val="00B936B0"/>
    <w:rsid w:val="00B946D0"/>
    <w:rsid w:val="00B94DDD"/>
    <w:rsid w:val="00B959B0"/>
    <w:rsid w:val="00B95D13"/>
    <w:rsid w:val="00B966C7"/>
    <w:rsid w:val="00B96ED7"/>
    <w:rsid w:val="00B973FA"/>
    <w:rsid w:val="00B97C08"/>
    <w:rsid w:val="00BA0CCA"/>
    <w:rsid w:val="00BA109E"/>
    <w:rsid w:val="00BA1D88"/>
    <w:rsid w:val="00BA24A1"/>
    <w:rsid w:val="00BA335D"/>
    <w:rsid w:val="00BA3F98"/>
    <w:rsid w:val="00BA48E1"/>
    <w:rsid w:val="00BA4BD0"/>
    <w:rsid w:val="00BA4EBD"/>
    <w:rsid w:val="00BA4F1A"/>
    <w:rsid w:val="00BA54C0"/>
    <w:rsid w:val="00BA56AD"/>
    <w:rsid w:val="00BA625A"/>
    <w:rsid w:val="00BA6845"/>
    <w:rsid w:val="00BB045A"/>
    <w:rsid w:val="00BB18E4"/>
    <w:rsid w:val="00BB2114"/>
    <w:rsid w:val="00BB2A05"/>
    <w:rsid w:val="00BB3107"/>
    <w:rsid w:val="00BB444C"/>
    <w:rsid w:val="00BB4FE1"/>
    <w:rsid w:val="00BB5473"/>
    <w:rsid w:val="00BB570B"/>
    <w:rsid w:val="00BB573D"/>
    <w:rsid w:val="00BB67EA"/>
    <w:rsid w:val="00BB7FEF"/>
    <w:rsid w:val="00BC0112"/>
    <w:rsid w:val="00BC0BB4"/>
    <w:rsid w:val="00BC102C"/>
    <w:rsid w:val="00BC187C"/>
    <w:rsid w:val="00BC1C0E"/>
    <w:rsid w:val="00BC1F52"/>
    <w:rsid w:val="00BC25B7"/>
    <w:rsid w:val="00BC2B40"/>
    <w:rsid w:val="00BC2FBE"/>
    <w:rsid w:val="00BC3D9A"/>
    <w:rsid w:val="00BC41F2"/>
    <w:rsid w:val="00BC454D"/>
    <w:rsid w:val="00BC482A"/>
    <w:rsid w:val="00BC6D51"/>
    <w:rsid w:val="00BC7D13"/>
    <w:rsid w:val="00BD0396"/>
    <w:rsid w:val="00BD03A1"/>
    <w:rsid w:val="00BD0671"/>
    <w:rsid w:val="00BD0ACF"/>
    <w:rsid w:val="00BD0D1F"/>
    <w:rsid w:val="00BD0E2B"/>
    <w:rsid w:val="00BD13B1"/>
    <w:rsid w:val="00BD1407"/>
    <w:rsid w:val="00BD1D43"/>
    <w:rsid w:val="00BD24C3"/>
    <w:rsid w:val="00BD2A05"/>
    <w:rsid w:val="00BD36C6"/>
    <w:rsid w:val="00BD384B"/>
    <w:rsid w:val="00BD3890"/>
    <w:rsid w:val="00BD3DD2"/>
    <w:rsid w:val="00BD4939"/>
    <w:rsid w:val="00BD4FB7"/>
    <w:rsid w:val="00BD5CD9"/>
    <w:rsid w:val="00BD61D2"/>
    <w:rsid w:val="00BE0F54"/>
    <w:rsid w:val="00BE14F2"/>
    <w:rsid w:val="00BE1A41"/>
    <w:rsid w:val="00BE1EBE"/>
    <w:rsid w:val="00BE2A7B"/>
    <w:rsid w:val="00BE3745"/>
    <w:rsid w:val="00BE42F0"/>
    <w:rsid w:val="00BE5596"/>
    <w:rsid w:val="00BE5634"/>
    <w:rsid w:val="00BE577B"/>
    <w:rsid w:val="00BE65D3"/>
    <w:rsid w:val="00BE75D0"/>
    <w:rsid w:val="00BF138C"/>
    <w:rsid w:val="00BF2390"/>
    <w:rsid w:val="00BF337D"/>
    <w:rsid w:val="00BF3C54"/>
    <w:rsid w:val="00BF41C5"/>
    <w:rsid w:val="00BF474C"/>
    <w:rsid w:val="00BF4A53"/>
    <w:rsid w:val="00BF505F"/>
    <w:rsid w:val="00BF648A"/>
    <w:rsid w:val="00BF7385"/>
    <w:rsid w:val="00BF7925"/>
    <w:rsid w:val="00C0104F"/>
    <w:rsid w:val="00C01645"/>
    <w:rsid w:val="00C01825"/>
    <w:rsid w:val="00C0216F"/>
    <w:rsid w:val="00C0221B"/>
    <w:rsid w:val="00C02A16"/>
    <w:rsid w:val="00C0360F"/>
    <w:rsid w:val="00C046B9"/>
    <w:rsid w:val="00C04D70"/>
    <w:rsid w:val="00C04E8C"/>
    <w:rsid w:val="00C058E4"/>
    <w:rsid w:val="00C05CF7"/>
    <w:rsid w:val="00C106FA"/>
    <w:rsid w:val="00C109C1"/>
    <w:rsid w:val="00C10D06"/>
    <w:rsid w:val="00C111A3"/>
    <w:rsid w:val="00C12C6A"/>
    <w:rsid w:val="00C1368D"/>
    <w:rsid w:val="00C14315"/>
    <w:rsid w:val="00C15111"/>
    <w:rsid w:val="00C15837"/>
    <w:rsid w:val="00C158FC"/>
    <w:rsid w:val="00C17835"/>
    <w:rsid w:val="00C20498"/>
    <w:rsid w:val="00C2086E"/>
    <w:rsid w:val="00C20DE0"/>
    <w:rsid w:val="00C20E97"/>
    <w:rsid w:val="00C21AA1"/>
    <w:rsid w:val="00C21ED9"/>
    <w:rsid w:val="00C22558"/>
    <w:rsid w:val="00C247DF"/>
    <w:rsid w:val="00C25649"/>
    <w:rsid w:val="00C263EB"/>
    <w:rsid w:val="00C27D57"/>
    <w:rsid w:val="00C304A5"/>
    <w:rsid w:val="00C30BE8"/>
    <w:rsid w:val="00C30C3B"/>
    <w:rsid w:val="00C31FB7"/>
    <w:rsid w:val="00C32909"/>
    <w:rsid w:val="00C32EC0"/>
    <w:rsid w:val="00C334E7"/>
    <w:rsid w:val="00C33560"/>
    <w:rsid w:val="00C338B9"/>
    <w:rsid w:val="00C34504"/>
    <w:rsid w:val="00C3477E"/>
    <w:rsid w:val="00C354DF"/>
    <w:rsid w:val="00C355B8"/>
    <w:rsid w:val="00C358EB"/>
    <w:rsid w:val="00C35EFE"/>
    <w:rsid w:val="00C36F15"/>
    <w:rsid w:val="00C40466"/>
    <w:rsid w:val="00C40614"/>
    <w:rsid w:val="00C40EA8"/>
    <w:rsid w:val="00C428BF"/>
    <w:rsid w:val="00C4346E"/>
    <w:rsid w:val="00C4375E"/>
    <w:rsid w:val="00C439DA"/>
    <w:rsid w:val="00C44583"/>
    <w:rsid w:val="00C453A6"/>
    <w:rsid w:val="00C455CF"/>
    <w:rsid w:val="00C45660"/>
    <w:rsid w:val="00C45EA0"/>
    <w:rsid w:val="00C4617E"/>
    <w:rsid w:val="00C4657F"/>
    <w:rsid w:val="00C47238"/>
    <w:rsid w:val="00C506C9"/>
    <w:rsid w:val="00C50A24"/>
    <w:rsid w:val="00C515AD"/>
    <w:rsid w:val="00C519FF"/>
    <w:rsid w:val="00C53CA4"/>
    <w:rsid w:val="00C54CB5"/>
    <w:rsid w:val="00C5508D"/>
    <w:rsid w:val="00C55436"/>
    <w:rsid w:val="00C56186"/>
    <w:rsid w:val="00C568D8"/>
    <w:rsid w:val="00C5788A"/>
    <w:rsid w:val="00C57C96"/>
    <w:rsid w:val="00C600A5"/>
    <w:rsid w:val="00C600C3"/>
    <w:rsid w:val="00C60270"/>
    <w:rsid w:val="00C62F09"/>
    <w:rsid w:val="00C632E2"/>
    <w:rsid w:val="00C63A7A"/>
    <w:rsid w:val="00C64007"/>
    <w:rsid w:val="00C64C37"/>
    <w:rsid w:val="00C64E6D"/>
    <w:rsid w:val="00C66C37"/>
    <w:rsid w:val="00C6756A"/>
    <w:rsid w:val="00C67CAC"/>
    <w:rsid w:val="00C7045B"/>
    <w:rsid w:val="00C732F4"/>
    <w:rsid w:val="00C7407F"/>
    <w:rsid w:val="00C742AA"/>
    <w:rsid w:val="00C742B0"/>
    <w:rsid w:val="00C7542A"/>
    <w:rsid w:val="00C75D3E"/>
    <w:rsid w:val="00C75EB4"/>
    <w:rsid w:val="00C75F3E"/>
    <w:rsid w:val="00C762F4"/>
    <w:rsid w:val="00C76A44"/>
    <w:rsid w:val="00C772B8"/>
    <w:rsid w:val="00C775F4"/>
    <w:rsid w:val="00C80743"/>
    <w:rsid w:val="00C8230C"/>
    <w:rsid w:val="00C82898"/>
    <w:rsid w:val="00C82CBA"/>
    <w:rsid w:val="00C82D8F"/>
    <w:rsid w:val="00C843B3"/>
    <w:rsid w:val="00C85000"/>
    <w:rsid w:val="00C85723"/>
    <w:rsid w:val="00C85DF1"/>
    <w:rsid w:val="00C85FB2"/>
    <w:rsid w:val="00C86CD0"/>
    <w:rsid w:val="00C86F29"/>
    <w:rsid w:val="00C907D4"/>
    <w:rsid w:val="00C91D91"/>
    <w:rsid w:val="00C92005"/>
    <w:rsid w:val="00C92A3B"/>
    <w:rsid w:val="00C92C99"/>
    <w:rsid w:val="00C92E12"/>
    <w:rsid w:val="00C93BD1"/>
    <w:rsid w:val="00C93BFB"/>
    <w:rsid w:val="00C94D76"/>
    <w:rsid w:val="00C95141"/>
    <w:rsid w:val="00C96143"/>
    <w:rsid w:val="00C9636E"/>
    <w:rsid w:val="00C96B08"/>
    <w:rsid w:val="00C978B0"/>
    <w:rsid w:val="00CA0675"/>
    <w:rsid w:val="00CA08E8"/>
    <w:rsid w:val="00CA0BCE"/>
    <w:rsid w:val="00CA2133"/>
    <w:rsid w:val="00CA3785"/>
    <w:rsid w:val="00CA3F6F"/>
    <w:rsid w:val="00CA51B2"/>
    <w:rsid w:val="00CA5201"/>
    <w:rsid w:val="00CA6F85"/>
    <w:rsid w:val="00CB0918"/>
    <w:rsid w:val="00CB1AA5"/>
    <w:rsid w:val="00CB20C1"/>
    <w:rsid w:val="00CB281D"/>
    <w:rsid w:val="00CB2C46"/>
    <w:rsid w:val="00CB31BC"/>
    <w:rsid w:val="00CB4801"/>
    <w:rsid w:val="00CB4C99"/>
    <w:rsid w:val="00CB57DA"/>
    <w:rsid w:val="00CB5A9A"/>
    <w:rsid w:val="00CB64E9"/>
    <w:rsid w:val="00CB6A63"/>
    <w:rsid w:val="00CB7A4C"/>
    <w:rsid w:val="00CC0A42"/>
    <w:rsid w:val="00CC0E13"/>
    <w:rsid w:val="00CC0E74"/>
    <w:rsid w:val="00CC1B6D"/>
    <w:rsid w:val="00CC2657"/>
    <w:rsid w:val="00CC3C57"/>
    <w:rsid w:val="00CC3D22"/>
    <w:rsid w:val="00CC49DC"/>
    <w:rsid w:val="00CC4DA2"/>
    <w:rsid w:val="00CC5254"/>
    <w:rsid w:val="00CC57E0"/>
    <w:rsid w:val="00CC5EA5"/>
    <w:rsid w:val="00CC5F4F"/>
    <w:rsid w:val="00CC66B0"/>
    <w:rsid w:val="00CC6879"/>
    <w:rsid w:val="00CC6F1F"/>
    <w:rsid w:val="00CC733E"/>
    <w:rsid w:val="00CD0110"/>
    <w:rsid w:val="00CD0938"/>
    <w:rsid w:val="00CD0944"/>
    <w:rsid w:val="00CD0A29"/>
    <w:rsid w:val="00CD14B7"/>
    <w:rsid w:val="00CD172B"/>
    <w:rsid w:val="00CD2FE4"/>
    <w:rsid w:val="00CD3292"/>
    <w:rsid w:val="00CD333F"/>
    <w:rsid w:val="00CD3978"/>
    <w:rsid w:val="00CD4244"/>
    <w:rsid w:val="00CD5682"/>
    <w:rsid w:val="00CD6839"/>
    <w:rsid w:val="00CD6A03"/>
    <w:rsid w:val="00CD7B4E"/>
    <w:rsid w:val="00CE0938"/>
    <w:rsid w:val="00CE1C84"/>
    <w:rsid w:val="00CE2148"/>
    <w:rsid w:val="00CE2C13"/>
    <w:rsid w:val="00CE2C6D"/>
    <w:rsid w:val="00CE3AA0"/>
    <w:rsid w:val="00CE41F6"/>
    <w:rsid w:val="00CE45BD"/>
    <w:rsid w:val="00CE47EE"/>
    <w:rsid w:val="00CE594F"/>
    <w:rsid w:val="00CE5992"/>
    <w:rsid w:val="00CE6B61"/>
    <w:rsid w:val="00CF03FE"/>
    <w:rsid w:val="00CF0717"/>
    <w:rsid w:val="00CF11A3"/>
    <w:rsid w:val="00CF169A"/>
    <w:rsid w:val="00CF2E69"/>
    <w:rsid w:val="00CF6260"/>
    <w:rsid w:val="00CF6A88"/>
    <w:rsid w:val="00CF6BDF"/>
    <w:rsid w:val="00CF6EF5"/>
    <w:rsid w:val="00CF7FBE"/>
    <w:rsid w:val="00D00227"/>
    <w:rsid w:val="00D00562"/>
    <w:rsid w:val="00D00BFE"/>
    <w:rsid w:val="00D015EC"/>
    <w:rsid w:val="00D0278C"/>
    <w:rsid w:val="00D036E3"/>
    <w:rsid w:val="00D04E6A"/>
    <w:rsid w:val="00D04F59"/>
    <w:rsid w:val="00D0535E"/>
    <w:rsid w:val="00D05A84"/>
    <w:rsid w:val="00D063B3"/>
    <w:rsid w:val="00D06D0E"/>
    <w:rsid w:val="00D10292"/>
    <w:rsid w:val="00D10FA4"/>
    <w:rsid w:val="00D11296"/>
    <w:rsid w:val="00D13BDE"/>
    <w:rsid w:val="00D140B7"/>
    <w:rsid w:val="00D1498A"/>
    <w:rsid w:val="00D15D91"/>
    <w:rsid w:val="00D16685"/>
    <w:rsid w:val="00D17653"/>
    <w:rsid w:val="00D178EA"/>
    <w:rsid w:val="00D17B72"/>
    <w:rsid w:val="00D17C3A"/>
    <w:rsid w:val="00D20EDD"/>
    <w:rsid w:val="00D25391"/>
    <w:rsid w:val="00D25DDD"/>
    <w:rsid w:val="00D26BB5"/>
    <w:rsid w:val="00D30AA8"/>
    <w:rsid w:val="00D30BC5"/>
    <w:rsid w:val="00D311DB"/>
    <w:rsid w:val="00D31D36"/>
    <w:rsid w:val="00D31E6A"/>
    <w:rsid w:val="00D32D29"/>
    <w:rsid w:val="00D3457D"/>
    <w:rsid w:val="00D35084"/>
    <w:rsid w:val="00D35E01"/>
    <w:rsid w:val="00D36B4F"/>
    <w:rsid w:val="00D3781E"/>
    <w:rsid w:val="00D37F8F"/>
    <w:rsid w:val="00D42B58"/>
    <w:rsid w:val="00D43E9B"/>
    <w:rsid w:val="00D46802"/>
    <w:rsid w:val="00D473A6"/>
    <w:rsid w:val="00D478F1"/>
    <w:rsid w:val="00D47C6C"/>
    <w:rsid w:val="00D47DAB"/>
    <w:rsid w:val="00D501AA"/>
    <w:rsid w:val="00D5115F"/>
    <w:rsid w:val="00D52FEB"/>
    <w:rsid w:val="00D533D6"/>
    <w:rsid w:val="00D54506"/>
    <w:rsid w:val="00D55843"/>
    <w:rsid w:val="00D55E37"/>
    <w:rsid w:val="00D5628C"/>
    <w:rsid w:val="00D56BDF"/>
    <w:rsid w:val="00D608E1"/>
    <w:rsid w:val="00D60EC4"/>
    <w:rsid w:val="00D61321"/>
    <w:rsid w:val="00D61889"/>
    <w:rsid w:val="00D62F7F"/>
    <w:rsid w:val="00D636E5"/>
    <w:rsid w:val="00D63BAD"/>
    <w:rsid w:val="00D64224"/>
    <w:rsid w:val="00D64F9F"/>
    <w:rsid w:val="00D64FB3"/>
    <w:rsid w:val="00D65E8D"/>
    <w:rsid w:val="00D661A9"/>
    <w:rsid w:val="00D66800"/>
    <w:rsid w:val="00D66E9B"/>
    <w:rsid w:val="00D67D9E"/>
    <w:rsid w:val="00D70144"/>
    <w:rsid w:val="00D72C3E"/>
    <w:rsid w:val="00D73022"/>
    <w:rsid w:val="00D73621"/>
    <w:rsid w:val="00D73705"/>
    <w:rsid w:val="00D73E14"/>
    <w:rsid w:val="00D7420C"/>
    <w:rsid w:val="00D747B5"/>
    <w:rsid w:val="00D74CBA"/>
    <w:rsid w:val="00D74D04"/>
    <w:rsid w:val="00D76491"/>
    <w:rsid w:val="00D7665A"/>
    <w:rsid w:val="00D768D1"/>
    <w:rsid w:val="00D7731F"/>
    <w:rsid w:val="00D80E5D"/>
    <w:rsid w:val="00D828F8"/>
    <w:rsid w:val="00D82CC1"/>
    <w:rsid w:val="00D832A6"/>
    <w:rsid w:val="00D843F3"/>
    <w:rsid w:val="00D847AF"/>
    <w:rsid w:val="00D85ABC"/>
    <w:rsid w:val="00D8667C"/>
    <w:rsid w:val="00D86916"/>
    <w:rsid w:val="00D86AB9"/>
    <w:rsid w:val="00D86CFF"/>
    <w:rsid w:val="00D87633"/>
    <w:rsid w:val="00D908F6"/>
    <w:rsid w:val="00D9117C"/>
    <w:rsid w:val="00D91339"/>
    <w:rsid w:val="00D913F2"/>
    <w:rsid w:val="00D92374"/>
    <w:rsid w:val="00D92982"/>
    <w:rsid w:val="00D9298C"/>
    <w:rsid w:val="00D92CCA"/>
    <w:rsid w:val="00D937EA"/>
    <w:rsid w:val="00D942FF"/>
    <w:rsid w:val="00D94A3D"/>
    <w:rsid w:val="00D9529C"/>
    <w:rsid w:val="00D96212"/>
    <w:rsid w:val="00D97E39"/>
    <w:rsid w:val="00DA0803"/>
    <w:rsid w:val="00DA2FDF"/>
    <w:rsid w:val="00DA4137"/>
    <w:rsid w:val="00DA4E1B"/>
    <w:rsid w:val="00DA53B6"/>
    <w:rsid w:val="00DA589A"/>
    <w:rsid w:val="00DA6023"/>
    <w:rsid w:val="00DA64B2"/>
    <w:rsid w:val="00DA744A"/>
    <w:rsid w:val="00DA790A"/>
    <w:rsid w:val="00DB01AD"/>
    <w:rsid w:val="00DB2D6B"/>
    <w:rsid w:val="00DB369F"/>
    <w:rsid w:val="00DB4D2D"/>
    <w:rsid w:val="00DB6CAF"/>
    <w:rsid w:val="00DB71F6"/>
    <w:rsid w:val="00DB7394"/>
    <w:rsid w:val="00DB7673"/>
    <w:rsid w:val="00DB78B9"/>
    <w:rsid w:val="00DB7A75"/>
    <w:rsid w:val="00DC0082"/>
    <w:rsid w:val="00DC09B8"/>
    <w:rsid w:val="00DC0E66"/>
    <w:rsid w:val="00DC10BA"/>
    <w:rsid w:val="00DC1223"/>
    <w:rsid w:val="00DC2022"/>
    <w:rsid w:val="00DC2E27"/>
    <w:rsid w:val="00DC4451"/>
    <w:rsid w:val="00DC4496"/>
    <w:rsid w:val="00DC5AB0"/>
    <w:rsid w:val="00DC603B"/>
    <w:rsid w:val="00DC6BB7"/>
    <w:rsid w:val="00DC6D62"/>
    <w:rsid w:val="00DC738A"/>
    <w:rsid w:val="00DC7C42"/>
    <w:rsid w:val="00DD0266"/>
    <w:rsid w:val="00DD0578"/>
    <w:rsid w:val="00DD08AF"/>
    <w:rsid w:val="00DD1EDA"/>
    <w:rsid w:val="00DD218B"/>
    <w:rsid w:val="00DD2FA0"/>
    <w:rsid w:val="00DD30A5"/>
    <w:rsid w:val="00DD34A5"/>
    <w:rsid w:val="00DD42C5"/>
    <w:rsid w:val="00DD49E3"/>
    <w:rsid w:val="00DD5142"/>
    <w:rsid w:val="00DD5583"/>
    <w:rsid w:val="00DE0DB9"/>
    <w:rsid w:val="00DE1E34"/>
    <w:rsid w:val="00DE1F2F"/>
    <w:rsid w:val="00DE2AA7"/>
    <w:rsid w:val="00DE2FA3"/>
    <w:rsid w:val="00DE31B0"/>
    <w:rsid w:val="00DE3ED6"/>
    <w:rsid w:val="00DE4177"/>
    <w:rsid w:val="00DE4251"/>
    <w:rsid w:val="00DE4421"/>
    <w:rsid w:val="00DE443E"/>
    <w:rsid w:val="00DE4513"/>
    <w:rsid w:val="00DF00A7"/>
    <w:rsid w:val="00DF0AC4"/>
    <w:rsid w:val="00DF1A65"/>
    <w:rsid w:val="00DF212B"/>
    <w:rsid w:val="00DF259D"/>
    <w:rsid w:val="00DF3204"/>
    <w:rsid w:val="00DF3FAC"/>
    <w:rsid w:val="00DF4A75"/>
    <w:rsid w:val="00DF4B9D"/>
    <w:rsid w:val="00DF5445"/>
    <w:rsid w:val="00DF6AEE"/>
    <w:rsid w:val="00DF7311"/>
    <w:rsid w:val="00E003C4"/>
    <w:rsid w:val="00E00DF8"/>
    <w:rsid w:val="00E01794"/>
    <w:rsid w:val="00E01F96"/>
    <w:rsid w:val="00E02D68"/>
    <w:rsid w:val="00E02E5F"/>
    <w:rsid w:val="00E046E1"/>
    <w:rsid w:val="00E0509D"/>
    <w:rsid w:val="00E055D5"/>
    <w:rsid w:val="00E06BDF"/>
    <w:rsid w:val="00E07352"/>
    <w:rsid w:val="00E07AA7"/>
    <w:rsid w:val="00E10103"/>
    <w:rsid w:val="00E10C32"/>
    <w:rsid w:val="00E13436"/>
    <w:rsid w:val="00E13F8E"/>
    <w:rsid w:val="00E14747"/>
    <w:rsid w:val="00E1557B"/>
    <w:rsid w:val="00E15AA8"/>
    <w:rsid w:val="00E17DC8"/>
    <w:rsid w:val="00E20726"/>
    <w:rsid w:val="00E2087F"/>
    <w:rsid w:val="00E216F1"/>
    <w:rsid w:val="00E227B4"/>
    <w:rsid w:val="00E23745"/>
    <w:rsid w:val="00E26F34"/>
    <w:rsid w:val="00E27249"/>
    <w:rsid w:val="00E300A8"/>
    <w:rsid w:val="00E308B0"/>
    <w:rsid w:val="00E3128B"/>
    <w:rsid w:val="00E3288E"/>
    <w:rsid w:val="00E32F24"/>
    <w:rsid w:val="00E33654"/>
    <w:rsid w:val="00E33A13"/>
    <w:rsid w:val="00E34767"/>
    <w:rsid w:val="00E35CEE"/>
    <w:rsid w:val="00E36178"/>
    <w:rsid w:val="00E3756E"/>
    <w:rsid w:val="00E379E7"/>
    <w:rsid w:val="00E37A88"/>
    <w:rsid w:val="00E40B55"/>
    <w:rsid w:val="00E41055"/>
    <w:rsid w:val="00E41766"/>
    <w:rsid w:val="00E43485"/>
    <w:rsid w:val="00E4358F"/>
    <w:rsid w:val="00E43967"/>
    <w:rsid w:val="00E47232"/>
    <w:rsid w:val="00E47C93"/>
    <w:rsid w:val="00E525B4"/>
    <w:rsid w:val="00E52F0B"/>
    <w:rsid w:val="00E53330"/>
    <w:rsid w:val="00E55375"/>
    <w:rsid w:val="00E562B8"/>
    <w:rsid w:val="00E577EA"/>
    <w:rsid w:val="00E57D0B"/>
    <w:rsid w:val="00E57E63"/>
    <w:rsid w:val="00E60054"/>
    <w:rsid w:val="00E60432"/>
    <w:rsid w:val="00E62EA7"/>
    <w:rsid w:val="00E65E82"/>
    <w:rsid w:val="00E74096"/>
    <w:rsid w:val="00E7500F"/>
    <w:rsid w:val="00E751FB"/>
    <w:rsid w:val="00E75275"/>
    <w:rsid w:val="00E759DB"/>
    <w:rsid w:val="00E77C44"/>
    <w:rsid w:val="00E802CE"/>
    <w:rsid w:val="00E813B3"/>
    <w:rsid w:val="00E824E9"/>
    <w:rsid w:val="00E82DA5"/>
    <w:rsid w:val="00E840A8"/>
    <w:rsid w:val="00E85C61"/>
    <w:rsid w:val="00E85FA2"/>
    <w:rsid w:val="00E868CA"/>
    <w:rsid w:val="00E86940"/>
    <w:rsid w:val="00E87EBB"/>
    <w:rsid w:val="00E90039"/>
    <w:rsid w:val="00E902BB"/>
    <w:rsid w:val="00E9118F"/>
    <w:rsid w:val="00E93D85"/>
    <w:rsid w:val="00E941D9"/>
    <w:rsid w:val="00E94854"/>
    <w:rsid w:val="00E95163"/>
    <w:rsid w:val="00E95ABC"/>
    <w:rsid w:val="00E95EE7"/>
    <w:rsid w:val="00E9602F"/>
    <w:rsid w:val="00E96CB2"/>
    <w:rsid w:val="00E96EB4"/>
    <w:rsid w:val="00E978B2"/>
    <w:rsid w:val="00EA10E1"/>
    <w:rsid w:val="00EA2E3D"/>
    <w:rsid w:val="00EA417F"/>
    <w:rsid w:val="00EA4406"/>
    <w:rsid w:val="00EA478D"/>
    <w:rsid w:val="00EA4886"/>
    <w:rsid w:val="00EA537F"/>
    <w:rsid w:val="00EA56E4"/>
    <w:rsid w:val="00EA5D1E"/>
    <w:rsid w:val="00EA7595"/>
    <w:rsid w:val="00EA7BD1"/>
    <w:rsid w:val="00EA7D44"/>
    <w:rsid w:val="00EA7D4F"/>
    <w:rsid w:val="00EA7F20"/>
    <w:rsid w:val="00EB073E"/>
    <w:rsid w:val="00EB0769"/>
    <w:rsid w:val="00EB0884"/>
    <w:rsid w:val="00EB16F7"/>
    <w:rsid w:val="00EB21E8"/>
    <w:rsid w:val="00EB27C6"/>
    <w:rsid w:val="00EB3795"/>
    <w:rsid w:val="00EB3D6F"/>
    <w:rsid w:val="00EB56A6"/>
    <w:rsid w:val="00EB6EF0"/>
    <w:rsid w:val="00EB729D"/>
    <w:rsid w:val="00EB7997"/>
    <w:rsid w:val="00EB79CB"/>
    <w:rsid w:val="00EB7BC1"/>
    <w:rsid w:val="00EC2701"/>
    <w:rsid w:val="00EC3168"/>
    <w:rsid w:val="00EC32DA"/>
    <w:rsid w:val="00EC3917"/>
    <w:rsid w:val="00EC3B87"/>
    <w:rsid w:val="00EC3CE6"/>
    <w:rsid w:val="00EC43E0"/>
    <w:rsid w:val="00EC504C"/>
    <w:rsid w:val="00EC516B"/>
    <w:rsid w:val="00EC69C7"/>
    <w:rsid w:val="00EC6B6A"/>
    <w:rsid w:val="00EC72ED"/>
    <w:rsid w:val="00EC7592"/>
    <w:rsid w:val="00EC7A7B"/>
    <w:rsid w:val="00ED05F9"/>
    <w:rsid w:val="00ED0E75"/>
    <w:rsid w:val="00ED11A2"/>
    <w:rsid w:val="00ED1CC6"/>
    <w:rsid w:val="00ED27BE"/>
    <w:rsid w:val="00ED2C0F"/>
    <w:rsid w:val="00ED3FC6"/>
    <w:rsid w:val="00ED55E4"/>
    <w:rsid w:val="00ED5711"/>
    <w:rsid w:val="00ED657C"/>
    <w:rsid w:val="00ED688F"/>
    <w:rsid w:val="00ED759C"/>
    <w:rsid w:val="00ED783D"/>
    <w:rsid w:val="00EE079A"/>
    <w:rsid w:val="00EE3139"/>
    <w:rsid w:val="00EE3DFC"/>
    <w:rsid w:val="00EE3FD6"/>
    <w:rsid w:val="00EE492F"/>
    <w:rsid w:val="00EE49C8"/>
    <w:rsid w:val="00EE5118"/>
    <w:rsid w:val="00EE60E5"/>
    <w:rsid w:val="00EE6DD9"/>
    <w:rsid w:val="00EF0DE2"/>
    <w:rsid w:val="00EF1F79"/>
    <w:rsid w:val="00EF233E"/>
    <w:rsid w:val="00EF28BA"/>
    <w:rsid w:val="00EF43FC"/>
    <w:rsid w:val="00EF45EC"/>
    <w:rsid w:val="00EF4CC9"/>
    <w:rsid w:val="00EF549A"/>
    <w:rsid w:val="00EF5D62"/>
    <w:rsid w:val="00EF6077"/>
    <w:rsid w:val="00EF645D"/>
    <w:rsid w:val="00EF66BD"/>
    <w:rsid w:val="00EF77DF"/>
    <w:rsid w:val="00F00E8B"/>
    <w:rsid w:val="00F02B59"/>
    <w:rsid w:val="00F032B3"/>
    <w:rsid w:val="00F03813"/>
    <w:rsid w:val="00F03D36"/>
    <w:rsid w:val="00F05564"/>
    <w:rsid w:val="00F11435"/>
    <w:rsid w:val="00F11C89"/>
    <w:rsid w:val="00F11FF2"/>
    <w:rsid w:val="00F12528"/>
    <w:rsid w:val="00F1274F"/>
    <w:rsid w:val="00F12D24"/>
    <w:rsid w:val="00F14CF9"/>
    <w:rsid w:val="00F16A67"/>
    <w:rsid w:val="00F16E7C"/>
    <w:rsid w:val="00F170A8"/>
    <w:rsid w:val="00F17F43"/>
    <w:rsid w:val="00F202E4"/>
    <w:rsid w:val="00F20FDB"/>
    <w:rsid w:val="00F2129E"/>
    <w:rsid w:val="00F219CF"/>
    <w:rsid w:val="00F224A0"/>
    <w:rsid w:val="00F24B68"/>
    <w:rsid w:val="00F25A88"/>
    <w:rsid w:val="00F25C0F"/>
    <w:rsid w:val="00F275F5"/>
    <w:rsid w:val="00F27A2D"/>
    <w:rsid w:val="00F3137F"/>
    <w:rsid w:val="00F31CBC"/>
    <w:rsid w:val="00F31D23"/>
    <w:rsid w:val="00F33F69"/>
    <w:rsid w:val="00F34F0B"/>
    <w:rsid w:val="00F3558B"/>
    <w:rsid w:val="00F36572"/>
    <w:rsid w:val="00F404C5"/>
    <w:rsid w:val="00F40510"/>
    <w:rsid w:val="00F40A6D"/>
    <w:rsid w:val="00F40A98"/>
    <w:rsid w:val="00F414E8"/>
    <w:rsid w:val="00F43C5C"/>
    <w:rsid w:val="00F44473"/>
    <w:rsid w:val="00F45177"/>
    <w:rsid w:val="00F456B1"/>
    <w:rsid w:val="00F45B72"/>
    <w:rsid w:val="00F46785"/>
    <w:rsid w:val="00F472CA"/>
    <w:rsid w:val="00F47FD4"/>
    <w:rsid w:val="00F502EE"/>
    <w:rsid w:val="00F516AF"/>
    <w:rsid w:val="00F52091"/>
    <w:rsid w:val="00F5252D"/>
    <w:rsid w:val="00F53514"/>
    <w:rsid w:val="00F53B99"/>
    <w:rsid w:val="00F5478D"/>
    <w:rsid w:val="00F54E4C"/>
    <w:rsid w:val="00F55611"/>
    <w:rsid w:val="00F57862"/>
    <w:rsid w:val="00F610E7"/>
    <w:rsid w:val="00F633D2"/>
    <w:rsid w:val="00F6492B"/>
    <w:rsid w:val="00F64964"/>
    <w:rsid w:val="00F64A30"/>
    <w:rsid w:val="00F64A8C"/>
    <w:rsid w:val="00F64E0D"/>
    <w:rsid w:val="00F65A10"/>
    <w:rsid w:val="00F65BE9"/>
    <w:rsid w:val="00F66213"/>
    <w:rsid w:val="00F66A94"/>
    <w:rsid w:val="00F66F6B"/>
    <w:rsid w:val="00F67FED"/>
    <w:rsid w:val="00F70431"/>
    <w:rsid w:val="00F71BBE"/>
    <w:rsid w:val="00F72402"/>
    <w:rsid w:val="00F72B62"/>
    <w:rsid w:val="00F7690E"/>
    <w:rsid w:val="00F76B9E"/>
    <w:rsid w:val="00F77588"/>
    <w:rsid w:val="00F80007"/>
    <w:rsid w:val="00F80051"/>
    <w:rsid w:val="00F80D40"/>
    <w:rsid w:val="00F81347"/>
    <w:rsid w:val="00F824B8"/>
    <w:rsid w:val="00F849D3"/>
    <w:rsid w:val="00F86123"/>
    <w:rsid w:val="00F86DAF"/>
    <w:rsid w:val="00F87F7D"/>
    <w:rsid w:val="00F90786"/>
    <w:rsid w:val="00F91FE7"/>
    <w:rsid w:val="00F92D91"/>
    <w:rsid w:val="00F92E1B"/>
    <w:rsid w:val="00F93198"/>
    <w:rsid w:val="00F94358"/>
    <w:rsid w:val="00F95816"/>
    <w:rsid w:val="00F95A65"/>
    <w:rsid w:val="00F970AE"/>
    <w:rsid w:val="00F9720C"/>
    <w:rsid w:val="00F974DC"/>
    <w:rsid w:val="00F9794B"/>
    <w:rsid w:val="00F97AB3"/>
    <w:rsid w:val="00FA0119"/>
    <w:rsid w:val="00FA073E"/>
    <w:rsid w:val="00FA0FEB"/>
    <w:rsid w:val="00FA1312"/>
    <w:rsid w:val="00FA14A3"/>
    <w:rsid w:val="00FA1640"/>
    <w:rsid w:val="00FA2D40"/>
    <w:rsid w:val="00FA2EDD"/>
    <w:rsid w:val="00FA319B"/>
    <w:rsid w:val="00FA357B"/>
    <w:rsid w:val="00FA4ADB"/>
    <w:rsid w:val="00FA68CA"/>
    <w:rsid w:val="00FB0F98"/>
    <w:rsid w:val="00FB138E"/>
    <w:rsid w:val="00FB141B"/>
    <w:rsid w:val="00FB17A5"/>
    <w:rsid w:val="00FB18FF"/>
    <w:rsid w:val="00FB1B1A"/>
    <w:rsid w:val="00FB20FC"/>
    <w:rsid w:val="00FB2435"/>
    <w:rsid w:val="00FB2C5C"/>
    <w:rsid w:val="00FB2E06"/>
    <w:rsid w:val="00FB3B57"/>
    <w:rsid w:val="00FB6EA4"/>
    <w:rsid w:val="00FB79BF"/>
    <w:rsid w:val="00FB7BE6"/>
    <w:rsid w:val="00FC00CC"/>
    <w:rsid w:val="00FC1C01"/>
    <w:rsid w:val="00FC1FCE"/>
    <w:rsid w:val="00FC22CD"/>
    <w:rsid w:val="00FC23B6"/>
    <w:rsid w:val="00FC5951"/>
    <w:rsid w:val="00FC596F"/>
    <w:rsid w:val="00FC6B12"/>
    <w:rsid w:val="00FC6FCE"/>
    <w:rsid w:val="00FC7721"/>
    <w:rsid w:val="00FD08CC"/>
    <w:rsid w:val="00FD1D1C"/>
    <w:rsid w:val="00FD3419"/>
    <w:rsid w:val="00FD44FB"/>
    <w:rsid w:val="00FD4ADB"/>
    <w:rsid w:val="00FD67F6"/>
    <w:rsid w:val="00FD7994"/>
    <w:rsid w:val="00FE06B4"/>
    <w:rsid w:val="00FE136F"/>
    <w:rsid w:val="00FE15F6"/>
    <w:rsid w:val="00FE18D7"/>
    <w:rsid w:val="00FE1BC2"/>
    <w:rsid w:val="00FE2266"/>
    <w:rsid w:val="00FE2686"/>
    <w:rsid w:val="00FE3007"/>
    <w:rsid w:val="00FE3840"/>
    <w:rsid w:val="00FE4378"/>
    <w:rsid w:val="00FE4BD6"/>
    <w:rsid w:val="00FE6C3A"/>
    <w:rsid w:val="00FE7BA3"/>
    <w:rsid w:val="00FF0765"/>
    <w:rsid w:val="00FF0ADD"/>
    <w:rsid w:val="00FF135F"/>
    <w:rsid w:val="00FF277C"/>
    <w:rsid w:val="00FF48E6"/>
    <w:rsid w:val="00FF4D61"/>
    <w:rsid w:val="00FF4F5C"/>
    <w:rsid w:val="00FF540A"/>
    <w:rsid w:val="00FF5F1D"/>
    <w:rsid w:val="00FF67E3"/>
    <w:rsid w:val="00FF7A4D"/>
    <w:rsid w:val="00FF7CAD"/>
    <w:rsid w:val="00FF7D59"/>
    <w:rsid w:val="01069948"/>
    <w:rsid w:val="01191AC1"/>
    <w:rsid w:val="0127CADB"/>
    <w:rsid w:val="0143A51A"/>
    <w:rsid w:val="0148CE19"/>
    <w:rsid w:val="014E2878"/>
    <w:rsid w:val="015570E3"/>
    <w:rsid w:val="015C1DBC"/>
    <w:rsid w:val="0160C4A0"/>
    <w:rsid w:val="016B9D94"/>
    <w:rsid w:val="01776BFC"/>
    <w:rsid w:val="017E3511"/>
    <w:rsid w:val="018770B6"/>
    <w:rsid w:val="01966599"/>
    <w:rsid w:val="01A26A0D"/>
    <w:rsid w:val="01B3FD29"/>
    <w:rsid w:val="01BDED77"/>
    <w:rsid w:val="01BE51B4"/>
    <w:rsid w:val="01D0C4D7"/>
    <w:rsid w:val="01DEF4FC"/>
    <w:rsid w:val="01E13282"/>
    <w:rsid w:val="01E268B3"/>
    <w:rsid w:val="01E43FB4"/>
    <w:rsid w:val="01EDF22D"/>
    <w:rsid w:val="021C7AF6"/>
    <w:rsid w:val="02403AA8"/>
    <w:rsid w:val="0240F759"/>
    <w:rsid w:val="024C9A0D"/>
    <w:rsid w:val="025A3F9D"/>
    <w:rsid w:val="02627D94"/>
    <w:rsid w:val="027B6C77"/>
    <w:rsid w:val="02ABD7FB"/>
    <w:rsid w:val="02CFD310"/>
    <w:rsid w:val="02EDFDBE"/>
    <w:rsid w:val="02F7EE1D"/>
    <w:rsid w:val="031E3561"/>
    <w:rsid w:val="032A67D4"/>
    <w:rsid w:val="0343B6D8"/>
    <w:rsid w:val="03481C2E"/>
    <w:rsid w:val="0355925C"/>
    <w:rsid w:val="03595521"/>
    <w:rsid w:val="036D34AA"/>
    <w:rsid w:val="036E7E4F"/>
    <w:rsid w:val="03742423"/>
    <w:rsid w:val="03C212E0"/>
    <w:rsid w:val="03CDBA7D"/>
    <w:rsid w:val="03E230EE"/>
    <w:rsid w:val="041CD0D6"/>
    <w:rsid w:val="044158C5"/>
    <w:rsid w:val="0448ABDF"/>
    <w:rsid w:val="04541C86"/>
    <w:rsid w:val="04586AA5"/>
    <w:rsid w:val="0485C93A"/>
    <w:rsid w:val="04C46533"/>
    <w:rsid w:val="04D27665"/>
    <w:rsid w:val="04DA0ACF"/>
    <w:rsid w:val="04F5CD7A"/>
    <w:rsid w:val="050CB4BB"/>
    <w:rsid w:val="0515B8F0"/>
    <w:rsid w:val="053B1A08"/>
    <w:rsid w:val="0544D988"/>
    <w:rsid w:val="054ECA67"/>
    <w:rsid w:val="0551FFBB"/>
    <w:rsid w:val="057F15B1"/>
    <w:rsid w:val="058D32BD"/>
    <w:rsid w:val="05EF1E81"/>
    <w:rsid w:val="05F36C38"/>
    <w:rsid w:val="060ACC31"/>
    <w:rsid w:val="060FB636"/>
    <w:rsid w:val="0613F847"/>
    <w:rsid w:val="062BB331"/>
    <w:rsid w:val="063A1EA2"/>
    <w:rsid w:val="0650A515"/>
    <w:rsid w:val="066DBF5A"/>
    <w:rsid w:val="0675DB30"/>
    <w:rsid w:val="069680D9"/>
    <w:rsid w:val="06BA0524"/>
    <w:rsid w:val="06BE4EE3"/>
    <w:rsid w:val="06CF1400"/>
    <w:rsid w:val="06F9E2E4"/>
    <w:rsid w:val="070BC773"/>
    <w:rsid w:val="071106A0"/>
    <w:rsid w:val="073991A0"/>
    <w:rsid w:val="0745D8AF"/>
    <w:rsid w:val="07499D5D"/>
    <w:rsid w:val="074E5366"/>
    <w:rsid w:val="0755E5FE"/>
    <w:rsid w:val="07560D97"/>
    <w:rsid w:val="0756F314"/>
    <w:rsid w:val="075C9F74"/>
    <w:rsid w:val="07677BC3"/>
    <w:rsid w:val="07728790"/>
    <w:rsid w:val="078E2524"/>
    <w:rsid w:val="07AB8697"/>
    <w:rsid w:val="07BAE96D"/>
    <w:rsid w:val="07EBDDE7"/>
    <w:rsid w:val="080DE00E"/>
    <w:rsid w:val="08114CDE"/>
    <w:rsid w:val="082695D3"/>
    <w:rsid w:val="083DEA5D"/>
    <w:rsid w:val="085821FC"/>
    <w:rsid w:val="087AF90C"/>
    <w:rsid w:val="08893226"/>
    <w:rsid w:val="08AEAC60"/>
    <w:rsid w:val="08C3F4FE"/>
    <w:rsid w:val="08C5DCA6"/>
    <w:rsid w:val="08CFA82B"/>
    <w:rsid w:val="09034C24"/>
    <w:rsid w:val="092BC6FB"/>
    <w:rsid w:val="093460AD"/>
    <w:rsid w:val="0937F69E"/>
    <w:rsid w:val="0943FC73"/>
    <w:rsid w:val="09528975"/>
    <w:rsid w:val="097CD3BA"/>
    <w:rsid w:val="09854846"/>
    <w:rsid w:val="09B338CA"/>
    <w:rsid w:val="09B56978"/>
    <w:rsid w:val="09C3FE58"/>
    <w:rsid w:val="09CF4EEA"/>
    <w:rsid w:val="09DC987A"/>
    <w:rsid w:val="09F26427"/>
    <w:rsid w:val="0A01E546"/>
    <w:rsid w:val="0A1CCE75"/>
    <w:rsid w:val="0A260991"/>
    <w:rsid w:val="0A34BBAD"/>
    <w:rsid w:val="0A35D51A"/>
    <w:rsid w:val="0A46FDE2"/>
    <w:rsid w:val="0A4DBE37"/>
    <w:rsid w:val="0A779D44"/>
    <w:rsid w:val="0A85F428"/>
    <w:rsid w:val="0AACC563"/>
    <w:rsid w:val="0AB12D7C"/>
    <w:rsid w:val="0AB635EF"/>
    <w:rsid w:val="0AC65B4C"/>
    <w:rsid w:val="0ACFE153"/>
    <w:rsid w:val="0AE86B7B"/>
    <w:rsid w:val="0B258456"/>
    <w:rsid w:val="0B32D34F"/>
    <w:rsid w:val="0B5FCEB9"/>
    <w:rsid w:val="0B758B1F"/>
    <w:rsid w:val="0B75C64B"/>
    <w:rsid w:val="0BC93869"/>
    <w:rsid w:val="0BD25551"/>
    <w:rsid w:val="0BD7DE58"/>
    <w:rsid w:val="0BE2CE43"/>
    <w:rsid w:val="0C123D16"/>
    <w:rsid w:val="0C16FE99"/>
    <w:rsid w:val="0C2F0C44"/>
    <w:rsid w:val="0C3AECE6"/>
    <w:rsid w:val="0C3B1FB1"/>
    <w:rsid w:val="0C50CAC2"/>
    <w:rsid w:val="0C670633"/>
    <w:rsid w:val="0C76691E"/>
    <w:rsid w:val="0C7867FB"/>
    <w:rsid w:val="0C866906"/>
    <w:rsid w:val="0C960C6A"/>
    <w:rsid w:val="0CAC45D6"/>
    <w:rsid w:val="0CB821BD"/>
    <w:rsid w:val="0CC629F2"/>
    <w:rsid w:val="0CD15B85"/>
    <w:rsid w:val="0CF38E75"/>
    <w:rsid w:val="0CF4F8E0"/>
    <w:rsid w:val="0D0FB683"/>
    <w:rsid w:val="0D296FA5"/>
    <w:rsid w:val="0D2A5232"/>
    <w:rsid w:val="0D311EF1"/>
    <w:rsid w:val="0D37D861"/>
    <w:rsid w:val="0D3F922F"/>
    <w:rsid w:val="0D472BDB"/>
    <w:rsid w:val="0D50814A"/>
    <w:rsid w:val="0D607948"/>
    <w:rsid w:val="0DA610F1"/>
    <w:rsid w:val="0DA659A4"/>
    <w:rsid w:val="0DC335D8"/>
    <w:rsid w:val="0E1000A2"/>
    <w:rsid w:val="0E46ED15"/>
    <w:rsid w:val="0E48E027"/>
    <w:rsid w:val="0E563849"/>
    <w:rsid w:val="0E5C02C2"/>
    <w:rsid w:val="0E649232"/>
    <w:rsid w:val="0E6672AD"/>
    <w:rsid w:val="0E69E74A"/>
    <w:rsid w:val="0E7534E6"/>
    <w:rsid w:val="0E78D895"/>
    <w:rsid w:val="0E7A5CB7"/>
    <w:rsid w:val="0E7ABA6C"/>
    <w:rsid w:val="0E92F23C"/>
    <w:rsid w:val="0EAB4972"/>
    <w:rsid w:val="0EBA6E3D"/>
    <w:rsid w:val="0EBC993E"/>
    <w:rsid w:val="0ECA9686"/>
    <w:rsid w:val="0F03ED12"/>
    <w:rsid w:val="0F0987AC"/>
    <w:rsid w:val="0F41DB4A"/>
    <w:rsid w:val="0F43EACD"/>
    <w:rsid w:val="0F49DCBB"/>
    <w:rsid w:val="0F5A78D6"/>
    <w:rsid w:val="0F673CE5"/>
    <w:rsid w:val="0F6F70FF"/>
    <w:rsid w:val="0F6F7F2D"/>
    <w:rsid w:val="0F8BEB48"/>
    <w:rsid w:val="0F959D0C"/>
    <w:rsid w:val="0FA065B3"/>
    <w:rsid w:val="0FA45ACB"/>
    <w:rsid w:val="0FBA70B1"/>
    <w:rsid w:val="0FFB7943"/>
    <w:rsid w:val="103DD11D"/>
    <w:rsid w:val="1048FC42"/>
    <w:rsid w:val="105E1DF8"/>
    <w:rsid w:val="107FE40C"/>
    <w:rsid w:val="10A76B5B"/>
    <w:rsid w:val="10B64BAE"/>
    <w:rsid w:val="10CFF68F"/>
    <w:rsid w:val="10E9739D"/>
    <w:rsid w:val="1109D327"/>
    <w:rsid w:val="110E5E09"/>
    <w:rsid w:val="111B8D7D"/>
    <w:rsid w:val="1127BBA9"/>
    <w:rsid w:val="11324711"/>
    <w:rsid w:val="11576167"/>
    <w:rsid w:val="115D03B5"/>
    <w:rsid w:val="11805A01"/>
    <w:rsid w:val="118B92E0"/>
    <w:rsid w:val="119B4E8C"/>
    <w:rsid w:val="11B16ADD"/>
    <w:rsid w:val="11B26447"/>
    <w:rsid w:val="11B2C7C4"/>
    <w:rsid w:val="11D45C9E"/>
    <w:rsid w:val="11EAE11C"/>
    <w:rsid w:val="11FC731B"/>
    <w:rsid w:val="11FF094C"/>
    <w:rsid w:val="12083551"/>
    <w:rsid w:val="120B8781"/>
    <w:rsid w:val="1210AE73"/>
    <w:rsid w:val="121EF5D8"/>
    <w:rsid w:val="121F0C73"/>
    <w:rsid w:val="1223017E"/>
    <w:rsid w:val="1248721D"/>
    <w:rsid w:val="124CD86D"/>
    <w:rsid w:val="124EFA93"/>
    <w:rsid w:val="125298E0"/>
    <w:rsid w:val="1263786C"/>
    <w:rsid w:val="1279CEC3"/>
    <w:rsid w:val="128543FE"/>
    <w:rsid w:val="1292A455"/>
    <w:rsid w:val="12BCE8FA"/>
    <w:rsid w:val="12D9AD17"/>
    <w:rsid w:val="12F331C8"/>
    <w:rsid w:val="12FE9EB1"/>
    <w:rsid w:val="131F34D4"/>
    <w:rsid w:val="13349D3C"/>
    <w:rsid w:val="1345F11F"/>
    <w:rsid w:val="135A24D9"/>
    <w:rsid w:val="13670A1B"/>
    <w:rsid w:val="136811BA"/>
    <w:rsid w:val="136A3A2E"/>
    <w:rsid w:val="136AE09E"/>
    <w:rsid w:val="1370DC02"/>
    <w:rsid w:val="13837B37"/>
    <w:rsid w:val="138408FB"/>
    <w:rsid w:val="13CB0937"/>
    <w:rsid w:val="13EDE028"/>
    <w:rsid w:val="1420D6F6"/>
    <w:rsid w:val="14438612"/>
    <w:rsid w:val="144A53DE"/>
    <w:rsid w:val="144CE5E0"/>
    <w:rsid w:val="1461F4A5"/>
    <w:rsid w:val="1485C40B"/>
    <w:rsid w:val="149A9812"/>
    <w:rsid w:val="14D52EB0"/>
    <w:rsid w:val="1503FD26"/>
    <w:rsid w:val="1506B0FF"/>
    <w:rsid w:val="151DF757"/>
    <w:rsid w:val="1525D4C0"/>
    <w:rsid w:val="15318F1B"/>
    <w:rsid w:val="153CB87A"/>
    <w:rsid w:val="154B646F"/>
    <w:rsid w:val="1551ADEA"/>
    <w:rsid w:val="1556AD35"/>
    <w:rsid w:val="15573D50"/>
    <w:rsid w:val="156FFB65"/>
    <w:rsid w:val="15771A6D"/>
    <w:rsid w:val="157AD796"/>
    <w:rsid w:val="157DA6C9"/>
    <w:rsid w:val="158C2181"/>
    <w:rsid w:val="158C5D9C"/>
    <w:rsid w:val="15A3BC63"/>
    <w:rsid w:val="15A6F8F8"/>
    <w:rsid w:val="15BCE4C0"/>
    <w:rsid w:val="15C2D29E"/>
    <w:rsid w:val="15EC0377"/>
    <w:rsid w:val="15ECC561"/>
    <w:rsid w:val="1602B04C"/>
    <w:rsid w:val="161422EF"/>
    <w:rsid w:val="16164C82"/>
    <w:rsid w:val="16186A5F"/>
    <w:rsid w:val="161D96E7"/>
    <w:rsid w:val="16363F73"/>
    <w:rsid w:val="164A0E91"/>
    <w:rsid w:val="1654DD79"/>
    <w:rsid w:val="16783D1C"/>
    <w:rsid w:val="167F63BF"/>
    <w:rsid w:val="16872967"/>
    <w:rsid w:val="16A529E2"/>
    <w:rsid w:val="16A6252D"/>
    <w:rsid w:val="16B91DDE"/>
    <w:rsid w:val="16BA6532"/>
    <w:rsid w:val="16CAC003"/>
    <w:rsid w:val="16CC6E19"/>
    <w:rsid w:val="16CD5F7C"/>
    <w:rsid w:val="16DF3199"/>
    <w:rsid w:val="16F55170"/>
    <w:rsid w:val="173C52AD"/>
    <w:rsid w:val="1743C35C"/>
    <w:rsid w:val="1752A79F"/>
    <w:rsid w:val="176E3D83"/>
    <w:rsid w:val="1770B929"/>
    <w:rsid w:val="17748A9E"/>
    <w:rsid w:val="1780BE4F"/>
    <w:rsid w:val="1789502D"/>
    <w:rsid w:val="1792DBDF"/>
    <w:rsid w:val="17A66B21"/>
    <w:rsid w:val="17A88465"/>
    <w:rsid w:val="17ACAE03"/>
    <w:rsid w:val="17C72CB2"/>
    <w:rsid w:val="17D4FFD1"/>
    <w:rsid w:val="17E1630C"/>
    <w:rsid w:val="17E911CF"/>
    <w:rsid w:val="1804CD99"/>
    <w:rsid w:val="181215BE"/>
    <w:rsid w:val="1818BA3B"/>
    <w:rsid w:val="18231868"/>
    <w:rsid w:val="1825D773"/>
    <w:rsid w:val="1826C32E"/>
    <w:rsid w:val="18301502"/>
    <w:rsid w:val="18324700"/>
    <w:rsid w:val="183E51C1"/>
    <w:rsid w:val="184EED41"/>
    <w:rsid w:val="1856740F"/>
    <w:rsid w:val="1883B1C6"/>
    <w:rsid w:val="1887C1AC"/>
    <w:rsid w:val="18A07638"/>
    <w:rsid w:val="18A79C27"/>
    <w:rsid w:val="18A9CDCA"/>
    <w:rsid w:val="18B4651F"/>
    <w:rsid w:val="18B567B6"/>
    <w:rsid w:val="18B8839F"/>
    <w:rsid w:val="18B9996B"/>
    <w:rsid w:val="18C0C484"/>
    <w:rsid w:val="18D52458"/>
    <w:rsid w:val="18E715EE"/>
    <w:rsid w:val="19196FEE"/>
    <w:rsid w:val="192BA3D6"/>
    <w:rsid w:val="195D2FDD"/>
    <w:rsid w:val="1961B4C9"/>
    <w:rsid w:val="1975FE58"/>
    <w:rsid w:val="199C643E"/>
    <w:rsid w:val="19A3DC9A"/>
    <w:rsid w:val="19ADB584"/>
    <w:rsid w:val="19B8141E"/>
    <w:rsid w:val="19B879CB"/>
    <w:rsid w:val="19B8B1AF"/>
    <w:rsid w:val="19BE32B1"/>
    <w:rsid w:val="19DA2222"/>
    <w:rsid w:val="19F0FBC1"/>
    <w:rsid w:val="19FC463E"/>
    <w:rsid w:val="1A05329D"/>
    <w:rsid w:val="1A0A9043"/>
    <w:rsid w:val="1A1ED4E7"/>
    <w:rsid w:val="1A2F7D14"/>
    <w:rsid w:val="1A406E70"/>
    <w:rsid w:val="1A459E2B"/>
    <w:rsid w:val="1A588C46"/>
    <w:rsid w:val="1A86532F"/>
    <w:rsid w:val="1A8F2F03"/>
    <w:rsid w:val="1A95582B"/>
    <w:rsid w:val="1A99CCE0"/>
    <w:rsid w:val="1AB54B83"/>
    <w:rsid w:val="1AB9EC9E"/>
    <w:rsid w:val="1AE63C12"/>
    <w:rsid w:val="1AE70817"/>
    <w:rsid w:val="1AEB9CE6"/>
    <w:rsid w:val="1B1CF156"/>
    <w:rsid w:val="1B42D7AA"/>
    <w:rsid w:val="1B434534"/>
    <w:rsid w:val="1B584877"/>
    <w:rsid w:val="1B7CDEAD"/>
    <w:rsid w:val="1B928893"/>
    <w:rsid w:val="1BD881EF"/>
    <w:rsid w:val="1C0F02AB"/>
    <w:rsid w:val="1C13A5D3"/>
    <w:rsid w:val="1C1DB631"/>
    <w:rsid w:val="1C2462A0"/>
    <w:rsid w:val="1C2E063F"/>
    <w:rsid w:val="1C41FA54"/>
    <w:rsid w:val="1C5CC150"/>
    <w:rsid w:val="1C5D6DA1"/>
    <w:rsid w:val="1C674DD1"/>
    <w:rsid w:val="1C70A6DA"/>
    <w:rsid w:val="1C818DDA"/>
    <w:rsid w:val="1CB0A4F5"/>
    <w:rsid w:val="1CB27BDB"/>
    <w:rsid w:val="1CD0ABFD"/>
    <w:rsid w:val="1CD36C27"/>
    <w:rsid w:val="1CD897FF"/>
    <w:rsid w:val="1CDCF66D"/>
    <w:rsid w:val="1CDEC9C5"/>
    <w:rsid w:val="1D17F751"/>
    <w:rsid w:val="1D1A77E5"/>
    <w:rsid w:val="1D6F73A5"/>
    <w:rsid w:val="1D8764AC"/>
    <w:rsid w:val="1D8DD163"/>
    <w:rsid w:val="1DA1BB50"/>
    <w:rsid w:val="1DC547FD"/>
    <w:rsid w:val="1DD3BE42"/>
    <w:rsid w:val="1E004884"/>
    <w:rsid w:val="1E02F2C8"/>
    <w:rsid w:val="1E076626"/>
    <w:rsid w:val="1E296B80"/>
    <w:rsid w:val="1E319473"/>
    <w:rsid w:val="1E549218"/>
    <w:rsid w:val="1E79D194"/>
    <w:rsid w:val="1E7E8380"/>
    <w:rsid w:val="1E829A72"/>
    <w:rsid w:val="1E8DC4AE"/>
    <w:rsid w:val="1E93B42E"/>
    <w:rsid w:val="1E9EFE65"/>
    <w:rsid w:val="1EABB5EE"/>
    <w:rsid w:val="1EBA81CF"/>
    <w:rsid w:val="1ECD87DE"/>
    <w:rsid w:val="1EE45083"/>
    <w:rsid w:val="1EE4671E"/>
    <w:rsid w:val="1F155617"/>
    <w:rsid w:val="1F190F4E"/>
    <w:rsid w:val="1F2E8A46"/>
    <w:rsid w:val="1F353660"/>
    <w:rsid w:val="1F68B178"/>
    <w:rsid w:val="1F709A5E"/>
    <w:rsid w:val="1FA43969"/>
    <w:rsid w:val="1FB1C51D"/>
    <w:rsid w:val="1FB4B814"/>
    <w:rsid w:val="1FC37EA0"/>
    <w:rsid w:val="1FE8C509"/>
    <w:rsid w:val="2002FAA2"/>
    <w:rsid w:val="2015A1F5"/>
    <w:rsid w:val="201C94A6"/>
    <w:rsid w:val="201FF361"/>
    <w:rsid w:val="202E9F1E"/>
    <w:rsid w:val="2038EA36"/>
    <w:rsid w:val="20588618"/>
    <w:rsid w:val="20603D8D"/>
    <w:rsid w:val="206105BC"/>
    <w:rsid w:val="20648DC8"/>
    <w:rsid w:val="2074645D"/>
    <w:rsid w:val="20869547"/>
    <w:rsid w:val="208E166B"/>
    <w:rsid w:val="208FD427"/>
    <w:rsid w:val="20ACF18F"/>
    <w:rsid w:val="20BBAB82"/>
    <w:rsid w:val="20E26AD4"/>
    <w:rsid w:val="21171386"/>
    <w:rsid w:val="211BA319"/>
    <w:rsid w:val="212084E1"/>
    <w:rsid w:val="2137EA2B"/>
    <w:rsid w:val="21445B85"/>
    <w:rsid w:val="214FE5F2"/>
    <w:rsid w:val="21907BD3"/>
    <w:rsid w:val="2191F8DF"/>
    <w:rsid w:val="219410D8"/>
    <w:rsid w:val="219CFBE5"/>
    <w:rsid w:val="21A670FF"/>
    <w:rsid w:val="21C31ED1"/>
    <w:rsid w:val="21E379F6"/>
    <w:rsid w:val="21EC2BC9"/>
    <w:rsid w:val="21F45679"/>
    <w:rsid w:val="2202DDF3"/>
    <w:rsid w:val="2215364B"/>
    <w:rsid w:val="223CFC8E"/>
    <w:rsid w:val="225C1DC9"/>
    <w:rsid w:val="2260F1EF"/>
    <w:rsid w:val="2266E70A"/>
    <w:rsid w:val="228AF724"/>
    <w:rsid w:val="2293EEA6"/>
    <w:rsid w:val="2294E01D"/>
    <w:rsid w:val="229A803F"/>
    <w:rsid w:val="22A479A8"/>
    <w:rsid w:val="22A5E8DE"/>
    <w:rsid w:val="22B44B49"/>
    <w:rsid w:val="22B954C7"/>
    <w:rsid w:val="22CB51B3"/>
    <w:rsid w:val="22FBD595"/>
    <w:rsid w:val="2308ADE1"/>
    <w:rsid w:val="231205BC"/>
    <w:rsid w:val="232F5BFE"/>
    <w:rsid w:val="2377C622"/>
    <w:rsid w:val="238D26BB"/>
    <w:rsid w:val="2394C890"/>
    <w:rsid w:val="2397393D"/>
    <w:rsid w:val="23DCB639"/>
    <w:rsid w:val="23EE5A74"/>
    <w:rsid w:val="2404CBA6"/>
    <w:rsid w:val="240A287F"/>
    <w:rsid w:val="2424E6B5"/>
    <w:rsid w:val="2429DA6B"/>
    <w:rsid w:val="2431CB61"/>
    <w:rsid w:val="24364267"/>
    <w:rsid w:val="243A3F52"/>
    <w:rsid w:val="243ED4F2"/>
    <w:rsid w:val="244051E1"/>
    <w:rsid w:val="244728F5"/>
    <w:rsid w:val="244E0885"/>
    <w:rsid w:val="2459CC14"/>
    <w:rsid w:val="247B64E8"/>
    <w:rsid w:val="247BFC47"/>
    <w:rsid w:val="248BFCAD"/>
    <w:rsid w:val="249463AD"/>
    <w:rsid w:val="24A89DA5"/>
    <w:rsid w:val="24D5A792"/>
    <w:rsid w:val="2509EA4F"/>
    <w:rsid w:val="250F83E6"/>
    <w:rsid w:val="25119311"/>
    <w:rsid w:val="252926DC"/>
    <w:rsid w:val="25409ADF"/>
    <w:rsid w:val="2551FB62"/>
    <w:rsid w:val="2553CB51"/>
    <w:rsid w:val="255F99EB"/>
    <w:rsid w:val="25613C34"/>
    <w:rsid w:val="2567D1B4"/>
    <w:rsid w:val="256F65DC"/>
    <w:rsid w:val="2593A577"/>
    <w:rsid w:val="259846E2"/>
    <w:rsid w:val="25C473CF"/>
    <w:rsid w:val="25CF47DC"/>
    <w:rsid w:val="25DC4877"/>
    <w:rsid w:val="260F5871"/>
    <w:rsid w:val="261B4E78"/>
    <w:rsid w:val="261D8646"/>
    <w:rsid w:val="261E7CD5"/>
    <w:rsid w:val="263759E0"/>
    <w:rsid w:val="2669D42D"/>
    <w:rsid w:val="269B5618"/>
    <w:rsid w:val="269B8CA7"/>
    <w:rsid w:val="26AE9F3F"/>
    <w:rsid w:val="26D46CA7"/>
    <w:rsid w:val="26E45257"/>
    <w:rsid w:val="26F73037"/>
    <w:rsid w:val="270109CC"/>
    <w:rsid w:val="2703A215"/>
    <w:rsid w:val="27068ACE"/>
    <w:rsid w:val="2712BB15"/>
    <w:rsid w:val="27242133"/>
    <w:rsid w:val="272EB70C"/>
    <w:rsid w:val="273024B4"/>
    <w:rsid w:val="274695FB"/>
    <w:rsid w:val="274A291C"/>
    <w:rsid w:val="275988D1"/>
    <w:rsid w:val="27797D73"/>
    <w:rsid w:val="277E16C3"/>
    <w:rsid w:val="277EA84B"/>
    <w:rsid w:val="2785FAB9"/>
    <w:rsid w:val="27963FE3"/>
    <w:rsid w:val="279FF204"/>
    <w:rsid w:val="27AB6540"/>
    <w:rsid w:val="27B7BC84"/>
    <w:rsid w:val="27BB28C7"/>
    <w:rsid w:val="27BB81A0"/>
    <w:rsid w:val="27C13C74"/>
    <w:rsid w:val="27C338CF"/>
    <w:rsid w:val="27D8B63D"/>
    <w:rsid w:val="27E0931D"/>
    <w:rsid w:val="27F285A4"/>
    <w:rsid w:val="27F7CEA9"/>
    <w:rsid w:val="28162548"/>
    <w:rsid w:val="28363A78"/>
    <w:rsid w:val="28553590"/>
    <w:rsid w:val="28721F77"/>
    <w:rsid w:val="287D75C4"/>
    <w:rsid w:val="287FCE79"/>
    <w:rsid w:val="2894B4DC"/>
    <w:rsid w:val="289DEC07"/>
    <w:rsid w:val="28A04EE3"/>
    <w:rsid w:val="28B5D3FE"/>
    <w:rsid w:val="28B7614B"/>
    <w:rsid w:val="28BE4CB8"/>
    <w:rsid w:val="28BFF194"/>
    <w:rsid w:val="28D34AEE"/>
    <w:rsid w:val="28DFFBEA"/>
    <w:rsid w:val="290AB533"/>
    <w:rsid w:val="292558A1"/>
    <w:rsid w:val="2974AD84"/>
    <w:rsid w:val="29BC7E73"/>
    <w:rsid w:val="29BE4BDC"/>
    <w:rsid w:val="29BFD681"/>
    <w:rsid w:val="29CADCF5"/>
    <w:rsid w:val="29DFB9EE"/>
    <w:rsid w:val="29E1B10C"/>
    <w:rsid w:val="29F2372D"/>
    <w:rsid w:val="29F5789B"/>
    <w:rsid w:val="29FE2ED6"/>
    <w:rsid w:val="2A005EB9"/>
    <w:rsid w:val="2A2146AD"/>
    <w:rsid w:val="2A30C034"/>
    <w:rsid w:val="2A599052"/>
    <w:rsid w:val="2A5BC1F5"/>
    <w:rsid w:val="2A75FF51"/>
    <w:rsid w:val="2A7657C1"/>
    <w:rsid w:val="2A89A15F"/>
    <w:rsid w:val="2A8B07B2"/>
    <w:rsid w:val="2A8CC61E"/>
    <w:rsid w:val="2A9E526E"/>
    <w:rsid w:val="2AABD20C"/>
    <w:rsid w:val="2B24CC7D"/>
    <w:rsid w:val="2B4314DD"/>
    <w:rsid w:val="2B6F728B"/>
    <w:rsid w:val="2B7DDE89"/>
    <w:rsid w:val="2B945982"/>
    <w:rsid w:val="2B99FF37"/>
    <w:rsid w:val="2BA3D97B"/>
    <w:rsid w:val="2BAFFDFC"/>
    <w:rsid w:val="2BDE0B1D"/>
    <w:rsid w:val="2BF560B3"/>
    <w:rsid w:val="2BF976CA"/>
    <w:rsid w:val="2BFD4E39"/>
    <w:rsid w:val="2C0C0060"/>
    <w:rsid w:val="2C0D6289"/>
    <w:rsid w:val="2C194C9F"/>
    <w:rsid w:val="2C223DA8"/>
    <w:rsid w:val="2C2BF981"/>
    <w:rsid w:val="2C310F37"/>
    <w:rsid w:val="2C31DE08"/>
    <w:rsid w:val="2C5FAA74"/>
    <w:rsid w:val="2C699E27"/>
    <w:rsid w:val="2C6DE32A"/>
    <w:rsid w:val="2C8281C2"/>
    <w:rsid w:val="2C85D4A4"/>
    <w:rsid w:val="2C8BBA7C"/>
    <w:rsid w:val="2C91D41C"/>
    <w:rsid w:val="2CA0997A"/>
    <w:rsid w:val="2CA34749"/>
    <w:rsid w:val="2CB01E24"/>
    <w:rsid w:val="2CBAA224"/>
    <w:rsid w:val="2CD8CAAB"/>
    <w:rsid w:val="2CE012C3"/>
    <w:rsid w:val="2D077055"/>
    <w:rsid w:val="2D1FEBC4"/>
    <w:rsid w:val="2D328467"/>
    <w:rsid w:val="2D398E16"/>
    <w:rsid w:val="2D71AA11"/>
    <w:rsid w:val="2D8AD26E"/>
    <w:rsid w:val="2D8FA910"/>
    <w:rsid w:val="2D9E5D7A"/>
    <w:rsid w:val="2DAE9540"/>
    <w:rsid w:val="2DB7CBE3"/>
    <w:rsid w:val="2DC2A874"/>
    <w:rsid w:val="2DD4F913"/>
    <w:rsid w:val="2DE019CA"/>
    <w:rsid w:val="2DE58480"/>
    <w:rsid w:val="2E044946"/>
    <w:rsid w:val="2E0FAF0F"/>
    <w:rsid w:val="2E1A59A8"/>
    <w:rsid w:val="2E636F2C"/>
    <w:rsid w:val="2E7A7EDC"/>
    <w:rsid w:val="2E7BE324"/>
    <w:rsid w:val="2E924E82"/>
    <w:rsid w:val="2E92583F"/>
    <w:rsid w:val="2EABD5FE"/>
    <w:rsid w:val="2EDAEDCD"/>
    <w:rsid w:val="2EDFC1D1"/>
    <w:rsid w:val="2F02786E"/>
    <w:rsid w:val="2F17BABA"/>
    <w:rsid w:val="2F35E495"/>
    <w:rsid w:val="2F41B7F3"/>
    <w:rsid w:val="2F41CAF4"/>
    <w:rsid w:val="2F51A731"/>
    <w:rsid w:val="2F685DC4"/>
    <w:rsid w:val="2F769468"/>
    <w:rsid w:val="2F830722"/>
    <w:rsid w:val="2F9C180F"/>
    <w:rsid w:val="2FA708BD"/>
    <w:rsid w:val="2FA82A30"/>
    <w:rsid w:val="2FB14FEC"/>
    <w:rsid w:val="2FB9F879"/>
    <w:rsid w:val="2FBE534D"/>
    <w:rsid w:val="2FC0CC42"/>
    <w:rsid w:val="2FE6B338"/>
    <w:rsid w:val="2FEB7624"/>
    <w:rsid w:val="2FF8A15B"/>
    <w:rsid w:val="3008063D"/>
    <w:rsid w:val="3027ED75"/>
    <w:rsid w:val="302FA462"/>
    <w:rsid w:val="3053AC95"/>
    <w:rsid w:val="305447FD"/>
    <w:rsid w:val="306C05A1"/>
    <w:rsid w:val="30796FD2"/>
    <w:rsid w:val="309E4EDC"/>
    <w:rsid w:val="309FA83F"/>
    <w:rsid w:val="30D04C8B"/>
    <w:rsid w:val="30D74B91"/>
    <w:rsid w:val="30DCFA6F"/>
    <w:rsid w:val="3109DC56"/>
    <w:rsid w:val="310BC4F7"/>
    <w:rsid w:val="310DBD40"/>
    <w:rsid w:val="312B8D26"/>
    <w:rsid w:val="31401D6A"/>
    <w:rsid w:val="314A2794"/>
    <w:rsid w:val="314BD7C5"/>
    <w:rsid w:val="3154A6DF"/>
    <w:rsid w:val="31650022"/>
    <w:rsid w:val="31745AEB"/>
    <w:rsid w:val="31874685"/>
    <w:rsid w:val="31E13D6C"/>
    <w:rsid w:val="31EFB28F"/>
    <w:rsid w:val="320DF26A"/>
    <w:rsid w:val="32157576"/>
    <w:rsid w:val="3226E6B4"/>
    <w:rsid w:val="322CDA9C"/>
    <w:rsid w:val="32355F0D"/>
    <w:rsid w:val="32451B34"/>
    <w:rsid w:val="325387FD"/>
    <w:rsid w:val="32566578"/>
    <w:rsid w:val="325911AC"/>
    <w:rsid w:val="326A81CA"/>
    <w:rsid w:val="327CF13A"/>
    <w:rsid w:val="329061BF"/>
    <w:rsid w:val="329AC6C7"/>
    <w:rsid w:val="32A551A0"/>
    <w:rsid w:val="32BA3F26"/>
    <w:rsid w:val="32C126CC"/>
    <w:rsid w:val="32CE7D33"/>
    <w:rsid w:val="32DBEDCB"/>
    <w:rsid w:val="32E2E0F1"/>
    <w:rsid w:val="3304DFA7"/>
    <w:rsid w:val="3318A8D1"/>
    <w:rsid w:val="331930B2"/>
    <w:rsid w:val="3325EE9D"/>
    <w:rsid w:val="335C7988"/>
    <w:rsid w:val="3365EAD3"/>
    <w:rsid w:val="337E54F0"/>
    <w:rsid w:val="3384EAA8"/>
    <w:rsid w:val="33A9E076"/>
    <w:rsid w:val="33B77701"/>
    <w:rsid w:val="33D0A0FF"/>
    <w:rsid w:val="33EAC1C3"/>
    <w:rsid w:val="34016840"/>
    <w:rsid w:val="34091CCA"/>
    <w:rsid w:val="340C6BC4"/>
    <w:rsid w:val="3416CDF0"/>
    <w:rsid w:val="343BBBE6"/>
    <w:rsid w:val="346CB7BA"/>
    <w:rsid w:val="347EF093"/>
    <w:rsid w:val="34819487"/>
    <w:rsid w:val="348A01CA"/>
    <w:rsid w:val="349B5E4E"/>
    <w:rsid w:val="34A64652"/>
    <w:rsid w:val="34B0E6F8"/>
    <w:rsid w:val="34E319FE"/>
    <w:rsid w:val="34FE22B5"/>
    <w:rsid w:val="3516C331"/>
    <w:rsid w:val="351A7EBB"/>
    <w:rsid w:val="352F6B6D"/>
    <w:rsid w:val="353D4F17"/>
    <w:rsid w:val="354313E4"/>
    <w:rsid w:val="35565E93"/>
    <w:rsid w:val="355A882F"/>
    <w:rsid w:val="3561B88D"/>
    <w:rsid w:val="356EC8D0"/>
    <w:rsid w:val="3580122D"/>
    <w:rsid w:val="3590B848"/>
    <w:rsid w:val="3596B06F"/>
    <w:rsid w:val="35A37454"/>
    <w:rsid w:val="35A4DDD8"/>
    <w:rsid w:val="35AEEF6F"/>
    <w:rsid w:val="35B885A3"/>
    <w:rsid w:val="35D9F172"/>
    <w:rsid w:val="35E00AF8"/>
    <w:rsid w:val="35FE5A4B"/>
    <w:rsid w:val="362D5913"/>
    <w:rsid w:val="36354733"/>
    <w:rsid w:val="3646DA84"/>
    <w:rsid w:val="364947FE"/>
    <w:rsid w:val="364A625A"/>
    <w:rsid w:val="364D5DEB"/>
    <w:rsid w:val="3650C781"/>
    <w:rsid w:val="3683A687"/>
    <w:rsid w:val="368629E2"/>
    <w:rsid w:val="368FBA00"/>
    <w:rsid w:val="369990DE"/>
    <w:rsid w:val="36A0F60F"/>
    <w:rsid w:val="36C7DD92"/>
    <w:rsid w:val="36C8D05D"/>
    <w:rsid w:val="36E8B253"/>
    <w:rsid w:val="36F461F6"/>
    <w:rsid w:val="3733D240"/>
    <w:rsid w:val="3734A101"/>
    <w:rsid w:val="3741A641"/>
    <w:rsid w:val="3751976F"/>
    <w:rsid w:val="376DD3B3"/>
    <w:rsid w:val="377948A6"/>
    <w:rsid w:val="377B4334"/>
    <w:rsid w:val="377F9F84"/>
    <w:rsid w:val="37AF97F7"/>
    <w:rsid w:val="37C3D0DB"/>
    <w:rsid w:val="37EE164F"/>
    <w:rsid w:val="37FC33EA"/>
    <w:rsid w:val="381F76E8"/>
    <w:rsid w:val="38290270"/>
    <w:rsid w:val="384DF095"/>
    <w:rsid w:val="38535F4F"/>
    <w:rsid w:val="386EF088"/>
    <w:rsid w:val="388F0A90"/>
    <w:rsid w:val="389018AE"/>
    <w:rsid w:val="38919018"/>
    <w:rsid w:val="38DEC0B6"/>
    <w:rsid w:val="38FFB196"/>
    <w:rsid w:val="390E6B5F"/>
    <w:rsid w:val="39105B67"/>
    <w:rsid w:val="39114155"/>
    <w:rsid w:val="3930A90C"/>
    <w:rsid w:val="394290F7"/>
    <w:rsid w:val="394414F5"/>
    <w:rsid w:val="396726D2"/>
    <w:rsid w:val="396BD4D4"/>
    <w:rsid w:val="397A5A84"/>
    <w:rsid w:val="3982B828"/>
    <w:rsid w:val="398F1CCB"/>
    <w:rsid w:val="39C28190"/>
    <w:rsid w:val="39F57981"/>
    <w:rsid w:val="3A0C4292"/>
    <w:rsid w:val="3A2C02BA"/>
    <w:rsid w:val="3A2E8307"/>
    <w:rsid w:val="3A39A125"/>
    <w:rsid w:val="3A3E772D"/>
    <w:rsid w:val="3A5DB0EF"/>
    <w:rsid w:val="3A760B32"/>
    <w:rsid w:val="3A782CE2"/>
    <w:rsid w:val="3A94C30E"/>
    <w:rsid w:val="3AA9D3A5"/>
    <w:rsid w:val="3AAA879E"/>
    <w:rsid w:val="3AB1FF78"/>
    <w:rsid w:val="3AC06FB0"/>
    <w:rsid w:val="3AD2D456"/>
    <w:rsid w:val="3AD6EC24"/>
    <w:rsid w:val="3B29CE0B"/>
    <w:rsid w:val="3B5341C2"/>
    <w:rsid w:val="3B63D5B8"/>
    <w:rsid w:val="3B7A4FAA"/>
    <w:rsid w:val="3B846457"/>
    <w:rsid w:val="3BB3DDA5"/>
    <w:rsid w:val="3BB67A5C"/>
    <w:rsid w:val="3BBA6278"/>
    <w:rsid w:val="3BBEC420"/>
    <w:rsid w:val="3BE25799"/>
    <w:rsid w:val="3BEE9914"/>
    <w:rsid w:val="3C0D5F10"/>
    <w:rsid w:val="3C177DA9"/>
    <w:rsid w:val="3C2326C8"/>
    <w:rsid w:val="3C593B7D"/>
    <w:rsid w:val="3C8ABD97"/>
    <w:rsid w:val="3C8DE4B1"/>
    <w:rsid w:val="3C9D99DE"/>
    <w:rsid w:val="3CA148AD"/>
    <w:rsid w:val="3CA15A74"/>
    <w:rsid w:val="3CEBE058"/>
    <w:rsid w:val="3CEF4C56"/>
    <w:rsid w:val="3CEFD113"/>
    <w:rsid w:val="3CFA2252"/>
    <w:rsid w:val="3D160EDF"/>
    <w:rsid w:val="3D1B1F8D"/>
    <w:rsid w:val="3D1B8E0C"/>
    <w:rsid w:val="3D45134D"/>
    <w:rsid w:val="3D5AB1AC"/>
    <w:rsid w:val="3D5C7DB2"/>
    <w:rsid w:val="3D854319"/>
    <w:rsid w:val="3D8C0FBA"/>
    <w:rsid w:val="3D942D49"/>
    <w:rsid w:val="3D9A25AD"/>
    <w:rsid w:val="3D9C9C1C"/>
    <w:rsid w:val="3DD00B36"/>
    <w:rsid w:val="3DD6B643"/>
    <w:rsid w:val="3DE12F22"/>
    <w:rsid w:val="3E068715"/>
    <w:rsid w:val="3E0ED548"/>
    <w:rsid w:val="3E174315"/>
    <w:rsid w:val="3E258459"/>
    <w:rsid w:val="3E387E30"/>
    <w:rsid w:val="3E621B8A"/>
    <w:rsid w:val="3E639FED"/>
    <w:rsid w:val="3E6FADE9"/>
    <w:rsid w:val="3E7346F4"/>
    <w:rsid w:val="3E7CADC9"/>
    <w:rsid w:val="3E8525B8"/>
    <w:rsid w:val="3E85D95F"/>
    <w:rsid w:val="3EA54356"/>
    <w:rsid w:val="3EABB88B"/>
    <w:rsid w:val="3F0C933D"/>
    <w:rsid w:val="3F32B0A8"/>
    <w:rsid w:val="3F37787C"/>
    <w:rsid w:val="3F41CED6"/>
    <w:rsid w:val="3F4504F7"/>
    <w:rsid w:val="3F4D72AE"/>
    <w:rsid w:val="3F6FCC38"/>
    <w:rsid w:val="3F85942B"/>
    <w:rsid w:val="3F8B960B"/>
    <w:rsid w:val="3F9C072A"/>
    <w:rsid w:val="3FB5BCBB"/>
    <w:rsid w:val="3FC07EF9"/>
    <w:rsid w:val="3FC25E59"/>
    <w:rsid w:val="3FCB4F56"/>
    <w:rsid w:val="40042899"/>
    <w:rsid w:val="4025790B"/>
    <w:rsid w:val="402F0B7B"/>
    <w:rsid w:val="404A83B5"/>
    <w:rsid w:val="408807AF"/>
    <w:rsid w:val="408AD0C7"/>
    <w:rsid w:val="40A1CBE4"/>
    <w:rsid w:val="40AED5EF"/>
    <w:rsid w:val="40AFDA96"/>
    <w:rsid w:val="40B222D4"/>
    <w:rsid w:val="40B9EE21"/>
    <w:rsid w:val="40CB5454"/>
    <w:rsid w:val="40DCFEFF"/>
    <w:rsid w:val="4114B0E5"/>
    <w:rsid w:val="41158E6E"/>
    <w:rsid w:val="4118516F"/>
    <w:rsid w:val="41292391"/>
    <w:rsid w:val="412CA4DE"/>
    <w:rsid w:val="4135A3E0"/>
    <w:rsid w:val="41463FE5"/>
    <w:rsid w:val="416A2E32"/>
    <w:rsid w:val="417D836F"/>
    <w:rsid w:val="4191BA06"/>
    <w:rsid w:val="419E100C"/>
    <w:rsid w:val="41A874A9"/>
    <w:rsid w:val="41B40338"/>
    <w:rsid w:val="41BEB5E2"/>
    <w:rsid w:val="41C397A1"/>
    <w:rsid w:val="41CE2E87"/>
    <w:rsid w:val="41E1324E"/>
    <w:rsid w:val="420D9DB7"/>
    <w:rsid w:val="424D9BD2"/>
    <w:rsid w:val="4250DC7F"/>
    <w:rsid w:val="42641C9D"/>
    <w:rsid w:val="4266AC4E"/>
    <w:rsid w:val="42698B2A"/>
    <w:rsid w:val="42799762"/>
    <w:rsid w:val="427C05DB"/>
    <w:rsid w:val="427E21D8"/>
    <w:rsid w:val="4289BD2C"/>
    <w:rsid w:val="42A8117E"/>
    <w:rsid w:val="42AF84CC"/>
    <w:rsid w:val="42B0865A"/>
    <w:rsid w:val="42C62933"/>
    <w:rsid w:val="42CA9D96"/>
    <w:rsid w:val="42E8128E"/>
    <w:rsid w:val="42F6B3EA"/>
    <w:rsid w:val="42FE4097"/>
    <w:rsid w:val="43125BE9"/>
    <w:rsid w:val="4334E8F2"/>
    <w:rsid w:val="433E6943"/>
    <w:rsid w:val="433E9368"/>
    <w:rsid w:val="4344450A"/>
    <w:rsid w:val="434758F1"/>
    <w:rsid w:val="436D626D"/>
    <w:rsid w:val="43AC4C00"/>
    <w:rsid w:val="43BED86F"/>
    <w:rsid w:val="43C14810"/>
    <w:rsid w:val="43CA53F8"/>
    <w:rsid w:val="43F3AF98"/>
    <w:rsid w:val="441154B7"/>
    <w:rsid w:val="4412EC5E"/>
    <w:rsid w:val="4437DBC5"/>
    <w:rsid w:val="443BB577"/>
    <w:rsid w:val="446F784D"/>
    <w:rsid w:val="447B942B"/>
    <w:rsid w:val="448FD418"/>
    <w:rsid w:val="449E7C1A"/>
    <w:rsid w:val="44A7AC7C"/>
    <w:rsid w:val="44A9BC7A"/>
    <w:rsid w:val="44B9730E"/>
    <w:rsid w:val="44C5A420"/>
    <w:rsid w:val="44D486DD"/>
    <w:rsid w:val="44D6444D"/>
    <w:rsid w:val="44E98D89"/>
    <w:rsid w:val="44FDA0A0"/>
    <w:rsid w:val="451020F2"/>
    <w:rsid w:val="451515A0"/>
    <w:rsid w:val="458B9E7D"/>
    <w:rsid w:val="459ACD46"/>
    <w:rsid w:val="45A819DE"/>
    <w:rsid w:val="45AD87EA"/>
    <w:rsid w:val="45AF144E"/>
    <w:rsid w:val="45B1FF0E"/>
    <w:rsid w:val="45B62861"/>
    <w:rsid w:val="45F67A10"/>
    <w:rsid w:val="45FC94B4"/>
    <w:rsid w:val="45FF37DB"/>
    <w:rsid w:val="460184A5"/>
    <w:rsid w:val="460819C7"/>
    <w:rsid w:val="4618B4E9"/>
    <w:rsid w:val="4631D8E6"/>
    <w:rsid w:val="46540694"/>
    <w:rsid w:val="466261B7"/>
    <w:rsid w:val="46888F7A"/>
    <w:rsid w:val="46957BA6"/>
    <w:rsid w:val="46BBB530"/>
    <w:rsid w:val="46C8AFDD"/>
    <w:rsid w:val="46CEDC97"/>
    <w:rsid w:val="46CF41C4"/>
    <w:rsid w:val="46DC767A"/>
    <w:rsid w:val="46E18CFC"/>
    <w:rsid w:val="46EFBCA9"/>
    <w:rsid w:val="46F4C8CF"/>
    <w:rsid w:val="46F50A63"/>
    <w:rsid w:val="46F9BEFF"/>
    <w:rsid w:val="471D41D8"/>
    <w:rsid w:val="4720D1ED"/>
    <w:rsid w:val="4732CBA8"/>
    <w:rsid w:val="4738A72C"/>
    <w:rsid w:val="473E4834"/>
    <w:rsid w:val="4746E0D2"/>
    <w:rsid w:val="474D47C4"/>
    <w:rsid w:val="47556B80"/>
    <w:rsid w:val="47837AEE"/>
    <w:rsid w:val="4789E64B"/>
    <w:rsid w:val="4791B117"/>
    <w:rsid w:val="4797CA17"/>
    <w:rsid w:val="47B31EF9"/>
    <w:rsid w:val="47C20F57"/>
    <w:rsid w:val="47C408E3"/>
    <w:rsid w:val="47CDA947"/>
    <w:rsid w:val="47E15D3C"/>
    <w:rsid w:val="48014228"/>
    <w:rsid w:val="48225948"/>
    <w:rsid w:val="48227314"/>
    <w:rsid w:val="483354F7"/>
    <w:rsid w:val="48435ACD"/>
    <w:rsid w:val="4856FB7A"/>
    <w:rsid w:val="485E0BE7"/>
    <w:rsid w:val="4864803E"/>
    <w:rsid w:val="48666039"/>
    <w:rsid w:val="489EBAAF"/>
    <w:rsid w:val="48AA8388"/>
    <w:rsid w:val="48BE3FDE"/>
    <w:rsid w:val="48EF6C79"/>
    <w:rsid w:val="48F44D08"/>
    <w:rsid w:val="48F4EB2E"/>
    <w:rsid w:val="492E9ACD"/>
    <w:rsid w:val="49343576"/>
    <w:rsid w:val="495048C6"/>
    <w:rsid w:val="495F2E54"/>
    <w:rsid w:val="4963453B"/>
    <w:rsid w:val="49640540"/>
    <w:rsid w:val="49641140"/>
    <w:rsid w:val="496979A8"/>
    <w:rsid w:val="49808E82"/>
    <w:rsid w:val="499B5C81"/>
    <w:rsid w:val="49B34171"/>
    <w:rsid w:val="49B43557"/>
    <w:rsid w:val="49C37EBE"/>
    <w:rsid w:val="49CC8FA1"/>
    <w:rsid w:val="4A1D260A"/>
    <w:rsid w:val="4A321168"/>
    <w:rsid w:val="4A39FA46"/>
    <w:rsid w:val="4A3B1FAA"/>
    <w:rsid w:val="4A432016"/>
    <w:rsid w:val="4A531FD3"/>
    <w:rsid w:val="4A55B835"/>
    <w:rsid w:val="4A57082E"/>
    <w:rsid w:val="4A65F48F"/>
    <w:rsid w:val="4A793096"/>
    <w:rsid w:val="4A998034"/>
    <w:rsid w:val="4AC86184"/>
    <w:rsid w:val="4ACF6AD9"/>
    <w:rsid w:val="4AD005D7"/>
    <w:rsid w:val="4ADCD5CD"/>
    <w:rsid w:val="4AEC260C"/>
    <w:rsid w:val="4AFBA9A5"/>
    <w:rsid w:val="4B01180E"/>
    <w:rsid w:val="4B300135"/>
    <w:rsid w:val="4B5FE6CB"/>
    <w:rsid w:val="4B8C6153"/>
    <w:rsid w:val="4BA521E2"/>
    <w:rsid w:val="4BA95D9C"/>
    <w:rsid w:val="4BB936BF"/>
    <w:rsid w:val="4BBA8EDC"/>
    <w:rsid w:val="4BBDDC53"/>
    <w:rsid w:val="4BD28B09"/>
    <w:rsid w:val="4BD4B2A0"/>
    <w:rsid w:val="4BE7F3C6"/>
    <w:rsid w:val="4BEFEC7F"/>
    <w:rsid w:val="4BF59BDC"/>
    <w:rsid w:val="4C06CA7A"/>
    <w:rsid w:val="4C0BFB91"/>
    <w:rsid w:val="4C156E97"/>
    <w:rsid w:val="4C22905E"/>
    <w:rsid w:val="4C2E8479"/>
    <w:rsid w:val="4C59CF16"/>
    <w:rsid w:val="4C5F2CD0"/>
    <w:rsid w:val="4C6EBD9C"/>
    <w:rsid w:val="4C7AE2D4"/>
    <w:rsid w:val="4C812411"/>
    <w:rsid w:val="4C87F66D"/>
    <w:rsid w:val="4C982D9A"/>
    <w:rsid w:val="4CAB4F20"/>
    <w:rsid w:val="4CC14661"/>
    <w:rsid w:val="4CC7D6F0"/>
    <w:rsid w:val="4CCE65ED"/>
    <w:rsid w:val="4CDD5E03"/>
    <w:rsid w:val="4CE71FF9"/>
    <w:rsid w:val="4CE8E2C9"/>
    <w:rsid w:val="4CEDA489"/>
    <w:rsid w:val="4CF7D0FE"/>
    <w:rsid w:val="4CF9ED81"/>
    <w:rsid w:val="4CFF1D4F"/>
    <w:rsid w:val="4D09C475"/>
    <w:rsid w:val="4D0C8170"/>
    <w:rsid w:val="4D2C7C26"/>
    <w:rsid w:val="4D47FA29"/>
    <w:rsid w:val="4D785BA3"/>
    <w:rsid w:val="4D7AD987"/>
    <w:rsid w:val="4D954717"/>
    <w:rsid w:val="4D9B170A"/>
    <w:rsid w:val="4DB4F197"/>
    <w:rsid w:val="4DBEE7A2"/>
    <w:rsid w:val="4DD9F2AD"/>
    <w:rsid w:val="4DEAC425"/>
    <w:rsid w:val="4DF6780A"/>
    <w:rsid w:val="4DFAAD1D"/>
    <w:rsid w:val="4DFB350C"/>
    <w:rsid w:val="4E28D041"/>
    <w:rsid w:val="4E53E38A"/>
    <w:rsid w:val="4E5F55E2"/>
    <w:rsid w:val="4E6D739C"/>
    <w:rsid w:val="4E729D09"/>
    <w:rsid w:val="4E9E7930"/>
    <w:rsid w:val="4EA68CF9"/>
    <w:rsid w:val="4EAE3DE6"/>
    <w:rsid w:val="4EBD7135"/>
    <w:rsid w:val="4F3202F1"/>
    <w:rsid w:val="4F34FB9D"/>
    <w:rsid w:val="4F41D957"/>
    <w:rsid w:val="4F992C47"/>
    <w:rsid w:val="4F9A631A"/>
    <w:rsid w:val="4FADDB0E"/>
    <w:rsid w:val="4FB8C3D7"/>
    <w:rsid w:val="4FBEEF0F"/>
    <w:rsid w:val="4FDDA772"/>
    <w:rsid w:val="4FE84992"/>
    <w:rsid w:val="4FE960A6"/>
    <w:rsid w:val="4FF580EE"/>
    <w:rsid w:val="4FF94729"/>
    <w:rsid w:val="50102A29"/>
    <w:rsid w:val="50219922"/>
    <w:rsid w:val="50293A9B"/>
    <w:rsid w:val="502F71C0"/>
    <w:rsid w:val="50316D04"/>
    <w:rsid w:val="5037EB41"/>
    <w:rsid w:val="503FDCCB"/>
    <w:rsid w:val="50704C48"/>
    <w:rsid w:val="507C27DC"/>
    <w:rsid w:val="50941B20"/>
    <w:rsid w:val="5096DD9A"/>
    <w:rsid w:val="50983EBF"/>
    <w:rsid w:val="50A74E6A"/>
    <w:rsid w:val="50A9DE1D"/>
    <w:rsid w:val="50AB4308"/>
    <w:rsid w:val="50B293FF"/>
    <w:rsid w:val="50CEF8D7"/>
    <w:rsid w:val="50D92FF1"/>
    <w:rsid w:val="50EEAA4B"/>
    <w:rsid w:val="50EFD7BF"/>
    <w:rsid w:val="50F53005"/>
    <w:rsid w:val="50F838CF"/>
    <w:rsid w:val="5104D80D"/>
    <w:rsid w:val="51199308"/>
    <w:rsid w:val="511F3710"/>
    <w:rsid w:val="5128524D"/>
    <w:rsid w:val="5130ACD1"/>
    <w:rsid w:val="515AED4C"/>
    <w:rsid w:val="51A35439"/>
    <w:rsid w:val="51D911E2"/>
    <w:rsid w:val="51F81A4B"/>
    <w:rsid w:val="51FEE677"/>
    <w:rsid w:val="5208241F"/>
    <w:rsid w:val="52363123"/>
    <w:rsid w:val="523D0788"/>
    <w:rsid w:val="523FC6E1"/>
    <w:rsid w:val="526E07FC"/>
    <w:rsid w:val="5290E0CE"/>
    <w:rsid w:val="52C1EF5F"/>
    <w:rsid w:val="52E154F2"/>
    <w:rsid w:val="52E2F2DB"/>
    <w:rsid w:val="52F0A5B4"/>
    <w:rsid w:val="52F21DD3"/>
    <w:rsid w:val="52FA14BF"/>
    <w:rsid w:val="53124BB4"/>
    <w:rsid w:val="5327BC62"/>
    <w:rsid w:val="532EC726"/>
    <w:rsid w:val="533F7D43"/>
    <w:rsid w:val="535A498A"/>
    <w:rsid w:val="53771FBB"/>
    <w:rsid w:val="538A0106"/>
    <w:rsid w:val="538AD135"/>
    <w:rsid w:val="539B0204"/>
    <w:rsid w:val="53A30D7C"/>
    <w:rsid w:val="53AAFD8C"/>
    <w:rsid w:val="53EC3211"/>
    <w:rsid w:val="53ECACFC"/>
    <w:rsid w:val="54051F60"/>
    <w:rsid w:val="54202B30"/>
    <w:rsid w:val="5441BA24"/>
    <w:rsid w:val="54513FAE"/>
    <w:rsid w:val="5478CDC4"/>
    <w:rsid w:val="54810305"/>
    <w:rsid w:val="5482BA86"/>
    <w:rsid w:val="54A6B7E7"/>
    <w:rsid w:val="54AA416C"/>
    <w:rsid w:val="54B53FA7"/>
    <w:rsid w:val="54BB5F60"/>
    <w:rsid w:val="54BD4B0A"/>
    <w:rsid w:val="54D3E562"/>
    <w:rsid w:val="54D51A95"/>
    <w:rsid w:val="54D73511"/>
    <w:rsid w:val="54F084AC"/>
    <w:rsid w:val="54F4B467"/>
    <w:rsid w:val="550BDF1F"/>
    <w:rsid w:val="55262405"/>
    <w:rsid w:val="552A61BB"/>
    <w:rsid w:val="5571FD98"/>
    <w:rsid w:val="559C6B08"/>
    <w:rsid w:val="55A0EFC1"/>
    <w:rsid w:val="55A7D21B"/>
    <w:rsid w:val="55B2331C"/>
    <w:rsid w:val="55BABEBC"/>
    <w:rsid w:val="55BFF758"/>
    <w:rsid w:val="55D53BD3"/>
    <w:rsid w:val="55E21630"/>
    <w:rsid w:val="5607A19C"/>
    <w:rsid w:val="56289FE6"/>
    <w:rsid w:val="5629B50D"/>
    <w:rsid w:val="563F79CD"/>
    <w:rsid w:val="566BABE8"/>
    <w:rsid w:val="5686931C"/>
    <w:rsid w:val="568CC52E"/>
    <w:rsid w:val="5691EA4C"/>
    <w:rsid w:val="56A02CFE"/>
    <w:rsid w:val="56A9EF4C"/>
    <w:rsid w:val="56AEB3E4"/>
    <w:rsid w:val="56B64F1F"/>
    <w:rsid w:val="56C71AD0"/>
    <w:rsid w:val="56D6BC88"/>
    <w:rsid w:val="56D7F848"/>
    <w:rsid w:val="56DE4875"/>
    <w:rsid w:val="56F4A7B7"/>
    <w:rsid w:val="570838CD"/>
    <w:rsid w:val="570DCDF9"/>
    <w:rsid w:val="57346403"/>
    <w:rsid w:val="5756A3F8"/>
    <w:rsid w:val="577AEF0B"/>
    <w:rsid w:val="577CF6D6"/>
    <w:rsid w:val="579A2EB8"/>
    <w:rsid w:val="57B6F1BD"/>
    <w:rsid w:val="57C0FEF2"/>
    <w:rsid w:val="57C5BF03"/>
    <w:rsid w:val="57DE58A9"/>
    <w:rsid w:val="57FF269C"/>
    <w:rsid w:val="57FF340E"/>
    <w:rsid w:val="583512B0"/>
    <w:rsid w:val="5842C638"/>
    <w:rsid w:val="58466C66"/>
    <w:rsid w:val="585519FA"/>
    <w:rsid w:val="587EAF12"/>
    <w:rsid w:val="58907818"/>
    <w:rsid w:val="58AA9114"/>
    <w:rsid w:val="58BF6826"/>
    <w:rsid w:val="58CA2E16"/>
    <w:rsid w:val="5907D55E"/>
    <w:rsid w:val="590D56B4"/>
    <w:rsid w:val="5916FBF3"/>
    <w:rsid w:val="592C81BF"/>
    <w:rsid w:val="595ED3DC"/>
    <w:rsid w:val="599042EC"/>
    <w:rsid w:val="599E5F1D"/>
    <w:rsid w:val="599EEC4E"/>
    <w:rsid w:val="59A7F7B5"/>
    <w:rsid w:val="59A9B724"/>
    <w:rsid w:val="59C465F0"/>
    <w:rsid w:val="59CBBCB1"/>
    <w:rsid w:val="59D40AEB"/>
    <w:rsid w:val="5A007C72"/>
    <w:rsid w:val="5A559E49"/>
    <w:rsid w:val="5A5F8589"/>
    <w:rsid w:val="5A6092A8"/>
    <w:rsid w:val="5A652B07"/>
    <w:rsid w:val="5A86B697"/>
    <w:rsid w:val="5A896ACF"/>
    <w:rsid w:val="5A94174C"/>
    <w:rsid w:val="5A94E8D6"/>
    <w:rsid w:val="5A96BA05"/>
    <w:rsid w:val="5A98B660"/>
    <w:rsid w:val="5A9FB3D2"/>
    <w:rsid w:val="5AB03B5D"/>
    <w:rsid w:val="5ACEAF74"/>
    <w:rsid w:val="5AD71362"/>
    <w:rsid w:val="5ADB30A8"/>
    <w:rsid w:val="5B0AF06B"/>
    <w:rsid w:val="5B0EDF63"/>
    <w:rsid w:val="5B34E6F4"/>
    <w:rsid w:val="5B47AFDC"/>
    <w:rsid w:val="5B54AD5F"/>
    <w:rsid w:val="5B57610C"/>
    <w:rsid w:val="5B595B90"/>
    <w:rsid w:val="5B664887"/>
    <w:rsid w:val="5B72F478"/>
    <w:rsid w:val="5B92AA18"/>
    <w:rsid w:val="5B9D8CE7"/>
    <w:rsid w:val="5BAEDBB5"/>
    <w:rsid w:val="5BAEEC60"/>
    <w:rsid w:val="5BB637C5"/>
    <w:rsid w:val="5BD8D76B"/>
    <w:rsid w:val="5BDA6AC2"/>
    <w:rsid w:val="5BDC4BB6"/>
    <w:rsid w:val="5BEB1023"/>
    <w:rsid w:val="5BEE8403"/>
    <w:rsid w:val="5BFB7B6F"/>
    <w:rsid w:val="5C059062"/>
    <w:rsid w:val="5C090BF8"/>
    <w:rsid w:val="5C33F776"/>
    <w:rsid w:val="5C3486C1"/>
    <w:rsid w:val="5C4146EE"/>
    <w:rsid w:val="5C783473"/>
    <w:rsid w:val="5C7EA0AE"/>
    <w:rsid w:val="5C87799C"/>
    <w:rsid w:val="5C96CD79"/>
    <w:rsid w:val="5C9AA212"/>
    <w:rsid w:val="5CA71FFB"/>
    <w:rsid w:val="5CB4771E"/>
    <w:rsid w:val="5CC48DA2"/>
    <w:rsid w:val="5CC7C98D"/>
    <w:rsid w:val="5CCAF229"/>
    <w:rsid w:val="5CDAA68C"/>
    <w:rsid w:val="5CDB1B68"/>
    <w:rsid w:val="5D1DD101"/>
    <w:rsid w:val="5D1E0CED"/>
    <w:rsid w:val="5D1FB31D"/>
    <w:rsid w:val="5D3B99BA"/>
    <w:rsid w:val="5D434CA6"/>
    <w:rsid w:val="5D5F9179"/>
    <w:rsid w:val="5D74003C"/>
    <w:rsid w:val="5D7B46CC"/>
    <w:rsid w:val="5D8065E0"/>
    <w:rsid w:val="5DBD28BC"/>
    <w:rsid w:val="5DCB1BE9"/>
    <w:rsid w:val="5DCBE277"/>
    <w:rsid w:val="5DF8FA69"/>
    <w:rsid w:val="5E152A45"/>
    <w:rsid w:val="5E3F6785"/>
    <w:rsid w:val="5E541D22"/>
    <w:rsid w:val="5E5540CB"/>
    <w:rsid w:val="5E68D97C"/>
    <w:rsid w:val="5E792843"/>
    <w:rsid w:val="5E869C3C"/>
    <w:rsid w:val="5E967819"/>
    <w:rsid w:val="5EA0AF75"/>
    <w:rsid w:val="5EC49E1C"/>
    <w:rsid w:val="5EDAB340"/>
    <w:rsid w:val="5EE6913F"/>
    <w:rsid w:val="5EFEEC47"/>
    <w:rsid w:val="5F1EECCE"/>
    <w:rsid w:val="5F2DFBDF"/>
    <w:rsid w:val="5F363BD0"/>
    <w:rsid w:val="5F5858E0"/>
    <w:rsid w:val="5F5E0D96"/>
    <w:rsid w:val="5F6C2783"/>
    <w:rsid w:val="5F7D3F78"/>
    <w:rsid w:val="5F8980E4"/>
    <w:rsid w:val="5F8EA825"/>
    <w:rsid w:val="5FDDE289"/>
    <w:rsid w:val="5FED5204"/>
    <w:rsid w:val="600E438B"/>
    <w:rsid w:val="601C7B3A"/>
    <w:rsid w:val="6026F343"/>
    <w:rsid w:val="604D8310"/>
    <w:rsid w:val="605074E1"/>
    <w:rsid w:val="6087B548"/>
    <w:rsid w:val="60A77063"/>
    <w:rsid w:val="60BA1FDD"/>
    <w:rsid w:val="60BAA013"/>
    <w:rsid w:val="60BD7205"/>
    <w:rsid w:val="60DA1F06"/>
    <w:rsid w:val="60F5CAA1"/>
    <w:rsid w:val="611A56E6"/>
    <w:rsid w:val="6137EE68"/>
    <w:rsid w:val="615AB59A"/>
    <w:rsid w:val="615E1570"/>
    <w:rsid w:val="618FD854"/>
    <w:rsid w:val="61990D1C"/>
    <w:rsid w:val="61A8892E"/>
    <w:rsid w:val="61AC3DB7"/>
    <w:rsid w:val="61CF5EEE"/>
    <w:rsid w:val="61D49CF3"/>
    <w:rsid w:val="61D8A899"/>
    <w:rsid w:val="61D9307A"/>
    <w:rsid w:val="61D9D4E8"/>
    <w:rsid w:val="61E97B62"/>
    <w:rsid w:val="61EAEA6F"/>
    <w:rsid w:val="61EE1BBA"/>
    <w:rsid w:val="61F134AC"/>
    <w:rsid w:val="621DC0A7"/>
    <w:rsid w:val="623A69CF"/>
    <w:rsid w:val="623FA7EA"/>
    <w:rsid w:val="623FB681"/>
    <w:rsid w:val="6250625D"/>
    <w:rsid w:val="625EBC10"/>
    <w:rsid w:val="626510E4"/>
    <w:rsid w:val="6265B30D"/>
    <w:rsid w:val="6295E959"/>
    <w:rsid w:val="62BA13BA"/>
    <w:rsid w:val="62C8ECAD"/>
    <w:rsid w:val="62E0F28C"/>
    <w:rsid w:val="62F0D39C"/>
    <w:rsid w:val="63303629"/>
    <w:rsid w:val="63382CE2"/>
    <w:rsid w:val="6343D359"/>
    <w:rsid w:val="635089FD"/>
    <w:rsid w:val="636B016D"/>
    <w:rsid w:val="6379A0AA"/>
    <w:rsid w:val="63830301"/>
    <w:rsid w:val="638523D2"/>
    <w:rsid w:val="63896C33"/>
    <w:rsid w:val="63A77942"/>
    <w:rsid w:val="63B4A7D1"/>
    <w:rsid w:val="63C36FF5"/>
    <w:rsid w:val="63C940DE"/>
    <w:rsid w:val="63CB50FA"/>
    <w:rsid w:val="63F3300F"/>
    <w:rsid w:val="6400E145"/>
    <w:rsid w:val="6402D367"/>
    <w:rsid w:val="6407D46B"/>
    <w:rsid w:val="640A742F"/>
    <w:rsid w:val="64370FA4"/>
    <w:rsid w:val="644F81B3"/>
    <w:rsid w:val="645261E4"/>
    <w:rsid w:val="648DA6E0"/>
    <w:rsid w:val="64C57BE1"/>
    <w:rsid w:val="64C77628"/>
    <w:rsid w:val="64D1A2F9"/>
    <w:rsid w:val="64ECC1E7"/>
    <w:rsid w:val="64FB16EE"/>
    <w:rsid w:val="64FDD651"/>
    <w:rsid w:val="6503A43C"/>
    <w:rsid w:val="65054168"/>
    <w:rsid w:val="6518A012"/>
    <w:rsid w:val="652442B5"/>
    <w:rsid w:val="652F5D73"/>
    <w:rsid w:val="653F7381"/>
    <w:rsid w:val="654071D8"/>
    <w:rsid w:val="654770E4"/>
    <w:rsid w:val="654B820C"/>
    <w:rsid w:val="6550C377"/>
    <w:rsid w:val="65587285"/>
    <w:rsid w:val="65720A91"/>
    <w:rsid w:val="659B6CAF"/>
    <w:rsid w:val="65A91B16"/>
    <w:rsid w:val="65AA17AB"/>
    <w:rsid w:val="65B4602E"/>
    <w:rsid w:val="65BE6A4C"/>
    <w:rsid w:val="65C1C6BD"/>
    <w:rsid w:val="65EF0E4D"/>
    <w:rsid w:val="65F1B47C"/>
    <w:rsid w:val="65FADB8A"/>
    <w:rsid w:val="6600736D"/>
    <w:rsid w:val="661F9ED1"/>
    <w:rsid w:val="66220585"/>
    <w:rsid w:val="662757DE"/>
    <w:rsid w:val="662ADFEA"/>
    <w:rsid w:val="664D48BD"/>
    <w:rsid w:val="664EA174"/>
    <w:rsid w:val="66529E86"/>
    <w:rsid w:val="66701D5B"/>
    <w:rsid w:val="66AC0473"/>
    <w:rsid w:val="66B687D1"/>
    <w:rsid w:val="66D0A70C"/>
    <w:rsid w:val="66D1A253"/>
    <w:rsid w:val="66D5677F"/>
    <w:rsid w:val="66D59854"/>
    <w:rsid w:val="66F9027B"/>
    <w:rsid w:val="66F95BBE"/>
    <w:rsid w:val="66FCCD9B"/>
    <w:rsid w:val="6711A8D0"/>
    <w:rsid w:val="671C06C8"/>
    <w:rsid w:val="6732D4DB"/>
    <w:rsid w:val="6734EE8E"/>
    <w:rsid w:val="674F7D2B"/>
    <w:rsid w:val="675108B3"/>
    <w:rsid w:val="676682C5"/>
    <w:rsid w:val="6797A89B"/>
    <w:rsid w:val="679E84CC"/>
    <w:rsid w:val="67A78622"/>
    <w:rsid w:val="67A89A01"/>
    <w:rsid w:val="67B94454"/>
    <w:rsid w:val="67D907AA"/>
    <w:rsid w:val="681805E0"/>
    <w:rsid w:val="68245774"/>
    <w:rsid w:val="68345B66"/>
    <w:rsid w:val="68353B06"/>
    <w:rsid w:val="683F6C98"/>
    <w:rsid w:val="684B1430"/>
    <w:rsid w:val="6857E21B"/>
    <w:rsid w:val="685AD674"/>
    <w:rsid w:val="6870AF22"/>
    <w:rsid w:val="6883F770"/>
    <w:rsid w:val="68CF4652"/>
    <w:rsid w:val="68D3F614"/>
    <w:rsid w:val="68DE7352"/>
    <w:rsid w:val="68F01FE5"/>
    <w:rsid w:val="68F0A73D"/>
    <w:rsid w:val="690335D9"/>
    <w:rsid w:val="690C283E"/>
    <w:rsid w:val="69278BEC"/>
    <w:rsid w:val="6927F233"/>
    <w:rsid w:val="692FE718"/>
    <w:rsid w:val="693619D6"/>
    <w:rsid w:val="69406577"/>
    <w:rsid w:val="696B172A"/>
    <w:rsid w:val="696F7DC1"/>
    <w:rsid w:val="69A9CB57"/>
    <w:rsid w:val="69C295AE"/>
    <w:rsid w:val="69C79A46"/>
    <w:rsid w:val="69EC14FC"/>
    <w:rsid w:val="69FBDB3C"/>
    <w:rsid w:val="6A2DF105"/>
    <w:rsid w:val="6A4F7389"/>
    <w:rsid w:val="6A53A78A"/>
    <w:rsid w:val="6A625063"/>
    <w:rsid w:val="6A65D35F"/>
    <w:rsid w:val="6A8EA0AA"/>
    <w:rsid w:val="6A97E022"/>
    <w:rsid w:val="6A9D846C"/>
    <w:rsid w:val="6AA09F8B"/>
    <w:rsid w:val="6AA0FB3E"/>
    <w:rsid w:val="6AA8F08F"/>
    <w:rsid w:val="6AB39DE1"/>
    <w:rsid w:val="6AC3C294"/>
    <w:rsid w:val="6AC3EB15"/>
    <w:rsid w:val="6AF4E8C7"/>
    <w:rsid w:val="6B0D689F"/>
    <w:rsid w:val="6B2E3F95"/>
    <w:rsid w:val="6B3451E3"/>
    <w:rsid w:val="6B6FA017"/>
    <w:rsid w:val="6B8ACFF0"/>
    <w:rsid w:val="6B93C318"/>
    <w:rsid w:val="6B98B33C"/>
    <w:rsid w:val="6BB8BAA8"/>
    <w:rsid w:val="6BC81B05"/>
    <w:rsid w:val="6BCA2009"/>
    <w:rsid w:val="6BCA67EF"/>
    <w:rsid w:val="6BE59CC3"/>
    <w:rsid w:val="6BF0B926"/>
    <w:rsid w:val="6BF255DF"/>
    <w:rsid w:val="6C0EC82A"/>
    <w:rsid w:val="6C151A38"/>
    <w:rsid w:val="6C164A7C"/>
    <w:rsid w:val="6C1B7D46"/>
    <w:rsid w:val="6C21BF43"/>
    <w:rsid w:val="6C220288"/>
    <w:rsid w:val="6C2AB059"/>
    <w:rsid w:val="6C43FABB"/>
    <w:rsid w:val="6C476B97"/>
    <w:rsid w:val="6C6A1D0E"/>
    <w:rsid w:val="6C86BDE4"/>
    <w:rsid w:val="6CA2B7EC"/>
    <w:rsid w:val="6CA5E9D6"/>
    <w:rsid w:val="6CAB3164"/>
    <w:rsid w:val="6CAD1045"/>
    <w:rsid w:val="6CB2EBE0"/>
    <w:rsid w:val="6CB6B2BF"/>
    <w:rsid w:val="6CC51E85"/>
    <w:rsid w:val="6CD3A22C"/>
    <w:rsid w:val="6D0BB595"/>
    <w:rsid w:val="6D221B52"/>
    <w:rsid w:val="6D2C6C50"/>
    <w:rsid w:val="6D34839D"/>
    <w:rsid w:val="6D3CAD91"/>
    <w:rsid w:val="6D59F43C"/>
    <w:rsid w:val="6D967030"/>
    <w:rsid w:val="6D9F79B1"/>
    <w:rsid w:val="6DA0075A"/>
    <w:rsid w:val="6DAE1A3A"/>
    <w:rsid w:val="6DB306B3"/>
    <w:rsid w:val="6DBF7E80"/>
    <w:rsid w:val="6DCEC68F"/>
    <w:rsid w:val="6DFD0AE7"/>
    <w:rsid w:val="6E05ED6F"/>
    <w:rsid w:val="6E1C6174"/>
    <w:rsid w:val="6E21B9E9"/>
    <w:rsid w:val="6E27818C"/>
    <w:rsid w:val="6EAD4B22"/>
    <w:rsid w:val="6EB8C123"/>
    <w:rsid w:val="6EC52569"/>
    <w:rsid w:val="6EC7FA08"/>
    <w:rsid w:val="6EEC8C39"/>
    <w:rsid w:val="6EFB7B81"/>
    <w:rsid w:val="6F102F30"/>
    <w:rsid w:val="6F16FF14"/>
    <w:rsid w:val="6F20DA5D"/>
    <w:rsid w:val="6F36BB1D"/>
    <w:rsid w:val="6F408E4D"/>
    <w:rsid w:val="6F4ADDE7"/>
    <w:rsid w:val="6F69217D"/>
    <w:rsid w:val="6F78D05B"/>
    <w:rsid w:val="6F7E7B66"/>
    <w:rsid w:val="6F82C3BF"/>
    <w:rsid w:val="6F8FEC34"/>
    <w:rsid w:val="6FBD5384"/>
    <w:rsid w:val="6FBDEE51"/>
    <w:rsid w:val="6FEF2AA3"/>
    <w:rsid w:val="6FF420FD"/>
    <w:rsid w:val="6FFDCE57"/>
    <w:rsid w:val="7007A600"/>
    <w:rsid w:val="70092E04"/>
    <w:rsid w:val="700A3A5C"/>
    <w:rsid w:val="7013E225"/>
    <w:rsid w:val="702CB24F"/>
    <w:rsid w:val="7030589E"/>
    <w:rsid w:val="703403FD"/>
    <w:rsid w:val="7041D715"/>
    <w:rsid w:val="704F314B"/>
    <w:rsid w:val="70563CF7"/>
    <w:rsid w:val="705C6BF6"/>
    <w:rsid w:val="7085892A"/>
    <w:rsid w:val="708784B3"/>
    <w:rsid w:val="708CB368"/>
    <w:rsid w:val="709BB01E"/>
    <w:rsid w:val="70AAC654"/>
    <w:rsid w:val="70ACC21F"/>
    <w:rsid w:val="70BEE181"/>
    <w:rsid w:val="70D648B9"/>
    <w:rsid w:val="70E2FB65"/>
    <w:rsid w:val="70E57F26"/>
    <w:rsid w:val="70F09F8B"/>
    <w:rsid w:val="70F37C39"/>
    <w:rsid w:val="7102E1AD"/>
    <w:rsid w:val="71066942"/>
    <w:rsid w:val="71340520"/>
    <w:rsid w:val="71351B3F"/>
    <w:rsid w:val="713D8E31"/>
    <w:rsid w:val="7146BEF5"/>
    <w:rsid w:val="714D8C43"/>
    <w:rsid w:val="7158A453"/>
    <w:rsid w:val="716EF4A6"/>
    <w:rsid w:val="717F925C"/>
    <w:rsid w:val="7184D661"/>
    <w:rsid w:val="718FE4DE"/>
    <w:rsid w:val="71A56E9F"/>
    <w:rsid w:val="71B0D470"/>
    <w:rsid w:val="71B82BB3"/>
    <w:rsid w:val="71D460C8"/>
    <w:rsid w:val="71DE9E94"/>
    <w:rsid w:val="71DEE19B"/>
    <w:rsid w:val="71F41DE4"/>
    <w:rsid w:val="721D2E3F"/>
    <w:rsid w:val="722461AA"/>
    <w:rsid w:val="7227B4DF"/>
    <w:rsid w:val="7241014D"/>
    <w:rsid w:val="72587B1F"/>
    <w:rsid w:val="72785ACF"/>
    <w:rsid w:val="727B7080"/>
    <w:rsid w:val="727FD703"/>
    <w:rsid w:val="72856A7E"/>
    <w:rsid w:val="72DD6053"/>
    <w:rsid w:val="72E31CA3"/>
    <w:rsid w:val="72E64B8C"/>
    <w:rsid w:val="72E74EBF"/>
    <w:rsid w:val="72F53862"/>
    <w:rsid w:val="73139FC8"/>
    <w:rsid w:val="7337573A"/>
    <w:rsid w:val="733DCED4"/>
    <w:rsid w:val="734A82CF"/>
    <w:rsid w:val="735AB853"/>
    <w:rsid w:val="736E05BA"/>
    <w:rsid w:val="7396C725"/>
    <w:rsid w:val="73C06B62"/>
    <w:rsid w:val="73C93296"/>
    <w:rsid w:val="73E94C6E"/>
    <w:rsid w:val="7409AFAA"/>
    <w:rsid w:val="740C7463"/>
    <w:rsid w:val="741CE915"/>
    <w:rsid w:val="74527F3B"/>
    <w:rsid w:val="74588AF3"/>
    <w:rsid w:val="74622DBC"/>
    <w:rsid w:val="74693884"/>
    <w:rsid w:val="74B58D1F"/>
    <w:rsid w:val="74ED3EEF"/>
    <w:rsid w:val="74F2D92D"/>
    <w:rsid w:val="74F4E3EF"/>
    <w:rsid w:val="7515DC42"/>
    <w:rsid w:val="75266921"/>
    <w:rsid w:val="752D90DD"/>
    <w:rsid w:val="75323852"/>
    <w:rsid w:val="754E6030"/>
    <w:rsid w:val="7563D89C"/>
    <w:rsid w:val="75901BE1"/>
    <w:rsid w:val="759E8266"/>
    <w:rsid w:val="75AAE6E2"/>
    <w:rsid w:val="75AD9A11"/>
    <w:rsid w:val="75AF75DB"/>
    <w:rsid w:val="75BE2BF0"/>
    <w:rsid w:val="75C564F8"/>
    <w:rsid w:val="75D1CB00"/>
    <w:rsid w:val="75EBE088"/>
    <w:rsid w:val="75EE5F12"/>
    <w:rsid w:val="75EEF46F"/>
    <w:rsid w:val="75F64667"/>
    <w:rsid w:val="75F70FEE"/>
    <w:rsid w:val="75F7D6F7"/>
    <w:rsid w:val="75FC70A2"/>
    <w:rsid w:val="76150115"/>
    <w:rsid w:val="7622731C"/>
    <w:rsid w:val="7629CD8C"/>
    <w:rsid w:val="76378017"/>
    <w:rsid w:val="76479BD2"/>
    <w:rsid w:val="764831B5"/>
    <w:rsid w:val="7655C107"/>
    <w:rsid w:val="76669BA7"/>
    <w:rsid w:val="766D0FDB"/>
    <w:rsid w:val="7694A26D"/>
    <w:rsid w:val="769804B2"/>
    <w:rsid w:val="769D3108"/>
    <w:rsid w:val="769D7B55"/>
    <w:rsid w:val="76A69863"/>
    <w:rsid w:val="76B63E76"/>
    <w:rsid w:val="76BCD35B"/>
    <w:rsid w:val="76D770D8"/>
    <w:rsid w:val="76F9D7F9"/>
    <w:rsid w:val="76FA3A0C"/>
    <w:rsid w:val="7701A49E"/>
    <w:rsid w:val="7704C247"/>
    <w:rsid w:val="7714F8C1"/>
    <w:rsid w:val="7720ED30"/>
    <w:rsid w:val="7730C95C"/>
    <w:rsid w:val="77376F96"/>
    <w:rsid w:val="773DA863"/>
    <w:rsid w:val="775407D7"/>
    <w:rsid w:val="7762C812"/>
    <w:rsid w:val="77875531"/>
    <w:rsid w:val="778AC4D0"/>
    <w:rsid w:val="778B60D7"/>
    <w:rsid w:val="779505D1"/>
    <w:rsid w:val="77FB87C6"/>
    <w:rsid w:val="7804EB73"/>
    <w:rsid w:val="7808E03C"/>
    <w:rsid w:val="780F7F48"/>
    <w:rsid w:val="782CD978"/>
    <w:rsid w:val="784268C4"/>
    <w:rsid w:val="7866238C"/>
    <w:rsid w:val="7867AEE5"/>
    <w:rsid w:val="7875CF29"/>
    <w:rsid w:val="78929C5A"/>
    <w:rsid w:val="789467D7"/>
    <w:rsid w:val="78965B1A"/>
    <w:rsid w:val="789790C0"/>
    <w:rsid w:val="78A61476"/>
    <w:rsid w:val="78C7BCA3"/>
    <w:rsid w:val="78CA6095"/>
    <w:rsid w:val="78D33FF7"/>
    <w:rsid w:val="78D6E8E8"/>
    <w:rsid w:val="78D86693"/>
    <w:rsid w:val="78ED2859"/>
    <w:rsid w:val="78F973FB"/>
    <w:rsid w:val="78FA9186"/>
    <w:rsid w:val="78FDBD8A"/>
    <w:rsid w:val="78FEAABB"/>
    <w:rsid w:val="79028855"/>
    <w:rsid w:val="7914C8ED"/>
    <w:rsid w:val="79191CAD"/>
    <w:rsid w:val="79409603"/>
    <w:rsid w:val="7947668E"/>
    <w:rsid w:val="794E51FB"/>
    <w:rsid w:val="7989364F"/>
    <w:rsid w:val="7989AF3E"/>
    <w:rsid w:val="79A4B09D"/>
    <w:rsid w:val="79C5A5FB"/>
    <w:rsid w:val="79C98927"/>
    <w:rsid w:val="79D027C1"/>
    <w:rsid w:val="79DE3925"/>
    <w:rsid w:val="79E44D65"/>
    <w:rsid w:val="79E9F380"/>
    <w:rsid w:val="79FFFF70"/>
    <w:rsid w:val="7A28EC91"/>
    <w:rsid w:val="7A4BEC84"/>
    <w:rsid w:val="7A588DF2"/>
    <w:rsid w:val="7A600B3E"/>
    <w:rsid w:val="7A61C257"/>
    <w:rsid w:val="7A7B11BE"/>
    <w:rsid w:val="7A7B77EF"/>
    <w:rsid w:val="7A7DDFE4"/>
    <w:rsid w:val="7A9946C6"/>
    <w:rsid w:val="7A9C4279"/>
    <w:rsid w:val="7AA5645D"/>
    <w:rsid w:val="7AA5E431"/>
    <w:rsid w:val="7AB8C729"/>
    <w:rsid w:val="7AE70B43"/>
    <w:rsid w:val="7AF1831B"/>
    <w:rsid w:val="7AF259A2"/>
    <w:rsid w:val="7AF5E614"/>
    <w:rsid w:val="7B0C239F"/>
    <w:rsid w:val="7B111FF4"/>
    <w:rsid w:val="7B14C436"/>
    <w:rsid w:val="7B2940C2"/>
    <w:rsid w:val="7B4080FE"/>
    <w:rsid w:val="7B67D44F"/>
    <w:rsid w:val="7B6A0C6F"/>
    <w:rsid w:val="7B7AABAF"/>
    <w:rsid w:val="7B897ED7"/>
    <w:rsid w:val="7B9E9ECC"/>
    <w:rsid w:val="7B9F988A"/>
    <w:rsid w:val="7BE0B3CB"/>
    <w:rsid w:val="7BE2E69C"/>
    <w:rsid w:val="7BEC2842"/>
    <w:rsid w:val="7BEDBA05"/>
    <w:rsid w:val="7BEFE8B9"/>
    <w:rsid w:val="7BF18C6F"/>
    <w:rsid w:val="7BFF5D65"/>
    <w:rsid w:val="7C00272F"/>
    <w:rsid w:val="7C04EE73"/>
    <w:rsid w:val="7C09354F"/>
    <w:rsid w:val="7C13E015"/>
    <w:rsid w:val="7C20A616"/>
    <w:rsid w:val="7C42D899"/>
    <w:rsid w:val="7C44493A"/>
    <w:rsid w:val="7C4AB8F8"/>
    <w:rsid w:val="7C6B1A3C"/>
    <w:rsid w:val="7C86525A"/>
    <w:rsid w:val="7C8D8E32"/>
    <w:rsid w:val="7CACDB40"/>
    <w:rsid w:val="7CDC515F"/>
    <w:rsid w:val="7CE2F06B"/>
    <w:rsid w:val="7CE2F5BB"/>
    <w:rsid w:val="7D10E15D"/>
    <w:rsid w:val="7D20520D"/>
    <w:rsid w:val="7D3B68EB"/>
    <w:rsid w:val="7D3EF0F2"/>
    <w:rsid w:val="7D4B1EA0"/>
    <w:rsid w:val="7D5A3365"/>
    <w:rsid w:val="7D5ABEE1"/>
    <w:rsid w:val="7D6266C9"/>
    <w:rsid w:val="7D754AA9"/>
    <w:rsid w:val="7D82BEFA"/>
    <w:rsid w:val="7D931951"/>
    <w:rsid w:val="7DB8ABF6"/>
    <w:rsid w:val="7DC193CA"/>
    <w:rsid w:val="7DD20996"/>
    <w:rsid w:val="7DDFA052"/>
    <w:rsid w:val="7DED631B"/>
    <w:rsid w:val="7DF08923"/>
    <w:rsid w:val="7E0C97AC"/>
    <w:rsid w:val="7E13A82A"/>
    <w:rsid w:val="7E23044F"/>
    <w:rsid w:val="7E3FD372"/>
    <w:rsid w:val="7E4BB241"/>
    <w:rsid w:val="7E585638"/>
    <w:rsid w:val="7E6ACDF0"/>
    <w:rsid w:val="7E7FC0AE"/>
    <w:rsid w:val="7E880819"/>
    <w:rsid w:val="7E95E19F"/>
    <w:rsid w:val="7EA43C46"/>
    <w:rsid w:val="7EA7464F"/>
    <w:rsid w:val="7EB1F5E0"/>
    <w:rsid w:val="7EC9E4F8"/>
    <w:rsid w:val="7ECCBF6C"/>
    <w:rsid w:val="7ED5C4D2"/>
    <w:rsid w:val="7EFCA89F"/>
    <w:rsid w:val="7F280174"/>
    <w:rsid w:val="7F2A5078"/>
    <w:rsid w:val="7F556D3A"/>
    <w:rsid w:val="7F5A59DF"/>
    <w:rsid w:val="7F77F66A"/>
    <w:rsid w:val="7F795554"/>
    <w:rsid w:val="7FACE028"/>
    <w:rsid w:val="7FB0DBED"/>
    <w:rsid w:val="7FD98FA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2279F"/>
  <w15:chartTrackingRefBased/>
  <w15:docId w15:val="{5D373D2E-3DC9-4CDD-A768-96217E6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57D6C"/>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81393D"/>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B045A"/>
    <w:pPr>
      <w:keepNext/>
      <w:keepLines/>
      <w:spacing w:before="240" w:after="240"/>
      <w:outlineLvl w:val="2"/>
    </w:pPr>
    <w:rPr>
      <w:rFonts w:eastAsiaTheme="majorEastAsia" w:cstheme="majorBidi"/>
      <w:b/>
      <w:i/>
      <w:sz w:val="32"/>
    </w:rPr>
  </w:style>
  <w:style w:type="paragraph" w:styleId="Heading4">
    <w:name w:val="heading 4"/>
    <w:basedOn w:val="Normal"/>
    <w:next w:val="Normal"/>
    <w:link w:val="Heading4Char"/>
    <w:uiPriority w:val="9"/>
    <w:unhideWhenUsed/>
    <w:qFormat/>
    <w:rsid w:val="00622B04"/>
    <w:pPr>
      <w:keepNext/>
      <w:keepLines/>
      <w:spacing w:before="240"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3A7BDA"/>
    <w:pPr>
      <w:keepNext/>
      <w:keepLines/>
      <w:spacing w:before="24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6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1393D"/>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B045A"/>
    <w:rPr>
      <w:rFonts w:ascii="Arial" w:eastAsiaTheme="majorEastAsia" w:hAnsi="Arial" w:cstheme="majorBidi"/>
      <w:b/>
      <w:i/>
      <w:sz w:val="32"/>
      <w:szCs w:val="24"/>
    </w:rPr>
  </w:style>
  <w:style w:type="character" w:customStyle="1" w:styleId="Heading4Char">
    <w:name w:val="Heading 4 Char"/>
    <w:basedOn w:val="DefaultParagraphFont"/>
    <w:link w:val="Heading4"/>
    <w:uiPriority w:val="9"/>
    <w:rsid w:val="00622B04"/>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3A7BDA"/>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Indented Paragraph,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Indented Paragraph Char,List1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normaltextrun">
    <w:name w:val="normaltextrun"/>
    <w:basedOn w:val="DefaultParagraphFont"/>
    <w:rsid w:val="002F6B97"/>
  </w:style>
  <w:style w:type="character" w:customStyle="1" w:styleId="eop">
    <w:name w:val="eop"/>
    <w:basedOn w:val="DefaultParagraphFont"/>
    <w:rsid w:val="002F6B97"/>
  </w:style>
  <w:style w:type="paragraph" w:customStyle="1" w:styleId="paragraph">
    <w:name w:val="paragraph"/>
    <w:basedOn w:val="Normal"/>
    <w:rsid w:val="002F6B97"/>
    <w:pPr>
      <w:spacing w:before="100" w:beforeAutospacing="1" w:after="100" w:afterAutospacing="1"/>
    </w:pPr>
    <w:rPr>
      <w:rFonts w:ascii="Times New Roman" w:hAnsi="Times New Roman"/>
      <w:lang w:bidi="he-IL"/>
    </w:rPr>
  </w:style>
  <w:style w:type="character" w:customStyle="1" w:styleId="scxw96359127">
    <w:name w:val="scxw96359127"/>
    <w:basedOn w:val="DefaultParagraphFont"/>
    <w:rsid w:val="002F6B97"/>
  </w:style>
  <w:style w:type="character" w:styleId="UnresolvedMention">
    <w:name w:val="Unresolved Mention"/>
    <w:basedOn w:val="DefaultParagraphFont"/>
    <w:uiPriority w:val="99"/>
    <w:semiHidden/>
    <w:unhideWhenUsed/>
    <w:rsid w:val="004C14AF"/>
    <w:rPr>
      <w:color w:val="605E5C"/>
      <w:shd w:val="clear" w:color="auto" w:fill="E1DFDD"/>
    </w:rPr>
  </w:style>
  <w:style w:type="table" w:customStyle="1" w:styleId="TableGrid1">
    <w:name w:val="Table Grid1"/>
    <w:basedOn w:val="TableNormal"/>
    <w:next w:val="TableGrid"/>
    <w:uiPriority w:val="39"/>
    <w:rsid w:val="007B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6B9"/>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1"/>
    <w:qFormat/>
    <w:rsid w:val="00B63A4C"/>
    <w:pPr>
      <w:widowControl w:val="0"/>
      <w:ind w:left="119"/>
    </w:pPr>
    <w:rPr>
      <w:rFonts w:ascii="Times New Roman" w:hAnsi="Times New Roman" w:cstheme="minorBidi"/>
    </w:rPr>
  </w:style>
  <w:style w:type="character" w:customStyle="1" w:styleId="BodyTextChar">
    <w:name w:val="Body Text Char"/>
    <w:basedOn w:val="DefaultParagraphFont"/>
    <w:link w:val="BodyText"/>
    <w:uiPriority w:val="1"/>
    <w:rsid w:val="00B63A4C"/>
    <w:rPr>
      <w:rFonts w:ascii="Times New Roman" w:eastAsia="Times New Roman" w:hAnsi="Times New Roman"/>
      <w:sz w:val="24"/>
      <w:szCs w:val="24"/>
    </w:rPr>
  </w:style>
  <w:style w:type="character" w:styleId="Emphasis">
    <w:name w:val="Emphasis"/>
    <w:basedOn w:val="DefaultParagraphFont"/>
    <w:uiPriority w:val="20"/>
    <w:qFormat/>
    <w:rsid w:val="00F46785"/>
    <w:rPr>
      <w:i/>
      <w:iCs/>
    </w:rPr>
  </w:style>
  <w:style w:type="character" w:customStyle="1" w:styleId="issue-underline">
    <w:name w:val="issue-underline"/>
    <w:basedOn w:val="DefaultParagraphFont"/>
    <w:rsid w:val="00E47C93"/>
  </w:style>
  <w:style w:type="character" w:styleId="Mention">
    <w:name w:val="Mention"/>
    <w:basedOn w:val="DefaultParagraphFont"/>
    <w:uiPriority w:val="99"/>
    <w:unhideWhenUsed/>
    <w:rsid w:val="007412E5"/>
    <w:rPr>
      <w:color w:val="2B579A"/>
      <w:shd w:val="clear" w:color="auto" w:fill="E1DFDD"/>
    </w:rPr>
  </w:style>
  <w:style w:type="character" w:styleId="Strong">
    <w:name w:val="Strong"/>
    <w:basedOn w:val="DefaultParagraphFont"/>
    <w:uiPriority w:val="22"/>
    <w:qFormat/>
    <w:rsid w:val="007A77AC"/>
    <w:rPr>
      <w:b/>
      <w:bCs/>
    </w:rPr>
  </w:style>
  <w:style w:type="table" w:styleId="TableWeb3">
    <w:name w:val="Table Web 3"/>
    <w:basedOn w:val="TableNormal"/>
    <w:uiPriority w:val="99"/>
    <w:rsid w:val="005F1FB6"/>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8F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6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329598302">
      <w:bodyDiv w:val="1"/>
      <w:marLeft w:val="0"/>
      <w:marRight w:val="0"/>
      <w:marTop w:val="0"/>
      <w:marBottom w:val="0"/>
      <w:divBdr>
        <w:top w:val="none" w:sz="0" w:space="0" w:color="auto"/>
        <w:left w:val="none" w:sz="0" w:space="0" w:color="auto"/>
        <w:bottom w:val="none" w:sz="0" w:space="0" w:color="auto"/>
        <w:right w:val="none" w:sz="0" w:space="0" w:color="auto"/>
      </w:divBdr>
    </w:div>
    <w:div w:id="38071326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946231294">
      <w:bodyDiv w:val="1"/>
      <w:marLeft w:val="0"/>
      <w:marRight w:val="0"/>
      <w:marTop w:val="0"/>
      <w:marBottom w:val="0"/>
      <w:divBdr>
        <w:top w:val="none" w:sz="0" w:space="0" w:color="auto"/>
        <w:left w:val="none" w:sz="0" w:space="0" w:color="auto"/>
        <w:bottom w:val="none" w:sz="0" w:space="0" w:color="auto"/>
        <w:right w:val="none" w:sz="0" w:space="0" w:color="auto"/>
      </w:divBdr>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18627904">
      <w:bodyDiv w:val="1"/>
      <w:marLeft w:val="0"/>
      <w:marRight w:val="0"/>
      <w:marTop w:val="0"/>
      <w:marBottom w:val="0"/>
      <w:divBdr>
        <w:top w:val="none" w:sz="0" w:space="0" w:color="auto"/>
        <w:left w:val="none" w:sz="0" w:space="0" w:color="auto"/>
        <w:bottom w:val="none" w:sz="0" w:space="0" w:color="auto"/>
        <w:right w:val="none" w:sz="0" w:space="0" w:color="auto"/>
      </w:divBdr>
    </w:div>
    <w:div w:id="1032657069">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0318">
      <w:bodyDiv w:val="1"/>
      <w:marLeft w:val="0"/>
      <w:marRight w:val="0"/>
      <w:marTop w:val="0"/>
      <w:marBottom w:val="0"/>
      <w:divBdr>
        <w:top w:val="none" w:sz="0" w:space="0" w:color="auto"/>
        <w:left w:val="none" w:sz="0" w:space="0" w:color="auto"/>
        <w:bottom w:val="none" w:sz="0" w:space="0" w:color="auto"/>
        <w:right w:val="none" w:sz="0" w:space="0" w:color="auto"/>
      </w:divBdr>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33187342">
      <w:bodyDiv w:val="1"/>
      <w:marLeft w:val="0"/>
      <w:marRight w:val="0"/>
      <w:marTop w:val="0"/>
      <w:marBottom w:val="0"/>
      <w:divBdr>
        <w:top w:val="none" w:sz="0" w:space="0" w:color="auto"/>
        <w:left w:val="none" w:sz="0" w:space="0" w:color="auto"/>
        <w:bottom w:val="none" w:sz="0" w:space="0" w:color="auto"/>
        <w:right w:val="none" w:sz="0" w:space="0" w:color="auto"/>
      </w:divBdr>
      <w:divsChild>
        <w:div w:id="53236184">
          <w:marLeft w:val="1008"/>
          <w:marRight w:val="0"/>
          <w:marTop w:val="120"/>
          <w:marBottom w:val="120"/>
          <w:divBdr>
            <w:top w:val="none" w:sz="0" w:space="0" w:color="auto"/>
            <w:left w:val="none" w:sz="0" w:space="0" w:color="auto"/>
            <w:bottom w:val="none" w:sz="0" w:space="0" w:color="auto"/>
            <w:right w:val="none" w:sz="0" w:space="0" w:color="auto"/>
          </w:divBdr>
        </w:div>
        <w:div w:id="677971235">
          <w:marLeft w:val="576"/>
          <w:marRight w:val="0"/>
          <w:marTop w:val="120"/>
          <w:marBottom w:val="120"/>
          <w:divBdr>
            <w:top w:val="none" w:sz="0" w:space="0" w:color="auto"/>
            <w:left w:val="none" w:sz="0" w:space="0" w:color="auto"/>
            <w:bottom w:val="none" w:sz="0" w:space="0" w:color="auto"/>
            <w:right w:val="none" w:sz="0" w:space="0" w:color="auto"/>
          </w:divBdr>
        </w:div>
        <w:div w:id="806170950">
          <w:marLeft w:val="576"/>
          <w:marRight w:val="0"/>
          <w:marTop w:val="120"/>
          <w:marBottom w:val="120"/>
          <w:divBdr>
            <w:top w:val="none" w:sz="0" w:space="0" w:color="auto"/>
            <w:left w:val="none" w:sz="0" w:space="0" w:color="auto"/>
            <w:bottom w:val="none" w:sz="0" w:space="0" w:color="auto"/>
            <w:right w:val="none" w:sz="0" w:space="0" w:color="auto"/>
          </w:divBdr>
        </w:div>
        <w:div w:id="963345573">
          <w:marLeft w:val="1008"/>
          <w:marRight w:val="0"/>
          <w:marTop w:val="120"/>
          <w:marBottom w:val="120"/>
          <w:divBdr>
            <w:top w:val="none" w:sz="0" w:space="0" w:color="auto"/>
            <w:left w:val="none" w:sz="0" w:space="0" w:color="auto"/>
            <w:bottom w:val="none" w:sz="0" w:space="0" w:color="auto"/>
            <w:right w:val="none" w:sz="0" w:space="0" w:color="auto"/>
          </w:divBdr>
        </w:div>
        <w:div w:id="1584872372">
          <w:marLeft w:val="576"/>
          <w:marRight w:val="0"/>
          <w:marTop w:val="120"/>
          <w:marBottom w:val="120"/>
          <w:divBdr>
            <w:top w:val="none" w:sz="0" w:space="0" w:color="auto"/>
            <w:left w:val="none" w:sz="0" w:space="0" w:color="auto"/>
            <w:bottom w:val="none" w:sz="0" w:space="0" w:color="auto"/>
            <w:right w:val="none" w:sz="0" w:space="0" w:color="auto"/>
          </w:divBdr>
        </w:div>
        <w:div w:id="1608124795">
          <w:marLeft w:val="1008"/>
          <w:marRight w:val="0"/>
          <w:marTop w:val="120"/>
          <w:marBottom w:val="120"/>
          <w:divBdr>
            <w:top w:val="none" w:sz="0" w:space="0" w:color="auto"/>
            <w:left w:val="none" w:sz="0" w:space="0" w:color="auto"/>
            <w:bottom w:val="none" w:sz="0" w:space="0" w:color="auto"/>
            <w:right w:val="none" w:sz="0" w:space="0" w:color="auto"/>
          </w:divBdr>
        </w:div>
        <w:div w:id="1688410169">
          <w:marLeft w:val="576"/>
          <w:marRight w:val="0"/>
          <w:marTop w:val="120"/>
          <w:marBottom w:val="120"/>
          <w:divBdr>
            <w:top w:val="none" w:sz="0" w:space="0" w:color="auto"/>
            <w:left w:val="none" w:sz="0" w:space="0" w:color="auto"/>
            <w:bottom w:val="none" w:sz="0" w:space="0" w:color="auto"/>
            <w:right w:val="none" w:sz="0" w:space="0" w:color="auto"/>
          </w:divBdr>
        </w:div>
      </w:divsChild>
    </w:div>
    <w:div w:id="1960915898">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14987981">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942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ag/ag/yr16/documents/may16item02revised.doc" TargetMode="External"/><Relationship Id="rId26" Type="http://schemas.openxmlformats.org/officeDocument/2006/relationships/footer" Target="footer4.xm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cde.ca.gov/be/ag/ag/yr18/documents/mar18item01.docx"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4/documents/nov14item14.doc" TargetMode="External"/><Relationship Id="rId25" Type="http://schemas.openxmlformats.org/officeDocument/2006/relationships/header" Target="header3.xml"/><Relationship Id="rId33" Type="http://schemas.openxmlformats.org/officeDocument/2006/relationships/hyperlink" Target="https://www.cde.ca.gov/be/pn/im/documents/jun23memoamard01.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be/ag/ag/yr17/documents/nov17item03.doc" TargetMode="External"/><Relationship Id="rId29" Type="http://schemas.openxmlformats.org/officeDocument/2006/relationships/hyperlink" Target="https://www.cde.ca.gov/ds/ad/crabtop.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8/documents/nov18item04.docx" TargetMode="External"/><Relationship Id="rId32" Type="http://schemas.openxmlformats.org/officeDocument/2006/relationships/hyperlink" Target="https://www.attendanceworks.org/monitoring-data-matters-even-more-a-review-of-state-attendance-data-policy-and-practice-in-school-year-2022-23/"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be/ag/ag/yr18/documents/sep18item01.docx" TargetMode="External"/><Relationship Id="rId28" Type="http://schemas.openxmlformats.org/officeDocument/2006/relationships/footer" Target="footer5.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cde.ca.gov/be/ag/ag/yr17/documents/sep17item02.doc" TargetMode="External"/><Relationship Id="rId31" Type="http://schemas.openxmlformats.org/officeDocument/2006/relationships/hyperlink" Target="https://www.cde.ca.gov/be/ag/ag/yr23/documents/mar23item0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be/pn/im/documents/memo-pptb-amard-aug18item02.docx" TargetMode="External"/><Relationship Id="rId27" Type="http://schemas.openxmlformats.org/officeDocument/2006/relationships/header" Target="header4.xml"/><Relationship Id="rId30" Type="http://schemas.openxmlformats.org/officeDocument/2006/relationships/hyperlink" Target="https://edpolicyinca.org/publications/disparities-unexcused-absences-across-california-schools"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Sara Pietrowski</DisplayName>
        <AccountId>54</AccountId>
        <AccountType/>
      </UserInfo>
    </SharedWithUsers>
  </documentManagement>
</p:properties>
</file>

<file path=customXml/itemProps1.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2.xml><?xml version="1.0" encoding="utf-8"?>
<ds:datastoreItem xmlns:ds="http://schemas.openxmlformats.org/officeDocument/2006/customXml" ds:itemID="{6EA81391-91D5-4EBB-85B1-9769214DB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1D30C-B6D0-42E7-88EB-C6A3D2F02D41}">
  <ds:schemaRefs>
    <ds:schemaRef ds:uri="http://schemas.openxmlformats.org/officeDocument/2006/bibliography"/>
  </ds:schemaRefs>
</ds:datastoreItem>
</file>

<file path=customXml/itemProps4.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1aae30ff-d7bc-47e3-882e-cd3423d00d62"/>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4397</Words>
  <Characters>25068</Characters>
  <DocSecurity>0</DocSecurity>
  <Lines>208</Lines>
  <Paragraphs>58</Paragraphs>
  <ScaleCrop>false</ScaleCrop>
  <HeadingPairs>
    <vt:vector size="2" baseType="variant">
      <vt:variant>
        <vt:lpstr>Title</vt:lpstr>
      </vt:variant>
      <vt:variant>
        <vt:i4>1</vt:i4>
      </vt:variant>
    </vt:vector>
  </HeadingPairs>
  <TitlesOfParts>
    <vt:vector size="1" baseType="lpstr">
      <vt:lpstr>July 2023 Agenda Item 02 - Meeting Agendas (CA State Board of Education)</vt:lpstr>
    </vt:vector>
  </TitlesOfParts>
  <Company>California State Board of Education</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02 - Meeting Agendas (CA State Board of Education)</dc:title>
  <dc:subject>Update on the Implementation of the Integrated Local, State, and Federal Accountability and Continuous Improvement System: Addendum to the Continuing Work and Revisions Under Consideration.</dc:subject>
  <cp:keywords/>
  <dc:description/>
  <cp:lastPrinted>2019-02-28T22:21:00Z</cp:lastPrinted>
  <dcterms:created xsi:type="dcterms:W3CDTF">2023-06-29T20:33:00Z</dcterms:created>
  <dcterms:modified xsi:type="dcterms:W3CDTF">2023-06-30T02:50:00Z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