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8112" w14:textId="77777777" w:rsidR="008C2A38" w:rsidRPr="008136C2" w:rsidRDefault="00435C03" w:rsidP="00435C03">
      <w:pPr>
        <w:pStyle w:val="Heading1"/>
      </w:pPr>
      <w:r>
        <w:t>Attachment 1</w:t>
      </w:r>
      <w:r w:rsidRPr="008136C2">
        <w:t xml:space="preserve">: </w:t>
      </w:r>
      <w:r w:rsidR="008136C2" w:rsidRPr="008136C2">
        <w:t xml:space="preserve">Draft </w:t>
      </w:r>
      <w:r w:rsidRPr="008136C2">
        <w:t xml:space="preserve">Letter to Board President </w:t>
      </w:r>
      <w:r w:rsidR="00524972">
        <w:t>Brown, Executive Director Ramirez, and T.I.M.E. Community Governing Board</w:t>
      </w:r>
      <w:r w:rsidRPr="008136C2">
        <w:t xml:space="preserve"> Dated </w:t>
      </w:r>
      <w:r w:rsidR="00575501">
        <w:t xml:space="preserve">March 9, </w:t>
      </w:r>
      <w:r w:rsidRPr="008136C2">
        <w:t>202</w:t>
      </w:r>
      <w:r w:rsidR="00575501">
        <w:t>3</w:t>
      </w:r>
      <w:r w:rsidRPr="008136C2">
        <w:t xml:space="preserve">: Notice of Violation Pursuant to California </w:t>
      </w:r>
      <w:r w:rsidRPr="008136C2">
        <w:rPr>
          <w:i/>
        </w:rPr>
        <w:t>Education Code</w:t>
      </w:r>
      <w:r w:rsidRPr="008136C2">
        <w:t xml:space="preserve"> Section 47607(g)</w:t>
      </w:r>
    </w:p>
    <w:p w14:paraId="0E3E7C6A" w14:textId="77777777" w:rsidR="00435C03" w:rsidRPr="00435C03" w:rsidRDefault="00435C03" w:rsidP="00435C03">
      <w:pPr>
        <w:spacing w:after="240"/>
        <w:rPr>
          <w:rFonts w:cs="Arial"/>
          <w:b/>
          <w:szCs w:val="24"/>
        </w:rPr>
      </w:pPr>
      <w:bookmarkStart w:id="0" w:name="_Hlk91488528"/>
      <w:r w:rsidRPr="008136C2">
        <w:rPr>
          <w:rFonts w:cs="Arial"/>
          <w:b/>
          <w:szCs w:val="24"/>
        </w:rPr>
        <w:t xml:space="preserve">The below letter </w:t>
      </w:r>
      <w:r w:rsidR="008136C2" w:rsidRPr="008136C2">
        <w:rPr>
          <w:rFonts w:cs="Arial"/>
          <w:b/>
          <w:szCs w:val="24"/>
        </w:rPr>
        <w:t>is pending approval by the California State Board of Education (SBE). If approved by the SBE, it</w:t>
      </w:r>
      <w:r w:rsidR="008136C2">
        <w:rPr>
          <w:rFonts w:cs="Arial"/>
          <w:b/>
          <w:szCs w:val="24"/>
        </w:rPr>
        <w:t xml:space="preserve"> will be prepared </w:t>
      </w:r>
      <w:r w:rsidRPr="00435C03">
        <w:rPr>
          <w:rFonts w:cs="Arial"/>
          <w:b/>
          <w:szCs w:val="24"/>
        </w:rPr>
        <w:t xml:space="preserve">on the official letterhead of the </w:t>
      </w:r>
      <w:r w:rsidR="008136C2">
        <w:rPr>
          <w:rFonts w:cs="Arial"/>
          <w:b/>
          <w:szCs w:val="24"/>
        </w:rPr>
        <w:t>SBE,</w:t>
      </w:r>
      <w:r w:rsidRPr="00435C03">
        <w:rPr>
          <w:rFonts w:cs="Arial"/>
          <w:b/>
          <w:szCs w:val="24"/>
        </w:rPr>
        <w:t xml:space="preserve"> bearing the </w:t>
      </w:r>
      <w:r>
        <w:rPr>
          <w:rFonts w:cs="Arial"/>
          <w:b/>
          <w:szCs w:val="24"/>
        </w:rPr>
        <w:t>SBE</w:t>
      </w:r>
      <w:r w:rsidRPr="00435C03">
        <w:rPr>
          <w:rFonts w:cs="Arial"/>
          <w:b/>
          <w:szCs w:val="24"/>
        </w:rPr>
        <w:t xml:space="preserve"> Seal, address, and contact information</w:t>
      </w:r>
      <w:bookmarkEnd w:id="0"/>
      <w:r w:rsidR="008136C2">
        <w:rPr>
          <w:rFonts w:cs="Arial"/>
          <w:b/>
          <w:szCs w:val="24"/>
        </w:rPr>
        <w:t>.</w:t>
      </w:r>
    </w:p>
    <w:p w14:paraId="0E379F24" w14:textId="77777777" w:rsidR="009557AD" w:rsidRPr="001D44C1" w:rsidRDefault="00575501" w:rsidP="009557AD">
      <w:pPr>
        <w:spacing w:after="960"/>
        <w:ind w:hanging="14"/>
        <w:jc w:val="center"/>
        <w:rPr>
          <w:rFonts w:eastAsia="Arial" w:cs="Arial"/>
          <w:color w:val="000000"/>
          <w:szCs w:val="24"/>
        </w:rPr>
      </w:pPr>
      <w:r>
        <w:rPr>
          <w:rFonts w:eastAsia="Arial" w:cs="Arial"/>
          <w:color w:val="000000"/>
          <w:szCs w:val="24"/>
        </w:rPr>
        <w:t>March 9, 2023</w:t>
      </w:r>
    </w:p>
    <w:p w14:paraId="06E0D723" w14:textId="77777777" w:rsidR="00524972" w:rsidRPr="00524972" w:rsidRDefault="00524972" w:rsidP="00524972">
      <w:pPr>
        <w:spacing w:after="240"/>
        <w:ind w:hanging="14"/>
        <w:contextualSpacing/>
        <w:rPr>
          <w:rFonts w:eastAsia="Arial" w:cs="Arial"/>
          <w:color w:val="000000"/>
          <w:szCs w:val="24"/>
        </w:rPr>
      </w:pPr>
      <w:r w:rsidRPr="00524972">
        <w:rPr>
          <w:rFonts w:eastAsia="Arial" w:cs="Arial"/>
          <w:color w:val="000000"/>
          <w:szCs w:val="24"/>
        </w:rPr>
        <w:t xml:space="preserve">Mr. </w:t>
      </w:r>
      <w:proofErr w:type="spellStart"/>
      <w:r w:rsidRPr="00524972">
        <w:rPr>
          <w:rFonts w:eastAsia="Arial" w:cs="Arial"/>
          <w:color w:val="000000"/>
          <w:szCs w:val="24"/>
        </w:rPr>
        <w:t>LaMar</w:t>
      </w:r>
      <w:proofErr w:type="spellEnd"/>
      <w:r w:rsidRPr="00524972">
        <w:rPr>
          <w:rFonts w:eastAsia="Arial" w:cs="Arial"/>
          <w:color w:val="000000"/>
          <w:szCs w:val="24"/>
        </w:rPr>
        <w:t xml:space="preserve"> Brown, Board President</w:t>
      </w:r>
    </w:p>
    <w:p w14:paraId="7AAA0FE2" w14:textId="77777777" w:rsidR="00524972" w:rsidRPr="00524972" w:rsidRDefault="00524972" w:rsidP="00524972">
      <w:pPr>
        <w:spacing w:after="240"/>
        <w:ind w:hanging="14"/>
        <w:contextualSpacing/>
        <w:rPr>
          <w:rFonts w:eastAsia="Arial" w:cs="Arial"/>
          <w:color w:val="000000"/>
          <w:szCs w:val="24"/>
        </w:rPr>
      </w:pPr>
      <w:r w:rsidRPr="00524972">
        <w:rPr>
          <w:rFonts w:eastAsia="Arial" w:cs="Arial"/>
          <w:color w:val="000000"/>
          <w:szCs w:val="24"/>
        </w:rPr>
        <w:t>Dr. Gabriel Ramirez, Executive Director</w:t>
      </w:r>
    </w:p>
    <w:p w14:paraId="69305DD1" w14:textId="77777777" w:rsidR="00524972" w:rsidRPr="00524972" w:rsidRDefault="00524972" w:rsidP="00524972">
      <w:pPr>
        <w:spacing w:after="240"/>
        <w:ind w:hanging="14"/>
        <w:contextualSpacing/>
        <w:rPr>
          <w:rFonts w:eastAsia="Arial" w:cs="Arial"/>
          <w:color w:val="000000"/>
          <w:szCs w:val="24"/>
        </w:rPr>
      </w:pPr>
      <w:r w:rsidRPr="00524972">
        <w:rPr>
          <w:rFonts w:eastAsia="Arial" w:cs="Arial"/>
          <w:color w:val="000000"/>
          <w:szCs w:val="24"/>
        </w:rPr>
        <w:t>T.I.M.E. Community Governing Board</w:t>
      </w:r>
    </w:p>
    <w:p w14:paraId="7F8BF98F" w14:textId="77777777" w:rsidR="00524972" w:rsidRPr="00524972" w:rsidRDefault="00524972" w:rsidP="00524972">
      <w:pPr>
        <w:spacing w:after="240"/>
        <w:ind w:hanging="14"/>
        <w:contextualSpacing/>
        <w:rPr>
          <w:rFonts w:eastAsia="Arial" w:cs="Arial"/>
          <w:color w:val="000000"/>
          <w:szCs w:val="24"/>
        </w:rPr>
      </w:pPr>
      <w:r w:rsidRPr="00524972">
        <w:rPr>
          <w:rFonts w:eastAsia="Arial" w:cs="Arial"/>
          <w:color w:val="000000"/>
          <w:szCs w:val="24"/>
        </w:rPr>
        <w:t>2100 West Cleveland Ave.</w:t>
      </w:r>
    </w:p>
    <w:p w14:paraId="37F1CC99" w14:textId="77777777" w:rsidR="009557AD" w:rsidRPr="001D44C1" w:rsidRDefault="00524972" w:rsidP="00524972">
      <w:pPr>
        <w:spacing w:after="240"/>
        <w:ind w:hanging="14"/>
        <w:contextualSpacing/>
        <w:rPr>
          <w:rFonts w:eastAsia="Arial" w:cs="Arial"/>
          <w:color w:val="000000"/>
          <w:szCs w:val="24"/>
        </w:rPr>
      </w:pPr>
      <w:r w:rsidRPr="00524972">
        <w:rPr>
          <w:rFonts w:eastAsia="Arial" w:cs="Arial"/>
          <w:color w:val="000000"/>
          <w:szCs w:val="24"/>
        </w:rPr>
        <w:t>Montebello, CA, 90640</w:t>
      </w:r>
    </w:p>
    <w:p w14:paraId="5242E7EA" w14:textId="77777777" w:rsidR="009557AD" w:rsidRPr="001D44C1" w:rsidRDefault="009557AD" w:rsidP="009557AD">
      <w:pPr>
        <w:pStyle w:val="NoSpacing"/>
        <w:spacing w:after="240"/>
      </w:pPr>
      <w:r w:rsidRPr="001D44C1">
        <w:t xml:space="preserve">Dear </w:t>
      </w:r>
      <w:r w:rsidR="00524972" w:rsidRPr="00524972">
        <w:t>Board President Brown, Executive Director Ramirez, and T.I.M.E. Community Governing</w:t>
      </w:r>
      <w:r w:rsidR="00524972">
        <w:t xml:space="preserve"> Board</w:t>
      </w:r>
      <w:r w:rsidRPr="001D44C1">
        <w:t xml:space="preserve">: </w:t>
      </w:r>
    </w:p>
    <w:p w14:paraId="6BC7F025" w14:textId="77777777" w:rsidR="009557AD" w:rsidRPr="006E06F0" w:rsidRDefault="009557AD" w:rsidP="00524972">
      <w:pPr>
        <w:pStyle w:val="Heading2"/>
      </w:pPr>
      <w:r w:rsidRPr="006E06F0">
        <w:t xml:space="preserve">Subject: Notice of Violation Pursuant to California </w:t>
      </w:r>
      <w:r w:rsidRPr="006E06F0">
        <w:rPr>
          <w:i/>
        </w:rPr>
        <w:t xml:space="preserve">Education Code </w:t>
      </w:r>
      <w:r w:rsidRPr="006E06F0">
        <w:t>Section 47607(g)</w:t>
      </w:r>
    </w:p>
    <w:p w14:paraId="7054AA1C" w14:textId="77777777" w:rsidR="009557AD" w:rsidRDefault="009557AD" w:rsidP="00435C03">
      <w:pPr>
        <w:pStyle w:val="NoSpacing"/>
        <w:spacing w:after="240"/>
      </w:pPr>
      <w:r w:rsidRPr="00EA38ED">
        <w:t xml:space="preserve">The </w:t>
      </w:r>
      <w:r>
        <w:t xml:space="preserve">California </w:t>
      </w:r>
      <w:r w:rsidRPr="00EA38ED">
        <w:t xml:space="preserve">State Board of Education (SBE) has been made </w:t>
      </w:r>
      <w:r w:rsidR="004B4B8C">
        <w:t xml:space="preserve">aware </w:t>
      </w:r>
      <w:r w:rsidRPr="00EA38ED">
        <w:t xml:space="preserve">of </w:t>
      </w:r>
      <w:r>
        <w:t>violations</w:t>
      </w:r>
      <w:r w:rsidRPr="00EA38ED">
        <w:t xml:space="preserve"> that, if not resolved immediately by the </w:t>
      </w:r>
      <w:r w:rsidR="00524972">
        <w:t>T.I.M.E. Community (</w:t>
      </w:r>
      <w:r w:rsidR="00575501">
        <w:t>T.I.M.E.</w:t>
      </w:r>
      <w:r w:rsidR="00524972">
        <w:t>)</w:t>
      </w:r>
      <w:r w:rsidRPr="00EA38ED">
        <w:t xml:space="preserve"> Board, will directly impact the ability of </w:t>
      </w:r>
      <w:r w:rsidR="00575501">
        <w:t>T.I.M.E.</w:t>
      </w:r>
      <w:r w:rsidRPr="00EA38ED">
        <w:t xml:space="preserve"> to continue operations </w:t>
      </w:r>
      <w:r w:rsidR="00575501">
        <w:t xml:space="preserve">for the remainder of the </w:t>
      </w:r>
      <w:r w:rsidRPr="00EA38ED">
        <w:t>20</w:t>
      </w:r>
      <w:r>
        <w:t>2</w:t>
      </w:r>
      <w:r w:rsidR="00524972">
        <w:t>2</w:t>
      </w:r>
      <w:r w:rsidRPr="00EA38ED">
        <w:t>–</w:t>
      </w:r>
      <w:r>
        <w:t>2</w:t>
      </w:r>
      <w:r w:rsidR="00524972">
        <w:t>3</w:t>
      </w:r>
      <w:r w:rsidR="00575501">
        <w:t xml:space="preserve"> school year as well as for future school years</w:t>
      </w:r>
      <w:r w:rsidRPr="00EA38ED">
        <w:t>.</w:t>
      </w:r>
    </w:p>
    <w:p w14:paraId="7B0ED8F2" w14:textId="2818E77D" w:rsidR="00575501" w:rsidRDefault="00524972" w:rsidP="00575501">
      <w:pPr>
        <w:pStyle w:val="Heading3"/>
      </w:pPr>
      <w:r>
        <w:t>Instance</w:t>
      </w:r>
      <w:r w:rsidR="00D320BF">
        <w:t>s/Evidence</w:t>
      </w:r>
      <w:r>
        <w:t xml:space="preserve"> of Violation</w:t>
      </w:r>
    </w:p>
    <w:p w14:paraId="03A5C7F6" w14:textId="76150572" w:rsidR="00575501" w:rsidRDefault="00575501" w:rsidP="00575501">
      <w:pPr>
        <w:spacing w:after="240"/>
        <w:rPr>
          <w:rFonts w:eastAsia="Arial"/>
        </w:rPr>
      </w:pPr>
      <w:r>
        <w:t xml:space="preserve">LACOE </w:t>
      </w:r>
      <w:r w:rsidR="00FB7D95">
        <w:t xml:space="preserve">and the SBE </w:t>
      </w:r>
      <w:r>
        <w:t xml:space="preserve">find that </w:t>
      </w:r>
      <w:bookmarkStart w:id="1" w:name="_Hlk107230620"/>
      <w:r>
        <w:t>t</w:t>
      </w:r>
      <w:r w:rsidRPr="00E55138">
        <w:rPr>
          <w:rFonts w:eastAsia="Arial"/>
        </w:rPr>
        <w:t xml:space="preserve">he </w:t>
      </w:r>
      <w:r>
        <w:rPr>
          <w:rFonts w:eastAsia="Arial"/>
        </w:rPr>
        <w:t>T.I.M.E.</w:t>
      </w:r>
      <w:r w:rsidRPr="00E55138">
        <w:rPr>
          <w:rFonts w:eastAsia="Arial"/>
        </w:rPr>
        <w:t xml:space="preserve"> Board </w:t>
      </w:r>
      <w:r>
        <w:rPr>
          <w:rFonts w:eastAsia="Arial"/>
        </w:rPr>
        <w:t xml:space="preserve">has </w:t>
      </w:r>
      <w:r w:rsidRPr="00E55138">
        <w:rPr>
          <w:rFonts w:eastAsia="Arial"/>
        </w:rPr>
        <w:t>engage</w:t>
      </w:r>
      <w:r w:rsidR="009F1975">
        <w:rPr>
          <w:rFonts w:eastAsia="Arial"/>
        </w:rPr>
        <w:t>d</w:t>
      </w:r>
      <w:r w:rsidRPr="00E55138">
        <w:rPr>
          <w:rFonts w:eastAsia="Arial"/>
        </w:rPr>
        <w:t xml:space="preserve"> in fiscal </w:t>
      </w:r>
      <w:r w:rsidR="009F1975">
        <w:rPr>
          <w:rFonts w:eastAsia="Arial"/>
        </w:rPr>
        <w:t>mis</w:t>
      </w:r>
      <w:r w:rsidRPr="00E55138">
        <w:rPr>
          <w:rFonts w:eastAsia="Arial"/>
        </w:rPr>
        <w:t>management (</w:t>
      </w:r>
      <w:r w:rsidRPr="00E55138">
        <w:rPr>
          <w:rFonts w:eastAsia="Arial"/>
          <w:i/>
        </w:rPr>
        <w:t>EC</w:t>
      </w:r>
      <w:r w:rsidRPr="00E55138">
        <w:rPr>
          <w:rFonts w:eastAsia="Arial"/>
        </w:rPr>
        <w:t xml:space="preserve"> Section </w:t>
      </w:r>
      <w:bookmarkStart w:id="2" w:name="_Hlk90045661"/>
      <w:r w:rsidRPr="00E55138">
        <w:rPr>
          <w:rFonts w:eastAsia="Arial"/>
        </w:rPr>
        <w:t>47607[f][3])</w:t>
      </w:r>
      <w:bookmarkEnd w:id="2"/>
      <w:r>
        <w:rPr>
          <w:rFonts w:eastAsia="Arial"/>
        </w:rPr>
        <w:t>.</w:t>
      </w:r>
    </w:p>
    <w:p w14:paraId="09F4C837" w14:textId="77777777" w:rsidR="004B4B8C" w:rsidRDefault="00575501" w:rsidP="00575501">
      <w:pPr>
        <w:spacing w:after="240"/>
      </w:pPr>
      <w:r>
        <w:t>T.I.M.E.</w:t>
      </w:r>
      <w:r w:rsidRPr="009A7434">
        <w:t xml:space="preserve">’s fiscal condition </w:t>
      </w:r>
      <w:r>
        <w:t xml:space="preserve">has </w:t>
      </w:r>
      <w:r w:rsidRPr="009A7434">
        <w:t>continue</w:t>
      </w:r>
      <w:r>
        <w:t>d</w:t>
      </w:r>
      <w:r w:rsidRPr="009A7434">
        <w:t xml:space="preserve"> to deteriorate since last fiscal year due to a structural deficit. </w:t>
      </w:r>
      <w:r>
        <w:t>T.I.M.E.</w:t>
      </w:r>
      <w:r w:rsidRPr="009A7434">
        <w:t xml:space="preserve">’s projected revenues are insufficient to meet its operational expenses and financial commitments. </w:t>
      </w:r>
      <w:r>
        <w:t>T.I.M.E.</w:t>
      </w:r>
      <w:r w:rsidRPr="009A7434">
        <w:t xml:space="preserve"> continues to base its budget and multiyear projections on unrealistic enrollment and financial projections, and has not exercised </w:t>
      </w:r>
      <w:r w:rsidR="004B4B8C">
        <w:t xml:space="preserve">the </w:t>
      </w:r>
      <w:r w:rsidRPr="009A7434">
        <w:t xml:space="preserve">prudent fiscal management necessary to achieve fiscal stability and viability. </w:t>
      </w:r>
    </w:p>
    <w:p w14:paraId="0EB1A107" w14:textId="77777777" w:rsidR="00575501" w:rsidRDefault="00575501" w:rsidP="00575501">
      <w:pPr>
        <w:spacing w:after="240"/>
      </w:pPr>
      <w:r w:rsidRPr="009A7434">
        <w:lastRenderedPageBreak/>
        <w:t xml:space="preserve">Due to deficit spending and cash deficiencies, </w:t>
      </w:r>
      <w:r>
        <w:t>T.I.M.E.</w:t>
      </w:r>
      <w:r w:rsidRPr="009A7434">
        <w:t xml:space="preserve"> has missed debt repayment deadlines, including all six promissory notes issued during 2021</w:t>
      </w:r>
      <w:r>
        <w:t>–</w:t>
      </w:r>
      <w:r w:rsidRPr="009A7434">
        <w:t>22 for a total of $280,376.</w:t>
      </w:r>
      <w:r>
        <w:t xml:space="preserve"> </w:t>
      </w:r>
      <w:r w:rsidRPr="009A7434">
        <w:t xml:space="preserve">According to </w:t>
      </w:r>
      <w:r>
        <w:t>T.I.M.E.</w:t>
      </w:r>
      <w:r w:rsidRPr="009A7434">
        <w:t>’s 2021</w:t>
      </w:r>
      <w:r>
        <w:t>–</w:t>
      </w:r>
      <w:r w:rsidRPr="009A7434">
        <w:t xml:space="preserve">22 audit report, it incurred an operating deficit of $378,107 and a negative ending net asset of $268,436. In a letter dated January 27, 2023, </w:t>
      </w:r>
      <w:r>
        <w:t>T.I.M.E.</w:t>
      </w:r>
      <w:r w:rsidRPr="009A7434">
        <w:t xml:space="preserve">’s independent auditor notified </w:t>
      </w:r>
      <w:r>
        <w:t>T.I.M.E.</w:t>
      </w:r>
      <w:r w:rsidRPr="009A7434">
        <w:t xml:space="preserve">’s </w:t>
      </w:r>
      <w:r>
        <w:t>Board</w:t>
      </w:r>
      <w:r w:rsidRPr="009A7434">
        <w:t xml:space="preserve"> that its 2021</w:t>
      </w:r>
      <w:r>
        <w:t>–</w:t>
      </w:r>
      <w:r w:rsidRPr="009A7434">
        <w:t>22 ending negative net position of $268,436 and its projected deficit in 2022</w:t>
      </w:r>
      <w:r>
        <w:t>–</w:t>
      </w:r>
      <w:r w:rsidRPr="009A7434">
        <w:t xml:space="preserve">23 are key factors that raise substantial doubt about </w:t>
      </w:r>
      <w:r>
        <w:t>T.I.M.E.</w:t>
      </w:r>
      <w:r w:rsidRPr="009A7434">
        <w:t xml:space="preserve">’s ability to </w:t>
      </w:r>
      <w:r w:rsidRPr="005B23CB">
        <w:t>continue as a going concern</w:t>
      </w:r>
      <w:r w:rsidRPr="009A7434">
        <w:t xml:space="preserve">. Its auditor also disclosed the promissory notes (personal loans) totaling $281,348 that have lapsed (defaulted) and remain unpaid, along with an outstanding $100,000 loan obtained from the Charter </w:t>
      </w:r>
      <w:r w:rsidR="004B4B8C">
        <w:t xml:space="preserve">School </w:t>
      </w:r>
      <w:r w:rsidRPr="009A7434">
        <w:t>Revolving Loan Fund Program administered by the California School Finance Authority.</w:t>
      </w:r>
    </w:p>
    <w:p w14:paraId="4F7B421D" w14:textId="31B6519C" w:rsidR="00575501" w:rsidRDefault="00575501" w:rsidP="00575501">
      <w:pPr>
        <w:spacing w:after="240"/>
      </w:pPr>
      <w:r w:rsidRPr="009A7434">
        <w:t xml:space="preserve">LACOE continues to have substantial doubt concerning </w:t>
      </w:r>
      <w:r>
        <w:t>T.I.M.E.</w:t>
      </w:r>
      <w:r w:rsidRPr="009A7434">
        <w:t xml:space="preserve">’s ability to meet current year financial obligations, including payroll and related expenses, and its ongoing financial obligations. </w:t>
      </w:r>
      <w:r>
        <w:t>T.I.M.E.</w:t>
      </w:r>
      <w:r w:rsidRPr="009A7434">
        <w:t xml:space="preserve"> poses increased risks of cash shortfalls and further insolvency.</w:t>
      </w:r>
    </w:p>
    <w:p w14:paraId="46A431B2" w14:textId="77777777" w:rsidR="00575501" w:rsidRDefault="00575501" w:rsidP="00575501">
      <w:pPr>
        <w:pStyle w:val="Heading4"/>
      </w:pPr>
      <w:r>
        <w:t>Unrealistic Enrollment and Average Daily Attendance Projections</w:t>
      </w:r>
    </w:p>
    <w:p w14:paraId="2413475E" w14:textId="77777777" w:rsidR="00575501" w:rsidRDefault="00575501" w:rsidP="00575501">
      <w:pPr>
        <w:spacing w:before="240" w:after="240"/>
        <w:rPr>
          <w:szCs w:val="22"/>
        </w:rPr>
      </w:pPr>
      <w:r w:rsidRPr="00B654CA">
        <w:rPr>
          <w:szCs w:val="22"/>
        </w:rPr>
        <w:t xml:space="preserve">The table below summarizes </w:t>
      </w:r>
      <w:r>
        <w:rPr>
          <w:szCs w:val="22"/>
        </w:rPr>
        <w:t>T.I.M.E.</w:t>
      </w:r>
      <w:r w:rsidRPr="00B654CA">
        <w:rPr>
          <w:szCs w:val="22"/>
        </w:rPr>
        <w:t xml:space="preserve">’s enrollment and </w:t>
      </w:r>
      <w:r>
        <w:rPr>
          <w:szCs w:val="22"/>
        </w:rPr>
        <w:t>average daily attendance (</w:t>
      </w:r>
      <w:r w:rsidRPr="00B654CA">
        <w:rPr>
          <w:szCs w:val="22"/>
        </w:rPr>
        <w:t>ADA</w:t>
      </w:r>
      <w:r>
        <w:rPr>
          <w:szCs w:val="22"/>
        </w:rPr>
        <w:t>)</w:t>
      </w:r>
      <w:r w:rsidRPr="00B654CA">
        <w:rPr>
          <w:szCs w:val="22"/>
        </w:rPr>
        <w:t xml:space="preserve"> projections compared to actual data.</w:t>
      </w:r>
    </w:p>
    <w:tbl>
      <w:tblPr>
        <w:tblStyle w:val="TableGrid"/>
        <w:tblW w:w="9360" w:type="dxa"/>
        <w:tblInd w:w="-5" w:type="dxa"/>
        <w:tblLook w:val="04A0" w:firstRow="1" w:lastRow="0" w:firstColumn="1" w:lastColumn="0" w:noHBand="0" w:noVBand="1"/>
        <w:tblDescription w:val="Enrollment and Average Daily Attendance Projections"/>
      </w:tblPr>
      <w:tblGrid>
        <w:gridCol w:w="1492"/>
        <w:gridCol w:w="1282"/>
        <w:gridCol w:w="1936"/>
        <w:gridCol w:w="1282"/>
        <w:gridCol w:w="1432"/>
        <w:gridCol w:w="1936"/>
      </w:tblGrid>
      <w:tr w:rsidR="00575501" w:rsidRPr="00BD420C" w14:paraId="24C1529D" w14:textId="77777777" w:rsidTr="005E1097">
        <w:trPr>
          <w:cantSplit/>
          <w:trHeight w:val="359"/>
          <w:tblHeader/>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5A27D" w14:textId="77777777" w:rsidR="00575501" w:rsidRPr="00BD420C" w:rsidRDefault="00575501" w:rsidP="005E1097">
            <w:pPr>
              <w:pStyle w:val="ListParagraph"/>
              <w:ind w:left="0"/>
              <w:jc w:val="center"/>
              <w:rPr>
                <w:rFonts w:cs="Arial"/>
                <w:b/>
                <w:szCs w:val="22"/>
              </w:rPr>
            </w:pPr>
            <w:r w:rsidRPr="00BD420C">
              <w:rPr>
                <w:rFonts w:cs="Arial"/>
                <w:b/>
                <w:szCs w:val="22"/>
              </w:rPr>
              <w:t>Criteria</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5757DE" w14:textId="77777777" w:rsidR="00575501" w:rsidRPr="00BD420C" w:rsidRDefault="00575501" w:rsidP="005E1097">
            <w:pPr>
              <w:pStyle w:val="ListParagraph"/>
              <w:ind w:left="0"/>
              <w:jc w:val="center"/>
              <w:rPr>
                <w:rFonts w:cs="Arial"/>
                <w:b/>
                <w:szCs w:val="22"/>
              </w:rPr>
            </w:pPr>
            <w:r>
              <w:rPr>
                <w:rFonts w:cs="Arial"/>
                <w:b/>
                <w:szCs w:val="22"/>
              </w:rPr>
              <w:t>2021–22 Adopted Budget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D2E445" w14:textId="77777777" w:rsidR="00575501" w:rsidRPr="00BD420C" w:rsidRDefault="00575501" w:rsidP="005E1097">
            <w:pPr>
              <w:pStyle w:val="ListParagraph"/>
              <w:ind w:left="0"/>
              <w:jc w:val="center"/>
              <w:rPr>
                <w:rFonts w:cs="Arial"/>
                <w:b/>
                <w:szCs w:val="22"/>
              </w:rPr>
            </w:pPr>
            <w:r>
              <w:rPr>
                <w:rFonts w:cs="Arial"/>
                <w:b/>
                <w:szCs w:val="22"/>
              </w:rPr>
              <w:t>2021–22 Certified Second Principal Apportionment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8C1862" w14:textId="77777777" w:rsidR="00575501" w:rsidRPr="00BD420C" w:rsidRDefault="00575501" w:rsidP="005E1097">
            <w:pPr>
              <w:pStyle w:val="ListParagraph"/>
              <w:ind w:left="0"/>
              <w:jc w:val="center"/>
              <w:rPr>
                <w:rFonts w:cs="Arial"/>
                <w:b/>
                <w:szCs w:val="22"/>
              </w:rPr>
            </w:pPr>
            <w:r>
              <w:rPr>
                <w:rFonts w:cs="Arial"/>
                <w:b/>
                <w:szCs w:val="22"/>
              </w:rPr>
              <w:t>2022–23 Adopted Budget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906868" w14:textId="77777777" w:rsidR="00575501" w:rsidRPr="00BD420C" w:rsidRDefault="00575501" w:rsidP="005E1097">
            <w:pPr>
              <w:pStyle w:val="ListParagraph"/>
              <w:ind w:left="0"/>
              <w:jc w:val="center"/>
              <w:rPr>
                <w:rFonts w:cs="Arial"/>
                <w:b/>
                <w:szCs w:val="22"/>
              </w:rPr>
            </w:pPr>
            <w:r>
              <w:rPr>
                <w:rFonts w:cs="Arial"/>
                <w:b/>
                <w:szCs w:val="22"/>
              </w:rPr>
              <w:t>2022–23 First Interim Report Projection</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021A8D" w14:textId="77777777" w:rsidR="00575501" w:rsidRPr="00BD420C" w:rsidRDefault="00575501" w:rsidP="005E1097">
            <w:pPr>
              <w:pStyle w:val="ListParagraph"/>
              <w:ind w:left="0"/>
              <w:jc w:val="center"/>
              <w:rPr>
                <w:rFonts w:cs="Arial"/>
                <w:b/>
                <w:szCs w:val="22"/>
              </w:rPr>
            </w:pPr>
            <w:r>
              <w:rPr>
                <w:rFonts w:cs="Arial"/>
                <w:b/>
                <w:szCs w:val="22"/>
              </w:rPr>
              <w:t>2022–23 First Principal Apportionment Attendance Report</w:t>
            </w:r>
          </w:p>
        </w:tc>
      </w:tr>
      <w:tr w:rsidR="00575501" w:rsidRPr="00BD420C" w14:paraId="707366BE" w14:textId="77777777" w:rsidTr="005E1097">
        <w:trPr>
          <w:cantSplit/>
          <w:trHeight w:val="440"/>
        </w:trPr>
        <w:tc>
          <w:tcPr>
            <w:tcW w:w="1560" w:type="dxa"/>
            <w:tcBorders>
              <w:top w:val="single" w:sz="4" w:space="0" w:color="auto"/>
              <w:left w:val="single" w:sz="4" w:space="0" w:color="auto"/>
              <w:bottom w:val="single" w:sz="4" w:space="0" w:color="auto"/>
              <w:right w:val="single" w:sz="4" w:space="0" w:color="auto"/>
            </w:tcBorders>
            <w:vAlign w:val="center"/>
            <w:hideMark/>
          </w:tcPr>
          <w:p w14:paraId="278B1E23" w14:textId="77777777" w:rsidR="00575501" w:rsidRPr="00BD420C" w:rsidRDefault="00575501" w:rsidP="005E1097">
            <w:pPr>
              <w:pStyle w:val="ListParagraph"/>
              <w:ind w:left="0"/>
              <w:jc w:val="center"/>
              <w:rPr>
                <w:rFonts w:cs="Arial"/>
                <w:b/>
                <w:szCs w:val="22"/>
              </w:rPr>
            </w:pPr>
            <w:r w:rsidRPr="00BD420C">
              <w:rPr>
                <w:rFonts w:cs="Arial"/>
                <w:b/>
                <w:szCs w:val="22"/>
              </w:rPr>
              <w:t>Enrollment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F0FFB09" w14:textId="77777777" w:rsidR="00575501" w:rsidRPr="00BD420C" w:rsidRDefault="00575501" w:rsidP="005E1097">
            <w:pPr>
              <w:pStyle w:val="ListParagraph"/>
              <w:ind w:left="0"/>
              <w:jc w:val="center"/>
              <w:rPr>
                <w:rFonts w:cs="Arial"/>
                <w:szCs w:val="22"/>
              </w:rPr>
            </w:pPr>
            <w:r w:rsidRPr="00BD420C">
              <w:rPr>
                <w:rFonts w:cs="Arial"/>
                <w:szCs w:val="22"/>
              </w:rPr>
              <w:t>165 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31E4556" w14:textId="77777777" w:rsidR="00575501" w:rsidRPr="00BD420C" w:rsidRDefault="00575501" w:rsidP="005E1097">
            <w:pPr>
              <w:pStyle w:val="ListParagraph"/>
              <w:ind w:left="0"/>
              <w:jc w:val="center"/>
              <w:rPr>
                <w:rFonts w:cs="Arial"/>
                <w:szCs w:val="22"/>
              </w:rPr>
            </w:pPr>
            <w:r>
              <w:rPr>
                <w:rFonts w:cs="Arial"/>
                <w:szCs w:val="22"/>
              </w:rPr>
              <w:t>40</w:t>
            </w:r>
            <w:r w:rsidRPr="00BD420C">
              <w:rPr>
                <w:rFonts w:cs="Arial"/>
                <w:szCs w:val="22"/>
              </w:rPr>
              <w:t xml:space="preserve"> </w:t>
            </w:r>
            <w:r>
              <w:rPr>
                <w:rFonts w:cs="Arial"/>
                <w:szCs w:val="22"/>
              </w:rPr>
              <w:br/>
            </w:r>
            <w:r w:rsidRPr="00BD420C">
              <w:rPr>
                <w:rFonts w:cs="Arial"/>
                <w:szCs w:val="22"/>
              </w:rPr>
              <w:t>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B56CF80" w14:textId="77777777" w:rsidR="00575501" w:rsidRPr="00BD420C" w:rsidRDefault="00575501" w:rsidP="005E1097">
            <w:pPr>
              <w:pStyle w:val="ListParagraph"/>
              <w:ind w:left="0"/>
              <w:jc w:val="center"/>
              <w:rPr>
                <w:rFonts w:cs="Arial"/>
                <w:szCs w:val="22"/>
              </w:rPr>
            </w:pPr>
            <w:r>
              <w:rPr>
                <w:rFonts w:cs="Arial"/>
                <w:szCs w:val="22"/>
              </w:rPr>
              <w:t>110</w:t>
            </w:r>
            <w:r>
              <w:rPr>
                <w:rFonts w:cs="Arial"/>
                <w:szCs w:val="22"/>
              </w:rPr>
              <w:br/>
            </w:r>
            <w:r w:rsidRPr="00BD420C">
              <w:rPr>
                <w:rFonts w:cs="Arial"/>
                <w:szCs w:val="22"/>
              </w:rPr>
              <w:t>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C636AD8" w14:textId="77777777" w:rsidR="00575501" w:rsidRPr="00BD420C" w:rsidRDefault="00575501" w:rsidP="005E1097">
            <w:pPr>
              <w:pStyle w:val="ListParagraph"/>
              <w:ind w:left="0"/>
              <w:jc w:val="center"/>
              <w:rPr>
                <w:rFonts w:cs="Arial"/>
                <w:szCs w:val="22"/>
              </w:rPr>
            </w:pPr>
            <w:r>
              <w:rPr>
                <w:rFonts w:cs="Arial"/>
                <w:szCs w:val="22"/>
              </w:rPr>
              <w:t>64</w:t>
            </w:r>
            <w:r w:rsidRPr="00BD420C">
              <w:rPr>
                <w:rFonts w:cs="Arial"/>
                <w:szCs w:val="22"/>
              </w:rPr>
              <w:t xml:space="preserve"> 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D06B85D" w14:textId="77777777" w:rsidR="00575501" w:rsidRDefault="00575501" w:rsidP="005E1097">
            <w:pPr>
              <w:pStyle w:val="ListParagraph"/>
              <w:ind w:left="0"/>
              <w:jc w:val="center"/>
              <w:rPr>
                <w:rFonts w:cs="Arial"/>
                <w:szCs w:val="22"/>
              </w:rPr>
            </w:pPr>
            <w:r>
              <w:rPr>
                <w:rFonts w:cs="Arial"/>
                <w:szCs w:val="22"/>
              </w:rPr>
              <w:t>65</w:t>
            </w:r>
            <w:r w:rsidRPr="00BD420C">
              <w:rPr>
                <w:rFonts w:cs="Arial"/>
                <w:szCs w:val="22"/>
              </w:rPr>
              <w:t xml:space="preserve"> </w:t>
            </w:r>
          </w:p>
          <w:p w14:paraId="25DB7DBC" w14:textId="77777777" w:rsidR="00575501" w:rsidRPr="00BD420C" w:rsidRDefault="00575501" w:rsidP="005E1097">
            <w:pPr>
              <w:pStyle w:val="ListParagraph"/>
              <w:ind w:left="0"/>
              <w:jc w:val="center"/>
              <w:rPr>
                <w:rFonts w:cs="Arial"/>
                <w:szCs w:val="22"/>
              </w:rPr>
            </w:pPr>
            <w:r w:rsidRPr="00BD420C">
              <w:rPr>
                <w:rFonts w:cs="Arial"/>
                <w:szCs w:val="22"/>
              </w:rPr>
              <w:t>students</w:t>
            </w:r>
          </w:p>
        </w:tc>
      </w:tr>
      <w:tr w:rsidR="00575501" w:rsidRPr="00BD420C" w14:paraId="1924F6B4" w14:textId="77777777" w:rsidTr="005E1097">
        <w:trPr>
          <w:cantSplit/>
          <w:trHeight w:val="440"/>
        </w:trPr>
        <w:tc>
          <w:tcPr>
            <w:tcW w:w="1560" w:type="dxa"/>
            <w:tcBorders>
              <w:top w:val="single" w:sz="4" w:space="0" w:color="auto"/>
              <w:left w:val="single" w:sz="4" w:space="0" w:color="auto"/>
              <w:bottom w:val="single" w:sz="4" w:space="0" w:color="auto"/>
              <w:right w:val="single" w:sz="4" w:space="0" w:color="auto"/>
            </w:tcBorders>
            <w:vAlign w:val="center"/>
            <w:hideMark/>
          </w:tcPr>
          <w:p w14:paraId="163971E0" w14:textId="77777777" w:rsidR="00575501" w:rsidRPr="00BD420C" w:rsidRDefault="00575501" w:rsidP="005E1097">
            <w:pPr>
              <w:pStyle w:val="ListParagraph"/>
              <w:ind w:left="0"/>
              <w:jc w:val="center"/>
              <w:rPr>
                <w:rFonts w:cs="Arial"/>
                <w:b/>
                <w:szCs w:val="22"/>
              </w:rPr>
            </w:pPr>
            <w:r w:rsidRPr="00BD420C">
              <w:rPr>
                <w:rFonts w:cs="Arial"/>
                <w:b/>
                <w:szCs w:val="22"/>
              </w:rPr>
              <w:t>ADA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4D252C0" w14:textId="52439D52" w:rsidR="00575501" w:rsidRPr="00BD420C" w:rsidRDefault="00126151" w:rsidP="005E1097">
            <w:pPr>
              <w:pStyle w:val="ListParagraph"/>
              <w:ind w:left="0"/>
              <w:jc w:val="center"/>
              <w:rPr>
                <w:rFonts w:cs="Arial"/>
                <w:szCs w:val="22"/>
              </w:rPr>
            </w:pPr>
            <w:r>
              <w:rPr>
                <w:rFonts w:cs="Arial"/>
                <w:szCs w:val="22"/>
              </w:rPr>
              <w:t>156.75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3BD6852" w14:textId="77777777" w:rsidR="00575501" w:rsidRPr="00BD420C" w:rsidRDefault="00575501" w:rsidP="005E1097">
            <w:pPr>
              <w:pStyle w:val="ListParagraph"/>
              <w:ind w:left="0"/>
              <w:jc w:val="center"/>
              <w:rPr>
                <w:rFonts w:cs="Arial"/>
                <w:szCs w:val="22"/>
              </w:rPr>
            </w:pPr>
            <w:r>
              <w:rPr>
                <w:rFonts w:cs="Arial"/>
                <w:szCs w:val="22"/>
              </w:rPr>
              <w:t>34.37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57B9BB" w14:textId="77777777" w:rsidR="00575501" w:rsidRPr="00BD420C" w:rsidRDefault="00575501" w:rsidP="005E1097">
            <w:pPr>
              <w:pStyle w:val="ListParagraph"/>
              <w:ind w:left="0"/>
              <w:jc w:val="center"/>
              <w:rPr>
                <w:rFonts w:cs="Arial"/>
                <w:szCs w:val="22"/>
              </w:rPr>
            </w:pPr>
            <w:r>
              <w:rPr>
                <w:rFonts w:cs="Arial"/>
                <w:szCs w:val="22"/>
              </w:rPr>
              <w:t>104.50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47CE74C" w14:textId="77777777" w:rsidR="00575501" w:rsidRPr="00BD420C" w:rsidRDefault="00575501" w:rsidP="005E1097">
            <w:pPr>
              <w:pStyle w:val="ListParagraph"/>
              <w:ind w:left="0"/>
              <w:jc w:val="center"/>
              <w:rPr>
                <w:rFonts w:cs="Arial"/>
                <w:szCs w:val="22"/>
              </w:rPr>
            </w:pPr>
            <w:r>
              <w:rPr>
                <w:rFonts w:cs="Arial"/>
                <w:szCs w:val="22"/>
              </w:rPr>
              <w:t>60.80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6C1F01A" w14:textId="77777777" w:rsidR="00575501" w:rsidRPr="00BD420C" w:rsidRDefault="00575501" w:rsidP="005E1097">
            <w:pPr>
              <w:pStyle w:val="ListParagraph"/>
              <w:ind w:left="0"/>
              <w:jc w:val="center"/>
              <w:rPr>
                <w:rFonts w:cs="Arial"/>
                <w:szCs w:val="22"/>
              </w:rPr>
            </w:pPr>
            <w:r>
              <w:rPr>
                <w:rFonts w:cs="Arial"/>
                <w:szCs w:val="22"/>
              </w:rPr>
              <w:t>55.55</w:t>
            </w:r>
          </w:p>
        </w:tc>
      </w:tr>
    </w:tbl>
    <w:p w14:paraId="3A192864" w14:textId="77777777" w:rsidR="00575501" w:rsidRPr="00B654CA" w:rsidRDefault="00575501" w:rsidP="00575501">
      <w:pPr>
        <w:spacing w:before="240" w:after="240"/>
        <w:rPr>
          <w:szCs w:val="22"/>
        </w:rPr>
      </w:pPr>
      <w:r>
        <w:rPr>
          <w:szCs w:val="22"/>
        </w:rPr>
        <w:t>T.I.M.E.</w:t>
      </w:r>
      <w:r w:rsidRPr="00B654CA">
        <w:rPr>
          <w:szCs w:val="22"/>
        </w:rPr>
        <w:t>’s 2022</w:t>
      </w:r>
      <w:r>
        <w:rPr>
          <w:szCs w:val="22"/>
        </w:rPr>
        <w:t>–</w:t>
      </w:r>
      <w:r w:rsidRPr="00B654CA">
        <w:rPr>
          <w:szCs w:val="22"/>
        </w:rPr>
        <w:t xml:space="preserve">23 First Interim Report projects enrollment of 64 students and ADA of 60.80, representing a decrease of </w:t>
      </w:r>
      <w:r w:rsidRPr="00793FDD">
        <w:rPr>
          <w:szCs w:val="22"/>
        </w:rPr>
        <w:t xml:space="preserve">43.70 ADA, or 41.82 percent from its </w:t>
      </w:r>
      <w:r w:rsidR="004B4B8C">
        <w:rPr>
          <w:szCs w:val="22"/>
        </w:rPr>
        <w:t xml:space="preserve">2022–23 </w:t>
      </w:r>
      <w:r w:rsidRPr="00793FDD">
        <w:rPr>
          <w:szCs w:val="22"/>
        </w:rPr>
        <w:t>adopted budget of 104.50 ADA</w:t>
      </w:r>
      <w:r w:rsidRPr="00B654CA">
        <w:rPr>
          <w:szCs w:val="22"/>
        </w:rPr>
        <w:t xml:space="preserve">. Additionally, </w:t>
      </w:r>
      <w:r>
        <w:rPr>
          <w:szCs w:val="22"/>
        </w:rPr>
        <w:t>T.I.M.E.</w:t>
      </w:r>
      <w:r w:rsidRPr="00B654CA">
        <w:rPr>
          <w:szCs w:val="22"/>
        </w:rPr>
        <w:t>’s 2022</w:t>
      </w:r>
      <w:r>
        <w:rPr>
          <w:szCs w:val="22"/>
        </w:rPr>
        <w:t>–</w:t>
      </w:r>
      <w:r w:rsidRPr="00B654CA">
        <w:rPr>
          <w:szCs w:val="22"/>
        </w:rPr>
        <w:t>23</w:t>
      </w:r>
      <w:r>
        <w:rPr>
          <w:szCs w:val="22"/>
        </w:rPr>
        <w:t xml:space="preserve"> First Principal Apportionment (</w:t>
      </w:r>
      <w:r w:rsidRPr="00B654CA">
        <w:rPr>
          <w:szCs w:val="22"/>
        </w:rPr>
        <w:t>P-1</w:t>
      </w:r>
      <w:r>
        <w:rPr>
          <w:szCs w:val="22"/>
        </w:rPr>
        <w:t>)</w:t>
      </w:r>
      <w:r w:rsidRPr="00B654CA">
        <w:rPr>
          <w:szCs w:val="22"/>
        </w:rPr>
        <w:t xml:space="preserve"> Attendance Report reflects ADA of 55.55, a decrease of 5.25 ADA</w:t>
      </w:r>
      <w:r>
        <w:rPr>
          <w:szCs w:val="22"/>
        </w:rPr>
        <w:t xml:space="preserve"> </w:t>
      </w:r>
      <w:r w:rsidRPr="00B654CA">
        <w:rPr>
          <w:szCs w:val="22"/>
        </w:rPr>
        <w:t>or 8.63 percent from its 2022</w:t>
      </w:r>
      <w:r>
        <w:rPr>
          <w:szCs w:val="22"/>
        </w:rPr>
        <w:t>–</w:t>
      </w:r>
      <w:r w:rsidRPr="00B654CA">
        <w:rPr>
          <w:szCs w:val="22"/>
        </w:rPr>
        <w:t>23</w:t>
      </w:r>
      <w:r>
        <w:rPr>
          <w:szCs w:val="22"/>
        </w:rPr>
        <w:t xml:space="preserve"> </w:t>
      </w:r>
      <w:r w:rsidRPr="00B654CA">
        <w:rPr>
          <w:szCs w:val="22"/>
        </w:rPr>
        <w:t xml:space="preserve">First Interim </w:t>
      </w:r>
      <w:r>
        <w:rPr>
          <w:szCs w:val="22"/>
        </w:rPr>
        <w:t xml:space="preserve">Report </w:t>
      </w:r>
      <w:r w:rsidRPr="00B654CA">
        <w:rPr>
          <w:szCs w:val="22"/>
        </w:rPr>
        <w:t xml:space="preserve">projection. The estimated impact to </w:t>
      </w:r>
      <w:r>
        <w:rPr>
          <w:szCs w:val="22"/>
        </w:rPr>
        <w:t>T.I.M.E.</w:t>
      </w:r>
      <w:r w:rsidRPr="00B654CA">
        <w:rPr>
          <w:szCs w:val="22"/>
        </w:rPr>
        <w:t xml:space="preserve">’s latest budget is a reduction in the Local Control Funding Formula (LCFF) revenues of approximately $80,000 should the </w:t>
      </w:r>
      <w:r w:rsidRPr="00793FDD">
        <w:rPr>
          <w:szCs w:val="22"/>
        </w:rPr>
        <w:t>projected ADA</w:t>
      </w:r>
      <w:r>
        <w:rPr>
          <w:szCs w:val="22"/>
        </w:rPr>
        <w:t xml:space="preserve"> fail to</w:t>
      </w:r>
      <w:r w:rsidRPr="00B654CA">
        <w:rPr>
          <w:szCs w:val="22"/>
        </w:rPr>
        <w:t xml:space="preserve"> materialize.</w:t>
      </w:r>
    </w:p>
    <w:p w14:paraId="722F455D" w14:textId="77777777" w:rsidR="00575501" w:rsidRDefault="00575501" w:rsidP="00575501">
      <w:pPr>
        <w:pStyle w:val="Heading4"/>
      </w:pPr>
      <w:r>
        <w:t>Financial Projection and Actual Results</w:t>
      </w:r>
    </w:p>
    <w:p w14:paraId="1A84F41A" w14:textId="77777777" w:rsidR="00575501" w:rsidRDefault="00575501" w:rsidP="00575501">
      <w:pPr>
        <w:spacing w:after="240"/>
        <w:rPr>
          <w:rFonts w:eastAsia="Arial"/>
        </w:rPr>
      </w:pPr>
      <w:r w:rsidRPr="00B654CA">
        <w:rPr>
          <w:rFonts w:eastAsia="Arial"/>
        </w:rPr>
        <w:t xml:space="preserve">The table below provides a summary of </w:t>
      </w:r>
      <w:r>
        <w:rPr>
          <w:rFonts w:eastAsia="Arial"/>
        </w:rPr>
        <w:t>T.I.M.E.</w:t>
      </w:r>
      <w:r w:rsidRPr="00B654CA">
        <w:rPr>
          <w:rFonts w:eastAsia="Arial"/>
        </w:rPr>
        <w:t>’s financial projections for fiscal years 2021</w:t>
      </w:r>
      <w:r>
        <w:rPr>
          <w:rFonts w:eastAsia="Arial"/>
        </w:rPr>
        <w:t>–</w:t>
      </w:r>
      <w:r w:rsidRPr="00B654CA">
        <w:rPr>
          <w:rFonts w:eastAsia="Arial"/>
        </w:rPr>
        <w:t>22 and 2022</w:t>
      </w:r>
      <w:r>
        <w:rPr>
          <w:rFonts w:eastAsia="Arial"/>
        </w:rPr>
        <w:t>–</w:t>
      </w:r>
      <w:r w:rsidRPr="00B654CA">
        <w:rPr>
          <w:rFonts w:eastAsia="Arial"/>
        </w:rPr>
        <w:t>23</w:t>
      </w:r>
      <w:r w:rsidR="004B4B8C">
        <w:rPr>
          <w:rFonts w:eastAsia="Arial"/>
        </w:rPr>
        <w:t>,</w:t>
      </w:r>
      <w:r w:rsidRPr="00B654CA">
        <w:rPr>
          <w:rFonts w:eastAsia="Arial"/>
        </w:rPr>
        <w:t xml:space="preserve"> and actual results through December 31, 2022.</w:t>
      </w:r>
    </w:p>
    <w:tbl>
      <w:tblPr>
        <w:tblStyle w:val="TableGrid"/>
        <w:tblW w:w="9355" w:type="dxa"/>
        <w:tblInd w:w="0" w:type="dxa"/>
        <w:tblLook w:val="04A0" w:firstRow="1" w:lastRow="0" w:firstColumn="1" w:lastColumn="0" w:noHBand="0" w:noVBand="1"/>
        <w:tblDescription w:val="Financial Projection and Actual Results"/>
      </w:tblPr>
      <w:tblGrid>
        <w:gridCol w:w="1944"/>
        <w:gridCol w:w="1464"/>
        <w:gridCol w:w="1464"/>
        <w:gridCol w:w="1471"/>
        <w:gridCol w:w="1464"/>
        <w:gridCol w:w="1548"/>
      </w:tblGrid>
      <w:tr w:rsidR="00575501" w:rsidRPr="002B26AC" w14:paraId="538D806A" w14:textId="77777777" w:rsidTr="005E1097">
        <w:trPr>
          <w:cantSplit/>
          <w:trHeight w:val="802"/>
          <w:tblHeader/>
        </w:trPr>
        <w:tc>
          <w:tcPr>
            <w:tcW w:w="1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551E6" w14:textId="77777777" w:rsidR="00575501" w:rsidRPr="002B26AC" w:rsidRDefault="00575501" w:rsidP="005E1097">
            <w:pPr>
              <w:jc w:val="center"/>
              <w:rPr>
                <w:rFonts w:cs="Arial"/>
                <w:b/>
                <w:szCs w:val="22"/>
              </w:rPr>
            </w:pPr>
            <w:r w:rsidRPr="002B26AC">
              <w:rPr>
                <w:rFonts w:cs="Arial"/>
                <w:b/>
                <w:szCs w:val="22"/>
              </w:rPr>
              <w:lastRenderedPageBreak/>
              <w:t>Criteria</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3D731" w14:textId="77777777" w:rsidR="00575501" w:rsidRPr="002B26AC" w:rsidRDefault="00575501" w:rsidP="005E1097">
            <w:pPr>
              <w:jc w:val="center"/>
              <w:rPr>
                <w:rFonts w:cs="Arial"/>
                <w:b/>
                <w:szCs w:val="22"/>
              </w:rPr>
            </w:pPr>
            <w:r w:rsidRPr="002B26AC">
              <w:rPr>
                <w:rFonts w:cs="Arial"/>
                <w:b/>
                <w:szCs w:val="22"/>
              </w:rPr>
              <w:t>2021–22</w:t>
            </w:r>
            <w:r>
              <w:rPr>
                <w:rFonts w:cs="Arial"/>
                <w:b/>
                <w:szCs w:val="22"/>
              </w:rPr>
              <w:t xml:space="preserve"> Adopted</w:t>
            </w:r>
            <w:r w:rsidRPr="002B26AC">
              <w:rPr>
                <w:rFonts w:cs="Arial"/>
                <w:b/>
                <w:szCs w:val="22"/>
              </w:rPr>
              <w:t xml:space="preserve"> Budget</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136FB5" w14:textId="77777777" w:rsidR="00575501" w:rsidRPr="002B26AC" w:rsidRDefault="00575501" w:rsidP="005E1097">
            <w:pPr>
              <w:jc w:val="center"/>
              <w:rPr>
                <w:rFonts w:cs="Arial"/>
                <w:b/>
                <w:szCs w:val="22"/>
              </w:rPr>
            </w:pPr>
            <w:r w:rsidRPr="002B26AC">
              <w:rPr>
                <w:rFonts w:cs="Arial"/>
                <w:b/>
                <w:szCs w:val="22"/>
              </w:rPr>
              <w:t>2021–22</w:t>
            </w:r>
          </w:p>
          <w:p w14:paraId="2FB144CD" w14:textId="77777777" w:rsidR="00575501" w:rsidRPr="002B26AC" w:rsidRDefault="00575501" w:rsidP="005E1097">
            <w:pPr>
              <w:jc w:val="center"/>
              <w:rPr>
                <w:rFonts w:cs="Arial"/>
                <w:b/>
                <w:szCs w:val="22"/>
              </w:rPr>
            </w:pPr>
            <w:r>
              <w:rPr>
                <w:rFonts w:cs="Arial"/>
                <w:b/>
                <w:szCs w:val="22"/>
              </w:rPr>
              <w:t>Audit Report (Actuals)</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94257" w14:textId="77777777" w:rsidR="00575501" w:rsidRPr="002B26AC" w:rsidRDefault="00575501" w:rsidP="005E1097">
            <w:pPr>
              <w:jc w:val="center"/>
              <w:rPr>
                <w:rFonts w:cs="Arial"/>
                <w:b/>
                <w:szCs w:val="22"/>
              </w:rPr>
            </w:pPr>
            <w:r>
              <w:rPr>
                <w:rFonts w:cs="Arial"/>
                <w:b/>
                <w:szCs w:val="22"/>
              </w:rPr>
              <w:t>2022–23 Adopted Budget</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2E396" w14:textId="77777777" w:rsidR="00575501" w:rsidRPr="002B26AC" w:rsidRDefault="00575501" w:rsidP="005E1097">
            <w:pPr>
              <w:jc w:val="center"/>
              <w:rPr>
                <w:rFonts w:cs="Arial"/>
                <w:b/>
                <w:szCs w:val="22"/>
              </w:rPr>
            </w:pPr>
            <w:r>
              <w:rPr>
                <w:rFonts w:cs="Arial"/>
                <w:b/>
                <w:szCs w:val="22"/>
              </w:rPr>
              <w:t>2022–23 First Interim Report Projection</w:t>
            </w:r>
          </w:p>
        </w:tc>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1E57B" w14:textId="77777777" w:rsidR="00575501" w:rsidRPr="002B26AC" w:rsidRDefault="00575501" w:rsidP="005E1097">
            <w:pPr>
              <w:jc w:val="center"/>
              <w:rPr>
                <w:rFonts w:cs="Arial"/>
                <w:b/>
                <w:szCs w:val="22"/>
              </w:rPr>
            </w:pPr>
            <w:r>
              <w:rPr>
                <w:rFonts w:cs="Arial"/>
                <w:b/>
                <w:szCs w:val="22"/>
              </w:rPr>
              <w:t>July to December 2022 Actuals</w:t>
            </w:r>
          </w:p>
        </w:tc>
      </w:tr>
      <w:tr w:rsidR="00575501" w:rsidRPr="002B26AC" w14:paraId="164E7BB2" w14:textId="77777777" w:rsidTr="005E1097">
        <w:trPr>
          <w:cantSplit/>
          <w:trHeight w:val="262"/>
        </w:trPr>
        <w:tc>
          <w:tcPr>
            <w:tcW w:w="1945" w:type="dxa"/>
            <w:tcBorders>
              <w:top w:val="single" w:sz="4" w:space="0" w:color="auto"/>
              <w:left w:val="single" w:sz="4" w:space="0" w:color="auto"/>
              <w:bottom w:val="single" w:sz="4" w:space="0" w:color="auto"/>
              <w:right w:val="single" w:sz="4" w:space="0" w:color="auto"/>
            </w:tcBorders>
            <w:vAlign w:val="center"/>
            <w:hideMark/>
          </w:tcPr>
          <w:p w14:paraId="76844F73" w14:textId="77777777" w:rsidR="00575501" w:rsidRPr="002B26AC" w:rsidRDefault="00575501" w:rsidP="005E1097">
            <w:pPr>
              <w:rPr>
                <w:rFonts w:cs="Arial"/>
                <w:b/>
                <w:szCs w:val="22"/>
              </w:rPr>
            </w:pPr>
            <w:r w:rsidRPr="002B26AC">
              <w:rPr>
                <w:rFonts w:cs="Arial"/>
                <w:b/>
                <w:szCs w:val="22"/>
              </w:rPr>
              <w:t>Total Revenues</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CE8F306" w14:textId="77777777" w:rsidR="00575501" w:rsidRPr="002B26AC" w:rsidRDefault="00575501" w:rsidP="005E1097">
            <w:pPr>
              <w:jc w:val="center"/>
              <w:rPr>
                <w:rFonts w:cs="Arial"/>
                <w:szCs w:val="22"/>
              </w:rPr>
            </w:pPr>
            <w:r w:rsidRPr="002B26AC">
              <w:rPr>
                <w:rFonts w:cs="Arial"/>
                <w:szCs w:val="22"/>
              </w:rPr>
              <w:t>$2,386,765</w:t>
            </w:r>
          </w:p>
        </w:tc>
        <w:tc>
          <w:tcPr>
            <w:tcW w:w="1465" w:type="dxa"/>
            <w:tcBorders>
              <w:top w:val="single" w:sz="4" w:space="0" w:color="auto"/>
              <w:left w:val="single" w:sz="4" w:space="0" w:color="auto"/>
              <w:bottom w:val="single" w:sz="4" w:space="0" w:color="auto"/>
              <w:right w:val="single" w:sz="4" w:space="0" w:color="auto"/>
            </w:tcBorders>
            <w:vAlign w:val="center"/>
          </w:tcPr>
          <w:p w14:paraId="1FC01DF3" w14:textId="77777777" w:rsidR="00575501" w:rsidRPr="002B26AC" w:rsidRDefault="00575501" w:rsidP="005E1097">
            <w:pPr>
              <w:jc w:val="center"/>
              <w:rPr>
                <w:rFonts w:cs="Arial"/>
                <w:szCs w:val="22"/>
              </w:rPr>
            </w:pPr>
            <w:r>
              <w:rPr>
                <w:rFonts w:cs="Arial"/>
                <w:szCs w:val="22"/>
              </w:rPr>
              <w:t>$708,430</w:t>
            </w:r>
          </w:p>
        </w:tc>
        <w:tc>
          <w:tcPr>
            <w:tcW w:w="1465" w:type="dxa"/>
            <w:tcBorders>
              <w:top w:val="single" w:sz="4" w:space="0" w:color="auto"/>
              <w:left w:val="single" w:sz="4" w:space="0" w:color="auto"/>
              <w:bottom w:val="single" w:sz="4" w:space="0" w:color="auto"/>
              <w:right w:val="single" w:sz="4" w:space="0" w:color="auto"/>
            </w:tcBorders>
            <w:vAlign w:val="center"/>
          </w:tcPr>
          <w:p w14:paraId="2849B4EB" w14:textId="77777777" w:rsidR="00575501" w:rsidRPr="002B26AC" w:rsidRDefault="00575501" w:rsidP="005E1097">
            <w:pPr>
              <w:jc w:val="center"/>
              <w:rPr>
                <w:rFonts w:cs="Arial"/>
                <w:szCs w:val="22"/>
              </w:rPr>
            </w:pPr>
            <w:r>
              <w:rPr>
                <w:rFonts w:cs="Arial"/>
                <w:szCs w:val="22"/>
              </w:rPr>
              <w:t>$2,126,369</w:t>
            </w:r>
          </w:p>
        </w:tc>
        <w:tc>
          <w:tcPr>
            <w:tcW w:w="1465" w:type="dxa"/>
            <w:tcBorders>
              <w:top w:val="single" w:sz="4" w:space="0" w:color="auto"/>
              <w:left w:val="single" w:sz="4" w:space="0" w:color="auto"/>
              <w:bottom w:val="single" w:sz="4" w:space="0" w:color="auto"/>
              <w:right w:val="single" w:sz="4" w:space="0" w:color="auto"/>
            </w:tcBorders>
            <w:vAlign w:val="center"/>
          </w:tcPr>
          <w:p w14:paraId="2EAE5358" w14:textId="77777777" w:rsidR="00575501" w:rsidRPr="002B26AC" w:rsidRDefault="00575501" w:rsidP="005E1097">
            <w:pPr>
              <w:jc w:val="center"/>
              <w:rPr>
                <w:rFonts w:cs="Arial"/>
                <w:szCs w:val="22"/>
              </w:rPr>
            </w:pPr>
            <w:r>
              <w:rPr>
                <w:rFonts w:cs="Arial"/>
                <w:szCs w:val="22"/>
              </w:rPr>
              <w:t>$1,379,715</w:t>
            </w:r>
          </w:p>
        </w:tc>
        <w:tc>
          <w:tcPr>
            <w:tcW w:w="1550" w:type="dxa"/>
            <w:tcBorders>
              <w:top w:val="single" w:sz="4" w:space="0" w:color="auto"/>
              <w:left w:val="single" w:sz="4" w:space="0" w:color="auto"/>
              <w:bottom w:val="single" w:sz="4" w:space="0" w:color="auto"/>
              <w:right w:val="single" w:sz="4" w:space="0" w:color="auto"/>
            </w:tcBorders>
            <w:vAlign w:val="center"/>
          </w:tcPr>
          <w:p w14:paraId="70C024BE" w14:textId="77777777" w:rsidR="00575501" w:rsidRPr="002B26AC" w:rsidRDefault="00575501" w:rsidP="005E1097">
            <w:pPr>
              <w:jc w:val="center"/>
              <w:rPr>
                <w:rFonts w:cs="Arial"/>
                <w:szCs w:val="22"/>
              </w:rPr>
            </w:pPr>
            <w:r>
              <w:rPr>
                <w:rFonts w:cs="Arial"/>
                <w:szCs w:val="22"/>
              </w:rPr>
              <w:t>$316,781</w:t>
            </w:r>
          </w:p>
        </w:tc>
      </w:tr>
      <w:tr w:rsidR="00575501" w:rsidRPr="002B26AC" w14:paraId="31B75950" w14:textId="77777777" w:rsidTr="005E1097">
        <w:trPr>
          <w:cantSplit/>
          <w:trHeight w:val="540"/>
        </w:trPr>
        <w:tc>
          <w:tcPr>
            <w:tcW w:w="1945" w:type="dxa"/>
            <w:tcBorders>
              <w:top w:val="single" w:sz="4" w:space="0" w:color="auto"/>
              <w:left w:val="single" w:sz="4" w:space="0" w:color="auto"/>
              <w:bottom w:val="single" w:sz="4" w:space="0" w:color="auto"/>
              <w:right w:val="single" w:sz="4" w:space="0" w:color="auto"/>
            </w:tcBorders>
            <w:vAlign w:val="center"/>
            <w:hideMark/>
          </w:tcPr>
          <w:p w14:paraId="5BEC1A14" w14:textId="77777777" w:rsidR="00575501" w:rsidRPr="002B26AC" w:rsidRDefault="00575501" w:rsidP="005E1097">
            <w:pPr>
              <w:rPr>
                <w:rFonts w:cs="Arial"/>
                <w:b/>
                <w:szCs w:val="22"/>
              </w:rPr>
            </w:pPr>
            <w:r w:rsidRPr="002B26AC">
              <w:rPr>
                <w:rFonts w:cs="Arial"/>
                <w:b/>
                <w:szCs w:val="22"/>
              </w:rPr>
              <w:t>Total Expenditures</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BB156DF" w14:textId="77777777" w:rsidR="00575501" w:rsidRPr="002B26AC" w:rsidRDefault="00575501" w:rsidP="005E1097">
            <w:pPr>
              <w:jc w:val="center"/>
              <w:rPr>
                <w:rFonts w:cs="Arial"/>
                <w:szCs w:val="22"/>
              </w:rPr>
            </w:pPr>
            <w:r w:rsidRPr="002B26AC">
              <w:rPr>
                <w:rFonts w:cs="Arial"/>
                <w:szCs w:val="22"/>
              </w:rPr>
              <w:t>$2,010,305</w:t>
            </w:r>
          </w:p>
        </w:tc>
        <w:tc>
          <w:tcPr>
            <w:tcW w:w="1465" w:type="dxa"/>
            <w:tcBorders>
              <w:top w:val="single" w:sz="4" w:space="0" w:color="auto"/>
              <w:left w:val="single" w:sz="4" w:space="0" w:color="auto"/>
              <w:bottom w:val="single" w:sz="4" w:space="0" w:color="auto"/>
              <w:right w:val="single" w:sz="4" w:space="0" w:color="auto"/>
            </w:tcBorders>
            <w:vAlign w:val="center"/>
          </w:tcPr>
          <w:p w14:paraId="2D5E682E" w14:textId="77777777" w:rsidR="00575501" w:rsidRPr="002B26AC" w:rsidRDefault="00575501" w:rsidP="005E1097">
            <w:pPr>
              <w:jc w:val="center"/>
              <w:rPr>
                <w:rFonts w:cs="Arial"/>
                <w:szCs w:val="22"/>
              </w:rPr>
            </w:pPr>
            <w:r>
              <w:rPr>
                <w:rFonts w:cs="Arial"/>
                <w:szCs w:val="22"/>
              </w:rPr>
              <w:t>$1,086,537</w:t>
            </w:r>
          </w:p>
        </w:tc>
        <w:tc>
          <w:tcPr>
            <w:tcW w:w="1465" w:type="dxa"/>
            <w:tcBorders>
              <w:top w:val="single" w:sz="4" w:space="0" w:color="auto"/>
              <w:left w:val="single" w:sz="4" w:space="0" w:color="auto"/>
              <w:bottom w:val="single" w:sz="4" w:space="0" w:color="auto"/>
              <w:right w:val="single" w:sz="4" w:space="0" w:color="auto"/>
            </w:tcBorders>
            <w:vAlign w:val="center"/>
          </w:tcPr>
          <w:p w14:paraId="19CF64E9" w14:textId="77777777" w:rsidR="00575501" w:rsidRPr="002B26AC" w:rsidRDefault="00575501" w:rsidP="005E1097">
            <w:pPr>
              <w:jc w:val="center"/>
              <w:rPr>
                <w:rFonts w:cs="Arial"/>
                <w:szCs w:val="22"/>
              </w:rPr>
            </w:pPr>
            <w:r>
              <w:rPr>
                <w:rFonts w:cs="Arial"/>
                <w:szCs w:val="22"/>
              </w:rPr>
              <w:t>$1,617,239</w:t>
            </w:r>
          </w:p>
        </w:tc>
        <w:tc>
          <w:tcPr>
            <w:tcW w:w="1465" w:type="dxa"/>
            <w:tcBorders>
              <w:top w:val="single" w:sz="4" w:space="0" w:color="auto"/>
              <w:left w:val="single" w:sz="4" w:space="0" w:color="auto"/>
              <w:bottom w:val="single" w:sz="4" w:space="0" w:color="auto"/>
              <w:right w:val="single" w:sz="4" w:space="0" w:color="auto"/>
            </w:tcBorders>
            <w:vAlign w:val="center"/>
          </w:tcPr>
          <w:p w14:paraId="445EFAF6" w14:textId="77777777" w:rsidR="00575501" w:rsidRPr="002B26AC" w:rsidRDefault="00575501" w:rsidP="005E1097">
            <w:pPr>
              <w:jc w:val="center"/>
              <w:rPr>
                <w:rFonts w:cs="Arial"/>
                <w:szCs w:val="22"/>
              </w:rPr>
            </w:pPr>
            <w:r>
              <w:rPr>
                <w:rFonts w:cs="Arial"/>
                <w:szCs w:val="22"/>
              </w:rPr>
              <w:t>$1,448,027</w:t>
            </w:r>
          </w:p>
        </w:tc>
        <w:tc>
          <w:tcPr>
            <w:tcW w:w="1550" w:type="dxa"/>
            <w:tcBorders>
              <w:top w:val="single" w:sz="4" w:space="0" w:color="auto"/>
              <w:left w:val="single" w:sz="4" w:space="0" w:color="auto"/>
              <w:bottom w:val="single" w:sz="4" w:space="0" w:color="auto"/>
              <w:right w:val="single" w:sz="4" w:space="0" w:color="auto"/>
            </w:tcBorders>
            <w:vAlign w:val="center"/>
          </w:tcPr>
          <w:p w14:paraId="0ACE91AD" w14:textId="77777777" w:rsidR="00575501" w:rsidRPr="002B26AC" w:rsidRDefault="00575501" w:rsidP="005E1097">
            <w:pPr>
              <w:jc w:val="center"/>
              <w:rPr>
                <w:rFonts w:cs="Arial"/>
                <w:szCs w:val="22"/>
              </w:rPr>
            </w:pPr>
            <w:r>
              <w:rPr>
                <w:rFonts w:cs="Arial"/>
                <w:szCs w:val="22"/>
              </w:rPr>
              <w:t>$741,050</w:t>
            </w:r>
          </w:p>
        </w:tc>
      </w:tr>
      <w:tr w:rsidR="00575501" w:rsidRPr="001D1735" w14:paraId="5D2235E9" w14:textId="77777777" w:rsidTr="005E1097">
        <w:trPr>
          <w:cantSplit/>
          <w:trHeight w:val="262"/>
        </w:trPr>
        <w:tc>
          <w:tcPr>
            <w:tcW w:w="1945" w:type="dxa"/>
            <w:tcBorders>
              <w:top w:val="single" w:sz="4" w:space="0" w:color="auto"/>
              <w:left w:val="single" w:sz="4" w:space="0" w:color="auto"/>
              <w:bottom w:val="single" w:sz="4" w:space="0" w:color="auto"/>
              <w:right w:val="single" w:sz="4" w:space="0" w:color="auto"/>
            </w:tcBorders>
            <w:vAlign w:val="center"/>
            <w:hideMark/>
          </w:tcPr>
          <w:p w14:paraId="61EA2621" w14:textId="77777777" w:rsidR="00575501" w:rsidRPr="001D1735" w:rsidRDefault="00575501" w:rsidP="005E1097">
            <w:pPr>
              <w:rPr>
                <w:rFonts w:cs="Arial"/>
                <w:b/>
                <w:szCs w:val="22"/>
              </w:rPr>
            </w:pPr>
            <w:r w:rsidRPr="001D1735">
              <w:rPr>
                <w:rFonts w:cs="Arial"/>
                <w:b/>
                <w:szCs w:val="22"/>
              </w:rPr>
              <w:t>Surplus (Deficits)</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EC5B88C" w14:textId="77777777" w:rsidR="00575501" w:rsidRPr="001D1735" w:rsidRDefault="00575501" w:rsidP="005E1097">
            <w:pPr>
              <w:jc w:val="center"/>
              <w:rPr>
                <w:rFonts w:cs="Arial"/>
                <w:szCs w:val="22"/>
              </w:rPr>
            </w:pPr>
            <w:r w:rsidRPr="001D1735">
              <w:rPr>
                <w:rFonts w:cs="Arial"/>
                <w:szCs w:val="22"/>
              </w:rPr>
              <w:t>$376,460</w:t>
            </w:r>
          </w:p>
        </w:tc>
        <w:tc>
          <w:tcPr>
            <w:tcW w:w="1465" w:type="dxa"/>
            <w:tcBorders>
              <w:top w:val="single" w:sz="4" w:space="0" w:color="auto"/>
              <w:left w:val="single" w:sz="4" w:space="0" w:color="auto"/>
              <w:bottom w:val="single" w:sz="4" w:space="0" w:color="auto"/>
              <w:right w:val="single" w:sz="4" w:space="0" w:color="auto"/>
            </w:tcBorders>
            <w:vAlign w:val="center"/>
          </w:tcPr>
          <w:p w14:paraId="3245B6AA" w14:textId="77777777" w:rsidR="00575501" w:rsidRPr="001D1735" w:rsidRDefault="00575501" w:rsidP="005E1097">
            <w:pPr>
              <w:jc w:val="center"/>
              <w:rPr>
                <w:rFonts w:cs="Arial"/>
                <w:szCs w:val="22"/>
              </w:rPr>
            </w:pPr>
            <w:r w:rsidRPr="001D1735">
              <w:rPr>
                <w:rFonts w:cs="Arial"/>
                <w:szCs w:val="22"/>
              </w:rPr>
              <w:t>($378,107)</w:t>
            </w:r>
          </w:p>
        </w:tc>
        <w:tc>
          <w:tcPr>
            <w:tcW w:w="1465" w:type="dxa"/>
            <w:tcBorders>
              <w:top w:val="single" w:sz="4" w:space="0" w:color="auto"/>
              <w:left w:val="single" w:sz="4" w:space="0" w:color="auto"/>
              <w:bottom w:val="single" w:sz="4" w:space="0" w:color="auto"/>
              <w:right w:val="single" w:sz="4" w:space="0" w:color="auto"/>
            </w:tcBorders>
            <w:vAlign w:val="center"/>
          </w:tcPr>
          <w:p w14:paraId="377D6F80" w14:textId="77777777" w:rsidR="00575501" w:rsidRPr="001D1735" w:rsidRDefault="00575501" w:rsidP="005E1097">
            <w:pPr>
              <w:jc w:val="center"/>
              <w:rPr>
                <w:rFonts w:cs="Arial"/>
                <w:szCs w:val="22"/>
              </w:rPr>
            </w:pPr>
            <w:r w:rsidRPr="001D1735">
              <w:rPr>
                <w:rFonts w:cs="Arial"/>
                <w:szCs w:val="22"/>
              </w:rPr>
              <w:t>$509,130</w:t>
            </w:r>
          </w:p>
        </w:tc>
        <w:tc>
          <w:tcPr>
            <w:tcW w:w="1465" w:type="dxa"/>
            <w:tcBorders>
              <w:top w:val="single" w:sz="4" w:space="0" w:color="auto"/>
              <w:left w:val="single" w:sz="4" w:space="0" w:color="auto"/>
              <w:bottom w:val="single" w:sz="4" w:space="0" w:color="auto"/>
              <w:right w:val="single" w:sz="4" w:space="0" w:color="auto"/>
            </w:tcBorders>
            <w:vAlign w:val="center"/>
          </w:tcPr>
          <w:p w14:paraId="622B4FE0" w14:textId="77777777" w:rsidR="00575501" w:rsidRPr="001D1735" w:rsidRDefault="00575501" w:rsidP="005E1097">
            <w:pPr>
              <w:jc w:val="center"/>
              <w:rPr>
                <w:rFonts w:cs="Arial"/>
                <w:szCs w:val="22"/>
              </w:rPr>
            </w:pPr>
            <w:r w:rsidRPr="001D1735">
              <w:rPr>
                <w:rFonts w:cs="Arial"/>
                <w:szCs w:val="22"/>
              </w:rPr>
              <w:t>($68,312)</w:t>
            </w:r>
          </w:p>
        </w:tc>
        <w:tc>
          <w:tcPr>
            <w:tcW w:w="1550" w:type="dxa"/>
            <w:tcBorders>
              <w:top w:val="single" w:sz="4" w:space="0" w:color="auto"/>
              <w:left w:val="single" w:sz="4" w:space="0" w:color="auto"/>
              <w:bottom w:val="single" w:sz="4" w:space="0" w:color="auto"/>
              <w:right w:val="single" w:sz="4" w:space="0" w:color="auto"/>
            </w:tcBorders>
            <w:vAlign w:val="center"/>
          </w:tcPr>
          <w:p w14:paraId="32A41E11" w14:textId="77777777" w:rsidR="00575501" w:rsidRPr="001D1735" w:rsidRDefault="00575501" w:rsidP="005E1097">
            <w:pPr>
              <w:jc w:val="center"/>
              <w:rPr>
                <w:rFonts w:cs="Arial"/>
                <w:szCs w:val="22"/>
              </w:rPr>
            </w:pPr>
            <w:r w:rsidRPr="001D1735">
              <w:rPr>
                <w:rFonts w:cs="Arial"/>
                <w:szCs w:val="22"/>
              </w:rPr>
              <w:t>($424,269)</w:t>
            </w:r>
          </w:p>
        </w:tc>
      </w:tr>
      <w:tr w:rsidR="00575501" w:rsidRPr="001D1735" w14:paraId="2BB81B83" w14:textId="77777777" w:rsidTr="005E1097">
        <w:trPr>
          <w:cantSplit/>
          <w:trHeight w:val="524"/>
        </w:trPr>
        <w:tc>
          <w:tcPr>
            <w:tcW w:w="1945" w:type="dxa"/>
            <w:tcBorders>
              <w:top w:val="single" w:sz="4" w:space="0" w:color="auto"/>
              <w:left w:val="single" w:sz="4" w:space="0" w:color="auto"/>
              <w:bottom w:val="single" w:sz="4" w:space="0" w:color="auto"/>
              <w:right w:val="single" w:sz="4" w:space="0" w:color="auto"/>
            </w:tcBorders>
            <w:vAlign w:val="center"/>
            <w:hideMark/>
          </w:tcPr>
          <w:p w14:paraId="047B0D48" w14:textId="77777777" w:rsidR="00575501" w:rsidRPr="001D1735" w:rsidRDefault="00575501" w:rsidP="005E1097">
            <w:pPr>
              <w:rPr>
                <w:rFonts w:cs="Arial"/>
                <w:b/>
                <w:szCs w:val="22"/>
              </w:rPr>
            </w:pPr>
            <w:r w:rsidRPr="001D1735">
              <w:rPr>
                <w:rFonts w:cs="Arial"/>
                <w:b/>
                <w:szCs w:val="22"/>
              </w:rPr>
              <w:t>Beginning Net Position</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FB92A44" w14:textId="77777777" w:rsidR="00575501" w:rsidRPr="001D1735" w:rsidRDefault="00575501" w:rsidP="005E1097">
            <w:pPr>
              <w:jc w:val="center"/>
              <w:rPr>
                <w:rFonts w:cs="Arial"/>
                <w:szCs w:val="22"/>
              </w:rPr>
            </w:pPr>
            <w:r w:rsidRPr="001D1735">
              <w:rPr>
                <w:rFonts w:cs="Arial"/>
                <w:szCs w:val="22"/>
              </w:rPr>
              <w:t>$91,812*</w:t>
            </w:r>
          </w:p>
        </w:tc>
        <w:tc>
          <w:tcPr>
            <w:tcW w:w="1465" w:type="dxa"/>
            <w:tcBorders>
              <w:top w:val="single" w:sz="4" w:space="0" w:color="auto"/>
              <w:left w:val="single" w:sz="4" w:space="0" w:color="auto"/>
              <w:bottom w:val="single" w:sz="4" w:space="0" w:color="auto"/>
              <w:right w:val="single" w:sz="4" w:space="0" w:color="auto"/>
            </w:tcBorders>
            <w:vAlign w:val="center"/>
          </w:tcPr>
          <w:p w14:paraId="7D976BDC" w14:textId="77777777" w:rsidR="00575501" w:rsidRPr="001D1735" w:rsidRDefault="00575501" w:rsidP="005E1097">
            <w:pPr>
              <w:jc w:val="center"/>
              <w:rPr>
                <w:rFonts w:cs="Arial"/>
                <w:szCs w:val="22"/>
              </w:rPr>
            </w:pPr>
            <w:r w:rsidRPr="001D1735">
              <w:rPr>
                <w:rFonts w:cs="Arial"/>
                <w:szCs w:val="22"/>
              </w:rPr>
              <w:t>$109,671</w:t>
            </w:r>
          </w:p>
        </w:tc>
        <w:tc>
          <w:tcPr>
            <w:tcW w:w="1465" w:type="dxa"/>
            <w:tcBorders>
              <w:top w:val="single" w:sz="4" w:space="0" w:color="auto"/>
              <w:left w:val="single" w:sz="4" w:space="0" w:color="auto"/>
              <w:bottom w:val="single" w:sz="4" w:space="0" w:color="auto"/>
              <w:right w:val="single" w:sz="4" w:space="0" w:color="auto"/>
            </w:tcBorders>
            <w:vAlign w:val="center"/>
          </w:tcPr>
          <w:p w14:paraId="3511CC30" w14:textId="77777777" w:rsidR="00575501" w:rsidRPr="001D1735" w:rsidRDefault="00575501" w:rsidP="005E1097">
            <w:pPr>
              <w:jc w:val="center"/>
              <w:rPr>
                <w:rFonts w:cs="Arial"/>
                <w:szCs w:val="22"/>
              </w:rPr>
            </w:pPr>
            <w:r w:rsidRPr="001D1735">
              <w:rPr>
                <w:rFonts w:cs="Arial"/>
                <w:szCs w:val="22"/>
              </w:rPr>
              <w:t>($</w:t>
            </w:r>
            <w:proofErr w:type="gramStart"/>
            <w:r w:rsidRPr="001D1735">
              <w:rPr>
                <w:rFonts w:cs="Arial"/>
                <w:szCs w:val="22"/>
              </w:rPr>
              <w:t>223,995)*</w:t>
            </w:r>
            <w:proofErr w:type="gramEnd"/>
          </w:p>
        </w:tc>
        <w:tc>
          <w:tcPr>
            <w:tcW w:w="1465" w:type="dxa"/>
            <w:tcBorders>
              <w:top w:val="single" w:sz="4" w:space="0" w:color="auto"/>
              <w:left w:val="single" w:sz="4" w:space="0" w:color="auto"/>
              <w:bottom w:val="single" w:sz="4" w:space="0" w:color="auto"/>
              <w:right w:val="single" w:sz="4" w:space="0" w:color="auto"/>
            </w:tcBorders>
            <w:vAlign w:val="center"/>
          </w:tcPr>
          <w:p w14:paraId="06D30B42" w14:textId="77777777" w:rsidR="00575501" w:rsidRPr="001D1735" w:rsidRDefault="00575501" w:rsidP="005E1097">
            <w:pPr>
              <w:jc w:val="center"/>
              <w:rPr>
                <w:rFonts w:cs="Arial"/>
                <w:szCs w:val="22"/>
              </w:rPr>
            </w:pPr>
            <w:r w:rsidRPr="001D1735">
              <w:rPr>
                <w:rFonts w:cs="Arial"/>
                <w:szCs w:val="22"/>
              </w:rPr>
              <w:t>($268,436)</w:t>
            </w:r>
          </w:p>
        </w:tc>
        <w:tc>
          <w:tcPr>
            <w:tcW w:w="1550" w:type="dxa"/>
            <w:tcBorders>
              <w:top w:val="single" w:sz="4" w:space="0" w:color="auto"/>
              <w:left w:val="single" w:sz="4" w:space="0" w:color="auto"/>
              <w:bottom w:val="single" w:sz="4" w:space="0" w:color="auto"/>
              <w:right w:val="single" w:sz="4" w:space="0" w:color="auto"/>
            </w:tcBorders>
            <w:vAlign w:val="center"/>
          </w:tcPr>
          <w:p w14:paraId="696390D5" w14:textId="77777777" w:rsidR="00575501" w:rsidRPr="001D1735" w:rsidRDefault="00575501" w:rsidP="005E1097">
            <w:pPr>
              <w:jc w:val="center"/>
              <w:rPr>
                <w:rFonts w:cs="Arial"/>
                <w:szCs w:val="22"/>
              </w:rPr>
            </w:pPr>
            <w:r w:rsidRPr="001D1735">
              <w:rPr>
                <w:rFonts w:cs="Arial"/>
                <w:szCs w:val="22"/>
              </w:rPr>
              <w:t>($268,436)</w:t>
            </w:r>
          </w:p>
        </w:tc>
      </w:tr>
      <w:tr w:rsidR="00575501" w:rsidRPr="001D1735" w14:paraId="73BAF09D" w14:textId="77777777" w:rsidTr="005E1097">
        <w:trPr>
          <w:cantSplit/>
          <w:trHeight w:val="524"/>
        </w:trPr>
        <w:tc>
          <w:tcPr>
            <w:tcW w:w="1945" w:type="dxa"/>
            <w:tcBorders>
              <w:top w:val="single" w:sz="4" w:space="0" w:color="auto"/>
              <w:left w:val="single" w:sz="4" w:space="0" w:color="auto"/>
              <w:bottom w:val="single" w:sz="4" w:space="0" w:color="auto"/>
              <w:right w:val="single" w:sz="4" w:space="0" w:color="auto"/>
            </w:tcBorders>
            <w:vAlign w:val="center"/>
            <w:hideMark/>
          </w:tcPr>
          <w:p w14:paraId="51044C27" w14:textId="77777777" w:rsidR="00575501" w:rsidRPr="001D1735" w:rsidRDefault="00575501" w:rsidP="005E1097">
            <w:pPr>
              <w:rPr>
                <w:rFonts w:cs="Arial"/>
                <w:b/>
                <w:szCs w:val="22"/>
              </w:rPr>
            </w:pPr>
            <w:r w:rsidRPr="001D1735">
              <w:rPr>
                <w:rFonts w:cs="Arial"/>
                <w:b/>
                <w:szCs w:val="22"/>
              </w:rPr>
              <w:t>Ending Net Position</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CEA4CA9" w14:textId="77777777" w:rsidR="00575501" w:rsidRPr="001D1735" w:rsidRDefault="00575501" w:rsidP="005E1097">
            <w:pPr>
              <w:jc w:val="center"/>
              <w:rPr>
                <w:rFonts w:cs="Arial"/>
                <w:szCs w:val="22"/>
              </w:rPr>
            </w:pPr>
            <w:r w:rsidRPr="001D1735">
              <w:rPr>
                <w:rFonts w:cs="Arial"/>
                <w:szCs w:val="22"/>
              </w:rPr>
              <w:t>$468,272</w:t>
            </w:r>
          </w:p>
        </w:tc>
        <w:tc>
          <w:tcPr>
            <w:tcW w:w="1465" w:type="dxa"/>
            <w:tcBorders>
              <w:top w:val="single" w:sz="4" w:space="0" w:color="auto"/>
              <w:left w:val="single" w:sz="4" w:space="0" w:color="auto"/>
              <w:bottom w:val="single" w:sz="4" w:space="0" w:color="auto"/>
              <w:right w:val="single" w:sz="4" w:space="0" w:color="auto"/>
            </w:tcBorders>
            <w:vAlign w:val="center"/>
          </w:tcPr>
          <w:p w14:paraId="338BB6BA" w14:textId="77777777" w:rsidR="00575501" w:rsidRPr="001D1735" w:rsidRDefault="00575501" w:rsidP="005E1097">
            <w:pPr>
              <w:jc w:val="center"/>
              <w:rPr>
                <w:rFonts w:cs="Arial"/>
                <w:szCs w:val="22"/>
              </w:rPr>
            </w:pPr>
            <w:r w:rsidRPr="001D1735">
              <w:rPr>
                <w:rFonts w:cs="Arial"/>
                <w:szCs w:val="22"/>
              </w:rPr>
              <w:t>($268,436)</w:t>
            </w:r>
          </w:p>
        </w:tc>
        <w:tc>
          <w:tcPr>
            <w:tcW w:w="1465" w:type="dxa"/>
            <w:tcBorders>
              <w:top w:val="single" w:sz="4" w:space="0" w:color="auto"/>
              <w:left w:val="single" w:sz="4" w:space="0" w:color="auto"/>
              <w:bottom w:val="single" w:sz="4" w:space="0" w:color="auto"/>
              <w:right w:val="single" w:sz="4" w:space="0" w:color="auto"/>
            </w:tcBorders>
            <w:vAlign w:val="center"/>
          </w:tcPr>
          <w:p w14:paraId="11EDD46A" w14:textId="77777777" w:rsidR="00575501" w:rsidRPr="001D1735" w:rsidRDefault="00575501" w:rsidP="005E1097">
            <w:pPr>
              <w:jc w:val="center"/>
              <w:rPr>
                <w:rFonts w:cs="Arial"/>
                <w:szCs w:val="22"/>
              </w:rPr>
            </w:pPr>
            <w:r w:rsidRPr="001D1735">
              <w:rPr>
                <w:rFonts w:cs="Arial"/>
                <w:szCs w:val="22"/>
              </w:rPr>
              <w:t>$285,135</w:t>
            </w:r>
          </w:p>
        </w:tc>
        <w:tc>
          <w:tcPr>
            <w:tcW w:w="1465" w:type="dxa"/>
            <w:tcBorders>
              <w:top w:val="single" w:sz="4" w:space="0" w:color="auto"/>
              <w:left w:val="single" w:sz="4" w:space="0" w:color="auto"/>
              <w:bottom w:val="single" w:sz="4" w:space="0" w:color="auto"/>
              <w:right w:val="single" w:sz="4" w:space="0" w:color="auto"/>
            </w:tcBorders>
            <w:vAlign w:val="center"/>
          </w:tcPr>
          <w:p w14:paraId="6BFAADFD" w14:textId="77777777" w:rsidR="00575501" w:rsidRPr="001D1735" w:rsidRDefault="00575501" w:rsidP="005E1097">
            <w:pPr>
              <w:jc w:val="center"/>
              <w:rPr>
                <w:rFonts w:cs="Arial"/>
                <w:szCs w:val="22"/>
              </w:rPr>
            </w:pPr>
            <w:r w:rsidRPr="001D1735">
              <w:rPr>
                <w:rFonts w:cs="Arial"/>
                <w:szCs w:val="22"/>
              </w:rPr>
              <w:t>($336,748)</w:t>
            </w:r>
          </w:p>
        </w:tc>
        <w:tc>
          <w:tcPr>
            <w:tcW w:w="1550" w:type="dxa"/>
            <w:tcBorders>
              <w:top w:val="single" w:sz="4" w:space="0" w:color="auto"/>
              <w:left w:val="single" w:sz="4" w:space="0" w:color="auto"/>
              <w:bottom w:val="single" w:sz="4" w:space="0" w:color="auto"/>
              <w:right w:val="single" w:sz="4" w:space="0" w:color="auto"/>
            </w:tcBorders>
            <w:vAlign w:val="center"/>
          </w:tcPr>
          <w:p w14:paraId="0AF1A7B1" w14:textId="77777777" w:rsidR="00575501" w:rsidRPr="001D1735" w:rsidRDefault="00575501" w:rsidP="005E1097">
            <w:pPr>
              <w:jc w:val="center"/>
              <w:rPr>
                <w:rFonts w:cs="Arial"/>
                <w:szCs w:val="22"/>
              </w:rPr>
            </w:pPr>
            <w:r w:rsidRPr="001D1735">
              <w:rPr>
                <w:rFonts w:cs="Arial"/>
                <w:szCs w:val="22"/>
              </w:rPr>
              <w:t>($692,704)</w:t>
            </w:r>
          </w:p>
        </w:tc>
      </w:tr>
    </w:tbl>
    <w:p w14:paraId="65ADA388" w14:textId="77777777" w:rsidR="00575501" w:rsidRPr="001D1735" w:rsidRDefault="00575501" w:rsidP="00575501">
      <w:pPr>
        <w:spacing w:before="240" w:after="240"/>
        <w:rPr>
          <w:rFonts w:eastAsia="Arial"/>
        </w:rPr>
      </w:pPr>
      <w:r w:rsidRPr="001D1735">
        <w:rPr>
          <w:rFonts w:eastAsia="Arial"/>
        </w:rPr>
        <w:t>* Estimated amount at the time of budget development.</w:t>
      </w:r>
    </w:p>
    <w:p w14:paraId="516772D8" w14:textId="77777777" w:rsidR="004B4B8C" w:rsidRDefault="00575501" w:rsidP="00575501">
      <w:pPr>
        <w:spacing w:after="240"/>
        <w:rPr>
          <w:rFonts w:eastAsia="Arial"/>
        </w:rPr>
      </w:pPr>
      <w:r w:rsidRPr="001D1735">
        <w:rPr>
          <w:rFonts w:eastAsia="Arial"/>
        </w:rPr>
        <w:t>As illustrated in the table above, T.I.M.E.’s 2021–22 adopted budget projected an operating surplus of $376,460 and an ending net position of $468,272. Due to T.I.M.E.’s substantial enrollment shortfall, T.I.M.E. incurred a deficit of $378,107 and an ending net position of negative $268,436 in 2021–22. T.I.M.E.’s 2022–23 adopted budget projected a surplus of $509,1</w:t>
      </w:r>
      <w:r w:rsidR="001D1735" w:rsidRPr="001D1735">
        <w:rPr>
          <w:rFonts w:eastAsia="Arial"/>
        </w:rPr>
        <w:t>30</w:t>
      </w:r>
      <w:r w:rsidRPr="001D1735">
        <w:rPr>
          <w:rFonts w:eastAsia="Arial"/>
        </w:rPr>
        <w:t xml:space="preserve"> and an ending net position of $285,135. However, its 2022–23 First Interim Report projection</w:t>
      </w:r>
      <w:r w:rsidRPr="00793FDD">
        <w:rPr>
          <w:rFonts w:eastAsia="Arial"/>
        </w:rPr>
        <w:t xml:space="preserve"> reflected a revised budget and projects an operating deficit of $68,312</w:t>
      </w:r>
      <w:r w:rsidR="004B4B8C">
        <w:rPr>
          <w:rFonts w:eastAsia="Arial"/>
        </w:rPr>
        <w:t xml:space="preserve">; </w:t>
      </w:r>
      <w:r w:rsidRPr="00793FDD">
        <w:rPr>
          <w:rFonts w:eastAsia="Arial"/>
        </w:rPr>
        <w:t>an ending net</w:t>
      </w:r>
      <w:r w:rsidRPr="00B654CA">
        <w:rPr>
          <w:rFonts w:eastAsia="Arial"/>
        </w:rPr>
        <w:t xml:space="preserve"> position of negative $336,748</w:t>
      </w:r>
      <w:r w:rsidR="004B4B8C">
        <w:rPr>
          <w:rFonts w:eastAsia="Arial"/>
        </w:rPr>
        <w:t>;</w:t>
      </w:r>
      <w:r w:rsidRPr="00B654CA">
        <w:rPr>
          <w:rFonts w:eastAsia="Arial"/>
        </w:rPr>
        <w:t xml:space="preserve"> and a </w:t>
      </w:r>
      <w:r w:rsidRPr="00793FDD">
        <w:rPr>
          <w:rFonts w:eastAsia="Arial"/>
        </w:rPr>
        <w:t>reserve for economic uncertainties of negative 23.3 percent.</w:t>
      </w:r>
      <w:r w:rsidRPr="00B654CA">
        <w:rPr>
          <w:rFonts w:eastAsia="Arial"/>
        </w:rPr>
        <w:t xml:space="preserve"> </w:t>
      </w:r>
    </w:p>
    <w:p w14:paraId="08ADAB87" w14:textId="77777777" w:rsidR="00575501" w:rsidRPr="00B654CA" w:rsidRDefault="00575501" w:rsidP="00575501">
      <w:pPr>
        <w:spacing w:after="240"/>
        <w:rPr>
          <w:rFonts w:eastAsia="Arial"/>
        </w:rPr>
      </w:pPr>
      <w:r w:rsidRPr="00B654CA">
        <w:rPr>
          <w:rFonts w:eastAsia="Arial"/>
        </w:rPr>
        <w:t>In addition to a substantial reduction in the projected revenues due to enrollment</w:t>
      </w:r>
      <w:r w:rsidR="004B4B8C">
        <w:rPr>
          <w:rFonts w:eastAsia="Arial"/>
        </w:rPr>
        <w:t xml:space="preserve"> and </w:t>
      </w:r>
      <w:r w:rsidRPr="00B654CA">
        <w:rPr>
          <w:rFonts w:eastAsia="Arial"/>
        </w:rPr>
        <w:t xml:space="preserve">ADA shortfall, </w:t>
      </w:r>
      <w:r>
        <w:rPr>
          <w:rFonts w:eastAsia="Arial"/>
        </w:rPr>
        <w:t>T.I.M.E.</w:t>
      </w:r>
      <w:r w:rsidRPr="00B654CA">
        <w:rPr>
          <w:rFonts w:eastAsia="Arial"/>
        </w:rPr>
        <w:t xml:space="preserve"> is incurring increased operational costs, including a long</w:t>
      </w:r>
      <w:r>
        <w:rPr>
          <w:rFonts w:eastAsia="Arial"/>
        </w:rPr>
        <w:t>-</w:t>
      </w:r>
      <w:r w:rsidRPr="00B654CA">
        <w:rPr>
          <w:rFonts w:eastAsia="Arial"/>
        </w:rPr>
        <w:t>term commitment under its five</w:t>
      </w:r>
      <w:r>
        <w:rPr>
          <w:rFonts w:eastAsia="Arial"/>
        </w:rPr>
        <w:t>-</w:t>
      </w:r>
      <w:r w:rsidRPr="00B654CA">
        <w:rPr>
          <w:rFonts w:eastAsia="Arial"/>
        </w:rPr>
        <w:t xml:space="preserve">year lease agreement. The first interim report projects facility leases and related expenses totaling </w:t>
      </w:r>
      <w:r w:rsidRPr="00793FDD">
        <w:rPr>
          <w:rFonts w:eastAsia="Arial"/>
        </w:rPr>
        <w:t>$412,786, an increase of $340,941 or 475.0 percent</w:t>
      </w:r>
      <w:r w:rsidRPr="00B654CA">
        <w:rPr>
          <w:rFonts w:eastAsia="Arial"/>
        </w:rPr>
        <w:t xml:space="preserve"> from its 2021</w:t>
      </w:r>
      <w:r>
        <w:rPr>
          <w:rFonts w:eastAsia="Arial"/>
        </w:rPr>
        <w:t>–</w:t>
      </w:r>
      <w:r w:rsidRPr="00B654CA">
        <w:rPr>
          <w:rFonts w:eastAsia="Arial"/>
        </w:rPr>
        <w:t xml:space="preserve">22 facility leases related expenses. The budget for the facility leases and related expenses represents 42.9 percent of </w:t>
      </w:r>
      <w:r>
        <w:rPr>
          <w:rFonts w:eastAsia="Arial"/>
        </w:rPr>
        <w:t>T.I.M.E.</w:t>
      </w:r>
      <w:r w:rsidRPr="00B654CA">
        <w:rPr>
          <w:rFonts w:eastAsia="Arial"/>
        </w:rPr>
        <w:t>’s 2022</w:t>
      </w:r>
      <w:r>
        <w:rPr>
          <w:rFonts w:eastAsia="Arial"/>
        </w:rPr>
        <w:t>–</w:t>
      </w:r>
      <w:r w:rsidRPr="00B654CA">
        <w:rPr>
          <w:rFonts w:eastAsia="Arial"/>
        </w:rPr>
        <w:t>23 projected LCFF revenues of $962,625.</w:t>
      </w:r>
    </w:p>
    <w:p w14:paraId="099A1278" w14:textId="77777777" w:rsidR="00575501" w:rsidRDefault="00575501" w:rsidP="00575501">
      <w:pPr>
        <w:spacing w:after="240"/>
        <w:rPr>
          <w:rFonts w:eastAsia="Arial"/>
        </w:rPr>
      </w:pPr>
      <w:r w:rsidRPr="00B654CA">
        <w:rPr>
          <w:rFonts w:eastAsia="Arial"/>
        </w:rPr>
        <w:t xml:space="preserve">The table below provides a summary of changes in </w:t>
      </w:r>
      <w:r>
        <w:rPr>
          <w:rFonts w:eastAsia="Arial"/>
        </w:rPr>
        <w:t>T.I.M.E.</w:t>
      </w:r>
      <w:r w:rsidRPr="00B654CA">
        <w:rPr>
          <w:rFonts w:eastAsia="Arial"/>
        </w:rPr>
        <w:t>’s financial position from July 1, 2022, to December 31, 2022.</w:t>
      </w:r>
    </w:p>
    <w:tbl>
      <w:tblPr>
        <w:tblStyle w:val="TableGrid"/>
        <w:tblW w:w="0" w:type="auto"/>
        <w:tblInd w:w="0" w:type="dxa"/>
        <w:tblLook w:val="04A0" w:firstRow="1" w:lastRow="0" w:firstColumn="1" w:lastColumn="0" w:noHBand="0" w:noVBand="1"/>
        <w:tblDescription w:val="Summary of changes in T.I.M.E.’s financial position from July 1, 2022, to December 31, 2022"/>
      </w:tblPr>
      <w:tblGrid>
        <w:gridCol w:w="1870"/>
        <w:gridCol w:w="1870"/>
        <w:gridCol w:w="1870"/>
        <w:gridCol w:w="1870"/>
        <w:gridCol w:w="1870"/>
      </w:tblGrid>
      <w:tr w:rsidR="00575501" w14:paraId="079944A2" w14:textId="77777777" w:rsidTr="004B4B8C">
        <w:trPr>
          <w:cantSplit/>
          <w:tblHeader/>
        </w:trPr>
        <w:tc>
          <w:tcPr>
            <w:tcW w:w="1870" w:type="dxa"/>
            <w:shd w:val="clear" w:color="auto" w:fill="D9D9D9" w:themeFill="background1" w:themeFillShade="D9"/>
            <w:vAlign w:val="center"/>
          </w:tcPr>
          <w:p w14:paraId="76C33073" w14:textId="77777777" w:rsidR="00575501" w:rsidRPr="00CC21F9" w:rsidRDefault="00575501" w:rsidP="005E1097">
            <w:pPr>
              <w:jc w:val="center"/>
              <w:rPr>
                <w:rFonts w:eastAsia="Arial"/>
                <w:b/>
              </w:rPr>
            </w:pPr>
            <w:r>
              <w:rPr>
                <w:rFonts w:eastAsia="Arial"/>
                <w:b/>
              </w:rPr>
              <w:t>Criteria</w:t>
            </w:r>
          </w:p>
        </w:tc>
        <w:tc>
          <w:tcPr>
            <w:tcW w:w="1870" w:type="dxa"/>
            <w:shd w:val="clear" w:color="auto" w:fill="D9D9D9" w:themeFill="background1" w:themeFillShade="D9"/>
            <w:vAlign w:val="center"/>
          </w:tcPr>
          <w:p w14:paraId="3926A816" w14:textId="77777777" w:rsidR="00575501" w:rsidRPr="00CC21F9" w:rsidRDefault="00575501" w:rsidP="005E1097">
            <w:pPr>
              <w:jc w:val="center"/>
              <w:rPr>
                <w:rFonts w:eastAsia="Arial"/>
                <w:b/>
              </w:rPr>
            </w:pPr>
            <w:r>
              <w:rPr>
                <w:rFonts w:eastAsia="Arial"/>
                <w:b/>
              </w:rPr>
              <w:t>July 1, 2022</w:t>
            </w:r>
          </w:p>
        </w:tc>
        <w:tc>
          <w:tcPr>
            <w:tcW w:w="1870" w:type="dxa"/>
            <w:shd w:val="clear" w:color="auto" w:fill="D9D9D9" w:themeFill="background1" w:themeFillShade="D9"/>
            <w:vAlign w:val="center"/>
          </w:tcPr>
          <w:p w14:paraId="1B0B14A8" w14:textId="77777777" w:rsidR="00575501" w:rsidRPr="00CC21F9" w:rsidRDefault="00575501" w:rsidP="005E1097">
            <w:pPr>
              <w:jc w:val="center"/>
              <w:rPr>
                <w:rFonts w:eastAsia="Arial"/>
                <w:b/>
              </w:rPr>
            </w:pPr>
            <w:r>
              <w:rPr>
                <w:rFonts w:eastAsia="Arial"/>
                <w:b/>
              </w:rPr>
              <w:t>December 31, 2022</w:t>
            </w:r>
          </w:p>
        </w:tc>
        <w:tc>
          <w:tcPr>
            <w:tcW w:w="1870" w:type="dxa"/>
            <w:shd w:val="clear" w:color="auto" w:fill="D9D9D9" w:themeFill="background1" w:themeFillShade="D9"/>
            <w:vAlign w:val="center"/>
          </w:tcPr>
          <w:p w14:paraId="13244182" w14:textId="77777777" w:rsidR="00575501" w:rsidRPr="00CC21F9" w:rsidRDefault="00575501" w:rsidP="005E1097">
            <w:pPr>
              <w:jc w:val="center"/>
              <w:rPr>
                <w:rFonts w:eastAsia="Arial"/>
                <w:b/>
              </w:rPr>
            </w:pPr>
            <w:r>
              <w:rPr>
                <w:rFonts w:eastAsia="Arial"/>
                <w:b/>
              </w:rPr>
              <w:t>Year-to-Date Change</w:t>
            </w:r>
          </w:p>
        </w:tc>
        <w:tc>
          <w:tcPr>
            <w:tcW w:w="1870" w:type="dxa"/>
            <w:shd w:val="clear" w:color="auto" w:fill="D9D9D9" w:themeFill="background1" w:themeFillShade="D9"/>
            <w:vAlign w:val="center"/>
          </w:tcPr>
          <w:p w14:paraId="70F1CED9" w14:textId="77777777" w:rsidR="00575501" w:rsidRPr="00CC21F9" w:rsidRDefault="00575501" w:rsidP="005E1097">
            <w:pPr>
              <w:jc w:val="center"/>
              <w:rPr>
                <w:rFonts w:eastAsia="Arial"/>
                <w:b/>
              </w:rPr>
            </w:pPr>
            <w:r>
              <w:rPr>
                <w:rFonts w:eastAsia="Arial"/>
                <w:b/>
              </w:rPr>
              <w:t>Year-to-Date Percentage Change</w:t>
            </w:r>
          </w:p>
        </w:tc>
      </w:tr>
      <w:tr w:rsidR="00575501" w14:paraId="3A34CDF1" w14:textId="77777777" w:rsidTr="004B4B8C">
        <w:trPr>
          <w:cantSplit/>
        </w:trPr>
        <w:tc>
          <w:tcPr>
            <w:tcW w:w="1870" w:type="dxa"/>
            <w:vAlign w:val="center"/>
          </w:tcPr>
          <w:p w14:paraId="1DEAC09D" w14:textId="77777777" w:rsidR="00575501" w:rsidRPr="00CC21F9" w:rsidRDefault="00575501" w:rsidP="005E1097">
            <w:pPr>
              <w:rPr>
                <w:rFonts w:eastAsia="Arial"/>
                <w:b/>
              </w:rPr>
            </w:pPr>
            <w:r>
              <w:rPr>
                <w:rFonts w:eastAsia="Arial"/>
                <w:b/>
              </w:rPr>
              <w:t>Total Assets</w:t>
            </w:r>
          </w:p>
        </w:tc>
        <w:tc>
          <w:tcPr>
            <w:tcW w:w="1870" w:type="dxa"/>
            <w:vAlign w:val="center"/>
          </w:tcPr>
          <w:p w14:paraId="51EBFEA2" w14:textId="77777777" w:rsidR="00575501" w:rsidRDefault="00575501" w:rsidP="005E1097">
            <w:pPr>
              <w:jc w:val="center"/>
              <w:rPr>
                <w:rFonts w:eastAsia="Arial"/>
              </w:rPr>
            </w:pPr>
            <w:r>
              <w:rPr>
                <w:rFonts w:eastAsia="Arial"/>
              </w:rPr>
              <w:t>$226,663</w:t>
            </w:r>
          </w:p>
        </w:tc>
        <w:tc>
          <w:tcPr>
            <w:tcW w:w="1870" w:type="dxa"/>
            <w:vAlign w:val="center"/>
          </w:tcPr>
          <w:p w14:paraId="65945E26" w14:textId="77777777" w:rsidR="00575501" w:rsidRDefault="00575501" w:rsidP="005E1097">
            <w:pPr>
              <w:jc w:val="center"/>
              <w:rPr>
                <w:rFonts w:eastAsia="Arial"/>
              </w:rPr>
            </w:pPr>
            <w:r>
              <w:rPr>
                <w:rFonts w:eastAsia="Arial"/>
              </w:rPr>
              <w:t>($</w:t>
            </w:r>
            <w:proofErr w:type="gramStart"/>
            <w:r>
              <w:rPr>
                <w:rFonts w:eastAsia="Arial"/>
              </w:rPr>
              <w:t>19,432)*</w:t>
            </w:r>
            <w:proofErr w:type="gramEnd"/>
          </w:p>
        </w:tc>
        <w:tc>
          <w:tcPr>
            <w:tcW w:w="1870" w:type="dxa"/>
            <w:vAlign w:val="center"/>
          </w:tcPr>
          <w:p w14:paraId="07ECB4B8" w14:textId="77777777" w:rsidR="00575501" w:rsidRDefault="00575501" w:rsidP="005E1097">
            <w:pPr>
              <w:jc w:val="center"/>
              <w:rPr>
                <w:rFonts w:eastAsia="Arial"/>
              </w:rPr>
            </w:pPr>
            <w:r>
              <w:rPr>
                <w:rFonts w:eastAsia="Arial"/>
              </w:rPr>
              <w:t>($246,095)</w:t>
            </w:r>
          </w:p>
        </w:tc>
        <w:tc>
          <w:tcPr>
            <w:tcW w:w="1870" w:type="dxa"/>
            <w:vAlign w:val="center"/>
          </w:tcPr>
          <w:p w14:paraId="1EDDB350" w14:textId="77777777" w:rsidR="00575501" w:rsidRDefault="00575501" w:rsidP="005E1097">
            <w:pPr>
              <w:jc w:val="center"/>
              <w:rPr>
                <w:rFonts w:eastAsia="Arial"/>
              </w:rPr>
            </w:pPr>
            <w:r>
              <w:rPr>
                <w:rFonts w:eastAsia="Arial"/>
              </w:rPr>
              <w:t>(149%)</w:t>
            </w:r>
          </w:p>
        </w:tc>
      </w:tr>
      <w:tr w:rsidR="00575501" w14:paraId="440782E8" w14:textId="77777777" w:rsidTr="004B4B8C">
        <w:trPr>
          <w:cantSplit/>
        </w:trPr>
        <w:tc>
          <w:tcPr>
            <w:tcW w:w="1870" w:type="dxa"/>
            <w:vAlign w:val="center"/>
          </w:tcPr>
          <w:p w14:paraId="16CD7424" w14:textId="77777777" w:rsidR="00575501" w:rsidRPr="00CC21F9" w:rsidRDefault="00575501" w:rsidP="005E1097">
            <w:pPr>
              <w:rPr>
                <w:rFonts w:eastAsia="Arial"/>
                <w:b/>
              </w:rPr>
            </w:pPr>
            <w:r>
              <w:rPr>
                <w:rFonts w:eastAsia="Arial"/>
                <w:b/>
              </w:rPr>
              <w:t>Total Liabilities</w:t>
            </w:r>
          </w:p>
        </w:tc>
        <w:tc>
          <w:tcPr>
            <w:tcW w:w="1870" w:type="dxa"/>
            <w:vAlign w:val="center"/>
          </w:tcPr>
          <w:p w14:paraId="62ED3788" w14:textId="77777777" w:rsidR="00575501" w:rsidRDefault="00575501" w:rsidP="005E1097">
            <w:pPr>
              <w:jc w:val="center"/>
              <w:rPr>
                <w:rFonts w:eastAsia="Arial"/>
              </w:rPr>
            </w:pPr>
            <w:r>
              <w:rPr>
                <w:rFonts w:eastAsia="Arial"/>
              </w:rPr>
              <w:t>$495,099</w:t>
            </w:r>
          </w:p>
        </w:tc>
        <w:tc>
          <w:tcPr>
            <w:tcW w:w="1870" w:type="dxa"/>
            <w:vAlign w:val="center"/>
          </w:tcPr>
          <w:p w14:paraId="41784DEC" w14:textId="77777777" w:rsidR="00575501" w:rsidRDefault="00575501" w:rsidP="005E1097">
            <w:pPr>
              <w:jc w:val="center"/>
              <w:rPr>
                <w:rFonts w:eastAsia="Arial"/>
              </w:rPr>
            </w:pPr>
            <w:r>
              <w:rPr>
                <w:rFonts w:eastAsia="Arial"/>
              </w:rPr>
              <w:t>$673,273</w:t>
            </w:r>
          </w:p>
        </w:tc>
        <w:tc>
          <w:tcPr>
            <w:tcW w:w="1870" w:type="dxa"/>
            <w:vAlign w:val="center"/>
          </w:tcPr>
          <w:p w14:paraId="3F5237B1" w14:textId="77777777" w:rsidR="00575501" w:rsidRDefault="00575501" w:rsidP="005E1097">
            <w:pPr>
              <w:jc w:val="center"/>
              <w:rPr>
                <w:rFonts w:eastAsia="Arial"/>
              </w:rPr>
            </w:pPr>
            <w:r>
              <w:rPr>
                <w:rFonts w:eastAsia="Arial"/>
              </w:rPr>
              <w:t>$178,174</w:t>
            </w:r>
          </w:p>
        </w:tc>
        <w:tc>
          <w:tcPr>
            <w:tcW w:w="1870" w:type="dxa"/>
            <w:vAlign w:val="center"/>
          </w:tcPr>
          <w:p w14:paraId="502F5CCA" w14:textId="77777777" w:rsidR="00575501" w:rsidRDefault="00575501" w:rsidP="005E1097">
            <w:pPr>
              <w:jc w:val="center"/>
              <w:rPr>
                <w:rFonts w:eastAsia="Arial"/>
              </w:rPr>
            </w:pPr>
            <w:r>
              <w:rPr>
                <w:rFonts w:eastAsia="Arial"/>
              </w:rPr>
              <w:t>36%</w:t>
            </w:r>
          </w:p>
        </w:tc>
      </w:tr>
      <w:tr w:rsidR="00575501" w:rsidRPr="006E0F73" w14:paraId="492AA9F7" w14:textId="77777777" w:rsidTr="004B4B8C">
        <w:trPr>
          <w:cantSplit/>
        </w:trPr>
        <w:tc>
          <w:tcPr>
            <w:tcW w:w="1870" w:type="dxa"/>
            <w:vAlign w:val="center"/>
          </w:tcPr>
          <w:p w14:paraId="6F35C9BB" w14:textId="77777777" w:rsidR="00575501" w:rsidRPr="006E0F73" w:rsidRDefault="00575501" w:rsidP="005E1097">
            <w:pPr>
              <w:rPr>
                <w:rFonts w:eastAsia="Arial"/>
                <w:b/>
              </w:rPr>
            </w:pPr>
            <w:r w:rsidRPr="006E0F73">
              <w:rPr>
                <w:rFonts w:eastAsia="Arial"/>
                <w:b/>
              </w:rPr>
              <w:lastRenderedPageBreak/>
              <w:t>Total Net Assets</w:t>
            </w:r>
          </w:p>
        </w:tc>
        <w:tc>
          <w:tcPr>
            <w:tcW w:w="1870" w:type="dxa"/>
            <w:vAlign w:val="center"/>
          </w:tcPr>
          <w:p w14:paraId="7D8907C3" w14:textId="77777777" w:rsidR="00575501" w:rsidRPr="006E0F73" w:rsidRDefault="00575501" w:rsidP="005E1097">
            <w:pPr>
              <w:jc w:val="center"/>
              <w:rPr>
                <w:rFonts w:eastAsia="Arial"/>
              </w:rPr>
            </w:pPr>
            <w:r w:rsidRPr="006E0F73">
              <w:rPr>
                <w:rFonts w:eastAsia="Arial"/>
              </w:rPr>
              <w:t>($268,436)</w:t>
            </w:r>
          </w:p>
        </w:tc>
        <w:tc>
          <w:tcPr>
            <w:tcW w:w="1870" w:type="dxa"/>
            <w:vAlign w:val="center"/>
          </w:tcPr>
          <w:p w14:paraId="0CFBB55C" w14:textId="344EF40D" w:rsidR="00575501" w:rsidRPr="006E0F73" w:rsidRDefault="00575501" w:rsidP="005E1097">
            <w:pPr>
              <w:jc w:val="center"/>
              <w:rPr>
                <w:rFonts w:eastAsia="Arial"/>
              </w:rPr>
            </w:pPr>
            <w:r w:rsidRPr="006E0F73">
              <w:rPr>
                <w:rFonts w:eastAsia="Arial"/>
              </w:rPr>
              <w:t>($692,</w:t>
            </w:r>
            <w:r w:rsidR="00F85938" w:rsidRPr="006E0F73">
              <w:rPr>
                <w:rFonts w:eastAsia="Arial"/>
              </w:rPr>
              <w:t>70</w:t>
            </w:r>
            <w:r w:rsidR="00F85938">
              <w:rPr>
                <w:rFonts w:eastAsia="Arial"/>
              </w:rPr>
              <w:t>5</w:t>
            </w:r>
            <w:r w:rsidRPr="006E0F73">
              <w:rPr>
                <w:rFonts w:eastAsia="Arial"/>
              </w:rPr>
              <w:t>)</w:t>
            </w:r>
          </w:p>
        </w:tc>
        <w:tc>
          <w:tcPr>
            <w:tcW w:w="1870" w:type="dxa"/>
            <w:vAlign w:val="center"/>
          </w:tcPr>
          <w:p w14:paraId="2F694518" w14:textId="77777777" w:rsidR="00575501" w:rsidRPr="006E0F73" w:rsidRDefault="00575501" w:rsidP="005E1097">
            <w:pPr>
              <w:jc w:val="center"/>
              <w:rPr>
                <w:rFonts w:eastAsia="Arial"/>
              </w:rPr>
            </w:pPr>
            <w:r w:rsidRPr="006E0F73">
              <w:rPr>
                <w:rFonts w:eastAsia="Arial"/>
              </w:rPr>
              <w:t>($424,269)</w:t>
            </w:r>
          </w:p>
        </w:tc>
        <w:tc>
          <w:tcPr>
            <w:tcW w:w="1870" w:type="dxa"/>
            <w:vAlign w:val="center"/>
          </w:tcPr>
          <w:p w14:paraId="748C65CF" w14:textId="77777777" w:rsidR="00575501" w:rsidRPr="006E0F73" w:rsidRDefault="00575501" w:rsidP="005E1097">
            <w:pPr>
              <w:jc w:val="center"/>
              <w:rPr>
                <w:rFonts w:eastAsia="Arial"/>
              </w:rPr>
            </w:pPr>
            <w:r w:rsidRPr="006E0F73">
              <w:rPr>
                <w:rFonts w:eastAsia="Arial"/>
              </w:rPr>
              <w:t>158%</w:t>
            </w:r>
          </w:p>
        </w:tc>
      </w:tr>
    </w:tbl>
    <w:p w14:paraId="04C734A3" w14:textId="77777777" w:rsidR="00575501" w:rsidRPr="006E0F73" w:rsidRDefault="00575501" w:rsidP="00575501">
      <w:pPr>
        <w:spacing w:before="240" w:after="240"/>
        <w:rPr>
          <w:rFonts w:eastAsia="Arial"/>
        </w:rPr>
      </w:pPr>
      <w:r w:rsidRPr="006E0F73">
        <w:rPr>
          <w:rFonts w:eastAsia="Arial"/>
        </w:rPr>
        <w:t>* Negative total assets include factored (sale) receivables of negative $247,600 net of other assets, including a cash balance of $14,189.</w:t>
      </w:r>
    </w:p>
    <w:p w14:paraId="693B04C3" w14:textId="77777777" w:rsidR="00575501" w:rsidRPr="006E0F73" w:rsidRDefault="00575501" w:rsidP="00575501">
      <w:pPr>
        <w:spacing w:after="240"/>
        <w:rPr>
          <w:rFonts w:eastAsia="Arial"/>
        </w:rPr>
      </w:pPr>
      <w:r w:rsidRPr="006E0F73">
        <w:rPr>
          <w:rFonts w:eastAsia="Arial"/>
        </w:rPr>
        <w:t>T.I.M.E.’s financial activities from July 1, 2022, to December 31, 2022, resulted in an operating deficit of $424,269; an ending net assets of negative $692,704; and a reserve for economic uncertainties of negative 47.8 percent based on T.I.M.E.’s 2022–23 first interim projected expenses. T.I.M.E.’s reserve is far below the 3 percent minimum reserve requirement</w:t>
      </w:r>
      <w:r w:rsidR="004B4B8C" w:rsidRPr="006E0F73">
        <w:rPr>
          <w:rFonts w:eastAsia="Arial"/>
        </w:rPr>
        <w:t xml:space="preserve">, which is outlined on </w:t>
      </w:r>
      <w:r w:rsidRPr="006E0F73">
        <w:rPr>
          <w:rFonts w:eastAsia="Arial"/>
        </w:rPr>
        <w:t>page 18</w:t>
      </w:r>
      <w:r w:rsidR="004B4B8C" w:rsidRPr="006E0F73">
        <w:rPr>
          <w:rFonts w:eastAsia="Arial"/>
        </w:rPr>
        <w:t xml:space="preserve"> in </w:t>
      </w:r>
      <w:r w:rsidRPr="006E0F73">
        <w:rPr>
          <w:rFonts w:eastAsia="Arial"/>
        </w:rPr>
        <w:t xml:space="preserve">section 3.4 (Revenue and Expenditure Reporting) of its MOU with LACOE. </w:t>
      </w:r>
    </w:p>
    <w:p w14:paraId="1832ABD9" w14:textId="175FFA80" w:rsidR="00575501" w:rsidRDefault="00575501" w:rsidP="00575501">
      <w:pPr>
        <w:spacing w:after="240"/>
        <w:rPr>
          <w:rFonts w:eastAsia="Arial"/>
        </w:rPr>
      </w:pPr>
      <w:r w:rsidRPr="006E0F73">
        <w:rPr>
          <w:rFonts w:eastAsia="Arial"/>
        </w:rPr>
        <w:t>LACOE remains concerned that T.I.M.E. has not developed and implemented a recovery plan necessary to prevent further deteriorating of its financial condition. T.I.M.E.’s Statement of Financial Position, as of December 31, 2022, reflected total assets of negative $19,432; total liabilities of $673,273; and an ending net position of negative $692,704. Included in the total liabilities are various personal promissory notes totaling $279,444 and</w:t>
      </w:r>
      <w:r w:rsidRPr="00B654CA">
        <w:rPr>
          <w:rFonts w:eastAsia="Arial"/>
        </w:rPr>
        <w:t xml:space="preserve"> a Charter School </w:t>
      </w:r>
      <w:r w:rsidRPr="00193ED9">
        <w:rPr>
          <w:rFonts w:eastAsia="Arial"/>
        </w:rPr>
        <w:t>Revolving Loan of $</w:t>
      </w:r>
      <w:r w:rsidR="00193ED9" w:rsidRPr="00193ED9">
        <w:rPr>
          <w:rFonts w:cs="Arial"/>
          <w:szCs w:val="24"/>
        </w:rPr>
        <w:t>86,668</w:t>
      </w:r>
      <w:r w:rsidRPr="00193ED9">
        <w:rPr>
          <w:rFonts w:eastAsia="Arial"/>
        </w:rPr>
        <w:t>. T.I.</w:t>
      </w:r>
      <w:r>
        <w:rPr>
          <w:rFonts w:eastAsia="Arial"/>
        </w:rPr>
        <w:t>M.E.</w:t>
      </w:r>
      <w:r w:rsidRPr="00B654CA">
        <w:rPr>
          <w:rFonts w:eastAsia="Arial"/>
        </w:rPr>
        <w:t>’s ability to repay outstanding liabilities will depend on future revenue growth in excess of operational costs.</w:t>
      </w:r>
    </w:p>
    <w:p w14:paraId="6AF752BC" w14:textId="77777777" w:rsidR="00575501" w:rsidRPr="004B3D48" w:rsidRDefault="00575501" w:rsidP="00575501">
      <w:pPr>
        <w:spacing w:after="240"/>
        <w:rPr>
          <w:rFonts w:eastAsia="Arial"/>
        </w:rPr>
      </w:pPr>
      <w:r>
        <w:rPr>
          <w:rFonts w:eastAsia="Arial"/>
        </w:rPr>
        <w:t>T.I.M.E.</w:t>
      </w:r>
      <w:r w:rsidRPr="00B654CA">
        <w:rPr>
          <w:rFonts w:eastAsia="Arial"/>
        </w:rPr>
        <w:t xml:space="preserve">’s structural deficit, rising debts, </w:t>
      </w:r>
      <w:r>
        <w:rPr>
          <w:rFonts w:eastAsia="Arial"/>
        </w:rPr>
        <w:t xml:space="preserve">and </w:t>
      </w:r>
      <w:r w:rsidRPr="00B654CA">
        <w:rPr>
          <w:rFonts w:eastAsia="Arial"/>
        </w:rPr>
        <w:t>lack of a viable plan to address its dire fiscal condition,</w:t>
      </w:r>
      <w:r>
        <w:rPr>
          <w:rFonts w:eastAsia="Arial"/>
        </w:rPr>
        <w:t xml:space="preserve"> leave in doubt T.I.M.E.’s </w:t>
      </w:r>
      <w:r w:rsidRPr="00B654CA">
        <w:rPr>
          <w:rFonts w:eastAsia="Arial"/>
        </w:rPr>
        <w:t>ability to secure additional funding to satisfy its immediate and future financial obligations, inclusive of payroll obligations.</w:t>
      </w:r>
    </w:p>
    <w:p w14:paraId="2D2DEB43" w14:textId="77777777" w:rsidR="00575501" w:rsidRDefault="00575501" w:rsidP="00575501">
      <w:pPr>
        <w:pStyle w:val="Heading4"/>
      </w:pPr>
      <w:r>
        <w:t>Cash Flow Projection</w:t>
      </w:r>
    </w:p>
    <w:p w14:paraId="55A731A5" w14:textId="77777777" w:rsidR="00575501" w:rsidRDefault="00575501" w:rsidP="00575501">
      <w:pPr>
        <w:spacing w:after="240"/>
        <w:rPr>
          <w:szCs w:val="22"/>
        </w:rPr>
      </w:pPr>
      <w:bookmarkStart w:id="3" w:name="_Hlk91166169"/>
      <w:r w:rsidRPr="004B3D48">
        <w:rPr>
          <w:szCs w:val="22"/>
        </w:rPr>
        <w:t xml:space="preserve">As of December 31, 2022, </w:t>
      </w:r>
      <w:r>
        <w:rPr>
          <w:szCs w:val="22"/>
        </w:rPr>
        <w:t>T.I.M.E.</w:t>
      </w:r>
      <w:r w:rsidRPr="004B3D48">
        <w:rPr>
          <w:szCs w:val="22"/>
        </w:rPr>
        <w:t xml:space="preserve"> has a low ending cash balance of $14,189, representing only 3.6 days of operating cash based on </w:t>
      </w:r>
      <w:r>
        <w:rPr>
          <w:szCs w:val="22"/>
        </w:rPr>
        <w:t>T.I.M.E.</w:t>
      </w:r>
      <w:r w:rsidRPr="004B3D48">
        <w:rPr>
          <w:szCs w:val="22"/>
        </w:rPr>
        <w:t xml:space="preserve">’s first interim projections. </w:t>
      </w:r>
      <w:r>
        <w:rPr>
          <w:szCs w:val="22"/>
        </w:rPr>
        <w:t>T.I.M.E.</w:t>
      </w:r>
      <w:r w:rsidRPr="004B3D48">
        <w:rPr>
          <w:szCs w:val="22"/>
        </w:rPr>
        <w:t>’s November 2022 cash flow projection reflects positive ending cash balances for the remainder of the fiscal year, with a projected June 2023 ending cash balance of $52,352. The projection incorporated cash proceeds from the sales of future State Aid receivables totaling $586,400. The cash projection also includes facility sub-leasing cash receipts totaling $126,667 and S</w:t>
      </w:r>
      <w:r>
        <w:rPr>
          <w:szCs w:val="22"/>
        </w:rPr>
        <w:t xml:space="preserve">enate </w:t>
      </w:r>
      <w:r w:rsidRPr="004B3D48">
        <w:rPr>
          <w:szCs w:val="22"/>
        </w:rPr>
        <w:t>B</w:t>
      </w:r>
      <w:r>
        <w:rPr>
          <w:szCs w:val="22"/>
        </w:rPr>
        <w:t>ill</w:t>
      </w:r>
      <w:r w:rsidRPr="004B3D48">
        <w:rPr>
          <w:szCs w:val="22"/>
        </w:rPr>
        <w:t xml:space="preserve"> 740 </w:t>
      </w:r>
      <w:r>
        <w:rPr>
          <w:szCs w:val="22"/>
        </w:rPr>
        <w:t>g</w:t>
      </w:r>
      <w:r w:rsidRPr="004B3D48">
        <w:rPr>
          <w:szCs w:val="22"/>
        </w:rPr>
        <w:t xml:space="preserve">rant totaling $49,699. However, </w:t>
      </w:r>
      <w:r>
        <w:rPr>
          <w:szCs w:val="22"/>
        </w:rPr>
        <w:t>T.I.M.E.</w:t>
      </w:r>
      <w:r w:rsidRPr="004B3D48">
        <w:rPr>
          <w:szCs w:val="22"/>
        </w:rPr>
        <w:t xml:space="preserve">’s projected cash receipts appear to be overstated based on the two executed sub-lease agreements as of December 31, 2022. These two leases can potentially generate a combined monthly income of $6,570, lower by $10,097 compared to </w:t>
      </w:r>
      <w:r>
        <w:rPr>
          <w:szCs w:val="22"/>
        </w:rPr>
        <w:t>T.I.M.E.</w:t>
      </w:r>
      <w:r w:rsidRPr="004B3D48">
        <w:rPr>
          <w:szCs w:val="22"/>
        </w:rPr>
        <w:t xml:space="preserve">’s projected monthly cash receipts of $16,667. </w:t>
      </w:r>
      <w:r>
        <w:rPr>
          <w:szCs w:val="22"/>
        </w:rPr>
        <w:t>T.I.M.E.</w:t>
      </w:r>
      <w:r w:rsidRPr="004B3D48">
        <w:rPr>
          <w:szCs w:val="22"/>
        </w:rPr>
        <w:t>’s 2022</w:t>
      </w:r>
      <w:r>
        <w:rPr>
          <w:szCs w:val="22"/>
        </w:rPr>
        <w:t>–</w:t>
      </w:r>
      <w:r w:rsidRPr="004B3D48">
        <w:rPr>
          <w:szCs w:val="22"/>
        </w:rPr>
        <w:t xml:space="preserve">23 adopted budget projected sub-lease revenues totaling $247,500 but has revised that amount to $126,667, which is currently overstated. In addition, the budgeted SB 740 grant of $66,266 and projected cash receipts of $49,699 are also in question since </w:t>
      </w:r>
      <w:r>
        <w:rPr>
          <w:szCs w:val="22"/>
        </w:rPr>
        <w:t>T.I.M.E.</w:t>
      </w:r>
      <w:r w:rsidRPr="004B3D48">
        <w:rPr>
          <w:szCs w:val="22"/>
        </w:rPr>
        <w:t xml:space="preserve"> has not received an award letter for this grant. Further, </w:t>
      </w:r>
      <w:r>
        <w:rPr>
          <w:szCs w:val="22"/>
        </w:rPr>
        <w:t>T.I.M.E.</w:t>
      </w:r>
      <w:r w:rsidRPr="004B3D48">
        <w:rPr>
          <w:szCs w:val="22"/>
        </w:rPr>
        <w:t xml:space="preserve"> may incur additional loss of </w:t>
      </w:r>
      <w:r w:rsidRPr="004B3D48">
        <w:rPr>
          <w:szCs w:val="22"/>
        </w:rPr>
        <w:lastRenderedPageBreak/>
        <w:t xml:space="preserve">revenues in the current fiscal year should the current attendance decline, which could place an additional burden on </w:t>
      </w:r>
      <w:r>
        <w:rPr>
          <w:szCs w:val="22"/>
        </w:rPr>
        <w:t>T.I.M.E.</w:t>
      </w:r>
      <w:r w:rsidRPr="004B3D48">
        <w:rPr>
          <w:szCs w:val="22"/>
        </w:rPr>
        <w:t xml:space="preserve">’s cash requirements. </w:t>
      </w:r>
    </w:p>
    <w:p w14:paraId="0A286BA6" w14:textId="3A65AAE2" w:rsidR="00575501" w:rsidRDefault="00575501" w:rsidP="00575501">
      <w:pPr>
        <w:spacing w:after="240"/>
        <w:rPr>
          <w:szCs w:val="22"/>
        </w:rPr>
      </w:pPr>
      <w:r w:rsidRPr="00BF129C">
        <w:rPr>
          <w:szCs w:val="22"/>
        </w:rPr>
        <w:t>LACOE remains concerned that the cash projection continues to be overstated and that T</w:t>
      </w:r>
      <w:r>
        <w:rPr>
          <w:szCs w:val="22"/>
        </w:rPr>
        <w:t>.</w:t>
      </w:r>
      <w:r w:rsidRPr="00BF129C">
        <w:rPr>
          <w:szCs w:val="22"/>
        </w:rPr>
        <w:t>I</w:t>
      </w:r>
      <w:r>
        <w:rPr>
          <w:szCs w:val="22"/>
        </w:rPr>
        <w:t>.</w:t>
      </w:r>
      <w:r w:rsidRPr="00BF129C">
        <w:rPr>
          <w:szCs w:val="22"/>
        </w:rPr>
        <w:t>M</w:t>
      </w:r>
      <w:r>
        <w:rPr>
          <w:szCs w:val="22"/>
        </w:rPr>
        <w:t>.</w:t>
      </w:r>
      <w:r w:rsidRPr="00BF129C">
        <w:rPr>
          <w:szCs w:val="22"/>
        </w:rPr>
        <w:t>E</w:t>
      </w:r>
      <w:r>
        <w:rPr>
          <w:szCs w:val="22"/>
        </w:rPr>
        <w:t>.</w:t>
      </w:r>
      <w:r w:rsidRPr="00BF129C">
        <w:rPr>
          <w:szCs w:val="22"/>
        </w:rPr>
        <w:t xml:space="preserve"> may not be able to meet its financial obligations for the remainder of this fiscal year.</w:t>
      </w:r>
    </w:p>
    <w:bookmarkEnd w:id="3"/>
    <w:p w14:paraId="4BB67793" w14:textId="77777777" w:rsidR="00575501" w:rsidRDefault="004B4B8C" w:rsidP="00575501">
      <w:pPr>
        <w:pStyle w:val="Heading3"/>
        <w:rPr>
          <w:lang w:eastAsia="ja-JP"/>
        </w:rPr>
      </w:pPr>
      <w:r>
        <w:rPr>
          <w:lang w:eastAsia="ja-JP"/>
        </w:rPr>
        <w:t>Additional</w:t>
      </w:r>
      <w:r w:rsidR="00575501" w:rsidRPr="00227FF6">
        <w:rPr>
          <w:lang w:eastAsia="ja-JP"/>
        </w:rPr>
        <w:t xml:space="preserve"> Concern</w:t>
      </w:r>
    </w:p>
    <w:p w14:paraId="32162C0D" w14:textId="77777777" w:rsidR="00575501" w:rsidRPr="00BF129C" w:rsidRDefault="00575501" w:rsidP="00575501">
      <w:pPr>
        <w:pStyle w:val="Heading4"/>
        <w:rPr>
          <w:lang w:eastAsia="ja-JP"/>
        </w:rPr>
      </w:pPr>
      <w:r>
        <w:rPr>
          <w:lang w:eastAsia="ja-JP"/>
        </w:rPr>
        <w:t>Personal Loan to the School Executed Prior to T.I.M.E. Board Approval</w:t>
      </w:r>
    </w:p>
    <w:p w14:paraId="17A4CCE9" w14:textId="77777777" w:rsidR="00575501" w:rsidRDefault="00575501" w:rsidP="00575501">
      <w:pPr>
        <w:spacing w:after="240"/>
        <w:rPr>
          <w:lang w:eastAsia="ja-JP"/>
        </w:rPr>
      </w:pPr>
      <w:r>
        <w:rPr>
          <w:lang w:eastAsia="ja-JP"/>
        </w:rPr>
        <w:t>T.I.M.E.</w:t>
      </w:r>
      <w:r w:rsidRPr="006E4AE2">
        <w:rPr>
          <w:lang w:eastAsia="ja-JP"/>
        </w:rPr>
        <w:t xml:space="preserve">’s </w:t>
      </w:r>
      <w:r>
        <w:rPr>
          <w:lang w:eastAsia="ja-JP"/>
        </w:rPr>
        <w:t>B</w:t>
      </w:r>
      <w:r w:rsidRPr="006E4AE2">
        <w:rPr>
          <w:lang w:eastAsia="ja-JP"/>
        </w:rPr>
        <w:t>oard</w:t>
      </w:r>
      <w:r>
        <w:rPr>
          <w:lang w:eastAsia="ja-JP"/>
        </w:rPr>
        <w:t>-</w:t>
      </w:r>
      <w:r w:rsidRPr="006E4AE2">
        <w:rPr>
          <w:lang w:eastAsia="ja-JP"/>
        </w:rPr>
        <w:t xml:space="preserve">approved fiscal policies included in the charter petition state that the governing board will approve all loans from third parties. On January 31, 2023, LACOE received a promissory note for a loan to </w:t>
      </w:r>
      <w:r>
        <w:rPr>
          <w:lang w:eastAsia="ja-JP"/>
        </w:rPr>
        <w:t>T.I.M.E., which was</w:t>
      </w:r>
      <w:r w:rsidRPr="006E4AE2">
        <w:rPr>
          <w:lang w:eastAsia="ja-JP"/>
        </w:rPr>
        <w:t xml:space="preserve"> executed on January 12, 2023. LACOE staff contacted </w:t>
      </w:r>
      <w:r>
        <w:rPr>
          <w:lang w:eastAsia="ja-JP"/>
        </w:rPr>
        <w:t xml:space="preserve">T.I.M.E. </w:t>
      </w:r>
      <w:r w:rsidRPr="006E4AE2">
        <w:rPr>
          <w:lang w:eastAsia="ja-JP"/>
        </w:rPr>
        <w:t>to determine i</w:t>
      </w:r>
      <w:r>
        <w:rPr>
          <w:lang w:eastAsia="ja-JP"/>
        </w:rPr>
        <w:t>f T.I.M.E.’s</w:t>
      </w:r>
      <w:r w:rsidRPr="006E4AE2">
        <w:rPr>
          <w:lang w:eastAsia="ja-JP"/>
        </w:rPr>
        <w:t xml:space="preserve"> </w:t>
      </w:r>
      <w:r>
        <w:rPr>
          <w:lang w:eastAsia="ja-JP"/>
        </w:rPr>
        <w:t>Board</w:t>
      </w:r>
      <w:r w:rsidRPr="006E4AE2">
        <w:rPr>
          <w:lang w:eastAsia="ja-JP"/>
        </w:rPr>
        <w:t xml:space="preserve"> had approved the promissory note on or before January 12, 2023. </w:t>
      </w:r>
      <w:r>
        <w:rPr>
          <w:lang w:eastAsia="ja-JP"/>
        </w:rPr>
        <w:t>T.I.M.E.’s</w:t>
      </w:r>
      <w:r w:rsidRPr="006E4AE2">
        <w:rPr>
          <w:lang w:eastAsia="ja-JP"/>
        </w:rPr>
        <w:t xml:space="preserve"> executive director stated that </w:t>
      </w:r>
      <w:r>
        <w:rPr>
          <w:lang w:eastAsia="ja-JP"/>
        </w:rPr>
        <w:t>T.I.M.E.</w:t>
      </w:r>
      <w:r w:rsidRPr="006E4AE2">
        <w:rPr>
          <w:lang w:eastAsia="ja-JP"/>
        </w:rPr>
        <w:t>’s</w:t>
      </w:r>
      <w:r>
        <w:rPr>
          <w:lang w:eastAsia="ja-JP"/>
        </w:rPr>
        <w:t xml:space="preserve"> Board</w:t>
      </w:r>
      <w:r w:rsidRPr="006E4AE2">
        <w:rPr>
          <w:lang w:eastAsia="ja-JP"/>
        </w:rPr>
        <w:t xml:space="preserve"> approved the promissory note on January 31, 2023.</w:t>
      </w:r>
      <w:r>
        <w:rPr>
          <w:lang w:eastAsia="ja-JP"/>
        </w:rPr>
        <w:t xml:space="preserve"> The</w:t>
      </w:r>
      <w:r w:rsidRPr="006E4AE2">
        <w:rPr>
          <w:lang w:eastAsia="ja-JP"/>
        </w:rPr>
        <w:t xml:space="preserve"> T</w:t>
      </w:r>
      <w:r>
        <w:rPr>
          <w:lang w:eastAsia="ja-JP"/>
        </w:rPr>
        <w:t xml:space="preserve">.I.M.E. </w:t>
      </w:r>
      <w:r w:rsidRPr="006E4AE2">
        <w:rPr>
          <w:lang w:eastAsia="ja-JP"/>
        </w:rPr>
        <w:t xml:space="preserve">Board’s approval of the promissory note after it was executed is a direct violation of </w:t>
      </w:r>
      <w:r>
        <w:rPr>
          <w:lang w:eastAsia="ja-JP"/>
        </w:rPr>
        <w:t>T.I.M.E.</w:t>
      </w:r>
      <w:r w:rsidRPr="006E4AE2">
        <w:rPr>
          <w:lang w:eastAsia="ja-JP"/>
        </w:rPr>
        <w:t xml:space="preserve">’s adopted fiscal policies. The matter poses concerns regarding the internal controls and </w:t>
      </w:r>
      <w:r>
        <w:rPr>
          <w:lang w:eastAsia="ja-JP"/>
        </w:rPr>
        <w:t>T.I.M.E.</w:t>
      </w:r>
      <w:r w:rsidRPr="006E4AE2">
        <w:rPr>
          <w:lang w:eastAsia="ja-JP"/>
        </w:rPr>
        <w:t xml:space="preserve">’s adherence to the checks and balances delineated in its fiscal policies. This is also a direct violation of the MOU between </w:t>
      </w:r>
      <w:r>
        <w:rPr>
          <w:lang w:eastAsia="ja-JP"/>
        </w:rPr>
        <w:t>T.I.M.E.</w:t>
      </w:r>
      <w:r w:rsidRPr="006E4AE2">
        <w:rPr>
          <w:lang w:eastAsia="ja-JP"/>
        </w:rPr>
        <w:t xml:space="preserve"> and LACOE, which requires notification prior to the school incurring additional debt.</w:t>
      </w:r>
    </w:p>
    <w:p w14:paraId="2855C67C" w14:textId="77777777" w:rsidR="00575501" w:rsidRPr="006E4AE2" w:rsidRDefault="00575501" w:rsidP="00575501">
      <w:pPr>
        <w:spacing w:after="240"/>
        <w:rPr>
          <w:lang w:eastAsia="ja-JP"/>
        </w:rPr>
      </w:pPr>
      <w:r w:rsidRPr="006E4AE2">
        <w:rPr>
          <w:lang w:eastAsia="ja-JP"/>
        </w:rPr>
        <w:t xml:space="preserve">As of January 31, 2023, </w:t>
      </w:r>
      <w:r>
        <w:rPr>
          <w:lang w:eastAsia="ja-JP"/>
        </w:rPr>
        <w:t>T.I.M.E.</w:t>
      </w:r>
      <w:r w:rsidRPr="006E4AE2">
        <w:rPr>
          <w:lang w:eastAsia="ja-JP"/>
        </w:rPr>
        <w:t xml:space="preserve"> has outstanding promissory notes due to its executive director totaling $228,548, comprised of $219,444 in principal and $9,104 in accrued interests. In addition, there are also two other outstanding promissory notes totaling $120,000 due to two other individuals ($60,000 each). </w:t>
      </w:r>
      <w:r>
        <w:rPr>
          <w:lang w:eastAsia="ja-JP"/>
        </w:rPr>
        <w:t>T.I.M.E.</w:t>
      </w:r>
      <w:r w:rsidRPr="006E4AE2">
        <w:rPr>
          <w:lang w:eastAsia="ja-JP"/>
        </w:rPr>
        <w:t xml:space="preserve"> has not provided a plan to repay its outstanding debts.</w:t>
      </w:r>
    </w:p>
    <w:bookmarkEnd w:id="1"/>
    <w:p w14:paraId="7DAC5397" w14:textId="77777777" w:rsidR="009557AD" w:rsidRDefault="009557AD" w:rsidP="00524972">
      <w:pPr>
        <w:pStyle w:val="Heading3"/>
      </w:pPr>
      <w:r w:rsidRPr="00F93048">
        <w:t>Right to Respond to</w:t>
      </w:r>
      <w:r>
        <w:t xml:space="preserve"> Violation</w:t>
      </w:r>
    </w:p>
    <w:p w14:paraId="570FD22C" w14:textId="77777777" w:rsidR="009557AD" w:rsidRDefault="009557AD" w:rsidP="009557AD">
      <w:pPr>
        <w:pStyle w:val="NoSpacing"/>
        <w:spacing w:after="240"/>
      </w:pPr>
      <w:r>
        <w:t xml:space="preserve">Pursuant to </w:t>
      </w:r>
      <w:r w:rsidR="000B2363" w:rsidRPr="000B2363">
        <w:rPr>
          <w:i/>
        </w:rPr>
        <w:t>California Code of Regulations</w:t>
      </w:r>
      <w:r w:rsidR="000B2363">
        <w:t>, Title 5 (</w:t>
      </w:r>
      <w:r w:rsidRPr="00BE0EF8">
        <w:t>5</w:t>
      </w:r>
      <w:r>
        <w:rPr>
          <w:i/>
        </w:rPr>
        <w:t xml:space="preserve"> CCR</w:t>
      </w:r>
      <w:r w:rsidR="000B2363">
        <w:t>)</w:t>
      </w:r>
      <w:r w:rsidRPr="00BE0EF8">
        <w:t xml:space="preserve"> Section</w:t>
      </w:r>
      <w:r>
        <w:t xml:space="preserve"> 11968.5.2, the </w:t>
      </w:r>
      <w:r w:rsidR="00FA0F5C">
        <w:t>T.I.M.E.</w:t>
      </w:r>
      <w:r>
        <w:t xml:space="preserve"> Board has the right to respond to this communication through the following actions:</w:t>
      </w:r>
    </w:p>
    <w:p w14:paraId="14FEC7D1" w14:textId="1FBB9483" w:rsidR="009557AD" w:rsidRPr="00EC1D42" w:rsidRDefault="009557AD" w:rsidP="009557AD">
      <w:pPr>
        <w:pStyle w:val="NoSpacing"/>
        <w:numPr>
          <w:ilvl w:val="0"/>
          <w:numId w:val="3"/>
        </w:numPr>
        <w:spacing w:after="240"/>
      </w:pPr>
      <w:r>
        <w:t xml:space="preserve">Submit to the SBE a detailed, written response addressing each identified violation which shall include the refutation, remedial action taken, or proposed remedial action by the charter school specific to each alleged violation. The written response is due </w:t>
      </w:r>
      <w:r w:rsidRPr="00EC1D42">
        <w:t xml:space="preserve">by </w:t>
      </w:r>
      <w:r w:rsidRPr="00EC1D42">
        <w:rPr>
          <w:b/>
        </w:rPr>
        <w:t xml:space="preserve">5 p.m. on </w:t>
      </w:r>
      <w:r w:rsidR="00713970">
        <w:rPr>
          <w:b/>
        </w:rPr>
        <w:t>Thursday</w:t>
      </w:r>
      <w:r w:rsidR="00493BFF" w:rsidRPr="00EC1D42">
        <w:rPr>
          <w:b/>
        </w:rPr>
        <w:t xml:space="preserve">, </w:t>
      </w:r>
      <w:r w:rsidR="00713970">
        <w:rPr>
          <w:b/>
        </w:rPr>
        <w:t xml:space="preserve">March </w:t>
      </w:r>
      <w:r w:rsidR="007B6C0F">
        <w:rPr>
          <w:b/>
        </w:rPr>
        <w:t>23</w:t>
      </w:r>
      <w:r w:rsidR="00493BFF" w:rsidRPr="00EC1D42">
        <w:rPr>
          <w:b/>
        </w:rPr>
        <w:t>, 20</w:t>
      </w:r>
      <w:r w:rsidR="00FA0F5C">
        <w:rPr>
          <w:b/>
        </w:rPr>
        <w:t>23</w:t>
      </w:r>
      <w:r w:rsidRPr="00EC1D42">
        <w:t xml:space="preserve">. </w:t>
      </w:r>
    </w:p>
    <w:p w14:paraId="0D444AA3" w14:textId="77777777" w:rsidR="009557AD" w:rsidRPr="00EC1D42" w:rsidRDefault="009557AD" w:rsidP="009557AD">
      <w:pPr>
        <w:pStyle w:val="NoSpacing"/>
        <w:numPr>
          <w:ilvl w:val="0"/>
          <w:numId w:val="3"/>
        </w:numPr>
        <w:spacing w:after="240"/>
      </w:pPr>
      <w:r w:rsidRPr="00EC1D42">
        <w:t xml:space="preserve">Attach to its written response supporting evidence of the refutation, remedial action, or proposed remedial action, if any, including written reports, statements, and other appropriate documentation. </w:t>
      </w:r>
    </w:p>
    <w:p w14:paraId="0FEFFB0D" w14:textId="77777777" w:rsidR="009557AD" w:rsidRPr="00EC1D42" w:rsidRDefault="009557AD" w:rsidP="009557AD">
      <w:pPr>
        <w:pStyle w:val="NoSpacing"/>
        <w:spacing w:after="240"/>
      </w:pPr>
      <w:r w:rsidRPr="00EC1D42">
        <w:lastRenderedPageBreak/>
        <w:t xml:space="preserve">Failure to provide substantial evidence that refutes, remedies, or proposes to remedy the alleged violations may provide grounds sufficient to form the basis for an action to revoke the </w:t>
      </w:r>
      <w:r w:rsidR="00FA0F5C">
        <w:t>T.I.M.E.</w:t>
      </w:r>
      <w:r w:rsidRPr="00EC1D42">
        <w:t xml:space="preserve"> charter</w:t>
      </w:r>
      <w:r w:rsidR="000B2363">
        <w:t>,</w:t>
      </w:r>
      <w:r w:rsidRPr="00EC1D42">
        <w:t xml:space="preserve"> pursuant to </w:t>
      </w:r>
      <w:r w:rsidRPr="00EC1D42">
        <w:rPr>
          <w:i/>
        </w:rPr>
        <w:t>EC</w:t>
      </w:r>
      <w:r w:rsidRPr="00EC1D42">
        <w:t xml:space="preserve"> Section 47607(f). </w:t>
      </w:r>
    </w:p>
    <w:p w14:paraId="047EDF2B" w14:textId="46F4A04C" w:rsidR="009557AD" w:rsidRPr="00EC1D42" w:rsidRDefault="009557AD" w:rsidP="009557AD">
      <w:pPr>
        <w:pStyle w:val="NoSpacing"/>
        <w:spacing w:after="240"/>
      </w:pPr>
      <w:r w:rsidRPr="00EC1D42">
        <w:t xml:space="preserve">On </w:t>
      </w:r>
      <w:r w:rsidR="00FA0F5C">
        <w:t>April 18, 2023</w:t>
      </w:r>
      <w:r w:rsidRPr="00EC1D42">
        <w:t xml:space="preserve">, </w:t>
      </w:r>
      <w:r w:rsidR="00FA0F5C">
        <w:t>T.I.M.E.</w:t>
      </w:r>
      <w:r w:rsidRPr="00EC1D42">
        <w:t xml:space="preserve"> will have an opportunity to present its evidence to refute or remedy each alleged violation to the Advisory Commission on Charter Schools (ACCS). The ACCS will review the evidence and discuss the items in a public forum</w:t>
      </w:r>
      <w:r w:rsidR="000B2363">
        <w:t>,</w:t>
      </w:r>
      <w:r w:rsidRPr="00EC1D42">
        <w:t xml:space="preserve"> and</w:t>
      </w:r>
      <w:r w:rsidR="00F85938">
        <w:t xml:space="preserve"> </w:t>
      </w:r>
      <w:r w:rsidR="00713970">
        <w:t>may</w:t>
      </w:r>
      <w:r w:rsidR="00F85938">
        <w:t xml:space="preserve"> make a recommendation</w:t>
      </w:r>
      <w:r w:rsidRPr="00EC1D42">
        <w:t xml:space="preserve"> to the SBE.</w:t>
      </w:r>
    </w:p>
    <w:p w14:paraId="12442601" w14:textId="77777777" w:rsidR="009557AD" w:rsidRPr="00EC1D42" w:rsidRDefault="009557AD" w:rsidP="009557AD">
      <w:pPr>
        <w:pStyle w:val="NoSpacing"/>
        <w:spacing w:after="240"/>
      </w:pPr>
      <w:r w:rsidRPr="00EC1D42">
        <w:t xml:space="preserve">On </w:t>
      </w:r>
      <w:r w:rsidR="00FA0F5C">
        <w:t>May 17, 2023</w:t>
      </w:r>
      <w:r w:rsidRPr="00EC1D42">
        <w:t xml:space="preserve">, the SBE, in a public hearing, will consider whether there is substantial evidence to refute or remedy each alleged violation, at which time it may issue a Notice of Intent to Revoke, pursuant to </w:t>
      </w:r>
      <w:r w:rsidRPr="00EC1D42">
        <w:rPr>
          <w:i/>
        </w:rPr>
        <w:t>EC</w:t>
      </w:r>
      <w:r w:rsidRPr="00EC1D42">
        <w:t xml:space="preserve"> Section 47607(h). If the SBE issues a Notice of Intent to Revoke, the SBE will hold a public hearing on </w:t>
      </w:r>
      <w:r w:rsidR="00FA0F5C">
        <w:t>May 18, 2023</w:t>
      </w:r>
      <w:r w:rsidRPr="00EC1D42">
        <w:t xml:space="preserve">, at which time the SBE will determine whether sufficient evidence exists to revoke </w:t>
      </w:r>
      <w:r w:rsidR="00FA0F5C">
        <w:t>T.I.M.E.</w:t>
      </w:r>
      <w:r w:rsidR="007D422F" w:rsidRPr="00EC1D42">
        <w:t>’</w:t>
      </w:r>
      <w:r w:rsidR="00FA0F5C">
        <w:t>s</w:t>
      </w:r>
      <w:r w:rsidRPr="00EC1D42">
        <w:t xml:space="preserve"> charter.</w:t>
      </w:r>
    </w:p>
    <w:p w14:paraId="5B729C60" w14:textId="77777777" w:rsidR="009557AD" w:rsidRPr="00EC1D42" w:rsidRDefault="009557AD" w:rsidP="009557AD">
      <w:pPr>
        <w:pStyle w:val="NoSpacing"/>
        <w:spacing w:after="240"/>
      </w:pPr>
      <w:r w:rsidRPr="00EC1D42">
        <w:t xml:space="preserve">This letter serves as a formal Notice of Violation, pursuant to </w:t>
      </w:r>
      <w:r w:rsidRPr="00EC1D42">
        <w:rPr>
          <w:i/>
        </w:rPr>
        <w:t>EC</w:t>
      </w:r>
      <w:r w:rsidRPr="00EC1D42">
        <w:t xml:space="preserve"> Section 47607(g) and 5 </w:t>
      </w:r>
      <w:r w:rsidRPr="00EC1D42">
        <w:rPr>
          <w:i/>
        </w:rPr>
        <w:t>CCR</w:t>
      </w:r>
      <w:r w:rsidRPr="00EC1D42">
        <w:t xml:space="preserve"> Section 11968.5.2, and provides </w:t>
      </w:r>
      <w:r w:rsidR="00FA0F5C">
        <w:t>T.I.M.E.</w:t>
      </w:r>
      <w:r w:rsidRPr="00EC1D42">
        <w:t xml:space="preserve"> a reasonable period in which to address these concerns.</w:t>
      </w:r>
    </w:p>
    <w:p w14:paraId="56E5E890" w14:textId="28A3D4A8" w:rsidR="009557AD" w:rsidRPr="00EC1D42" w:rsidRDefault="009557AD" w:rsidP="009557AD">
      <w:pPr>
        <w:pStyle w:val="NoSpacing"/>
        <w:spacing w:after="240"/>
      </w:pPr>
      <w:r w:rsidRPr="00EC1D42">
        <w:t xml:space="preserve">A written response and supporting evidence addressing each of the above-outlined issues must be received by </w:t>
      </w:r>
      <w:r w:rsidR="00DB2D9F" w:rsidRPr="00EC1D42">
        <w:t>LACOE</w:t>
      </w:r>
      <w:r w:rsidRPr="00EC1D42">
        <w:t xml:space="preserve"> </w:t>
      </w:r>
      <w:r w:rsidR="00435236">
        <w:t xml:space="preserve">and the CDE </w:t>
      </w:r>
      <w:r w:rsidRPr="00EC1D42">
        <w:t xml:space="preserve">by </w:t>
      </w:r>
      <w:r w:rsidRPr="00EC1D42">
        <w:rPr>
          <w:b/>
        </w:rPr>
        <w:t xml:space="preserve">5 p.m. on </w:t>
      </w:r>
      <w:r w:rsidR="00713970">
        <w:rPr>
          <w:b/>
        </w:rPr>
        <w:t xml:space="preserve">Thursday, March </w:t>
      </w:r>
      <w:r w:rsidR="007B6C0F">
        <w:rPr>
          <w:b/>
        </w:rPr>
        <w:t>23</w:t>
      </w:r>
      <w:r w:rsidR="00FA0F5C">
        <w:rPr>
          <w:b/>
        </w:rPr>
        <w:t>, 2023</w:t>
      </w:r>
      <w:r w:rsidR="00493BFF" w:rsidRPr="00EC1D42">
        <w:t>,</w:t>
      </w:r>
      <w:r w:rsidRPr="00EC1D42">
        <w:rPr>
          <w:b/>
        </w:rPr>
        <w:t xml:space="preserve"> </w:t>
      </w:r>
      <w:r w:rsidRPr="00EC1D42">
        <w:t xml:space="preserve">via email at </w:t>
      </w:r>
      <w:hyperlink r:id="rId8" w:history="1">
        <w:r w:rsidR="00435236" w:rsidRPr="004340FA">
          <w:rPr>
            <w:rStyle w:val="Hyperlink"/>
          </w:rPr>
          <w:t>ciccarelli_indra@lacoe.edu</w:t>
        </w:r>
      </w:hyperlink>
      <w:r w:rsidR="00435236">
        <w:rPr>
          <w:rStyle w:val="Hyperlink"/>
          <w:color w:val="auto"/>
          <w:u w:val="none"/>
        </w:rPr>
        <w:t xml:space="preserve"> </w:t>
      </w:r>
      <w:r w:rsidR="00435236" w:rsidRPr="00435236">
        <w:rPr>
          <w:rStyle w:val="Hyperlink"/>
          <w:b/>
          <w:color w:val="auto"/>
          <w:u w:val="none"/>
        </w:rPr>
        <w:t xml:space="preserve">and </w:t>
      </w:r>
      <w:hyperlink r:id="rId9" w:history="1">
        <w:r w:rsidR="00435236" w:rsidRPr="004340FA">
          <w:rPr>
            <w:rStyle w:val="Hyperlink"/>
          </w:rPr>
          <w:t>sbeoversight@cde.ca.gov</w:t>
        </w:r>
      </w:hyperlink>
      <w:r w:rsidR="007D422F" w:rsidRPr="00435236">
        <w:rPr>
          <w:rStyle w:val="Hyperlink"/>
          <w:color w:val="auto"/>
          <w:u w:val="none"/>
        </w:rPr>
        <w:t>.</w:t>
      </w:r>
      <w:r w:rsidRPr="00435236">
        <w:rPr>
          <w:color w:val="auto"/>
        </w:rPr>
        <w:t xml:space="preserve"> </w:t>
      </w:r>
    </w:p>
    <w:p w14:paraId="4D17C669" w14:textId="77777777" w:rsidR="009557AD" w:rsidRDefault="009557AD" w:rsidP="009557AD">
      <w:pPr>
        <w:pStyle w:val="NoSpacing"/>
        <w:spacing w:after="240"/>
      </w:pPr>
      <w:r w:rsidRPr="00EC1D42">
        <w:t xml:space="preserve">If you have any questions regarding this subject, please contact </w:t>
      </w:r>
      <w:r w:rsidR="00DB2D9F" w:rsidRPr="00EC1D42">
        <w:t>Indra Ciccarelli</w:t>
      </w:r>
      <w:r w:rsidRPr="00EC1D42">
        <w:t>, Director,</w:t>
      </w:r>
      <w:r w:rsidR="000B2363">
        <w:t xml:space="preserve"> LACOE</w:t>
      </w:r>
      <w:r w:rsidRPr="00EC1D42">
        <w:t xml:space="preserve"> Charter Schools </w:t>
      </w:r>
      <w:r w:rsidR="00DB2D9F" w:rsidRPr="00EC1D42">
        <w:t>Office</w:t>
      </w:r>
      <w:r w:rsidR="000B2363">
        <w:t xml:space="preserve"> </w:t>
      </w:r>
      <w:r w:rsidRPr="00EC1D42">
        <w:t>b</w:t>
      </w:r>
      <w:r w:rsidR="00DB2D9F" w:rsidRPr="00EC1D42">
        <w:t xml:space="preserve">y email at </w:t>
      </w:r>
      <w:hyperlink r:id="rId10" w:history="1">
        <w:r w:rsidR="00DB2D9F" w:rsidRPr="00EC1D42">
          <w:rPr>
            <w:rStyle w:val="Hyperlink"/>
          </w:rPr>
          <w:t>ciccarelli_indra@lacoe.edu</w:t>
        </w:r>
      </w:hyperlink>
      <w:r w:rsidR="00435236">
        <w:t xml:space="preserve"> or Stephanie Farland, Director, </w:t>
      </w:r>
      <w:r w:rsidR="000B2363">
        <w:t xml:space="preserve">CDE </w:t>
      </w:r>
      <w:r w:rsidR="00435236">
        <w:t xml:space="preserve">Charter Schools Division by email at </w:t>
      </w:r>
      <w:hyperlink r:id="rId11" w:history="1">
        <w:r w:rsidR="00435236" w:rsidRPr="004340FA">
          <w:rPr>
            <w:rStyle w:val="Hyperlink"/>
          </w:rPr>
          <w:t>sfarland@cde.ca.gov</w:t>
        </w:r>
      </w:hyperlink>
      <w:r w:rsidR="00435236">
        <w:t xml:space="preserve">. </w:t>
      </w:r>
      <w:r w:rsidR="00DB2D9F">
        <w:t xml:space="preserve"> </w:t>
      </w:r>
    </w:p>
    <w:p w14:paraId="24238BC7" w14:textId="77777777" w:rsidR="009557AD" w:rsidRDefault="009557AD" w:rsidP="009557AD">
      <w:pPr>
        <w:pStyle w:val="NoSpacing"/>
        <w:spacing w:after="240"/>
      </w:pPr>
      <w:r>
        <w:t>Sincerely,</w:t>
      </w:r>
    </w:p>
    <w:p w14:paraId="02B61EC6" w14:textId="77777777" w:rsidR="009557AD" w:rsidRPr="00B15FC9" w:rsidRDefault="009557AD" w:rsidP="009557AD">
      <w:pPr>
        <w:pStyle w:val="NoSpacing"/>
        <w:spacing w:after="240"/>
      </w:pPr>
      <w:r w:rsidRPr="00B15FC9">
        <w:t>/s/</w:t>
      </w:r>
    </w:p>
    <w:p w14:paraId="1FC73E5D" w14:textId="77777777" w:rsidR="009557AD" w:rsidRPr="00B15FC9" w:rsidRDefault="009557AD" w:rsidP="009557AD">
      <w:pPr>
        <w:pStyle w:val="NoSpacing"/>
        <w:spacing w:after="240"/>
      </w:pPr>
      <w:r w:rsidRPr="00B15FC9">
        <w:t>Dr. Linda Darling-Hammond, President</w:t>
      </w:r>
      <w:r w:rsidRPr="00B15FC9">
        <w:br/>
        <w:t>California State Board of Education</w:t>
      </w:r>
    </w:p>
    <w:p w14:paraId="39B0449D" w14:textId="77777777" w:rsidR="009557AD" w:rsidRPr="00B15FC9" w:rsidRDefault="009557AD" w:rsidP="009557AD">
      <w:pPr>
        <w:pStyle w:val="NoSpacing"/>
        <w:spacing w:before="240" w:after="240"/>
      </w:pPr>
      <w:proofErr w:type="spellStart"/>
      <w:r w:rsidRPr="00B15FC9">
        <w:t>LDH:</w:t>
      </w:r>
      <w:r w:rsidR="007D422F" w:rsidRPr="00B15FC9">
        <w:t>mh</w:t>
      </w:r>
      <w:proofErr w:type="spellEnd"/>
    </w:p>
    <w:p w14:paraId="3A4508D0" w14:textId="77777777" w:rsidR="009557AD" w:rsidRPr="00B15FC9" w:rsidRDefault="009557AD" w:rsidP="009557AD">
      <w:pPr>
        <w:pStyle w:val="NoSpacing"/>
      </w:pPr>
      <w:r w:rsidRPr="00B15FC9">
        <w:t>cc:</w:t>
      </w:r>
      <w:r w:rsidRPr="00B15FC9">
        <w:tab/>
        <w:t xml:space="preserve">Brooks Allen, Executive Director, California State Board of Education </w:t>
      </w:r>
    </w:p>
    <w:p w14:paraId="056FDBDF" w14:textId="77777777" w:rsidR="009557AD" w:rsidRPr="007D422F" w:rsidRDefault="00FA0F5C" w:rsidP="009557AD">
      <w:pPr>
        <w:pStyle w:val="NoSpacing"/>
        <w:ind w:left="1440" w:hanging="720"/>
      </w:pPr>
      <w:r>
        <w:t>Virginia Jo Dunlap</w:t>
      </w:r>
      <w:r w:rsidR="009557AD" w:rsidRPr="00B15FC9">
        <w:t xml:space="preserve">, </w:t>
      </w:r>
      <w:r>
        <w:t xml:space="preserve">Interim </w:t>
      </w:r>
      <w:r w:rsidR="007D422F" w:rsidRPr="00B15FC9">
        <w:t xml:space="preserve">General Counsel, </w:t>
      </w:r>
      <w:r w:rsidR="009557AD" w:rsidRPr="00B15FC9">
        <w:t>California Department of Education</w:t>
      </w:r>
    </w:p>
    <w:p w14:paraId="2F52B85A" w14:textId="77777777" w:rsidR="009557AD" w:rsidRDefault="009557AD" w:rsidP="009557AD">
      <w:pPr>
        <w:pStyle w:val="NoSpacing"/>
        <w:ind w:left="1440" w:hanging="720"/>
      </w:pPr>
      <w:r>
        <w:t>Stephanie Farland, Director, Charter Schools Division, California Department of Education</w:t>
      </w:r>
    </w:p>
    <w:p w14:paraId="13773355" w14:textId="77777777" w:rsidR="00896239" w:rsidRDefault="00435236" w:rsidP="009557AD">
      <w:pPr>
        <w:pStyle w:val="NoSpacing"/>
        <w:ind w:left="1440" w:hanging="720"/>
      </w:pPr>
      <w:r>
        <w:t>Indra Ciccarelli, Director, Charter Schools Office, Los Angeles County Office of Education</w:t>
      </w:r>
    </w:p>
    <w:p w14:paraId="5EF9072A" w14:textId="77777777" w:rsidR="00896239" w:rsidRDefault="00896239" w:rsidP="00896239">
      <w:pPr>
        <w:rPr>
          <w:rFonts w:eastAsia="Arial" w:cs="Arial"/>
          <w:color w:val="000000"/>
          <w:szCs w:val="24"/>
        </w:rPr>
      </w:pPr>
      <w:r>
        <w:br w:type="page"/>
      </w:r>
    </w:p>
    <w:p w14:paraId="1294B472" w14:textId="77777777" w:rsidR="009557AD" w:rsidRDefault="009557AD" w:rsidP="009557AD">
      <w:pPr>
        <w:pStyle w:val="NoSpacing"/>
        <w:spacing w:before="240"/>
        <w:rPr>
          <w:i/>
        </w:rPr>
      </w:pPr>
      <w:r w:rsidRPr="002B3CD2">
        <w:rPr>
          <w:i/>
        </w:rPr>
        <w:lastRenderedPageBreak/>
        <w:t>Sent via First Class Mail and Email to:</w:t>
      </w:r>
    </w:p>
    <w:p w14:paraId="6DDB3940" w14:textId="77777777" w:rsidR="007D422F" w:rsidRPr="007D422F" w:rsidRDefault="00000000" w:rsidP="007D422F">
      <w:pPr>
        <w:ind w:firstLine="720"/>
        <w:rPr>
          <w:rFonts w:ascii="Times New Roman" w:hAnsi="Times New Roman"/>
          <w:szCs w:val="22"/>
        </w:rPr>
      </w:pPr>
      <w:hyperlink r:id="rId12" w:history="1">
        <w:r w:rsidR="007D422F" w:rsidRPr="00A176A4">
          <w:rPr>
            <w:rStyle w:val="Hyperlink"/>
            <w:szCs w:val="22"/>
          </w:rPr>
          <w:t>lbrown@timecommunityschools.org</w:t>
        </w:r>
      </w:hyperlink>
      <w:r w:rsidR="007D422F">
        <w:rPr>
          <w:szCs w:val="22"/>
        </w:rPr>
        <w:t xml:space="preserve"> </w:t>
      </w:r>
    </w:p>
    <w:p w14:paraId="0E30432A" w14:textId="77777777" w:rsidR="00432669" w:rsidRPr="00ED1667" w:rsidRDefault="00000000" w:rsidP="00ED1667">
      <w:pPr>
        <w:ind w:firstLine="720"/>
        <w:rPr>
          <w:szCs w:val="22"/>
        </w:rPr>
      </w:pPr>
      <w:hyperlink r:id="rId13" w:history="1">
        <w:r w:rsidR="007D422F" w:rsidRPr="00A176A4">
          <w:rPr>
            <w:rStyle w:val="Hyperlink"/>
            <w:szCs w:val="22"/>
          </w:rPr>
          <w:t>gramirez@timecommunityschools.org</w:t>
        </w:r>
      </w:hyperlink>
      <w:r w:rsidR="007D422F">
        <w:rPr>
          <w:szCs w:val="22"/>
        </w:rPr>
        <w:t xml:space="preserve"> </w:t>
      </w:r>
    </w:p>
    <w:sectPr w:rsidR="00432669" w:rsidRPr="00ED1667" w:rsidSect="00435C03">
      <w:headerReference w:type="even" r:id="rId14"/>
      <w:head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051A" w14:textId="77777777" w:rsidR="009E1FE7" w:rsidRDefault="009E1FE7">
      <w:r>
        <w:separator/>
      </w:r>
    </w:p>
  </w:endnote>
  <w:endnote w:type="continuationSeparator" w:id="0">
    <w:p w14:paraId="0939842C" w14:textId="77777777" w:rsidR="009E1FE7" w:rsidRDefault="009E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D440" w14:textId="77777777" w:rsidR="005649DB" w:rsidRPr="00592CD1" w:rsidRDefault="005649DB">
    <w:pPr>
      <w:pStyle w:val="Footer"/>
      <w:rPr>
        <w:rFonts w:cs="Arial"/>
      </w:rPr>
    </w:pPr>
    <w:r>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CD03" w14:textId="77777777" w:rsidR="009E1FE7" w:rsidRDefault="009E1FE7">
      <w:r>
        <w:separator/>
      </w:r>
    </w:p>
  </w:footnote>
  <w:footnote w:type="continuationSeparator" w:id="0">
    <w:p w14:paraId="3A7B22CE" w14:textId="77777777" w:rsidR="009E1FE7" w:rsidRDefault="009E1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2080" w14:textId="77777777" w:rsidR="005649DB" w:rsidRDefault="005649DB" w:rsidP="004829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01B083" w14:textId="77777777" w:rsidR="005649DB" w:rsidRDefault="005649DB" w:rsidP="00CF20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023180"/>
      <w:docPartObj>
        <w:docPartGallery w:val="Page Numbers (Top of Page)"/>
        <w:docPartUnique/>
      </w:docPartObj>
    </w:sdtPr>
    <w:sdtContent>
      <w:p w14:paraId="744E0A43" w14:textId="2DF62AD3" w:rsidR="00435C03" w:rsidRPr="00435C03" w:rsidRDefault="00575501" w:rsidP="00435C03">
        <w:pPr>
          <w:pStyle w:val="Header"/>
          <w:tabs>
            <w:tab w:val="clear" w:pos="8640"/>
            <w:tab w:val="right" w:pos="9360"/>
          </w:tabs>
          <w:jc w:val="right"/>
          <w:rPr>
            <w:rFonts w:cs="Arial"/>
          </w:rPr>
        </w:pPr>
        <w:r>
          <w:t>l</w:t>
        </w:r>
        <w:r w:rsidR="00435C03" w:rsidRPr="00435C03">
          <w:rPr>
            <w:rFonts w:cs="Arial"/>
          </w:rPr>
          <w:t>ab-csd-</w:t>
        </w:r>
        <w:r>
          <w:rPr>
            <w:rFonts w:cs="Arial"/>
          </w:rPr>
          <w:t>mar23</w:t>
        </w:r>
        <w:r w:rsidR="00435C03" w:rsidRPr="00435C03">
          <w:rPr>
            <w:rFonts w:cs="Arial"/>
          </w:rPr>
          <w:t>item</w:t>
        </w:r>
        <w:r w:rsidR="001D3ADD">
          <w:rPr>
            <w:rFonts w:cs="Arial"/>
          </w:rPr>
          <w:t>10</w:t>
        </w:r>
      </w:p>
      <w:p w14:paraId="70ECA366" w14:textId="77777777" w:rsidR="00435C03" w:rsidRPr="00435C03" w:rsidRDefault="00435C03" w:rsidP="00435C03">
        <w:pPr>
          <w:pStyle w:val="Header"/>
          <w:jc w:val="right"/>
          <w:rPr>
            <w:rFonts w:cs="Arial"/>
          </w:rPr>
        </w:pPr>
        <w:r w:rsidRPr="00435C03">
          <w:rPr>
            <w:rFonts w:cs="Arial"/>
          </w:rPr>
          <w:t>Attachment 1</w:t>
        </w:r>
      </w:p>
      <w:p w14:paraId="41457205" w14:textId="77777777" w:rsidR="005649DB" w:rsidRPr="00435C03" w:rsidRDefault="00435C03" w:rsidP="00435C03">
        <w:pPr>
          <w:pStyle w:val="Header"/>
          <w:spacing w:after="240"/>
          <w:jc w:val="right"/>
        </w:pPr>
        <w:r w:rsidRPr="00435C03">
          <w:rPr>
            <w:rFonts w:cs="Arial"/>
          </w:rPr>
          <w:t xml:space="preserve">Page </w:t>
        </w:r>
        <w:r w:rsidRPr="00435C03">
          <w:rPr>
            <w:rFonts w:cs="Arial"/>
            <w:bCs/>
            <w:szCs w:val="24"/>
          </w:rPr>
          <w:fldChar w:fldCharType="begin"/>
        </w:r>
        <w:r w:rsidRPr="00435C03">
          <w:rPr>
            <w:rFonts w:cs="Arial"/>
            <w:bCs/>
          </w:rPr>
          <w:instrText xml:space="preserve"> PAGE </w:instrText>
        </w:r>
        <w:r w:rsidRPr="00435C03">
          <w:rPr>
            <w:rFonts w:cs="Arial"/>
            <w:bCs/>
            <w:szCs w:val="24"/>
          </w:rPr>
          <w:fldChar w:fldCharType="separate"/>
        </w:r>
        <w:r>
          <w:rPr>
            <w:rFonts w:cs="Arial"/>
            <w:bCs/>
            <w:szCs w:val="24"/>
          </w:rPr>
          <w:t>1</w:t>
        </w:r>
        <w:r w:rsidRPr="00435C03">
          <w:rPr>
            <w:rFonts w:cs="Arial"/>
            <w:bCs/>
            <w:szCs w:val="24"/>
          </w:rPr>
          <w:fldChar w:fldCharType="end"/>
        </w:r>
        <w:r w:rsidRPr="00435C03">
          <w:rPr>
            <w:rFonts w:cs="Arial"/>
          </w:rPr>
          <w:t xml:space="preserve"> of </w:t>
        </w:r>
        <w:r w:rsidRPr="00435C03">
          <w:rPr>
            <w:rFonts w:cs="Arial"/>
            <w:bCs/>
            <w:szCs w:val="24"/>
          </w:rPr>
          <w:fldChar w:fldCharType="begin"/>
        </w:r>
        <w:r w:rsidRPr="00435C03">
          <w:rPr>
            <w:rFonts w:cs="Arial"/>
            <w:bCs/>
          </w:rPr>
          <w:instrText xml:space="preserve"> NUMPAGES  </w:instrText>
        </w:r>
        <w:r w:rsidRPr="00435C03">
          <w:rPr>
            <w:rFonts w:cs="Arial"/>
            <w:bCs/>
            <w:szCs w:val="24"/>
          </w:rPr>
          <w:fldChar w:fldCharType="separate"/>
        </w:r>
        <w:r>
          <w:rPr>
            <w:rFonts w:cs="Arial"/>
            <w:bCs/>
            <w:szCs w:val="24"/>
          </w:rPr>
          <w:t>8</w:t>
        </w:r>
        <w:r w:rsidRPr="00435C03">
          <w:rPr>
            <w:rFonts w:cs="Arial"/>
            <w:bCs/>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08154358" w14:textId="77777777" w:rsidR="00435C03" w:rsidRPr="00435C03" w:rsidRDefault="00435C03" w:rsidP="00435C03">
        <w:pPr>
          <w:pStyle w:val="Header"/>
          <w:jc w:val="right"/>
          <w:rPr>
            <w:rFonts w:cs="Arial"/>
          </w:rPr>
        </w:pPr>
        <w:r>
          <w:rPr>
            <w:rFonts w:cs="Arial"/>
          </w:rPr>
          <w:t>o</w:t>
        </w:r>
        <w:r w:rsidRPr="00435C03">
          <w:rPr>
            <w:rFonts w:cs="Arial"/>
          </w:rPr>
          <w:t>ab-csd-jan22item04</w:t>
        </w:r>
      </w:p>
      <w:p w14:paraId="32C53041" w14:textId="77777777" w:rsidR="00435C03" w:rsidRPr="00435C03" w:rsidRDefault="00435C03" w:rsidP="00435C03">
        <w:pPr>
          <w:pStyle w:val="Header"/>
          <w:jc w:val="right"/>
          <w:rPr>
            <w:rFonts w:cs="Arial"/>
          </w:rPr>
        </w:pPr>
        <w:r w:rsidRPr="00435C03">
          <w:rPr>
            <w:rFonts w:cs="Arial"/>
          </w:rPr>
          <w:t>Attachment 1</w:t>
        </w:r>
      </w:p>
      <w:p w14:paraId="51D90AAC" w14:textId="77777777" w:rsidR="00435C03" w:rsidRDefault="00435C03" w:rsidP="00435C03">
        <w:pPr>
          <w:pStyle w:val="Header"/>
          <w:spacing w:after="240"/>
          <w:jc w:val="right"/>
        </w:pPr>
        <w:r w:rsidRPr="00435C03">
          <w:rPr>
            <w:rFonts w:cs="Arial"/>
          </w:rPr>
          <w:t xml:space="preserve">Page </w:t>
        </w:r>
        <w:r w:rsidRPr="00435C03">
          <w:rPr>
            <w:rFonts w:cs="Arial"/>
            <w:bCs/>
            <w:szCs w:val="24"/>
          </w:rPr>
          <w:fldChar w:fldCharType="begin"/>
        </w:r>
        <w:r w:rsidRPr="00435C03">
          <w:rPr>
            <w:rFonts w:cs="Arial"/>
            <w:bCs/>
          </w:rPr>
          <w:instrText xml:space="preserve"> PAGE </w:instrText>
        </w:r>
        <w:r w:rsidRPr="00435C03">
          <w:rPr>
            <w:rFonts w:cs="Arial"/>
            <w:bCs/>
            <w:szCs w:val="24"/>
          </w:rPr>
          <w:fldChar w:fldCharType="separate"/>
        </w:r>
        <w:r w:rsidRPr="00435C03">
          <w:rPr>
            <w:rFonts w:cs="Arial"/>
            <w:bCs/>
            <w:noProof/>
          </w:rPr>
          <w:t>2</w:t>
        </w:r>
        <w:r w:rsidRPr="00435C03">
          <w:rPr>
            <w:rFonts w:cs="Arial"/>
            <w:bCs/>
            <w:szCs w:val="24"/>
          </w:rPr>
          <w:fldChar w:fldCharType="end"/>
        </w:r>
        <w:r w:rsidRPr="00435C03">
          <w:rPr>
            <w:rFonts w:cs="Arial"/>
          </w:rPr>
          <w:t xml:space="preserve"> of </w:t>
        </w:r>
        <w:r w:rsidRPr="00435C03">
          <w:rPr>
            <w:rFonts w:cs="Arial"/>
            <w:bCs/>
            <w:szCs w:val="24"/>
          </w:rPr>
          <w:fldChar w:fldCharType="begin"/>
        </w:r>
        <w:r w:rsidRPr="00435C03">
          <w:rPr>
            <w:rFonts w:cs="Arial"/>
            <w:bCs/>
          </w:rPr>
          <w:instrText xml:space="preserve"> NUMPAGES  </w:instrText>
        </w:r>
        <w:r w:rsidRPr="00435C03">
          <w:rPr>
            <w:rFonts w:cs="Arial"/>
            <w:bCs/>
            <w:szCs w:val="24"/>
          </w:rPr>
          <w:fldChar w:fldCharType="separate"/>
        </w:r>
        <w:r w:rsidRPr="00435C03">
          <w:rPr>
            <w:rFonts w:cs="Arial"/>
            <w:bCs/>
            <w:noProof/>
          </w:rPr>
          <w:t>2</w:t>
        </w:r>
        <w:r w:rsidRPr="00435C03">
          <w:rPr>
            <w:rFonts w:cs="Arial"/>
            <w:bCs/>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8E03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6CF8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5EB7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346A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BE29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1E21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A4D9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5601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30A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04D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D282A"/>
    <w:multiLevelType w:val="hybridMultilevel"/>
    <w:tmpl w:val="3CD2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900F3C"/>
    <w:multiLevelType w:val="hybridMultilevel"/>
    <w:tmpl w:val="6ABAF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FF3B17"/>
    <w:multiLevelType w:val="hybridMultilevel"/>
    <w:tmpl w:val="67CA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4392F"/>
    <w:multiLevelType w:val="hybridMultilevel"/>
    <w:tmpl w:val="01C2B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920DA1"/>
    <w:multiLevelType w:val="hybridMultilevel"/>
    <w:tmpl w:val="05645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7E5D3F"/>
    <w:multiLevelType w:val="hybridMultilevel"/>
    <w:tmpl w:val="0BDEA77A"/>
    <w:lvl w:ilvl="0" w:tplc="0524830A">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E93B36"/>
    <w:multiLevelType w:val="hybridMultilevel"/>
    <w:tmpl w:val="88A6D7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7F30A1A"/>
    <w:multiLevelType w:val="hybridMultilevel"/>
    <w:tmpl w:val="83782D34"/>
    <w:lvl w:ilvl="0" w:tplc="2C9CE1D4">
      <w:start w:val="1"/>
      <w:numFmt w:val="bullet"/>
      <w:lvlText w:val=""/>
      <w:lvlJc w:val="left"/>
      <w:pPr>
        <w:ind w:left="720" w:hanging="360"/>
      </w:pPr>
      <w:rPr>
        <w:rFonts w:ascii="Symbol" w:hAnsi="Symbol" w:hint="default"/>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42D0D"/>
    <w:multiLevelType w:val="hybridMultilevel"/>
    <w:tmpl w:val="FBAC84A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num w:numId="1" w16cid:durableId="274094299">
    <w:abstractNumId w:val="16"/>
  </w:num>
  <w:num w:numId="2" w16cid:durableId="199125820">
    <w:abstractNumId w:val="14"/>
  </w:num>
  <w:num w:numId="3" w16cid:durableId="1076704256">
    <w:abstractNumId w:val="15"/>
  </w:num>
  <w:num w:numId="4" w16cid:durableId="840924548">
    <w:abstractNumId w:val="12"/>
  </w:num>
  <w:num w:numId="5" w16cid:durableId="752118785">
    <w:abstractNumId w:val="13"/>
  </w:num>
  <w:num w:numId="6" w16cid:durableId="1502500776">
    <w:abstractNumId w:val="17"/>
  </w:num>
  <w:num w:numId="7" w16cid:durableId="1177764632">
    <w:abstractNumId w:val="11"/>
  </w:num>
  <w:num w:numId="8" w16cid:durableId="1974483214">
    <w:abstractNumId w:val="9"/>
  </w:num>
  <w:num w:numId="9" w16cid:durableId="222640513">
    <w:abstractNumId w:val="7"/>
  </w:num>
  <w:num w:numId="10" w16cid:durableId="952905922">
    <w:abstractNumId w:val="6"/>
  </w:num>
  <w:num w:numId="11" w16cid:durableId="889460436">
    <w:abstractNumId w:val="5"/>
  </w:num>
  <w:num w:numId="12" w16cid:durableId="1505431826">
    <w:abstractNumId w:val="4"/>
  </w:num>
  <w:num w:numId="13" w16cid:durableId="371079844">
    <w:abstractNumId w:val="8"/>
  </w:num>
  <w:num w:numId="14" w16cid:durableId="1124351506">
    <w:abstractNumId w:val="3"/>
  </w:num>
  <w:num w:numId="15" w16cid:durableId="1169710481">
    <w:abstractNumId w:val="2"/>
  </w:num>
  <w:num w:numId="16" w16cid:durableId="822740330">
    <w:abstractNumId w:val="1"/>
  </w:num>
  <w:num w:numId="17" w16cid:durableId="2058972877">
    <w:abstractNumId w:val="0"/>
  </w:num>
  <w:num w:numId="18" w16cid:durableId="2013605518">
    <w:abstractNumId w:val="10"/>
  </w:num>
  <w:num w:numId="19" w16cid:durableId="2145144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38"/>
    <w:rsid w:val="000209DE"/>
    <w:rsid w:val="000A2A80"/>
    <w:rsid w:val="000B2363"/>
    <w:rsid w:val="000E21A2"/>
    <w:rsid w:val="00107A41"/>
    <w:rsid w:val="00126151"/>
    <w:rsid w:val="0013658E"/>
    <w:rsid w:val="00152503"/>
    <w:rsid w:val="00167D41"/>
    <w:rsid w:val="00193ED9"/>
    <w:rsid w:val="001973D1"/>
    <w:rsid w:val="001B246E"/>
    <w:rsid w:val="001D1735"/>
    <w:rsid w:val="001D3ADD"/>
    <w:rsid w:val="00243BA6"/>
    <w:rsid w:val="00290238"/>
    <w:rsid w:val="00294F2D"/>
    <w:rsid w:val="002B468B"/>
    <w:rsid w:val="002B64C1"/>
    <w:rsid w:val="002C14D0"/>
    <w:rsid w:val="003118DA"/>
    <w:rsid w:val="00332BF0"/>
    <w:rsid w:val="0033388C"/>
    <w:rsid w:val="0035223A"/>
    <w:rsid w:val="0036140B"/>
    <w:rsid w:val="00391739"/>
    <w:rsid w:val="0039474F"/>
    <w:rsid w:val="00396214"/>
    <w:rsid w:val="003D2420"/>
    <w:rsid w:val="00405240"/>
    <w:rsid w:val="00432669"/>
    <w:rsid w:val="00433880"/>
    <w:rsid w:val="00435236"/>
    <w:rsid w:val="00435C03"/>
    <w:rsid w:val="00436258"/>
    <w:rsid w:val="00477B55"/>
    <w:rsid w:val="004829B5"/>
    <w:rsid w:val="00493BFF"/>
    <w:rsid w:val="00496449"/>
    <w:rsid w:val="004B4B8C"/>
    <w:rsid w:val="004F7F74"/>
    <w:rsid w:val="00524972"/>
    <w:rsid w:val="005649DB"/>
    <w:rsid w:val="00575501"/>
    <w:rsid w:val="00581838"/>
    <w:rsid w:val="00592CD1"/>
    <w:rsid w:val="005D62D7"/>
    <w:rsid w:val="00653104"/>
    <w:rsid w:val="006B4FA3"/>
    <w:rsid w:val="006E0F73"/>
    <w:rsid w:val="00713970"/>
    <w:rsid w:val="007144F6"/>
    <w:rsid w:val="0074006C"/>
    <w:rsid w:val="007643E9"/>
    <w:rsid w:val="00775222"/>
    <w:rsid w:val="007A3B0B"/>
    <w:rsid w:val="007B6C0F"/>
    <w:rsid w:val="007D422F"/>
    <w:rsid w:val="007E7EDD"/>
    <w:rsid w:val="007F3FF6"/>
    <w:rsid w:val="008136C2"/>
    <w:rsid w:val="00814ADB"/>
    <w:rsid w:val="0082760B"/>
    <w:rsid w:val="00831A07"/>
    <w:rsid w:val="00853D4D"/>
    <w:rsid w:val="008627ED"/>
    <w:rsid w:val="00896239"/>
    <w:rsid w:val="008A1439"/>
    <w:rsid w:val="008B45CA"/>
    <w:rsid w:val="008C2A38"/>
    <w:rsid w:val="00910D87"/>
    <w:rsid w:val="009557AD"/>
    <w:rsid w:val="009732EA"/>
    <w:rsid w:val="0099563B"/>
    <w:rsid w:val="009A7F87"/>
    <w:rsid w:val="009C20F3"/>
    <w:rsid w:val="009C41E2"/>
    <w:rsid w:val="009E1FE7"/>
    <w:rsid w:val="009F1975"/>
    <w:rsid w:val="00A05CE1"/>
    <w:rsid w:val="00A1104A"/>
    <w:rsid w:val="00A13815"/>
    <w:rsid w:val="00A44C44"/>
    <w:rsid w:val="00A44C88"/>
    <w:rsid w:val="00A96553"/>
    <w:rsid w:val="00AB6BB2"/>
    <w:rsid w:val="00AD08B8"/>
    <w:rsid w:val="00AD3768"/>
    <w:rsid w:val="00AD510A"/>
    <w:rsid w:val="00AE6979"/>
    <w:rsid w:val="00AF2FB4"/>
    <w:rsid w:val="00B15C13"/>
    <w:rsid w:val="00B15FC9"/>
    <w:rsid w:val="00B3039E"/>
    <w:rsid w:val="00B33021"/>
    <w:rsid w:val="00B61AA2"/>
    <w:rsid w:val="00B76B0A"/>
    <w:rsid w:val="00B90A3A"/>
    <w:rsid w:val="00B92FE5"/>
    <w:rsid w:val="00BC33F3"/>
    <w:rsid w:val="00BF6210"/>
    <w:rsid w:val="00C155BA"/>
    <w:rsid w:val="00C26471"/>
    <w:rsid w:val="00C64EA4"/>
    <w:rsid w:val="00C92D89"/>
    <w:rsid w:val="00CD3340"/>
    <w:rsid w:val="00CF1489"/>
    <w:rsid w:val="00CF2086"/>
    <w:rsid w:val="00D26EF1"/>
    <w:rsid w:val="00D3031C"/>
    <w:rsid w:val="00D320BF"/>
    <w:rsid w:val="00D430A3"/>
    <w:rsid w:val="00D529C1"/>
    <w:rsid w:val="00D66DFC"/>
    <w:rsid w:val="00D914A7"/>
    <w:rsid w:val="00DA4D96"/>
    <w:rsid w:val="00DB2D9F"/>
    <w:rsid w:val="00DD7C16"/>
    <w:rsid w:val="00E006AB"/>
    <w:rsid w:val="00E029A4"/>
    <w:rsid w:val="00E10439"/>
    <w:rsid w:val="00E130FA"/>
    <w:rsid w:val="00E65B01"/>
    <w:rsid w:val="00E84FA6"/>
    <w:rsid w:val="00E9088E"/>
    <w:rsid w:val="00E94D35"/>
    <w:rsid w:val="00EC1D42"/>
    <w:rsid w:val="00ED1667"/>
    <w:rsid w:val="00EE285B"/>
    <w:rsid w:val="00EE70A2"/>
    <w:rsid w:val="00EE7E04"/>
    <w:rsid w:val="00EF5D58"/>
    <w:rsid w:val="00F1063E"/>
    <w:rsid w:val="00F1439F"/>
    <w:rsid w:val="00F21480"/>
    <w:rsid w:val="00F85938"/>
    <w:rsid w:val="00F95773"/>
    <w:rsid w:val="00FA0F5C"/>
    <w:rsid w:val="00FB7D95"/>
    <w:rsid w:val="00FD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34936"/>
  <w15:chartTrackingRefBased/>
  <w15:docId w15:val="{D75BFEEF-14C5-45D6-B5E0-8667BBCE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972"/>
    <w:rPr>
      <w:rFonts w:ascii="Arial" w:hAnsi="Arial"/>
      <w:sz w:val="24"/>
    </w:rPr>
  </w:style>
  <w:style w:type="paragraph" w:styleId="Heading1">
    <w:name w:val="heading 1"/>
    <w:basedOn w:val="Normal"/>
    <w:next w:val="Normal"/>
    <w:autoRedefine/>
    <w:qFormat/>
    <w:rsid w:val="00435C03"/>
    <w:pPr>
      <w:keepNext/>
      <w:tabs>
        <w:tab w:val="right" w:pos="11340"/>
      </w:tabs>
      <w:spacing w:after="240"/>
      <w:jc w:val="center"/>
      <w:outlineLvl w:val="0"/>
    </w:pPr>
    <w:rPr>
      <w:b/>
      <w:sz w:val="40"/>
    </w:rPr>
  </w:style>
  <w:style w:type="paragraph" w:styleId="Heading2">
    <w:name w:val="heading 2"/>
    <w:basedOn w:val="Normal"/>
    <w:next w:val="Normal"/>
    <w:link w:val="Heading2Char"/>
    <w:autoRedefine/>
    <w:unhideWhenUsed/>
    <w:qFormat/>
    <w:rsid w:val="00524972"/>
    <w:pPr>
      <w:keepNext/>
      <w:spacing w:before="240" w:after="240"/>
      <w:outlineLvl w:val="1"/>
    </w:pPr>
    <w:rPr>
      <w:rFonts w:eastAsiaTheme="majorEastAsia" w:cstheme="majorBidi"/>
      <w:bCs/>
      <w:iCs/>
      <w:szCs w:val="28"/>
    </w:rPr>
  </w:style>
  <w:style w:type="paragraph" w:styleId="Heading3">
    <w:name w:val="heading 3"/>
    <w:basedOn w:val="Normal"/>
    <w:next w:val="Normal"/>
    <w:link w:val="Heading3Char"/>
    <w:autoRedefine/>
    <w:unhideWhenUsed/>
    <w:qFormat/>
    <w:rsid w:val="00524972"/>
    <w:pPr>
      <w:keepNext/>
      <w:spacing w:before="240" w:after="240"/>
      <w:outlineLvl w:val="2"/>
    </w:pPr>
    <w:rPr>
      <w:rFonts w:eastAsiaTheme="majorEastAsia" w:cstheme="majorBidi"/>
      <w:b/>
      <w:bCs/>
      <w:sz w:val="32"/>
      <w:szCs w:val="26"/>
    </w:rPr>
  </w:style>
  <w:style w:type="paragraph" w:styleId="Heading4">
    <w:name w:val="heading 4"/>
    <w:basedOn w:val="Normal"/>
    <w:next w:val="Normal"/>
    <w:link w:val="Heading4Char"/>
    <w:autoRedefine/>
    <w:unhideWhenUsed/>
    <w:qFormat/>
    <w:rsid w:val="00435C03"/>
    <w:pPr>
      <w:keepNext/>
      <w:spacing w:before="240" w:after="240"/>
      <w:outlineLvl w:val="3"/>
    </w:pPr>
    <w:rPr>
      <w:rFonts w:eastAsiaTheme="minorEastAsia" w:cstheme="minorBidi"/>
      <w:b/>
      <w:bCs/>
      <w:szCs w:val="28"/>
    </w:rPr>
  </w:style>
  <w:style w:type="paragraph" w:styleId="Heading5">
    <w:name w:val="heading 5"/>
    <w:basedOn w:val="Normal"/>
    <w:next w:val="Normal"/>
    <w:link w:val="Heading5Char"/>
    <w:autoRedefine/>
    <w:unhideWhenUsed/>
    <w:qFormat/>
    <w:rsid w:val="00435C03"/>
    <w:pPr>
      <w:keepNext/>
      <w:keepLines/>
      <w:spacing w:before="240" w:after="24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2A38"/>
    <w:pPr>
      <w:tabs>
        <w:tab w:val="center" w:pos="4320"/>
        <w:tab w:val="right" w:pos="8640"/>
      </w:tabs>
    </w:pPr>
  </w:style>
  <w:style w:type="paragraph" w:styleId="Footer">
    <w:name w:val="footer"/>
    <w:basedOn w:val="Normal"/>
    <w:rsid w:val="00CF2086"/>
    <w:pPr>
      <w:tabs>
        <w:tab w:val="center" w:pos="4320"/>
        <w:tab w:val="right" w:pos="8640"/>
      </w:tabs>
    </w:pPr>
  </w:style>
  <w:style w:type="character" w:styleId="PageNumber">
    <w:name w:val="page number"/>
    <w:basedOn w:val="DefaultParagraphFont"/>
    <w:rsid w:val="00CF2086"/>
  </w:style>
  <w:style w:type="paragraph" w:styleId="BalloonText">
    <w:name w:val="Balloon Text"/>
    <w:basedOn w:val="Normal"/>
    <w:semiHidden/>
    <w:rsid w:val="00CF2086"/>
    <w:rPr>
      <w:rFonts w:ascii="Tahoma" w:hAnsi="Tahoma" w:cs="Tahoma"/>
      <w:sz w:val="16"/>
      <w:szCs w:val="16"/>
    </w:rPr>
  </w:style>
  <w:style w:type="character" w:styleId="Hyperlink">
    <w:name w:val="Hyperlink"/>
    <w:rsid w:val="00592CD1"/>
    <w:rPr>
      <w:color w:val="0000FF"/>
      <w:u w:val="single"/>
    </w:rPr>
  </w:style>
  <w:style w:type="paragraph" w:styleId="Date">
    <w:name w:val="Date"/>
    <w:basedOn w:val="Normal"/>
    <w:next w:val="Normal"/>
    <w:link w:val="DateChar"/>
    <w:rsid w:val="00432669"/>
  </w:style>
  <w:style w:type="character" w:customStyle="1" w:styleId="DateChar">
    <w:name w:val="Date Char"/>
    <w:link w:val="Date"/>
    <w:rsid w:val="00432669"/>
    <w:rPr>
      <w:sz w:val="24"/>
      <w:lang w:eastAsia="en-US"/>
    </w:rPr>
  </w:style>
  <w:style w:type="character" w:customStyle="1" w:styleId="Heading2Char">
    <w:name w:val="Heading 2 Char"/>
    <w:basedOn w:val="DefaultParagraphFont"/>
    <w:link w:val="Heading2"/>
    <w:rsid w:val="00524972"/>
    <w:rPr>
      <w:rFonts w:ascii="Arial" w:eastAsiaTheme="majorEastAsia" w:hAnsi="Arial" w:cstheme="majorBidi"/>
      <w:bCs/>
      <w:iCs/>
      <w:sz w:val="24"/>
      <w:szCs w:val="28"/>
    </w:rPr>
  </w:style>
  <w:style w:type="character" w:customStyle="1" w:styleId="Heading3Char">
    <w:name w:val="Heading 3 Char"/>
    <w:basedOn w:val="DefaultParagraphFont"/>
    <w:link w:val="Heading3"/>
    <w:rsid w:val="00524972"/>
    <w:rPr>
      <w:rFonts w:ascii="Arial" w:eastAsiaTheme="majorEastAsia" w:hAnsi="Arial" w:cstheme="majorBidi"/>
      <w:b/>
      <w:bCs/>
      <w:sz w:val="32"/>
      <w:szCs w:val="26"/>
    </w:rPr>
  </w:style>
  <w:style w:type="character" w:customStyle="1" w:styleId="Heading4Char">
    <w:name w:val="Heading 4 Char"/>
    <w:basedOn w:val="DefaultParagraphFont"/>
    <w:link w:val="Heading4"/>
    <w:rsid w:val="00435C03"/>
    <w:rPr>
      <w:rFonts w:ascii="Arial" w:eastAsiaTheme="minorEastAsia" w:hAnsi="Arial" w:cstheme="minorBidi"/>
      <w:b/>
      <w:bCs/>
      <w:sz w:val="24"/>
      <w:szCs w:val="28"/>
    </w:rPr>
  </w:style>
  <w:style w:type="paragraph" w:styleId="NoSpacing">
    <w:name w:val="No Spacing"/>
    <w:basedOn w:val="Normal"/>
    <w:uiPriority w:val="1"/>
    <w:qFormat/>
    <w:rsid w:val="009557AD"/>
    <w:rPr>
      <w:rFonts w:eastAsia="Arial" w:cs="Arial"/>
      <w:color w:val="000000"/>
      <w:szCs w:val="24"/>
    </w:rPr>
  </w:style>
  <w:style w:type="paragraph" w:styleId="FootnoteText">
    <w:name w:val="footnote text"/>
    <w:basedOn w:val="Normal"/>
    <w:link w:val="FootnoteTextChar"/>
    <w:uiPriority w:val="99"/>
    <w:unhideWhenUsed/>
    <w:rsid w:val="009557AD"/>
    <w:rPr>
      <w:rFonts w:ascii="Calibri" w:eastAsia="MS Mincho" w:hAnsi="Calibri"/>
      <w:sz w:val="20"/>
      <w:lang w:eastAsia="ja-JP"/>
    </w:rPr>
  </w:style>
  <w:style w:type="character" w:customStyle="1" w:styleId="FootnoteTextChar">
    <w:name w:val="Footnote Text Char"/>
    <w:basedOn w:val="DefaultParagraphFont"/>
    <w:link w:val="FootnoteText"/>
    <w:uiPriority w:val="99"/>
    <w:rsid w:val="009557AD"/>
    <w:rPr>
      <w:rFonts w:ascii="Calibri" w:eastAsia="MS Mincho" w:hAnsi="Calibri"/>
      <w:lang w:eastAsia="ja-JP"/>
    </w:rPr>
  </w:style>
  <w:style w:type="character" w:styleId="FootnoteReference">
    <w:name w:val="footnote reference"/>
    <w:uiPriority w:val="99"/>
    <w:unhideWhenUsed/>
    <w:rsid w:val="009557AD"/>
    <w:rPr>
      <w:vertAlign w:val="superscript"/>
    </w:rPr>
  </w:style>
  <w:style w:type="character" w:customStyle="1" w:styleId="Heading5Char">
    <w:name w:val="Heading 5 Char"/>
    <w:basedOn w:val="DefaultParagraphFont"/>
    <w:link w:val="Heading5"/>
    <w:rsid w:val="00435C03"/>
    <w:rPr>
      <w:rFonts w:ascii="Arial" w:eastAsiaTheme="majorEastAsia" w:hAnsi="Arial" w:cstheme="majorBidi"/>
      <w:i/>
      <w:sz w:val="24"/>
    </w:rPr>
  </w:style>
  <w:style w:type="character" w:customStyle="1" w:styleId="HeaderChar">
    <w:name w:val="Header Char"/>
    <w:basedOn w:val="DefaultParagraphFont"/>
    <w:link w:val="Header"/>
    <w:uiPriority w:val="99"/>
    <w:rsid w:val="00435C03"/>
    <w:rPr>
      <w:sz w:val="24"/>
    </w:rPr>
  </w:style>
  <w:style w:type="paragraph" w:styleId="ListParagraph">
    <w:name w:val="List Paragraph"/>
    <w:basedOn w:val="Normal"/>
    <w:uiPriority w:val="34"/>
    <w:qFormat/>
    <w:rsid w:val="00524972"/>
    <w:pPr>
      <w:ind w:left="720"/>
      <w:contextualSpacing/>
    </w:pPr>
    <w:rPr>
      <w:szCs w:val="24"/>
    </w:rPr>
  </w:style>
  <w:style w:type="paragraph" w:styleId="CommentText">
    <w:name w:val="annotation text"/>
    <w:basedOn w:val="Normal"/>
    <w:link w:val="CommentTextChar"/>
    <w:uiPriority w:val="99"/>
    <w:unhideWhenUsed/>
    <w:rsid w:val="00524972"/>
    <w:rPr>
      <w:sz w:val="20"/>
    </w:rPr>
  </w:style>
  <w:style w:type="character" w:customStyle="1" w:styleId="CommentTextChar">
    <w:name w:val="Comment Text Char"/>
    <w:basedOn w:val="DefaultParagraphFont"/>
    <w:link w:val="CommentText"/>
    <w:uiPriority w:val="99"/>
    <w:rsid w:val="00524972"/>
    <w:rPr>
      <w:rFonts w:ascii="Arial" w:hAnsi="Arial"/>
    </w:rPr>
  </w:style>
  <w:style w:type="character" w:styleId="CommentReference">
    <w:name w:val="annotation reference"/>
    <w:uiPriority w:val="99"/>
    <w:unhideWhenUsed/>
    <w:rsid w:val="00524972"/>
    <w:rPr>
      <w:sz w:val="16"/>
      <w:szCs w:val="16"/>
    </w:rPr>
  </w:style>
  <w:style w:type="table" w:styleId="TableGrid">
    <w:name w:val="Table Grid"/>
    <w:basedOn w:val="TableNormal"/>
    <w:rsid w:val="0052497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4972"/>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7D422F"/>
    <w:rPr>
      <w:color w:val="605E5C"/>
      <w:shd w:val="clear" w:color="auto" w:fill="E1DFDD"/>
    </w:rPr>
  </w:style>
  <w:style w:type="paragraph" w:styleId="CommentSubject">
    <w:name w:val="annotation subject"/>
    <w:basedOn w:val="CommentText"/>
    <w:next w:val="CommentText"/>
    <w:link w:val="CommentSubjectChar"/>
    <w:rsid w:val="009F1975"/>
    <w:rPr>
      <w:b/>
      <w:bCs/>
    </w:rPr>
  </w:style>
  <w:style w:type="character" w:customStyle="1" w:styleId="CommentSubjectChar">
    <w:name w:val="Comment Subject Char"/>
    <w:basedOn w:val="CommentTextChar"/>
    <w:link w:val="CommentSubject"/>
    <w:rsid w:val="009F197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925">
      <w:bodyDiv w:val="1"/>
      <w:marLeft w:val="0"/>
      <w:marRight w:val="0"/>
      <w:marTop w:val="0"/>
      <w:marBottom w:val="0"/>
      <w:divBdr>
        <w:top w:val="none" w:sz="0" w:space="0" w:color="auto"/>
        <w:left w:val="none" w:sz="0" w:space="0" w:color="auto"/>
        <w:bottom w:val="none" w:sz="0" w:space="0" w:color="auto"/>
        <w:right w:val="none" w:sz="0" w:space="0" w:color="auto"/>
      </w:divBdr>
    </w:div>
    <w:div w:id="482089905">
      <w:bodyDiv w:val="1"/>
      <w:marLeft w:val="0"/>
      <w:marRight w:val="0"/>
      <w:marTop w:val="0"/>
      <w:marBottom w:val="0"/>
      <w:divBdr>
        <w:top w:val="none" w:sz="0" w:space="0" w:color="auto"/>
        <w:left w:val="none" w:sz="0" w:space="0" w:color="auto"/>
        <w:bottom w:val="none" w:sz="0" w:space="0" w:color="auto"/>
        <w:right w:val="none" w:sz="0" w:space="0" w:color="auto"/>
      </w:divBdr>
    </w:div>
    <w:div w:id="13431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ccarelli_indra@lacoe.edu" TargetMode="External"/><Relationship Id="rId13" Type="http://schemas.openxmlformats.org/officeDocument/2006/relationships/hyperlink" Target="mailto:gramirez@timecommunityschool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rown@timecommunityschool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farland@cde.c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iccarelli_indra@laco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beoversight@cde.c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8ADE3-7904-420C-917C-C9379A8A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2079</Words>
  <Characters>11855</Characters>
  <DocSecurity>0</DocSecurity>
  <Lines>98</Lines>
  <Paragraphs>27</Paragraphs>
  <ScaleCrop>false</ScaleCrop>
  <HeadingPairs>
    <vt:vector size="2" baseType="variant">
      <vt:variant>
        <vt:lpstr>Title</vt:lpstr>
      </vt:variant>
      <vt:variant>
        <vt:i4>1</vt:i4>
      </vt:variant>
    </vt:vector>
  </HeadingPairs>
  <TitlesOfParts>
    <vt:vector size="1" baseType="lpstr">
      <vt:lpstr>March 2023 Agenda Item XX Attachment 1 - Meeting Agendas (CA State Board of Education)</vt:lpstr>
    </vt:vector>
  </TitlesOfParts>
  <Company>California State Board of Education</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Agenda Item 10 Attachment 1 Revised - Meeting Agendas (CA State Board of Education)</dc:title>
  <dc:subject>Revised. Draft Letter to Board President Brown, Executive Director Ramirez, and T.I.M.E. Community Governing Board Dated March 9, 2023: Notice of Violation Pursuant to California Education Code.</dc:subject>
  <cp:keywords/>
  <dc:description/>
  <cp:lastPrinted>2010-05-25T23:53:00Z</cp:lastPrinted>
  <dcterms:created xsi:type="dcterms:W3CDTF">2023-03-07T17:28:00Z</dcterms:created>
  <dcterms:modified xsi:type="dcterms:W3CDTF">2023-03-07T17:28:00Z</dcterms:modified>
  <cp:category/>
</cp:coreProperties>
</file>