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37D" w14:textId="77777777" w:rsidR="006E06C6" w:rsidRPr="001B4F55" w:rsidRDefault="00D5115F" w:rsidP="00B723BE">
      <w:r w:rsidRPr="001B4F55">
        <w:rPr>
          <w:noProof/>
        </w:rPr>
        <w:drawing>
          <wp:inline distT="0" distB="0" distL="0" distR="0" wp14:anchorId="2AFB40A0" wp14:editId="03EB03B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8D8BC18" w14:textId="77777777" w:rsidR="00B723BE" w:rsidRPr="001B4F55" w:rsidRDefault="00FC1FCE" w:rsidP="00B723BE">
      <w:pPr>
        <w:jc w:val="right"/>
      </w:pPr>
      <w:r w:rsidRPr="001B4F55">
        <w:t>California Department of Education</w:t>
      </w:r>
    </w:p>
    <w:p w14:paraId="0DB4BDF6" w14:textId="77777777" w:rsidR="00B723BE" w:rsidRPr="001B4F55" w:rsidRDefault="00FC1FCE" w:rsidP="00B723BE">
      <w:pPr>
        <w:jc w:val="right"/>
      </w:pPr>
      <w:r w:rsidRPr="001B4F55">
        <w:t>Executive Office</w:t>
      </w:r>
    </w:p>
    <w:p w14:paraId="69E846A7" w14:textId="77777777" w:rsidR="002B4B14" w:rsidRPr="001B4F55" w:rsidRDefault="00692300" w:rsidP="00B723BE">
      <w:pPr>
        <w:jc w:val="right"/>
      </w:pPr>
      <w:r w:rsidRPr="001B4F55">
        <w:t>SBE-00</w:t>
      </w:r>
      <w:r w:rsidR="000324AD" w:rsidRPr="001B4F55">
        <w:t>3</w:t>
      </w:r>
      <w:r w:rsidRPr="001B4F55">
        <w:t xml:space="preserve"> (REV. 1</w:t>
      </w:r>
      <w:r w:rsidR="00C27D57" w:rsidRPr="001B4F55">
        <w:t>1</w:t>
      </w:r>
      <w:r w:rsidRPr="001B4F55">
        <w:t>/2017</w:t>
      </w:r>
      <w:r w:rsidR="00FC1FCE" w:rsidRPr="001B4F55">
        <w:t>)</w:t>
      </w:r>
    </w:p>
    <w:p w14:paraId="0EEB6F07" w14:textId="2C89CC81" w:rsidR="00B723BE" w:rsidRPr="001B4F55" w:rsidRDefault="00103BC6" w:rsidP="00B723BE">
      <w:pPr>
        <w:jc w:val="right"/>
      </w:pPr>
      <w:r w:rsidRPr="001B4F55">
        <w:t>im</w:t>
      </w:r>
      <w:r w:rsidR="00D90A04" w:rsidRPr="001B4F55">
        <w:t>a</w:t>
      </w:r>
      <w:r w:rsidRPr="001B4F55">
        <w:t>b-adad-</w:t>
      </w:r>
      <w:r w:rsidR="00CB1C9B">
        <w:t>nov</w:t>
      </w:r>
      <w:r w:rsidR="00AB5BFD" w:rsidRPr="001B4F55">
        <w:t>2</w:t>
      </w:r>
      <w:r w:rsidR="00FB1A8F" w:rsidRPr="001B4F55">
        <w:t>3</w:t>
      </w:r>
      <w:r w:rsidRPr="001B4F55">
        <w:t>item0</w:t>
      </w:r>
      <w:r w:rsidR="00FA09B5">
        <w:t>3</w:t>
      </w:r>
    </w:p>
    <w:p w14:paraId="04DAF2A5" w14:textId="77777777" w:rsidR="00B723BE" w:rsidRPr="001B4F55" w:rsidRDefault="00B723BE" w:rsidP="00FC1FCE">
      <w:pPr>
        <w:pStyle w:val="Heading1"/>
        <w:jc w:val="center"/>
        <w:rPr>
          <w:sz w:val="40"/>
          <w:szCs w:val="40"/>
        </w:rPr>
        <w:sectPr w:rsidR="00B723BE" w:rsidRPr="001B4F55"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E9B6640" w14:textId="77777777" w:rsidR="006E06C6" w:rsidRPr="001B4F55" w:rsidRDefault="006E06C6" w:rsidP="00FC1FCE">
      <w:pPr>
        <w:pStyle w:val="Heading1"/>
        <w:jc w:val="center"/>
        <w:rPr>
          <w:sz w:val="40"/>
          <w:szCs w:val="40"/>
        </w:rPr>
        <w:sectPr w:rsidR="006E06C6" w:rsidRPr="001B4F55" w:rsidSect="0091117B">
          <w:footerReference w:type="default" r:id="rId14"/>
          <w:type w:val="continuous"/>
          <w:pgSz w:w="12240" w:h="15840"/>
          <w:pgMar w:top="720" w:right="1440" w:bottom="1440" w:left="1440" w:header="720" w:footer="720" w:gutter="0"/>
          <w:cols w:space="720"/>
          <w:docGrid w:linePitch="360"/>
        </w:sectPr>
      </w:pPr>
    </w:p>
    <w:p w14:paraId="0AAE9BF1" w14:textId="4765A53C" w:rsidR="00FC1FCE" w:rsidRPr="001B4F55" w:rsidRDefault="0091117B" w:rsidP="002B4B14">
      <w:pPr>
        <w:pStyle w:val="Heading1"/>
        <w:spacing w:before="240" w:after="240"/>
        <w:jc w:val="center"/>
        <w:rPr>
          <w:sz w:val="40"/>
          <w:szCs w:val="40"/>
        </w:rPr>
      </w:pPr>
      <w:r w:rsidRPr="001B4F55">
        <w:rPr>
          <w:sz w:val="40"/>
          <w:szCs w:val="40"/>
        </w:rPr>
        <w:t>Californ</w:t>
      </w:r>
      <w:r w:rsidR="00693951" w:rsidRPr="001B4F55">
        <w:rPr>
          <w:sz w:val="40"/>
          <w:szCs w:val="40"/>
        </w:rPr>
        <w:t>ia State Board of Education</w:t>
      </w:r>
      <w:r w:rsidR="00693951">
        <w:br/>
      </w:r>
      <w:r w:rsidR="00CB1C9B">
        <w:rPr>
          <w:sz w:val="40"/>
          <w:szCs w:val="40"/>
        </w:rPr>
        <w:t>November</w:t>
      </w:r>
      <w:r w:rsidR="00130059" w:rsidRPr="001B4F55">
        <w:rPr>
          <w:sz w:val="40"/>
          <w:szCs w:val="40"/>
        </w:rPr>
        <w:t xml:space="preserve"> </w:t>
      </w:r>
      <w:r w:rsidR="00103BC6" w:rsidRPr="001B4F55">
        <w:rPr>
          <w:sz w:val="40"/>
          <w:szCs w:val="40"/>
        </w:rPr>
        <w:t>202</w:t>
      </w:r>
      <w:r w:rsidR="00FB1A8F" w:rsidRPr="001B4F55">
        <w:rPr>
          <w:sz w:val="40"/>
          <w:szCs w:val="40"/>
        </w:rPr>
        <w:t>3</w:t>
      </w:r>
      <w:r w:rsidRPr="001B4F55">
        <w:rPr>
          <w:sz w:val="40"/>
          <w:szCs w:val="40"/>
        </w:rPr>
        <w:t xml:space="preserve"> Agenda</w:t>
      </w:r>
      <w:r w:rsidR="00FC1FCE">
        <w:br/>
      </w:r>
      <w:r w:rsidR="00FC1FCE" w:rsidRPr="001B4F55">
        <w:rPr>
          <w:sz w:val="40"/>
          <w:szCs w:val="40"/>
        </w:rPr>
        <w:t>Item</w:t>
      </w:r>
      <w:r w:rsidR="00692300" w:rsidRPr="001B4F55">
        <w:rPr>
          <w:sz w:val="40"/>
          <w:szCs w:val="40"/>
        </w:rPr>
        <w:t xml:space="preserve"> #</w:t>
      </w:r>
      <w:r w:rsidR="00D54B53">
        <w:rPr>
          <w:sz w:val="40"/>
          <w:szCs w:val="40"/>
        </w:rPr>
        <w:t>11</w:t>
      </w:r>
    </w:p>
    <w:p w14:paraId="67A1153C" w14:textId="77777777" w:rsidR="00FC1FCE" w:rsidRPr="001B4F55" w:rsidRDefault="00FC1FCE" w:rsidP="002B4B14">
      <w:pPr>
        <w:pStyle w:val="Heading2"/>
        <w:rPr>
          <w:szCs w:val="36"/>
        </w:rPr>
      </w:pPr>
      <w:r w:rsidRPr="001B4F55">
        <w:rPr>
          <w:szCs w:val="36"/>
        </w:rPr>
        <w:t>Subject</w:t>
      </w:r>
    </w:p>
    <w:p w14:paraId="10EF5331" w14:textId="2E6844A8" w:rsidR="001B65B7" w:rsidRPr="001B4F55" w:rsidRDefault="001B65B7" w:rsidP="000E09DC">
      <w:pPr>
        <w:spacing w:after="480"/>
      </w:pPr>
      <w:r w:rsidRPr="001B4F55">
        <w:t>The Federal Every Student Succeeds Act: Authorization to Pursue a Waiver for the 2023–24 School Year of the 1.0 Percent Cap on the Percentage of Eligible Students with the Most Significant Cognitive Disabilities Who May Be Assessed with an Alternate Assessment Aligned with Alternate Academic Achievement Standards for English Language Arts/Literacy, Mathematics, and Science.</w:t>
      </w:r>
    </w:p>
    <w:p w14:paraId="28994D1E" w14:textId="77777777" w:rsidR="00FC1FCE" w:rsidRPr="001B4F55" w:rsidRDefault="00FC1FCE" w:rsidP="002B4B14">
      <w:pPr>
        <w:pStyle w:val="Heading2"/>
        <w:rPr>
          <w:szCs w:val="36"/>
        </w:rPr>
      </w:pPr>
      <w:r w:rsidRPr="001B4F55">
        <w:rPr>
          <w:szCs w:val="36"/>
        </w:rPr>
        <w:t>Type of Action</w:t>
      </w:r>
    </w:p>
    <w:p w14:paraId="1C30368A" w14:textId="66BF7E1A" w:rsidR="0091117B" w:rsidRPr="001B4F55" w:rsidRDefault="008909EE" w:rsidP="000E09DC">
      <w:pPr>
        <w:spacing w:after="480"/>
      </w:pPr>
      <w:r w:rsidRPr="001B4F55">
        <w:t>Action, Information</w:t>
      </w:r>
      <w:r w:rsidR="00D54B53">
        <w:t>, Consent</w:t>
      </w:r>
    </w:p>
    <w:p w14:paraId="00A92048" w14:textId="77777777" w:rsidR="00FC1FCE" w:rsidRPr="001B4F55" w:rsidRDefault="00FC1FCE" w:rsidP="002B4B14">
      <w:pPr>
        <w:pStyle w:val="Heading2"/>
        <w:rPr>
          <w:szCs w:val="36"/>
        </w:rPr>
      </w:pPr>
      <w:r w:rsidRPr="001B4F55">
        <w:rPr>
          <w:szCs w:val="36"/>
        </w:rPr>
        <w:t>Summary of the Issue(s)</w:t>
      </w:r>
    </w:p>
    <w:p w14:paraId="3B114D88" w14:textId="275C8B63" w:rsidR="00AF3709" w:rsidRDefault="001B16DE" w:rsidP="001B16DE">
      <w:pPr>
        <w:spacing w:after="240"/>
        <w:rPr>
          <w:rFonts w:cs="Arial"/>
        </w:rPr>
      </w:pPr>
      <w:r w:rsidRPr="001B4F55">
        <w:rPr>
          <w:rFonts w:cs="Arial"/>
          <w:shd w:val="clear" w:color="auto" w:fill="FFFFFF"/>
        </w:rPr>
        <w:t xml:space="preserve">Pursuant to the </w:t>
      </w:r>
      <w:r w:rsidRPr="0A024A19">
        <w:rPr>
          <w:rFonts w:cs="Arial"/>
          <w:i/>
          <w:iCs/>
          <w:shd w:val="clear" w:color="auto" w:fill="FFFFFF"/>
        </w:rPr>
        <w:t>Code of Federal Regulations</w:t>
      </w:r>
      <w:r w:rsidRPr="001B4F55">
        <w:rPr>
          <w:rFonts w:cs="Arial"/>
          <w:shd w:val="clear" w:color="auto" w:fill="FFFFFF"/>
        </w:rPr>
        <w:t xml:space="preserve">, Title 34 (34 </w:t>
      </w:r>
      <w:r w:rsidRPr="0A024A19">
        <w:rPr>
          <w:rFonts w:cs="Arial"/>
          <w:i/>
          <w:iCs/>
          <w:shd w:val="clear" w:color="auto" w:fill="FFFFFF"/>
        </w:rPr>
        <w:t>CFR</w:t>
      </w:r>
      <w:r w:rsidRPr="001B4F55">
        <w:rPr>
          <w:rFonts w:cs="Arial"/>
          <w:shd w:val="clear" w:color="auto" w:fill="FFFFFF"/>
        </w:rPr>
        <w:t>), Section 200.6(c)(4), a state may request a waiver of the 1.0 percent cap on the percentage of eligible students with the most significant cognitive disabilities who may be assessed with an alternate assessment that is aligned with alternate academic achievement standards for English language arts/literacy (ELA), mathematics, and science, hereafter referred to as alternate assessments. For California, the alternate assessments are the California Alternate Assessments (CAAs) for ELA, mathematics, and science.</w:t>
      </w:r>
      <w:r w:rsidR="2EADE16D" w:rsidRPr="30A28664">
        <w:rPr>
          <w:rFonts w:cs="Arial"/>
        </w:rPr>
        <w:t xml:space="preserve"> </w:t>
      </w:r>
      <w:r w:rsidR="2245A822" w:rsidRPr="1CABBA0A">
        <w:rPr>
          <w:rFonts w:cs="Arial"/>
        </w:rPr>
        <w:t xml:space="preserve">As part of the </w:t>
      </w:r>
      <w:r w:rsidR="5877CF5A" w:rsidRPr="1CABBA0A">
        <w:rPr>
          <w:rFonts w:cs="Arial"/>
        </w:rPr>
        <w:t>process</w:t>
      </w:r>
      <w:r w:rsidR="2245A822" w:rsidRPr="1CABBA0A">
        <w:rPr>
          <w:rFonts w:cs="Arial"/>
        </w:rPr>
        <w:t xml:space="preserve"> for a state to</w:t>
      </w:r>
      <w:r w:rsidR="2245A822" w:rsidRPr="005A486C">
        <w:rPr>
          <w:rFonts w:cs="Arial"/>
        </w:rPr>
        <w:t xml:space="preserve"> </w:t>
      </w:r>
      <w:r w:rsidR="2245A822" w:rsidRPr="1CABBA0A">
        <w:rPr>
          <w:rFonts w:cs="Arial"/>
        </w:rPr>
        <w:t xml:space="preserve">receive a waiver of the 1.0 percent cap, </w:t>
      </w:r>
      <w:r w:rsidR="29F27793" w:rsidRPr="1CABBA0A">
        <w:rPr>
          <w:rFonts w:cs="Arial"/>
        </w:rPr>
        <w:t xml:space="preserve">34 </w:t>
      </w:r>
      <w:r w:rsidR="29F27793" w:rsidRPr="0A024A19">
        <w:rPr>
          <w:rFonts w:cs="Arial"/>
          <w:i/>
          <w:iCs/>
        </w:rPr>
        <w:t>CFR</w:t>
      </w:r>
      <w:r w:rsidR="29F27793" w:rsidRPr="1CABBA0A">
        <w:rPr>
          <w:rFonts w:cs="Arial"/>
        </w:rPr>
        <w:t xml:space="preserve">, Section 200.6(c)(4) </w:t>
      </w:r>
      <w:r w:rsidR="461E54C1" w:rsidRPr="1CABBA0A">
        <w:rPr>
          <w:rFonts w:cs="Arial"/>
        </w:rPr>
        <w:t>requires that</w:t>
      </w:r>
      <w:r w:rsidR="08A75C7C" w:rsidRPr="30A28664">
        <w:rPr>
          <w:rFonts w:cs="Arial"/>
        </w:rPr>
        <w:t>, in the current or previous school year,</w:t>
      </w:r>
      <w:r w:rsidR="461E54C1" w:rsidRPr="1CABBA0A">
        <w:rPr>
          <w:rFonts w:cs="Arial"/>
        </w:rPr>
        <w:t xml:space="preserve"> a state </w:t>
      </w:r>
      <w:r w:rsidR="7A370315" w:rsidRPr="1CABBA0A">
        <w:rPr>
          <w:rFonts w:cs="Arial"/>
        </w:rPr>
        <w:t>has measured the achievement of at least 95 percent of all students and 95 percent of students in the children with disabilities subgroup who are enrolled in grades for which the assessment is required</w:t>
      </w:r>
      <w:r w:rsidR="51BC31F2" w:rsidRPr="1CABBA0A">
        <w:rPr>
          <w:rFonts w:cs="Arial"/>
        </w:rPr>
        <w:t>.</w:t>
      </w:r>
      <w:r w:rsidR="1BF3195A" w:rsidRPr="1CABBA0A">
        <w:rPr>
          <w:rFonts w:cs="Arial"/>
        </w:rPr>
        <w:t xml:space="preserve"> </w:t>
      </w:r>
      <w:r w:rsidR="7F64FF9E" w:rsidRPr="001B4F55">
        <w:rPr>
          <w:rFonts w:cs="Arial"/>
          <w:shd w:val="clear" w:color="auto" w:fill="FFFFFF"/>
        </w:rPr>
        <w:t>Based on</w:t>
      </w:r>
      <w:r w:rsidRPr="001B4F55">
        <w:rPr>
          <w:rFonts w:cs="Arial"/>
          <w:shd w:val="clear" w:color="auto" w:fill="FFFFFF"/>
        </w:rPr>
        <w:t xml:space="preserve"> data analysis using 202</w:t>
      </w:r>
      <w:r w:rsidR="001719A8">
        <w:rPr>
          <w:rFonts w:cs="Arial"/>
          <w:shd w:val="clear" w:color="auto" w:fill="FFFFFF"/>
        </w:rPr>
        <w:t>2</w:t>
      </w:r>
      <w:r w:rsidRPr="001B4F55">
        <w:rPr>
          <w:rFonts w:cs="Arial"/>
          <w:shd w:val="clear" w:color="auto" w:fill="FFFFFF"/>
        </w:rPr>
        <w:t>–2</w:t>
      </w:r>
      <w:r w:rsidR="001719A8">
        <w:rPr>
          <w:rFonts w:cs="Arial"/>
          <w:shd w:val="clear" w:color="auto" w:fill="FFFFFF"/>
        </w:rPr>
        <w:t>3</w:t>
      </w:r>
      <w:r w:rsidRPr="001B4F55">
        <w:rPr>
          <w:rFonts w:cs="Arial"/>
          <w:shd w:val="clear" w:color="auto" w:fill="FFFFFF"/>
        </w:rPr>
        <w:t xml:space="preserve"> test </w:t>
      </w:r>
      <w:r w:rsidRPr="000560D2">
        <w:rPr>
          <w:rFonts w:cs="Arial"/>
          <w:shd w:val="clear" w:color="auto" w:fill="FFFFFF"/>
        </w:rPr>
        <w:t xml:space="preserve">participation data, the </w:t>
      </w:r>
      <w:r w:rsidR="227123E8" w:rsidRPr="5D0D6222">
        <w:rPr>
          <w:rFonts w:cs="Arial"/>
        </w:rPr>
        <w:t>California Department of Education (</w:t>
      </w:r>
      <w:r w:rsidRPr="000560D2">
        <w:rPr>
          <w:rFonts w:cs="Arial"/>
          <w:shd w:val="clear" w:color="auto" w:fill="FFFFFF"/>
        </w:rPr>
        <w:t>CDE</w:t>
      </w:r>
      <w:r w:rsidR="227123E8" w:rsidRPr="5D0D6222">
        <w:rPr>
          <w:rFonts w:cs="Arial"/>
        </w:rPr>
        <w:t>)</w:t>
      </w:r>
      <w:r w:rsidRPr="000560D2">
        <w:rPr>
          <w:rFonts w:cs="Arial"/>
          <w:shd w:val="clear" w:color="auto" w:fill="FFFFFF"/>
        </w:rPr>
        <w:t xml:space="preserve"> anticipates that California will exceed the 1.0 percent cap for the 202</w:t>
      </w:r>
      <w:r w:rsidR="001719A8" w:rsidRPr="000560D2">
        <w:rPr>
          <w:rFonts w:cs="Arial"/>
          <w:shd w:val="clear" w:color="auto" w:fill="FFFFFF"/>
        </w:rPr>
        <w:t>3</w:t>
      </w:r>
      <w:r w:rsidRPr="000560D2">
        <w:rPr>
          <w:rFonts w:cs="Arial"/>
          <w:shd w:val="clear" w:color="auto" w:fill="FFFFFF"/>
        </w:rPr>
        <w:t>–2</w:t>
      </w:r>
      <w:r w:rsidR="001719A8" w:rsidRPr="000560D2">
        <w:rPr>
          <w:rFonts w:cs="Arial"/>
          <w:shd w:val="clear" w:color="auto" w:fill="FFFFFF"/>
        </w:rPr>
        <w:t>4</w:t>
      </w:r>
      <w:r w:rsidRPr="000560D2">
        <w:rPr>
          <w:rFonts w:cs="Arial"/>
          <w:shd w:val="clear" w:color="auto" w:fill="FFFFFF"/>
        </w:rPr>
        <w:t xml:space="preserve"> school year. </w:t>
      </w:r>
      <w:r w:rsidR="5AE08A36" w:rsidRPr="00E22A72">
        <w:rPr>
          <w:rFonts w:cs="Arial"/>
        </w:rPr>
        <w:t xml:space="preserve">California </w:t>
      </w:r>
      <w:r w:rsidR="5AE08A36" w:rsidRPr="00E22A72" w:rsidDel="00591572">
        <w:rPr>
          <w:rFonts w:cs="Arial"/>
        </w:rPr>
        <w:t>has</w:t>
      </w:r>
      <w:r w:rsidR="5AE08A36" w:rsidRPr="00E22A72">
        <w:rPr>
          <w:rFonts w:cs="Arial"/>
        </w:rPr>
        <w:t xml:space="preserve"> met the 95 percent participation rate for </w:t>
      </w:r>
      <w:proofErr w:type="gramStart"/>
      <w:r w:rsidR="38BAAD37">
        <w:rPr>
          <w:rFonts w:cs="Arial"/>
        </w:rPr>
        <w:t xml:space="preserve">the </w:t>
      </w:r>
      <w:r w:rsidR="5AE08A36" w:rsidRPr="00E22A72">
        <w:rPr>
          <w:rFonts w:cs="Arial"/>
        </w:rPr>
        <w:t>all</w:t>
      </w:r>
      <w:proofErr w:type="gramEnd"/>
      <w:r w:rsidR="5AE08A36" w:rsidRPr="00E22A72">
        <w:rPr>
          <w:rFonts w:cs="Arial"/>
        </w:rPr>
        <w:t xml:space="preserve"> student</w:t>
      </w:r>
      <w:r w:rsidR="38BAAD37" w:rsidRPr="79F3ECBD">
        <w:rPr>
          <w:rFonts w:cs="Arial"/>
        </w:rPr>
        <w:t>s</w:t>
      </w:r>
      <w:r w:rsidR="38BAAD37">
        <w:rPr>
          <w:rFonts w:cs="Arial"/>
        </w:rPr>
        <w:t xml:space="preserve"> group</w:t>
      </w:r>
      <w:r w:rsidR="45951198">
        <w:rPr>
          <w:rFonts w:cs="Arial"/>
        </w:rPr>
        <w:t xml:space="preserve"> in </w:t>
      </w:r>
      <w:r w:rsidR="45951198" w:rsidRPr="000C5253">
        <w:rPr>
          <w:rFonts w:cs="Arial"/>
        </w:rPr>
        <w:t>ELA, mathematics</w:t>
      </w:r>
      <w:r w:rsidR="719B4A87" w:rsidRPr="000C5253">
        <w:rPr>
          <w:rFonts w:cs="Arial"/>
        </w:rPr>
        <w:t>, and science</w:t>
      </w:r>
      <w:r w:rsidR="1EEF0DF5">
        <w:rPr>
          <w:rFonts w:cs="Arial"/>
        </w:rPr>
        <w:t xml:space="preserve">. However, </w:t>
      </w:r>
      <w:r w:rsidR="7FBBF6A4">
        <w:rPr>
          <w:rFonts w:cs="Arial"/>
        </w:rPr>
        <w:t xml:space="preserve">California did not meet the 95 percent participation </w:t>
      </w:r>
      <w:r w:rsidR="17396B62" w:rsidRPr="79F3ECBD">
        <w:rPr>
          <w:rFonts w:cs="Arial"/>
        </w:rPr>
        <w:t>requirement for</w:t>
      </w:r>
      <w:r w:rsidR="17396B62">
        <w:rPr>
          <w:rFonts w:cs="Arial"/>
        </w:rPr>
        <w:t xml:space="preserve"> </w:t>
      </w:r>
      <w:r w:rsidR="225C1A76">
        <w:rPr>
          <w:rFonts w:cs="Arial"/>
        </w:rPr>
        <w:t>the students with disabilities</w:t>
      </w:r>
      <w:r w:rsidR="5AE08A36" w:rsidRPr="00E22A72">
        <w:rPr>
          <w:rFonts w:cs="Arial"/>
        </w:rPr>
        <w:t xml:space="preserve"> subgroup in</w:t>
      </w:r>
      <w:r w:rsidR="554A1854">
        <w:rPr>
          <w:rFonts w:cs="Arial"/>
        </w:rPr>
        <w:t xml:space="preserve"> </w:t>
      </w:r>
      <w:r w:rsidR="554A1854" w:rsidRPr="000C5253">
        <w:rPr>
          <w:rFonts w:cs="Arial"/>
        </w:rPr>
        <w:t>ELA, mathematics, and science</w:t>
      </w:r>
      <w:r w:rsidR="5AE08A36" w:rsidRPr="3198D494">
        <w:rPr>
          <w:rFonts w:cs="Arial"/>
        </w:rPr>
        <w:t>.</w:t>
      </w:r>
    </w:p>
    <w:p w14:paraId="4C94011D" w14:textId="58840731" w:rsidR="001B16DE" w:rsidRPr="001B4F55" w:rsidRDefault="004F46FB" w:rsidP="001B16DE">
      <w:pPr>
        <w:spacing w:after="240"/>
        <w:rPr>
          <w:rFonts w:cs="Arial"/>
          <w:color w:val="000000" w:themeColor="text1"/>
        </w:rPr>
      </w:pPr>
      <w:r w:rsidRPr="0A024A19">
        <w:rPr>
          <w:rFonts w:cs="Arial"/>
        </w:rPr>
        <w:lastRenderedPageBreak/>
        <w:t xml:space="preserve">Per </w:t>
      </w:r>
      <w:r w:rsidR="001B16DE" w:rsidRPr="0A024A19">
        <w:rPr>
          <w:rFonts w:cs="Arial"/>
        </w:rPr>
        <w:t xml:space="preserve">34 </w:t>
      </w:r>
      <w:r w:rsidR="001B16DE" w:rsidRPr="0A024A19">
        <w:rPr>
          <w:rFonts w:cs="Arial"/>
          <w:i/>
          <w:iCs/>
        </w:rPr>
        <w:t>CFR</w:t>
      </w:r>
      <w:r w:rsidR="6C697B23" w:rsidRPr="0A024A19">
        <w:rPr>
          <w:rFonts w:cs="Arial"/>
        </w:rPr>
        <w:t>,</w:t>
      </w:r>
      <w:r w:rsidR="001B16DE" w:rsidRPr="0A024A19">
        <w:rPr>
          <w:rFonts w:cs="Arial"/>
        </w:rPr>
        <w:t xml:space="preserve"> Section 200.6(c)(4)(i)</w:t>
      </w:r>
      <w:r w:rsidR="00EB042B" w:rsidRPr="0A024A19">
        <w:rPr>
          <w:rFonts w:cs="Arial"/>
        </w:rPr>
        <w:t>,</w:t>
      </w:r>
      <w:r w:rsidR="001B16DE" w:rsidRPr="0A024A19">
        <w:rPr>
          <w:rFonts w:cs="Arial"/>
        </w:rPr>
        <w:t xml:space="preserve"> the waiver request must be submitted at least 90 days before the testing window for the relevant subject opens.</w:t>
      </w:r>
      <w:r w:rsidR="48AD9D1E" w:rsidRPr="0A024A19">
        <w:rPr>
          <w:rFonts w:cs="Arial"/>
        </w:rPr>
        <w:t xml:space="preserve"> </w:t>
      </w:r>
      <w:r w:rsidR="001B16DE" w:rsidRPr="0A024A19">
        <w:rPr>
          <w:rFonts w:cs="Arial"/>
        </w:rPr>
        <w:t xml:space="preserve">The state testing window for </w:t>
      </w:r>
      <w:r w:rsidR="04F384E5" w:rsidRPr="0A024A19">
        <w:rPr>
          <w:rFonts w:cs="Arial"/>
        </w:rPr>
        <w:t>ELA</w:t>
      </w:r>
      <w:r w:rsidR="001B16DE" w:rsidRPr="0A024A19">
        <w:rPr>
          <w:rFonts w:cs="Arial"/>
        </w:rPr>
        <w:t xml:space="preserve"> and mathematics alternate assessments opens on January </w:t>
      </w:r>
      <w:r w:rsidR="5BD39C59" w:rsidRPr="0A024A19">
        <w:rPr>
          <w:rFonts w:cs="Arial"/>
        </w:rPr>
        <w:t>9</w:t>
      </w:r>
      <w:r w:rsidR="66FC2D1A" w:rsidRPr="0A024A19">
        <w:rPr>
          <w:rFonts w:cs="Arial"/>
        </w:rPr>
        <w:t>, 202</w:t>
      </w:r>
      <w:r w:rsidR="4BFA3CF7" w:rsidRPr="0A024A19">
        <w:rPr>
          <w:rFonts w:cs="Arial"/>
        </w:rPr>
        <w:t>4</w:t>
      </w:r>
      <w:r w:rsidR="66FC2D1A" w:rsidRPr="0A024A19">
        <w:rPr>
          <w:rFonts w:cs="Arial"/>
        </w:rPr>
        <w:t xml:space="preserve">. </w:t>
      </w:r>
      <w:r w:rsidR="001B16DE" w:rsidRPr="0A024A19">
        <w:rPr>
          <w:rFonts w:cs="Arial"/>
        </w:rPr>
        <w:t xml:space="preserve">Ninety days prior to January </w:t>
      </w:r>
      <w:r w:rsidR="21EA2B67" w:rsidRPr="0A024A19">
        <w:rPr>
          <w:rFonts w:cs="Arial"/>
        </w:rPr>
        <w:t>9</w:t>
      </w:r>
      <w:r w:rsidR="66FC2D1A" w:rsidRPr="0A024A19">
        <w:rPr>
          <w:rFonts w:cs="Arial"/>
        </w:rPr>
        <w:t>, 202</w:t>
      </w:r>
      <w:r w:rsidR="0FA9406E" w:rsidRPr="0A024A19">
        <w:rPr>
          <w:rFonts w:cs="Arial"/>
        </w:rPr>
        <w:t>4</w:t>
      </w:r>
      <w:r w:rsidR="001B16DE" w:rsidRPr="0A024A19">
        <w:rPr>
          <w:rFonts w:cs="Arial"/>
        </w:rPr>
        <w:t xml:space="preserve">, </w:t>
      </w:r>
      <w:r w:rsidR="33C1270E" w:rsidRPr="0A024A19">
        <w:rPr>
          <w:rFonts w:cs="Arial"/>
        </w:rPr>
        <w:t>is</w:t>
      </w:r>
      <w:r w:rsidR="001B16DE" w:rsidRPr="0A024A19">
        <w:rPr>
          <w:rFonts w:cs="Arial"/>
        </w:rPr>
        <w:t xml:space="preserve"> October </w:t>
      </w:r>
      <w:r w:rsidR="66FC2D1A" w:rsidRPr="0A024A19">
        <w:rPr>
          <w:rFonts w:cs="Arial"/>
        </w:rPr>
        <w:t>1</w:t>
      </w:r>
      <w:r w:rsidR="4C8587DE" w:rsidRPr="0A024A19">
        <w:rPr>
          <w:rFonts w:cs="Arial"/>
        </w:rPr>
        <w:t>1</w:t>
      </w:r>
      <w:r w:rsidR="66FC2D1A" w:rsidRPr="0A024A19">
        <w:rPr>
          <w:rFonts w:cs="Arial"/>
        </w:rPr>
        <w:t>, 202</w:t>
      </w:r>
      <w:r w:rsidR="6897C75D" w:rsidRPr="0A024A19">
        <w:rPr>
          <w:rFonts w:cs="Arial"/>
        </w:rPr>
        <w:t>3</w:t>
      </w:r>
      <w:r w:rsidR="7C36EFE3" w:rsidRPr="0A024A19">
        <w:rPr>
          <w:rFonts w:cs="Arial"/>
        </w:rPr>
        <w:t xml:space="preserve">. </w:t>
      </w:r>
      <w:r w:rsidR="235C3F40" w:rsidRPr="0A024A19">
        <w:rPr>
          <w:rFonts w:cs="Arial"/>
        </w:rPr>
        <w:t>As a result</w:t>
      </w:r>
      <w:r w:rsidR="001B16DE" w:rsidRPr="0A024A19">
        <w:rPr>
          <w:rFonts w:cs="Arial"/>
        </w:rPr>
        <w:t xml:space="preserve">, this waiver request will </w:t>
      </w:r>
      <w:r w:rsidR="3081DB02" w:rsidRPr="0A024A19">
        <w:rPr>
          <w:rFonts w:cs="Arial"/>
        </w:rPr>
        <w:t xml:space="preserve">not </w:t>
      </w:r>
      <w:r w:rsidR="001B16DE" w:rsidRPr="0A024A19">
        <w:rPr>
          <w:rFonts w:cs="Arial"/>
        </w:rPr>
        <w:t>meet the 90-day requirement</w:t>
      </w:r>
      <w:r w:rsidR="5F642B44" w:rsidRPr="0A024A19">
        <w:rPr>
          <w:rFonts w:cs="Arial"/>
        </w:rPr>
        <w:t xml:space="preserve"> for</w:t>
      </w:r>
      <w:r w:rsidR="7D46B573" w:rsidRPr="0A024A19">
        <w:rPr>
          <w:rFonts w:cs="Arial"/>
        </w:rPr>
        <w:t xml:space="preserve"> ELA and mathematics</w:t>
      </w:r>
      <w:r w:rsidR="4A496D7F" w:rsidRPr="0A024A19">
        <w:rPr>
          <w:rFonts w:cs="Arial"/>
        </w:rPr>
        <w:t xml:space="preserve">. </w:t>
      </w:r>
      <w:r w:rsidR="001B16DE" w:rsidRPr="0A024A19">
        <w:rPr>
          <w:rFonts w:cs="Arial"/>
          <w:color w:val="000000" w:themeColor="text1"/>
        </w:rPr>
        <w:t xml:space="preserve">The CAA for Science testing window </w:t>
      </w:r>
      <w:r w:rsidR="001B16DE" w:rsidRPr="3198D494">
        <w:rPr>
          <w:rFonts w:cs="Arial"/>
          <w:color w:val="000000" w:themeColor="text1"/>
        </w:rPr>
        <w:t>open</w:t>
      </w:r>
      <w:r w:rsidR="008F1772" w:rsidRPr="3198D494">
        <w:rPr>
          <w:rFonts w:cs="Arial"/>
          <w:color w:val="000000" w:themeColor="text1"/>
        </w:rPr>
        <w:t>ed</w:t>
      </w:r>
      <w:r w:rsidR="001B16DE" w:rsidRPr="0A024A19">
        <w:rPr>
          <w:rFonts w:cs="Arial"/>
          <w:color w:val="000000" w:themeColor="text1"/>
        </w:rPr>
        <w:t xml:space="preserve"> on September </w:t>
      </w:r>
      <w:r w:rsidR="34EF4971" w:rsidRPr="0A024A19">
        <w:rPr>
          <w:rFonts w:cs="Arial"/>
          <w:color w:val="000000" w:themeColor="text1"/>
        </w:rPr>
        <w:t>1</w:t>
      </w:r>
      <w:r w:rsidR="00F15D1E" w:rsidRPr="0A024A19">
        <w:rPr>
          <w:rFonts w:cs="Arial"/>
          <w:color w:val="000000" w:themeColor="text1"/>
        </w:rPr>
        <w:t>9</w:t>
      </w:r>
      <w:r w:rsidR="66FC2D1A" w:rsidRPr="0A024A19">
        <w:rPr>
          <w:rFonts w:cs="Arial"/>
          <w:color w:val="000000" w:themeColor="text1"/>
        </w:rPr>
        <w:t>, 202</w:t>
      </w:r>
      <w:r w:rsidR="0232047E" w:rsidRPr="0A024A19">
        <w:rPr>
          <w:rFonts w:cs="Arial"/>
          <w:color w:val="000000" w:themeColor="text1"/>
        </w:rPr>
        <w:t>3</w:t>
      </w:r>
      <w:r w:rsidR="001B16DE" w:rsidRPr="0A024A19">
        <w:rPr>
          <w:rFonts w:cs="Arial"/>
          <w:color w:val="000000" w:themeColor="text1"/>
        </w:rPr>
        <w:t xml:space="preserve">, per California </w:t>
      </w:r>
      <w:r w:rsidR="001B16DE" w:rsidRPr="0A024A19">
        <w:rPr>
          <w:rFonts w:cs="Arial"/>
          <w:i/>
          <w:iCs/>
          <w:color w:val="000000" w:themeColor="text1"/>
        </w:rPr>
        <w:t>Education Code</w:t>
      </w:r>
      <w:r w:rsidR="001B16DE" w:rsidRPr="0A024A19">
        <w:rPr>
          <w:rFonts w:cs="Arial"/>
          <w:color w:val="000000" w:themeColor="text1"/>
        </w:rPr>
        <w:t xml:space="preserve"> (</w:t>
      </w:r>
      <w:r w:rsidR="001B16DE" w:rsidRPr="0A024A19">
        <w:rPr>
          <w:rFonts w:cs="Arial"/>
          <w:i/>
          <w:iCs/>
          <w:color w:val="000000" w:themeColor="text1"/>
        </w:rPr>
        <w:t>EC</w:t>
      </w:r>
      <w:r w:rsidR="001B16DE" w:rsidRPr="0A024A19">
        <w:rPr>
          <w:rFonts w:cs="Arial"/>
          <w:color w:val="000000" w:themeColor="text1"/>
        </w:rPr>
        <w:t xml:space="preserve">) Section 855(a)(2). Ninety days prior to September </w:t>
      </w:r>
      <w:r w:rsidR="6E1C891E" w:rsidRPr="0A024A19">
        <w:rPr>
          <w:rFonts w:cs="Arial"/>
          <w:color w:val="000000" w:themeColor="text1"/>
        </w:rPr>
        <w:t>1</w:t>
      </w:r>
      <w:r w:rsidR="00F15D1E" w:rsidRPr="0A024A19">
        <w:rPr>
          <w:rFonts w:cs="Arial"/>
          <w:color w:val="000000" w:themeColor="text1"/>
        </w:rPr>
        <w:t>9</w:t>
      </w:r>
      <w:r w:rsidR="66FC2D1A" w:rsidRPr="0A024A19">
        <w:rPr>
          <w:rFonts w:cs="Arial"/>
          <w:color w:val="000000" w:themeColor="text1"/>
        </w:rPr>
        <w:t>, 202</w:t>
      </w:r>
      <w:r w:rsidR="194ED50F" w:rsidRPr="0A024A19">
        <w:rPr>
          <w:rFonts w:cs="Arial"/>
          <w:color w:val="000000" w:themeColor="text1"/>
        </w:rPr>
        <w:t>3</w:t>
      </w:r>
      <w:r w:rsidR="001B16DE" w:rsidRPr="0A024A19">
        <w:rPr>
          <w:rFonts w:cs="Arial"/>
          <w:color w:val="000000" w:themeColor="text1"/>
        </w:rPr>
        <w:t xml:space="preserve">, </w:t>
      </w:r>
      <w:r w:rsidR="00F34B1F" w:rsidRPr="0A024A19">
        <w:rPr>
          <w:rFonts w:cs="Arial"/>
          <w:color w:val="000000" w:themeColor="text1"/>
        </w:rPr>
        <w:t>is</w:t>
      </w:r>
      <w:r w:rsidR="001B16DE" w:rsidRPr="0A024A19">
        <w:rPr>
          <w:rFonts w:cs="Arial"/>
          <w:color w:val="000000" w:themeColor="text1"/>
        </w:rPr>
        <w:t xml:space="preserve"> June </w:t>
      </w:r>
      <w:r w:rsidR="00F15D1E" w:rsidRPr="0A024A19">
        <w:rPr>
          <w:rFonts w:cs="Arial"/>
          <w:color w:val="000000" w:themeColor="text1"/>
        </w:rPr>
        <w:t>21</w:t>
      </w:r>
      <w:r w:rsidR="66FC2D1A" w:rsidRPr="0A024A19">
        <w:rPr>
          <w:rFonts w:cs="Arial"/>
          <w:color w:val="000000" w:themeColor="text1"/>
        </w:rPr>
        <w:t>, 202</w:t>
      </w:r>
      <w:r w:rsidR="5A5702D3" w:rsidRPr="0A024A19">
        <w:rPr>
          <w:rFonts w:cs="Arial"/>
          <w:color w:val="000000" w:themeColor="text1"/>
        </w:rPr>
        <w:t>3</w:t>
      </w:r>
      <w:r w:rsidR="001B16DE" w:rsidRPr="0A024A19">
        <w:rPr>
          <w:rFonts w:cs="Arial"/>
          <w:color w:val="000000" w:themeColor="text1"/>
        </w:rPr>
        <w:t xml:space="preserve">; therefore, this waiver request </w:t>
      </w:r>
      <w:r w:rsidR="009979DD" w:rsidRPr="0A024A19">
        <w:rPr>
          <w:rFonts w:cs="Arial"/>
          <w:color w:val="000000" w:themeColor="text1"/>
        </w:rPr>
        <w:t xml:space="preserve">also </w:t>
      </w:r>
      <w:r w:rsidR="001B16DE" w:rsidRPr="0A024A19">
        <w:rPr>
          <w:rFonts w:cs="Arial"/>
          <w:color w:val="000000" w:themeColor="text1"/>
        </w:rPr>
        <w:t>does not meet the 90-day requirement.</w:t>
      </w:r>
    </w:p>
    <w:p w14:paraId="64FB8F13" w14:textId="77777777" w:rsidR="001B16DE" w:rsidRPr="000560D2" w:rsidRDefault="001B16DE" w:rsidP="005E79F3">
      <w:pPr>
        <w:pStyle w:val="Heading2"/>
        <w:spacing w:before="480"/>
        <w:rPr>
          <w:szCs w:val="36"/>
        </w:rPr>
      </w:pPr>
      <w:r w:rsidRPr="000560D2">
        <w:rPr>
          <w:szCs w:val="36"/>
        </w:rPr>
        <w:t>Recommendation</w:t>
      </w:r>
    </w:p>
    <w:p w14:paraId="21ACA811" w14:textId="639A391E" w:rsidR="001B16DE" w:rsidRPr="000560D2" w:rsidRDefault="001B16DE" w:rsidP="001B16DE">
      <w:pPr>
        <w:spacing w:after="240"/>
        <w:rPr>
          <w:rFonts w:cs="Arial"/>
          <w:color w:val="000000" w:themeColor="text1"/>
        </w:rPr>
      </w:pPr>
      <w:r w:rsidRPr="000560D2">
        <w:rPr>
          <w:rFonts w:cs="Arial"/>
          <w:color w:val="000000"/>
          <w:shd w:val="clear" w:color="auto" w:fill="FFFFFF"/>
        </w:rPr>
        <w:t xml:space="preserve">The CDE recommends that the </w:t>
      </w:r>
      <w:r w:rsidR="00E53A6D" w:rsidRPr="005A419A">
        <w:rPr>
          <w:rFonts w:cs="Arial"/>
          <w:color w:val="000000"/>
          <w:shd w:val="clear" w:color="auto" w:fill="FFFFFF"/>
        </w:rPr>
        <w:t>California State Board of Education (</w:t>
      </w:r>
      <w:r w:rsidRPr="005A419A">
        <w:rPr>
          <w:rFonts w:cs="Arial"/>
          <w:color w:val="000000"/>
          <w:shd w:val="clear" w:color="auto" w:fill="FFFFFF"/>
        </w:rPr>
        <w:t>SBE</w:t>
      </w:r>
      <w:r w:rsidR="00E53A6D" w:rsidRPr="005A419A">
        <w:rPr>
          <w:rFonts w:cs="Arial"/>
          <w:color w:val="000000"/>
          <w:shd w:val="clear" w:color="auto" w:fill="FFFFFF"/>
        </w:rPr>
        <w:t>)</w:t>
      </w:r>
      <w:r w:rsidRPr="000560D2">
        <w:rPr>
          <w:rFonts w:cs="Arial"/>
          <w:color w:val="000000"/>
          <w:shd w:val="clear" w:color="auto" w:fill="FFFFFF"/>
        </w:rPr>
        <w:t xml:space="preserve"> authorize the CDE to submit to the </w:t>
      </w:r>
      <w:r w:rsidR="00896C64">
        <w:rPr>
          <w:rFonts w:cs="Arial"/>
          <w:color w:val="000000"/>
          <w:shd w:val="clear" w:color="auto" w:fill="FFFFFF"/>
        </w:rPr>
        <w:t>U.S. Department of Education (</w:t>
      </w:r>
      <w:r w:rsidRPr="000560D2">
        <w:rPr>
          <w:rFonts w:cs="Arial"/>
          <w:color w:val="000000"/>
          <w:shd w:val="clear" w:color="auto" w:fill="FFFFFF"/>
        </w:rPr>
        <w:t>ED</w:t>
      </w:r>
      <w:r w:rsidR="00896C64">
        <w:rPr>
          <w:rFonts w:cs="Arial"/>
          <w:color w:val="000000"/>
          <w:shd w:val="clear" w:color="auto" w:fill="FFFFFF"/>
        </w:rPr>
        <w:t>)</w:t>
      </w:r>
      <w:r w:rsidRPr="000560D2">
        <w:rPr>
          <w:rFonts w:cs="Arial"/>
          <w:color w:val="000000"/>
          <w:shd w:val="clear" w:color="auto" w:fill="FFFFFF"/>
        </w:rPr>
        <w:t xml:space="preserve"> a request for the waiver of the requirement to assess less than 1.0 percent of eligible students with an alternate assessment for ELA, mathematics, and science for the 202</w:t>
      </w:r>
      <w:r w:rsidR="007C4031" w:rsidRPr="000560D2">
        <w:rPr>
          <w:rFonts w:cs="Arial"/>
          <w:color w:val="000000"/>
          <w:shd w:val="clear" w:color="auto" w:fill="FFFFFF"/>
        </w:rPr>
        <w:t>3</w:t>
      </w:r>
      <w:r w:rsidRPr="000560D2">
        <w:rPr>
          <w:rFonts w:cs="Arial"/>
          <w:color w:val="000000"/>
          <w:shd w:val="clear" w:color="auto" w:fill="FFFFFF"/>
        </w:rPr>
        <w:t>–2</w:t>
      </w:r>
      <w:r w:rsidR="007C4031" w:rsidRPr="000560D2">
        <w:rPr>
          <w:rFonts w:cs="Arial"/>
          <w:color w:val="000000"/>
          <w:shd w:val="clear" w:color="auto" w:fill="FFFFFF"/>
        </w:rPr>
        <w:t>4</w:t>
      </w:r>
      <w:r w:rsidRPr="000560D2">
        <w:rPr>
          <w:rFonts w:cs="Arial"/>
          <w:color w:val="000000"/>
          <w:shd w:val="clear" w:color="auto" w:fill="FFFFFF"/>
        </w:rPr>
        <w:t xml:space="preserve"> administration found in Attachment 1.</w:t>
      </w:r>
    </w:p>
    <w:p w14:paraId="77B857AF" w14:textId="68D1BED0" w:rsidR="001B16DE" w:rsidRPr="001B4F55" w:rsidRDefault="001B16DE" w:rsidP="001B16DE">
      <w:pPr>
        <w:spacing w:after="480"/>
        <w:rPr>
          <w:rFonts w:cs="Arial"/>
          <w:color w:val="000000" w:themeColor="text1"/>
        </w:rPr>
      </w:pPr>
      <w:r w:rsidRPr="000560D2">
        <w:rPr>
          <w:rFonts w:cs="Arial"/>
          <w:color w:val="000000" w:themeColor="text1"/>
        </w:rPr>
        <w:t xml:space="preserve">The CDE also recommends that the SBE authorize the CDE to submit to the ED a request for a waiver of the requirement that a request for a waiver of the 1.0 percent cap be submitted at least 90 days before the beginning of the annual testing window for the CAA for </w:t>
      </w:r>
      <w:r w:rsidR="5D95371A" w:rsidRPr="000560D2">
        <w:rPr>
          <w:rFonts w:cs="Arial"/>
          <w:color w:val="000000" w:themeColor="text1"/>
        </w:rPr>
        <w:t xml:space="preserve">ELA, mathematics, and </w:t>
      </w:r>
      <w:r w:rsidR="00082C2A">
        <w:rPr>
          <w:rFonts w:cs="Arial"/>
          <w:color w:val="000000" w:themeColor="text1"/>
        </w:rPr>
        <w:t>s</w:t>
      </w:r>
      <w:r w:rsidR="00082C2A" w:rsidRPr="000560D2">
        <w:rPr>
          <w:rFonts w:cs="Arial"/>
          <w:color w:val="000000" w:themeColor="text1"/>
        </w:rPr>
        <w:t>cience</w:t>
      </w:r>
      <w:r w:rsidRPr="000560D2">
        <w:rPr>
          <w:rFonts w:cs="Arial"/>
          <w:color w:val="000000" w:themeColor="text1"/>
        </w:rPr>
        <w:t>.</w:t>
      </w:r>
    </w:p>
    <w:p w14:paraId="7608C7A9" w14:textId="128B5946" w:rsidR="001B16DE" w:rsidRPr="001B4F55" w:rsidRDefault="001B16DE" w:rsidP="001B16DE">
      <w:pPr>
        <w:pStyle w:val="Heading2"/>
      </w:pPr>
      <w:r>
        <w:t>Brief History of Key Issues</w:t>
      </w:r>
    </w:p>
    <w:p w14:paraId="47AE3FF9" w14:textId="35174BCE" w:rsidR="00D51109" w:rsidRDefault="00D51109" w:rsidP="00D51109">
      <w:pPr>
        <w:spacing w:after="240"/>
        <w:rPr>
          <w:rFonts w:cs="Arial"/>
        </w:rPr>
      </w:pPr>
      <w:bookmarkStart w:id="12" w:name="_Hlk34127194"/>
      <w:r w:rsidRPr="0020471D">
        <w:rPr>
          <w:rFonts w:cs="Arial"/>
        </w:rPr>
        <w:t xml:space="preserve">Title I of the Elementary and Secondary Education Act of 1965, as amended by the Every Student Succeeds Act, 20 </w:t>
      </w:r>
      <w:r w:rsidRPr="0020471D">
        <w:rPr>
          <w:rFonts w:cs="Arial"/>
          <w:i/>
        </w:rPr>
        <w:t>United States Code</w:t>
      </w:r>
      <w:r w:rsidRPr="0020471D">
        <w:rPr>
          <w:rFonts w:cs="Arial"/>
        </w:rPr>
        <w:t xml:space="preserve"> Section 6311(b)(2)(D)(i)(I) mandates that states are to maintain a statewide 1.0 percent participation threshold for the alternate assessments based on alternate academic achievement standards (AA-AAAS).</w:t>
      </w:r>
    </w:p>
    <w:p w14:paraId="0E7687EE" w14:textId="77777777" w:rsidR="008D2C43" w:rsidRDefault="007468D2" w:rsidP="007468D2">
      <w:pPr>
        <w:spacing w:after="240"/>
        <w:rPr>
          <w:rFonts w:cs="Arial"/>
          <w:color w:val="000000"/>
          <w:shd w:val="clear" w:color="auto" w:fill="FFFFFF"/>
        </w:rPr>
      </w:pPr>
      <w:r w:rsidRPr="001B4F55">
        <w:rPr>
          <w:rFonts w:cs="Arial"/>
          <w:color w:val="000000"/>
          <w:shd w:val="clear" w:color="auto" w:fill="FFFFFF"/>
        </w:rPr>
        <w:t xml:space="preserve">Per 34 </w:t>
      </w:r>
      <w:r w:rsidRPr="001B4F55">
        <w:rPr>
          <w:rFonts w:cs="Arial"/>
          <w:i/>
          <w:iCs/>
          <w:color w:val="000000"/>
          <w:shd w:val="clear" w:color="auto" w:fill="FFFFFF"/>
        </w:rPr>
        <w:t>CFR</w:t>
      </w:r>
      <w:r w:rsidRPr="2DBF1893">
        <w:rPr>
          <w:rFonts w:cs="Arial"/>
          <w:color w:val="000000"/>
          <w:shd w:val="clear" w:color="auto" w:fill="FFFFFF"/>
        </w:rPr>
        <w:t>,</w:t>
      </w:r>
      <w:r w:rsidRPr="001B4F55">
        <w:rPr>
          <w:rFonts w:cs="Arial"/>
          <w:color w:val="000000"/>
          <w:shd w:val="clear" w:color="auto" w:fill="FFFFFF"/>
        </w:rPr>
        <w:t xml:space="preserve"> Section 200.6(c)(3), a state must require that a local educational agency (LEA) submit information justifying the need of the LEA to assess more than 1.0 percent of its </w:t>
      </w:r>
      <w:r w:rsidRPr="001B4F55">
        <w:rPr>
          <w:rFonts w:cs="Arial"/>
          <w:color w:val="000000" w:themeColor="text1"/>
        </w:rPr>
        <w:t xml:space="preserve">eligible </w:t>
      </w:r>
      <w:r w:rsidRPr="001B4F55">
        <w:rPr>
          <w:rFonts w:cs="Arial"/>
          <w:color w:val="000000"/>
          <w:shd w:val="clear" w:color="auto" w:fill="FFFFFF"/>
        </w:rPr>
        <w:t>students with an alternate assessment. The state must also make the information submitted</w:t>
      </w:r>
      <w:r w:rsidRPr="004A3A71">
        <w:rPr>
          <w:rFonts w:cs="Arial"/>
          <w:color w:val="000000"/>
          <w:shd w:val="clear" w:color="auto" w:fill="FFFFFF"/>
        </w:rPr>
        <w:t xml:space="preserve"> by an LEA publicly available, provided that such information does not reveal personally identifiable information about an individual student. </w:t>
      </w:r>
    </w:p>
    <w:p w14:paraId="282E7A8C" w14:textId="4859E0D5" w:rsidR="00A92A3E" w:rsidRPr="00E6378D" w:rsidRDefault="007468D2" w:rsidP="007468D2">
      <w:pPr>
        <w:spacing w:after="240"/>
        <w:rPr>
          <w:rFonts w:cs="Arial"/>
          <w:color w:val="000000"/>
          <w:shd w:val="clear" w:color="auto" w:fill="FFFFFF"/>
        </w:rPr>
      </w:pPr>
      <w:r w:rsidRPr="004A3A71">
        <w:rPr>
          <w:rFonts w:cs="Arial"/>
          <w:color w:val="000000"/>
          <w:shd w:val="clear" w:color="auto" w:fill="FFFFFF"/>
        </w:rPr>
        <w:t xml:space="preserve">In an annual survey sent to all LEAs in the fall of each school year, the CDE collects responses from all LEAs in the state regarding their expected alternate assessment participation as well </w:t>
      </w:r>
      <w:r w:rsidRPr="001B4F55">
        <w:rPr>
          <w:rFonts w:cs="Arial"/>
          <w:color w:val="000000"/>
          <w:shd w:val="clear" w:color="auto" w:fill="FFFFFF"/>
        </w:rPr>
        <w:t xml:space="preserve">as, when applicable, information justifying an LEA’s need to assess more than 1.0 percent of its </w:t>
      </w:r>
      <w:r w:rsidRPr="001B4F55">
        <w:rPr>
          <w:rFonts w:cs="Arial"/>
          <w:color w:val="000000" w:themeColor="text1"/>
        </w:rPr>
        <w:t xml:space="preserve">eligible </w:t>
      </w:r>
      <w:r w:rsidRPr="001B4F55">
        <w:rPr>
          <w:rFonts w:cs="Arial"/>
          <w:color w:val="000000"/>
          <w:shd w:val="clear" w:color="auto" w:fill="FFFFFF"/>
        </w:rPr>
        <w:t xml:space="preserve">students with an alternate </w:t>
      </w:r>
      <w:r w:rsidRPr="000560D2">
        <w:rPr>
          <w:rFonts w:cs="Arial"/>
          <w:color w:val="000000"/>
          <w:shd w:val="clear" w:color="auto" w:fill="FFFFFF"/>
        </w:rPr>
        <w:t>assessment. The CDE will administer the 2023–24 survey and the information from this survey will be made available in fall 2023 on the CDE 1.0 Percent Threshold for Alternate Assessment</w:t>
      </w:r>
      <w:r w:rsidRPr="004A3A71">
        <w:rPr>
          <w:rFonts w:cs="Arial"/>
          <w:color w:val="000000"/>
          <w:shd w:val="clear" w:color="auto" w:fill="FFFFFF"/>
        </w:rPr>
        <w:t xml:space="preserve"> </w:t>
      </w:r>
      <w:r>
        <w:rPr>
          <w:rFonts w:cs="Arial"/>
          <w:color w:val="000000"/>
          <w:shd w:val="clear" w:color="auto" w:fill="FFFFFF"/>
        </w:rPr>
        <w:t>w</w:t>
      </w:r>
      <w:r w:rsidRPr="004A3A71">
        <w:rPr>
          <w:rFonts w:cs="Arial"/>
          <w:color w:val="000000"/>
          <w:shd w:val="clear" w:color="auto" w:fill="FFFFFF"/>
        </w:rPr>
        <w:t>eb</w:t>
      </w:r>
      <w:r>
        <w:rPr>
          <w:rFonts w:cs="Arial"/>
          <w:color w:val="000000"/>
          <w:shd w:val="clear" w:color="auto" w:fill="FFFFFF"/>
        </w:rPr>
        <w:t xml:space="preserve"> page</w:t>
      </w:r>
      <w:r w:rsidRPr="004A3A71">
        <w:rPr>
          <w:rFonts w:cs="Arial"/>
          <w:color w:val="000000"/>
          <w:shd w:val="clear" w:color="auto" w:fill="FFFFFF"/>
        </w:rPr>
        <w:t xml:space="preserve"> at </w:t>
      </w:r>
      <w:hyperlink r:id="rId15" w:tooltip="This link opens the One Percent Threshold for Alternate Assessment webpage on the CDE website." w:history="1">
        <w:r w:rsidRPr="004A3A71">
          <w:rPr>
            <w:rStyle w:val="Hyperlink"/>
            <w:rFonts w:cs="Arial"/>
            <w:shd w:val="clear" w:color="auto" w:fill="FFFFFF"/>
          </w:rPr>
          <w:t>https://www.cde.ca.gov/ta/tg/ca/caaonepercent.asp</w:t>
        </w:r>
      </w:hyperlink>
      <w:r w:rsidRPr="004A3A71">
        <w:rPr>
          <w:rFonts w:cs="Arial"/>
          <w:color w:val="000000"/>
          <w:shd w:val="clear" w:color="auto" w:fill="FFFFFF"/>
        </w:rPr>
        <w:t>.</w:t>
      </w:r>
    </w:p>
    <w:bookmarkEnd w:id="12"/>
    <w:p w14:paraId="40BF769B" w14:textId="15409B54" w:rsidR="004C288B" w:rsidRPr="00DD082F" w:rsidRDefault="004C288B" w:rsidP="005E79F3">
      <w:pPr>
        <w:pStyle w:val="Heading3"/>
        <w:spacing w:before="480"/>
      </w:pPr>
      <w:r>
        <w:lastRenderedPageBreak/>
        <w:t>Waiver of the Requirement to Assess Less than 1.</w:t>
      </w:r>
      <w:r w:rsidR="0048656E">
        <w:t xml:space="preserve">0 Percent of Eligible Students with an Alternate Assessment for </w:t>
      </w:r>
      <w:r w:rsidR="0048656E" w:rsidRPr="005A419A">
        <w:t>E</w:t>
      </w:r>
      <w:r w:rsidR="0001312B" w:rsidRPr="005A419A">
        <w:t>nglish Language Arts/Literacy</w:t>
      </w:r>
      <w:r w:rsidR="0001312B">
        <w:t>,</w:t>
      </w:r>
      <w:r w:rsidR="0048656E">
        <w:t xml:space="preserve"> Mathematics, and Science</w:t>
      </w:r>
    </w:p>
    <w:p w14:paraId="7C35BFC4" w14:textId="15C0D9A8" w:rsidR="008C1A55" w:rsidRDefault="008C1A55" w:rsidP="001B16DE">
      <w:pPr>
        <w:spacing w:after="240"/>
        <w:rPr>
          <w:rFonts w:cs="Arial"/>
          <w:color w:val="000000" w:themeColor="text1"/>
        </w:rPr>
      </w:pPr>
      <w:r w:rsidRPr="001B4F55">
        <w:rPr>
          <w:rFonts w:cs="Arial"/>
          <w:shd w:val="clear" w:color="auto" w:fill="FFFFFF"/>
        </w:rPr>
        <w:t>Based on the CDE’s data analysis using 202</w:t>
      </w:r>
      <w:r>
        <w:rPr>
          <w:rFonts w:cs="Arial"/>
          <w:shd w:val="clear" w:color="auto" w:fill="FFFFFF"/>
        </w:rPr>
        <w:t>2</w:t>
      </w:r>
      <w:r w:rsidRPr="001B4F55">
        <w:rPr>
          <w:rFonts w:cs="Arial"/>
          <w:shd w:val="clear" w:color="auto" w:fill="FFFFFF"/>
        </w:rPr>
        <w:t>–2</w:t>
      </w:r>
      <w:r>
        <w:rPr>
          <w:rFonts w:cs="Arial"/>
          <w:shd w:val="clear" w:color="auto" w:fill="FFFFFF"/>
        </w:rPr>
        <w:t>3</w:t>
      </w:r>
      <w:r w:rsidRPr="001B4F55">
        <w:rPr>
          <w:rFonts w:cs="Arial"/>
          <w:shd w:val="clear" w:color="auto" w:fill="FFFFFF"/>
        </w:rPr>
        <w:t xml:space="preserve"> test </w:t>
      </w:r>
      <w:r w:rsidRPr="000560D2">
        <w:rPr>
          <w:rFonts w:cs="Arial"/>
          <w:shd w:val="clear" w:color="auto" w:fill="FFFFFF"/>
        </w:rPr>
        <w:t>participation data, the CDE anticipates that California will exceed the 1.0 percent cap for the 2023–24 school year.</w:t>
      </w:r>
    </w:p>
    <w:p w14:paraId="4A0B91D3" w14:textId="6F224F80" w:rsidR="000169B5" w:rsidRPr="008E2444" w:rsidRDefault="001B16DE" w:rsidP="000169B5">
      <w:pPr>
        <w:spacing w:after="240"/>
        <w:rPr>
          <w:rFonts w:eastAsia="Arial" w:cs="Arial"/>
        </w:rPr>
      </w:pPr>
      <w:r w:rsidRPr="001B4F55">
        <w:rPr>
          <w:rFonts w:cs="Arial"/>
          <w:color w:val="000000" w:themeColor="text1"/>
        </w:rPr>
        <w:t>Attachment</w:t>
      </w:r>
      <w:r w:rsidR="0001312B">
        <w:rPr>
          <w:rFonts w:cs="Arial"/>
          <w:color w:val="000000" w:themeColor="text1"/>
        </w:rPr>
        <w:t xml:space="preserve"> </w:t>
      </w:r>
      <w:r w:rsidRPr="001B4F55">
        <w:rPr>
          <w:rFonts w:cs="Arial"/>
          <w:color w:val="000000" w:themeColor="text1"/>
        </w:rPr>
        <w:t>1 contains the final number of students participating in the 202</w:t>
      </w:r>
      <w:r w:rsidR="006156EB">
        <w:rPr>
          <w:rFonts w:cs="Arial"/>
          <w:color w:val="000000" w:themeColor="text1"/>
        </w:rPr>
        <w:t>2</w:t>
      </w:r>
      <w:r w:rsidRPr="001B4F55">
        <w:rPr>
          <w:rFonts w:cs="Arial"/>
          <w:color w:val="000000" w:themeColor="text1"/>
        </w:rPr>
        <w:t>–2</w:t>
      </w:r>
      <w:r w:rsidR="006156EB">
        <w:rPr>
          <w:rFonts w:cs="Arial"/>
          <w:color w:val="000000" w:themeColor="text1"/>
        </w:rPr>
        <w:t>3</w:t>
      </w:r>
      <w:r w:rsidRPr="001B4F55">
        <w:rPr>
          <w:rFonts w:cs="Arial"/>
          <w:color w:val="000000" w:themeColor="text1"/>
        </w:rPr>
        <w:t xml:space="preserve"> administration as well as test registration</w:t>
      </w:r>
      <w:r w:rsidR="008F38E0">
        <w:rPr>
          <w:rFonts w:cs="Arial"/>
          <w:color w:val="000000" w:themeColor="text1"/>
        </w:rPr>
        <w:t>s</w:t>
      </w:r>
      <w:r w:rsidRPr="001B4F55">
        <w:rPr>
          <w:rFonts w:cs="Arial"/>
          <w:color w:val="000000" w:themeColor="text1"/>
        </w:rPr>
        <w:t xml:space="preserve"> for 202</w:t>
      </w:r>
      <w:r w:rsidR="006156EB">
        <w:rPr>
          <w:rFonts w:cs="Arial"/>
          <w:color w:val="000000" w:themeColor="text1"/>
        </w:rPr>
        <w:t>3</w:t>
      </w:r>
      <w:r w:rsidRPr="001B4F55">
        <w:rPr>
          <w:rFonts w:cs="Arial"/>
          <w:color w:val="000000" w:themeColor="text1"/>
        </w:rPr>
        <w:t>–2</w:t>
      </w:r>
      <w:r w:rsidR="006156EB">
        <w:rPr>
          <w:rFonts w:cs="Arial"/>
          <w:color w:val="000000" w:themeColor="text1"/>
        </w:rPr>
        <w:t>4</w:t>
      </w:r>
      <w:r w:rsidRPr="001B4F55">
        <w:rPr>
          <w:rFonts w:cs="Arial"/>
          <w:color w:val="000000" w:themeColor="text1"/>
        </w:rPr>
        <w:t xml:space="preserve"> administration</w:t>
      </w:r>
      <w:r w:rsidRPr="000560D2">
        <w:rPr>
          <w:rFonts w:cs="Arial"/>
          <w:color w:val="000000" w:themeColor="text1"/>
        </w:rPr>
        <w:t xml:space="preserve">. </w:t>
      </w:r>
      <w:r w:rsidR="000169B5">
        <w:rPr>
          <w:rFonts w:cs="Arial"/>
        </w:rPr>
        <w:t>Included in Attachment 1 is t</w:t>
      </w:r>
      <w:r w:rsidR="000169B5" w:rsidRPr="001B4F55">
        <w:rPr>
          <w:rFonts w:cs="Arial"/>
        </w:rPr>
        <w:t>he State’s plan and high-level timeline that shows the progress in reducing the percentage of students taking an alternate assessment.</w:t>
      </w:r>
      <w:r w:rsidR="000169B5">
        <w:rPr>
          <w:rFonts w:cs="Arial"/>
        </w:rPr>
        <w:t xml:space="preserve"> </w:t>
      </w:r>
    </w:p>
    <w:p w14:paraId="775F089C" w14:textId="5A88E1D7" w:rsidR="006C179C" w:rsidRPr="001B4F55" w:rsidRDefault="001B16DE" w:rsidP="001B16DE">
      <w:pPr>
        <w:spacing w:after="240"/>
        <w:rPr>
          <w:rFonts w:cs="Arial"/>
          <w:color w:val="000000" w:themeColor="text1"/>
        </w:rPr>
      </w:pPr>
      <w:r w:rsidRPr="000560D2">
        <w:rPr>
          <w:rFonts w:cs="Arial"/>
          <w:color w:val="000000" w:themeColor="text1"/>
        </w:rPr>
        <w:t>The waiver request will be submitted to the ED in fall 202</w:t>
      </w:r>
      <w:r w:rsidR="02ED8F94" w:rsidRPr="000560D2">
        <w:rPr>
          <w:rFonts w:cs="Arial"/>
          <w:color w:val="000000" w:themeColor="text1"/>
        </w:rPr>
        <w:t>3</w:t>
      </w:r>
      <w:r w:rsidRPr="000560D2">
        <w:rPr>
          <w:rFonts w:cs="Arial"/>
          <w:color w:val="000000" w:themeColor="text1"/>
        </w:rPr>
        <w:t xml:space="preserve"> once</w:t>
      </w:r>
      <w:r w:rsidRPr="001B4F55">
        <w:rPr>
          <w:rFonts w:cs="Arial"/>
          <w:color w:val="000000" w:themeColor="text1"/>
        </w:rPr>
        <w:t xml:space="preserve"> it is signed by the </w:t>
      </w:r>
      <w:r w:rsidR="00191BCC">
        <w:rPr>
          <w:rFonts w:cs="Arial"/>
          <w:color w:val="000000" w:themeColor="text1"/>
        </w:rPr>
        <w:t>SBE</w:t>
      </w:r>
      <w:r w:rsidRPr="001B4F55">
        <w:rPr>
          <w:rFonts w:cs="Arial"/>
          <w:color w:val="000000" w:themeColor="text1"/>
        </w:rPr>
        <w:t xml:space="preserve"> President and the State Superintendent of Public Instruction. </w:t>
      </w:r>
    </w:p>
    <w:p w14:paraId="311AD5CB" w14:textId="25D00AD4" w:rsidR="003A39CF" w:rsidRDefault="001F1C4A" w:rsidP="00A64518">
      <w:pPr>
        <w:spacing w:after="240"/>
        <w:rPr>
          <w:rFonts w:cs="Arial"/>
        </w:rPr>
      </w:pPr>
      <w:r>
        <w:t>Details</w:t>
      </w:r>
      <w:r w:rsidR="009F6FF8">
        <w:t xml:space="preserve"> surrounding California’s previous requests for a waiver of the 1.0 percent cap are </w:t>
      </w:r>
      <w:r>
        <w:t>provided</w:t>
      </w:r>
      <w:r w:rsidR="009F6FF8">
        <w:t xml:space="preserve"> below.</w:t>
      </w:r>
    </w:p>
    <w:p w14:paraId="53A91ED2" w14:textId="69148B54" w:rsidR="2AB0BC1D" w:rsidRDefault="2DF965B1" w:rsidP="1CABBA0A">
      <w:pPr>
        <w:keepNext/>
        <w:spacing w:after="240"/>
        <w:rPr>
          <w:rFonts w:cs="Arial"/>
        </w:rPr>
      </w:pPr>
      <w:r w:rsidRPr="1CABBA0A">
        <w:rPr>
          <w:rFonts w:cs="Arial"/>
        </w:rPr>
        <w:t>2022–23 School Year:</w:t>
      </w:r>
    </w:p>
    <w:p w14:paraId="2F18FFD0" w14:textId="5A7DE09B" w:rsidR="2AB0BC1D" w:rsidRDefault="2DF965B1" w:rsidP="1CABBA0A">
      <w:pPr>
        <w:pStyle w:val="ListParagraph"/>
        <w:keepNext/>
        <w:numPr>
          <w:ilvl w:val="0"/>
          <w:numId w:val="10"/>
        </w:numPr>
        <w:spacing w:after="240"/>
        <w:rPr>
          <w:rFonts w:cs="Arial"/>
        </w:rPr>
      </w:pPr>
      <w:r w:rsidRPr="1CABBA0A">
        <w:rPr>
          <w:rFonts w:cs="Arial"/>
        </w:rPr>
        <w:t>In July 2022</w:t>
      </w:r>
      <w:r w:rsidRPr="1CABBA0A">
        <w:rPr>
          <w:rFonts w:cs="Arial"/>
          <w:color w:val="000000" w:themeColor="text1"/>
        </w:rPr>
        <w:t xml:space="preserve">, the SBE authorized the CDE to submit to the ED a waiver </w:t>
      </w:r>
      <w:r w:rsidRPr="1CABBA0A">
        <w:rPr>
          <w:rFonts w:cs="Arial"/>
        </w:rPr>
        <w:t xml:space="preserve">of the 1.0 percent cap of eligible students being assessed with an alternate assessment for ELA, mathematics, and science for the 2022–23 administration. The SBE also authorized a </w:t>
      </w:r>
      <w:r w:rsidRPr="1CABBA0A">
        <w:rPr>
          <w:rFonts w:cs="Arial"/>
          <w:color w:val="000000" w:themeColor="text1"/>
        </w:rPr>
        <w:t xml:space="preserve">waiver of the requirement that a request for a waiver of the 1.0 percent cap be submitted at least 90 days before the beginning of the annual testing window for the CAA for Science. </w:t>
      </w:r>
      <w:r w:rsidRPr="1CABBA0A">
        <w:rPr>
          <w:rFonts w:cs="Arial"/>
        </w:rPr>
        <w:t xml:space="preserve">The ED responded on December 15, 2022, with a denial of California’s request because California did not meet the requirement in 34 </w:t>
      </w:r>
      <w:r w:rsidRPr="1CABBA0A">
        <w:rPr>
          <w:rFonts w:cs="Arial"/>
          <w:i/>
          <w:iCs/>
        </w:rPr>
        <w:t>CFR,</w:t>
      </w:r>
      <w:r w:rsidRPr="1CABBA0A">
        <w:rPr>
          <w:rFonts w:cs="Arial"/>
        </w:rPr>
        <w:t xml:space="preserve"> Section 200.6(c)(4), demonstrating that it had assessed 95 percent of all students and 95 percent of students with disabilities in reading/language arts, mathematics, and science in 2021–22.</w:t>
      </w:r>
    </w:p>
    <w:p w14:paraId="7FB3AAD1" w14:textId="18C3B2B3" w:rsidR="12EAC8F0" w:rsidRDefault="12EAC8F0" w:rsidP="00E757F2">
      <w:pPr>
        <w:spacing w:after="240"/>
      </w:pPr>
      <w:r w:rsidRPr="6EC642E0">
        <w:t>2021–22 School Year</w:t>
      </w:r>
      <w:r w:rsidR="00D1539A">
        <w:t>:</w:t>
      </w:r>
    </w:p>
    <w:p w14:paraId="65058CAE" w14:textId="4E888E0E" w:rsidR="00114EEA" w:rsidRPr="00654921" w:rsidRDefault="0029EAEC" w:rsidP="30A28664">
      <w:pPr>
        <w:pStyle w:val="ListParagraph"/>
        <w:numPr>
          <w:ilvl w:val="0"/>
          <w:numId w:val="10"/>
        </w:numPr>
        <w:spacing w:after="240"/>
        <w:rPr>
          <w:rFonts w:cs="Arial"/>
        </w:rPr>
      </w:pPr>
      <w:r w:rsidRPr="6EC642E0">
        <w:rPr>
          <w:rFonts w:cs="Arial"/>
          <w:color w:val="000000" w:themeColor="text1"/>
        </w:rPr>
        <w:t xml:space="preserve">In </w:t>
      </w:r>
      <w:r w:rsidR="00FF390A" w:rsidRPr="00E73D21">
        <w:rPr>
          <w:rFonts w:cs="Arial"/>
          <w:color w:val="000000" w:themeColor="text1"/>
        </w:rPr>
        <w:t>March 2022</w:t>
      </w:r>
      <w:r w:rsidR="3C99BFF3" w:rsidRPr="6EC642E0">
        <w:rPr>
          <w:rFonts w:cs="Arial"/>
          <w:color w:val="000000" w:themeColor="text1"/>
        </w:rPr>
        <w:t>, t</w:t>
      </w:r>
      <w:r w:rsidR="00FF390A" w:rsidRPr="00E73D21">
        <w:rPr>
          <w:rFonts w:cs="Arial"/>
          <w:color w:val="000000" w:themeColor="text1"/>
        </w:rPr>
        <w:t xml:space="preserve">he SBE authorized the CDE to submit to the ED a waiver </w:t>
      </w:r>
      <w:r w:rsidR="00FF390A" w:rsidRPr="00E73D21">
        <w:rPr>
          <w:rFonts w:cs="Arial"/>
        </w:rPr>
        <w:t xml:space="preserve">of the 1.0 percent cap of eligible students being assessed with an alternate assessment for ELA, mathematics, and science for the 2021–22 administration. </w:t>
      </w:r>
      <w:r w:rsidR="00E4584F">
        <w:rPr>
          <w:rFonts w:cs="Arial"/>
        </w:rPr>
        <w:t xml:space="preserve">The waiver </w:t>
      </w:r>
      <w:r w:rsidR="00FF390A" w:rsidRPr="00E73D21">
        <w:rPr>
          <w:rFonts w:cs="Arial"/>
        </w:rPr>
        <w:t xml:space="preserve">request </w:t>
      </w:r>
      <w:r w:rsidR="00A21737" w:rsidRPr="00E73D21">
        <w:rPr>
          <w:rFonts w:cs="Arial"/>
        </w:rPr>
        <w:t xml:space="preserve">for 2021–22 </w:t>
      </w:r>
      <w:r w:rsidR="00FF390A" w:rsidRPr="00E73D21">
        <w:rPr>
          <w:rFonts w:cs="Arial"/>
        </w:rPr>
        <w:t>was submitted to the ED</w:t>
      </w:r>
      <w:r w:rsidR="00E4584F" w:rsidRPr="00E73D21">
        <w:rPr>
          <w:rFonts w:cs="Arial"/>
        </w:rPr>
        <w:t xml:space="preserve"> on May 3, 2022</w:t>
      </w:r>
      <w:r w:rsidR="00FF390A" w:rsidRPr="00E73D21">
        <w:rPr>
          <w:rFonts w:cs="Arial"/>
        </w:rPr>
        <w:t xml:space="preserve">. </w:t>
      </w:r>
      <w:r w:rsidR="007E6534">
        <w:rPr>
          <w:rFonts w:cs="Arial"/>
        </w:rPr>
        <w:t xml:space="preserve">On </w:t>
      </w:r>
      <w:r w:rsidR="00FF390A" w:rsidRPr="00E73D21">
        <w:rPr>
          <w:rFonts w:cs="Arial"/>
        </w:rPr>
        <w:t>June 22, 2022</w:t>
      </w:r>
      <w:r w:rsidR="007E6534">
        <w:rPr>
          <w:rFonts w:cs="Arial"/>
        </w:rPr>
        <w:t>,</w:t>
      </w:r>
      <w:r w:rsidR="00A21737" w:rsidRPr="00E73D21">
        <w:rPr>
          <w:rFonts w:cs="Arial"/>
        </w:rPr>
        <w:t xml:space="preserve"> </w:t>
      </w:r>
      <w:r w:rsidR="007E6534">
        <w:rPr>
          <w:rFonts w:cs="Arial"/>
        </w:rPr>
        <w:t>t</w:t>
      </w:r>
      <w:r w:rsidR="00FF390A" w:rsidRPr="00E73D21">
        <w:rPr>
          <w:rFonts w:cs="Arial"/>
        </w:rPr>
        <w:t xml:space="preserve">he ED responded with a denial of California’s request because California </w:t>
      </w:r>
      <w:r w:rsidR="077F001C" w:rsidRPr="5D977A4F">
        <w:rPr>
          <w:rFonts w:cs="Arial"/>
        </w:rPr>
        <w:t>did</w:t>
      </w:r>
      <w:r w:rsidR="00FF390A" w:rsidRPr="00E73D21">
        <w:rPr>
          <w:rFonts w:cs="Arial"/>
        </w:rPr>
        <w:t xml:space="preserve"> not </w:t>
      </w:r>
      <w:r w:rsidR="5F2FE22E" w:rsidRPr="2DBF1893">
        <w:rPr>
          <w:rFonts w:cs="Arial"/>
        </w:rPr>
        <w:t>meet</w:t>
      </w:r>
      <w:r w:rsidR="00FF390A" w:rsidRPr="00E73D21">
        <w:rPr>
          <w:rFonts w:cs="Arial"/>
        </w:rPr>
        <w:t xml:space="preserve"> the requirement in 34 </w:t>
      </w:r>
      <w:r w:rsidR="00FF390A" w:rsidRPr="00E73D21">
        <w:rPr>
          <w:rFonts w:cs="Arial"/>
          <w:i/>
        </w:rPr>
        <w:t>CFR</w:t>
      </w:r>
      <w:r w:rsidR="03DBDA24" w:rsidRPr="2DBF1893">
        <w:rPr>
          <w:rFonts w:cs="Arial"/>
          <w:i/>
          <w:iCs/>
        </w:rPr>
        <w:t>,</w:t>
      </w:r>
      <w:r w:rsidR="00FF390A" w:rsidRPr="2DBF1893">
        <w:rPr>
          <w:rFonts w:cs="Arial"/>
        </w:rPr>
        <w:t xml:space="preserve"> </w:t>
      </w:r>
      <w:r w:rsidR="14E01FBF" w:rsidRPr="2DBF1893">
        <w:rPr>
          <w:rFonts w:cs="Arial"/>
        </w:rPr>
        <w:t>S</w:t>
      </w:r>
      <w:r w:rsidR="0E35F42B" w:rsidRPr="2DBF1893">
        <w:rPr>
          <w:rFonts w:cs="Arial"/>
        </w:rPr>
        <w:t>ection</w:t>
      </w:r>
      <w:r w:rsidR="00FF390A" w:rsidRPr="00E73D21">
        <w:rPr>
          <w:rFonts w:cs="Arial"/>
        </w:rPr>
        <w:t xml:space="preserve"> 200.6(c)(4), demonstrating that it </w:t>
      </w:r>
      <w:r w:rsidR="1B011329" w:rsidRPr="5D977A4F">
        <w:rPr>
          <w:rFonts w:cs="Arial"/>
        </w:rPr>
        <w:t>had</w:t>
      </w:r>
      <w:r w:rsidR="003F4352">
        <w:rPr>
          <w:rFonts w:cs="Arial"/>
        </w:rPr>
        <w:t xml:space="preserve"> </w:t>
      </w:r>
      <w:r w:rsidR="00FF390A" w:rsidRPr="00E73D21">
        <w:rPr>
          <w:rFonts w:cs="Arial"/>
        </w:rPr>
        <w:t>assessed 95 percent of all students and 95 percent of students with disabilities in reading/language arts, mathematics, and science in 2020–21.</w:t>
      </w:r>
    </w:p>
    <w:p w14:paraId="5464DA40" w14:textId="4A8C9BBF" w:rsidR="00114EEA" w:rsidRPr="00E73D21" w:rsidRDefault="709C824F" w:rsidP="1CABBA0A">
      <w:pPr>
        <w:keepNext/>
        <w:spacing w:after="240"/>
        <w:rPr>
          <w:rFonts w:cs="Arial"/>
        </w:rPr>
      </w:pPr>
      <w:r w:rsidRPr="1CABBA0A">
        <w:rPr>
          <w:rFonts w:cs="Arial"/>
        </w:rPr>
        <w:t>2020–21 School Year:</w:t>
      </w:r>
    </w:p>
    <w:p w14:paraId="46AE00A0" w14:textId="45393874" w:rsidR="00114EEA" w:rsidRPr="00E73D21" w:rsidRDefault="709C824F" w:rsidP="1CABBA0A">
      <w:pPr>
        <w:pStyle w:val="ListParagraph"/>
        <w:keepNext/>
        <w:numPr>
          <w:ilvl w:val="0"/>
          <w:numId w:val="10"/>
        </w:numPr>
        <w:spacing w:after="240"/>
        <w:rPr>
          <w:rFonts w:cs="Arial"/>
        </w:rPr>
      </w:pPr>
      <w:r w:rsidRPr="1CABBA0A">
        <w:rPr>
          <w:rFonts w:cs="Arial"/>
          <w:color w:val="000000" w:themeColor="text1"/>
        </w:rPr>
        <w:t xml:space="preserve">In September 2020, the SBE authorized CDE to submit to the ED a waiver </w:t>
      </w:r>
      <w:r w:rsidRPr="1CABBA0A">
        <w:rPr>
          <w:rFonts w:cs="Arial"/>
        </w:rPr>
        <w:t xml:space="preserve">of the requirement to assess less than 1.0 percent of eligible students with an alternate </w:t>
      </w:r>
      <w:r w:rsidRPr="1CABBA0A">
        <w:rPr>
          <w:rFonts w:cs="Arial"/>
        </w:rPr>
        <w:lastRenderedPageBreak/>
        <w:t>assessment for ELA, mathematics, and science for the 2020–21 administration. The waiver request was submitted to the ED in November 2020. In January 2021, the ED denied this waiver request</w:t>
      </w:r>
      <w:r w:rsidRPr="1CABBA0A">
        <w:rPr>
          <w:rFonts w:cs="Arial"/>
          <w:color w:val="000000" w:themeColor="text1"/>
        </w:rPr>
        <w:t xml:space="preserve"> due to California’s not having demonstrated that it had assessed 95 percent of all eligible students in science and 95 percent of students with disabilities in ELA, mathematics, and science in 2018–19.</w:t>
      </w:r>
      <w:r w:rsidRPr="1CABBA0A">
        <w:rPr>
          <w:rFonts w:cs="Arial"/>
        </w:rPr>
        <w:t xml:space="preserve"> </w:t>
      </w:r>
    </w:p>
    <w:p w14:paraId="4B71A8E3" w14:textId="7320EA1C" w:rsidR="001B16DE" w:rsidRPr="0056439B" w:rsidRDefault="001B16DE" w:rsidP="005E79F3">
      <w:pPr>
        <w:pStyle w:val="Heading3"/>
        <w:spacing w:before="480"/>
      </w:pPr>
      <w:r w:rsidRPr="0056439B">
        <w:t>Ninety-Day Timeline for Request of the 1.0 Percent Waiver for the C</w:t>
      </w:r>
      <w:r w:rsidR="007E2C65" w:rsidRPr="0056439B">
        <w:t>alifornia Alternate Assessment</w:t>
      </w:r>
      <w:r w:rsidRPr="0056439B">
        <w:t xml:space="preserve"> for </w:t>
      </w:r>
      <w:r w:rsidR="452AC4B3" w:rsidRPr="0056439B">
        <w:t>E</w:t>
      </w:r>
      <w:r w:rsidR="00502933" w:rsidRPr="0056439B">
        <w:t>nglish Language Arts/Literacy</w:t>
      </w:r>
      <w:r w:rsidR="7DCD273E" w:rsidRPr="0056439B">
        <w:t xml:space="preserve">, Mathematics, and </w:t>
      </w:r>
      <w:r w:rsidRPr="0056439B">
        <w:t>Science</w:t>
      </w:r>
    </w:p>
    <w:p w14:paraId="6268DBE3" w14:textId="59DB7C5C" w:rsidR="001B16DE" w:rsidRPr="001B4F55" w:rsidRDefault="001B16DE" w:rsidP="001B16DE">
      <w:pPr>
        <w:spacing w:after="240"/>
        <w:rPr>
          <w:rFonts w:eastAsia="Arial" w:cs="Arial"/>
        </w:rPr>
      </w:pPr>
      <w:r w:rsidRPr="001B4F55">
        <w:rPr>
          <w:rFonts w:eastAsia="Arial" w:cs="Arial"/>
        </w:rPr>
        <w:t xml:space="preserve">Per 34 </w:t>
      </w:r>
      <w:r w:rsidRPr="001B4F55">
        <w:rPr>
          <w:rFonts w:eastAsia="Arial" w:cs="Arial"/>
          <w:i/>
          <w:iCs/>
        </w:rPr>
        <w:t>CFR</w:t>
      </w:r>
      <w:r w:rsidR="39242DEA" w:rsidRPr="2DBF1893">
        <w:rPr>
          <w:rFonts w:eastAsia="Arial" w:cs="Arial"/>
        </w:rPr>
        <w:t>,</w:t>
      </w:r>
      <w:r w:rsidRPr="001B4F55">
        <w:rPr>
          <w:rFonts w:eastAsia="Arial" w:cs="Arial"/>
        </w:rPr>
        <w:t xml:space="preserve"> Section 200.6(c)(4)(</w:t>
      </w:r>
      <w:r w:rsidR="00AA0A85" w:rsidRPr="2DBF1893">
        <w:rPr>
          <w:rFonts w:eastAsia="Arial" w:cs="Arial"/>
        </w:rPr>
        <w:t>I</w:t>
      </w:r>
      <w:r w:rsidRPr="001B4F55">
        <w:rPr>
          <w:rFonts w:eastAsia="Arial" w:cs="Arial"/>
        </w:rPr>
        <w:t xml:space="preserve">), the deadline from the ED for requesting a waiver of the requirement to assess less than 1.0 percent of students with an alternate assessment is 90 days prior to beginning the annual test administration for each assessment program. The testing window for the CAA for Science is different from the window for the CAAs for ELA and mathematics. </w:t>
      </w:r>
    </w:p>
    <w:p w14:paraId="6BC881FB" w14:textId="4B42399E" w:rsidR="001B16DE" w:rsidRPr="000560D2" w:rsidRDefault="001B16DE" w:rsidP="001B16DE">
      <w:pPr>
        <w:spacing w:after="240"/>
        <w:rPr>
          <w:rFonts w:cs="Arial"/>
          <w:color w:val="000000" w:themeColor="text1"/>
        </w:rPr>
      </w:pPr>
      <w:r w:rsidRPr="001B4F55">
        <w:rPr>
          <w:rFonts w:eastAsia="Arial" w:cs="Arial"/>
        </w:rPr>
        <w:t xml:space="preserve">The annual </w:t>
      </w:r>
      <w:r w:rsidRPr="000560D2">
        <w:rPr>
          <w:rFonts w:eastAsia="Arial" w:cs="Arial"/>
        </w:rPr>
        <w:t>testing window for the CAAs for ELA and mathematics begins on January </w:t>
      </w:r>
      <w:r w:rsidR="0EF75241" w:rsidRPr="000560D2">
        <w:rPr>
          <w:rFonts w:eastAsia="Arial" w:cs="Arial"/>
        </w:rPr>
        <w:t>9</w:t>
      </w:r>
      <w:r w:rsidR="66FC2D1A" w:rsidRPr="000560D2">
        <w:rPr>
          <w:rFonts w:eastAsia="Arial" w:cs="Arial"/>
        </w:rPr>
        <w:t>, 202</w:t>
      </w:r>
      <w:r w:rsidR="54231176" w:rsidRPr="000560D2">
        <w:rPr>
          <w:rFonts w:eastAsia="Arial" w:cs="Arial"/>
        </w:rPr>
        <w:t>4</w:t>
      </w:r>
      <w:r w:rsidR="54B0C4D2" w:rsidRPr="2DBF1893">
        <w:rPr>
          <w:rFonts w:eastAsia="Arial" w:cs="Arial"/>
        </w:rPr>
        <w:t>,</w:t>
      </w:r>
      <w:r w:rsidRPr="000560D2">
        <w:rPr>
          <w:rFonts w:eastAsia="Arial" w:cs="Arial"/>
        </w:rPr>
        <w:t xml:space="preserve"> for the 202</w:t>
      </w:r>
      <w:r w:rsidR="00424107" w:rsidRPr="000560D2">
        <w:rPr>
          <w:rFonts w:eastAsia="Arial" w:cs="Arial"/>
        </w:rPr>
        <w:t>3</w:t>
      </w:r>
      <w:r w:rsidRPr="000560D2">
        <w:rPr>
          <w:rFonts w:eastAsia="Arial" w:cs="Arial"/>
        </w:rPr>
        <w:t>–2</w:t>
      </w:r>
      <w:r w:rsidR="00424107" w:rsidRPr="000560D2">
        <w:rPr>
          <w:rFonts w:eastAsia="Arial" w:cs="Arial"/>
        </w:rPr>
        <w:t>4</w:t>
      </w:r>
      <w:r w:rsidRPr="000560D2">
        <w:rPr>
          <w:rFonts w:eastAsia="Arial" w:cs="Arial"/>
        </w:rPr>
        <w:t xml:space="preserve"> school year, and 90 days prior to the opening of this testing</w:t>
      </w:r>
      <w:r w:rsidRPr="000560D2">
        <w:rPr>
          <w:rFonts w:cs="Arial"/>
          <w:color w:val="000000" w:themeColor="text1"/>
        </w:rPr>
        <w:t xml:space="preserve"> window is October </w:t>
      </w:r>
      <w:r w:rsidR="66FC2D1A" w:rsidRPr="000560D2">
        <w:rPr>
          <w:rFonts w:cs="Arial"/>
          <w:color w:val="000000" w:themeColor="text1"/>
        </w:rPr>
        <w:t>1</w:t>
      </w:r>
      <w:r w:rsidR="63B476C5" w:rsidRPr="000560D2">
        <w:rPr>
          <w:rFonts w:cs="Arial"/>
          <w:color w:val="000000" w:themeColor="text1"/>
        </w:rPr>
        <w:t>1</w:t>
      </w:r>
      <w:r w:rsidR="66FC2D1A" w:rsidRPr="000560D2">
        <w:rPr>
          <w:rFonts w:cs="Arial"/>
          <w:color w:val="000000" w:themeColor="text1"/>
        </w:rPr>
        <w:t>, 202</w:t>
      </w:r>
      <w:r w:rsidR="1331941B" w:rsidRPr="000560D2">
        <w:rPr>
          <w:rFonts w:cs="Arial"/>
          <w:color w:val="000000" w:themeColor="text1"/>
        </w:rPr>
        <w:t>3</w:t>
      </w:r>
      <w:r w:rsidR="66FC2D1A" w:rsidRPr="000560D2">
        <w:rPr>
          <w:rFonts w:cs="Arial"/>
          <w:color w:val="000000" w:themeColor="text1"/>
        </w:rPr>
        <w:t>.</w:t>
      </w:r>
      <w:r w:rsidR="33880D56" w:rsidRPr="000560D2">
        <w:rPr>
          <w:rFonts w:cs="Arial"/>
          <w:color w:val="000000" w:themeColor="text1"/>
        </w:rPr>
        <w:t xml:space="preserve"> </w:t>
      </w:r>
      <w:r w:rsidR="21A6E34B" w:rsidRPr="000560D2">
        <w:rPr>
          <w:rFonts w:cs="Arial"/>
          <w:color w:val="000000" w:themeColor="text1"/>
        </w:rPr>
        <w:t xml:space="preserve">As a result, </w:t>
      </w:r>
      <w:r w:rsidR="54B48629" w:rsidRPr="000560D2">
        <w:rPr>
          <w:rFonts w:cs="Arial"/>
          <w:color w:val="000000" w:themeColor="text1"/>
        </w:rPr>
        <w:t>t</w:t>
      </w:r>
      <w:r w:rsidR="66FC2D1A" w:rsidRPr="000560D2">
        <w:rPr>
          <w:rFonts w:cs="Arial"/>
          <w:color w:val="000000" w:themeColor="text1"/>
        </w:rPr>
        <w:t>he</w:t>
      </w:r>
      <w:r w:rsidRPr="000560D2">
        <w:rPr>
          <w:rFonts w:cs="Arial"/>
          <w:color w:val="000000" w:themeColor="text1"/>
        </w:rPr>
        <w:t xml:space="preserve"> CDE expects </w:t>
      </w:r>
      <w:r w:rsidR="52E41AE2" w:rsidRPr="000560D2">
        <w:rPr>
          <w:rFonts w:cs="Arial"/>
          <w:color w:val="000000" w:themeColor="text1"/>
        </w:rPr>
        <w:t xml:space="preserve">not </w:t>
      </w:r>
      <w:r w:rsidRPr="000560D2">
        <w:rPr>
          <w:rFonts w:cs="Arial"/>
          <w:color w:val="000000" w:themeColor="text1"/>
        </w:rPr>
        <w:t xml:space="preserve">to meet the 90-day timeline in applying for a waiver of the 1.0 percent cap for the CAAs for ELA and mathematics; therefore, </w:t>
      </w:r>
      <w:r w:rsidR="74B05B3D" w:rsidRPr="000560D2">
        <w:rPr>
          <w:rFonts w:cs="Arial"/>
          <w:color w:val="000000" w:themeColor="text1"/>
        </w:rPr>
        <w:t>a</w:t>
      </w:r>
      <w:r w:rsidRPr="000560D2">
        <w:rPr>
          <w:rFonts w:cs="Arial"/>
          <w:color w:val="000000" w:themeColor="text1"/>
        </w:rPr>
        <w:t xml:space="preserve"> waiver of the 90-day timeline is needed for ELA and mathematics. </w:t>
      </w:r>
    </w:p>
    <w:p w14:paraId="062F7751" w14:textId="2F74D22F" w:rsidR="001B16DE" w:rsidRPr="00C71630" w:rsidRDefault="001B16DE" w:rsidP="001B16DE">
      <w:pPr>
        <w:spacing w:after="480"/>
        <w:rPr>
          <w:rFonts w:eastAsia="Arial" w:cs="Arial"/>
        </w:rPr>
      </w:pPr>
      <w:r w:rsidRPr="000560D2">
        <w:rPr>
          <w:rFonts w:cs="Arial"/>
          <w:color w:val="000000" w:themeColor="text1"/>
        </w:rPr>
        <w:t>The annual testing window for the CAA for Science</w:t>
      </w:r>
      <w:r w:rsidR="004F6DC9">
        <w:rPr>
          <w:rFonts w:cs="Arial"/>
          <w:color w:val="000000" w:themeColor="text1"/>
        </w:rPr>
        <w:t xml:space="preserve"> </w:t>
      </w:r>
      <w:r w:rsidRPr="000560D2">
        <w:rPr>
          <w:rFonts w:cs="Arial"/>
          <w:color w:val="000000" w:themeColor="text1"/>
        </w:rPr>
        <w:t xml:space="preserve">begins on September </w:t>
      </w:r>
      <w:r w:rsidR="0FA419F4" w:rsidRPr="000560D2">
        <w:rPr>
          <w:rFonts w:cs="Arial"/>
          <w:color w:val="000000" w:themeColor="text1"/>
        </w:rPr>
        <w:t>1</w:t>
      </w:r>
      <w:r w:rsidR="009A757E">
        <w:rPr>
          <w:rFonts w:cs="Arial"/>
          <w:color w:val="000000" w:themeColor="text1"/>
        </w:rPr>
        <w:t>9</w:t>
      </w:r>
      <w:r w:rsidR="35457E34" w:rsidRPr="000560D2">
        <w:rPr>
          <w:rFonts w:cs="Arial"/>
          <w:color w:val="000000" w:themeColor="text1"/>
        </w:rPr>
        <w:t>, 202</w:t>
      </w:r>
      <w:r w:rsidR="637B2F95" w:rsidRPr="000560D2">
        <w:rPr>
          <w:rFonts w:cs="Arial"/>
          <w:color w:val="000000" w:themeColor="text1"/>
        </w:rPr>
        <w:t>3</w:t>
      </w:r>
      <w:r w:rsidR="00865543">
        <w:rPr>
          <w:rFonts w:cs="Arial"/>
          <w:color w:val="000000" w:themeColor="text1"/>
        </w:rPr>
        <w:t>,</w:t>
      </w:r>
      <w:r w:rsidRPr="000560D2">
        <w:rPr>
          <w:rFonts w:cs="Arial"/>
          <w:color w:val="000000" w:themeColor="text1"/>
        </w:rPr>
        <w:t xml:space="preserve"> for the 202</w:t>
      </w:r>
      <w:r w:rsidR="00424107" w:rsidRPr="000560D2">
        <w:rPr>
          <w:rFonts w:cs="Arial"/>
          <w:color w:val="000000" w:themeColor="text1"/>
        </w:rPr>
        <w:t>3</w:t>
      </w:r>
      <w:r w:rsidRPr="000560D2">
        <w:rPr>
          <w:rFonts w:cs="Arial"/>
          <w:color w:val="000000" w:themeColor="text1"/>
        </w:rPr>
        <w:t>–2</w:t>
      </w:r>
      <w:r w:rsidR="00424107" w:rsidRPr="000560D2">
        <w:rPr>
          <w:rFonts w:cs="Arial"/>
          <w:color w:val="000000" w:themeColor="text1"/>
        </w:rPr>
        <w:t>4</w:t>
      </w:r>
      <w:r w:rsidRPr="000560D2">
        <w:rPr>
          <w:rFonts w:cs="Arial"/>
          <w:color w:val="000000" w:themeColor="text1"/>
        </w:rPr>
        <w:t xml:space="preserve"> school year, and 90 days prior to September </w:t>
      </w:r>
      <w:r w:rsidR="12084EB3" w:rsidRPr="000560D2">
        <w:rPr>
          <w:rFonts w:cs="Arial"/>
          <w:color w:val="000000" w:themeColor="text1"/>
        </w:rPr>
        <w:t>1</w:t>
      </w:r>
      <w:r w:rsidR="009A757E">
        <w:rPr>
          <w:rFonts w:cs="Arial"/>
          <w:color w:val="000000" w:themeColor="text1"/>
        </w:rPr>
        <w:t>9</w:t>
      </w:r>
      <w:r w:rsidR="35457E34" w:rsidRPr="000560D2">
        <w:rPr>
          <w:rFonts w:cs="Arial"/>
          <w:color w:val="000000" w:themeColor="text1"/>
        </w:rPr>
        <w:t>, 202</w:t>
      </w:r>
      <w:r w:rsidR="6E312DE5" w:rsidRPr="000560D2">
        <w:rPr>
          <w:rFonts w:cs="Arial"/>
          <w:color w:val="000000" w:themeColor="text1"/>
        </w:rPr>
        <w:t>3</w:t>
      </w:r>
      <w:r w:rsidRPr="000560D2">
        <w:rPr>
          <w:rFonts w:cs="Arial"/>
          <w:color w:val="000000" w:themeColor="text1"/>
        </w:rPr>
        <w:t xml:space="preserve">, </w:t>
      </w:r>
      <w:r w:rsidR="01A60C42" w:rsidRPr="30A28664">
        <w:rPr>
          <w:rFonts w:cs="Arial"/>
          <w:color w:val="000000" w:themeColor="text1"/>
        </w:rPr>
        <w:t>is</w:t>
      </w:r>
      <w:r w:rsidRPr="000560D2">
        <w:rPr>
          <w:rFonts w:cs="Arial"/>
          <w:color w:val="000000" w:themeColor="text1"/>
        </w:rPr>
        <w:t xml:space="preserve"> June </w:t>
      </w:r>
      <w:r w:rsidR="009A757E">
        <w:rPr>
          <w:rFonts w:cs="Arial"/>
          <w:color w:val="000000" w:themeColor="text1"/>
        </w:rPr>
        <w:t>21</w:t>
      </w:r>
      <w:r w:rsidR="35457E34" w:rsidRPr="000560D2">
        <w:rPr>
          <w:rFonts w:cs="Arial"/>
          <w:color w:val="000000" w:themeColor="text1"/>
        </w:rPr>
        <w:t>, 202</w:t>
      </w:r>
      <w:r w:rsidR="4000E816" w:rsidRPr="000560D2">
        <w:rPr>
          <w:rFonts w:cs="Arial"/>
          <w:color w:val="000000" w:themeColor="text1"/>
        </w:rPr>
        <w:t>3</w:t>
      </w:r>
      <w:r w:rsidR="35457E34" w:rsidRPr="000560D2">
        <w:rPr>
          <w:rFonts w:cs="Arial"/>
          <w:color w:val="000000" w:themeColor="text1"/>
        </w:rPr>
        <w:t>.</w:t>
      </w:r>
      <w:r w:rsidRPr="000560D2">
        <w:rPr>
          <w:rFonts w:cs="Arial"/>
          <w:color w:val="000000" w:themeColor="text1"/>
        </w:rPr>
        <w:t xml:space="preserve"> The CDE, therefore, cannot m</w:t>
      </w:r>
      <w:r w:rsidRPr="000560D2">
        <w:rPr>
          <w:rFonts w:eastAsia="Arial" w:cs="Arial"/>
        </w:rPr>
        <w:t>eet the notification timeline for a waiver of the 1.0 percent cap for the CAA for Science. For this reason, the CDE recommends that the SBE authorize the submission of a waiver request of the 90-day timeline for science.</w:t>
      </w:r>
    </w:p>
    <w:p w14:paraId="66011F16" w14:textId="247D7EA8" w:rsidR="001B16DE" w:rsidRDefault="001B16DE" w:rsidP="001B16DE">
      <w:pPr>
        <w:pStyle w:val="Heading2"/>
        <w:rPr>
          <w:szCs w:val="36"/>
        </w:rPr>
      </w:pPr>
      <w:r w:rsidRPr="23AE35DD">
        <w:rPr>
          <w:szCs w:val="36"/>
        </w:rPr>
        <w:t>Summary of Previous State Board of Education Discussion and Action</w:t>
      </w:r>
    </w:p>
    <w:p w14:paraId="50A546C0" w14:textId="1028A557" w:rsidR="001B16DE" w:rsidRPr="00EF3167" w:rsidRDefault="001B16DE" w:rsidP="001B16DE">
      <w:pPr>
        <w:spacing w:after="240"/>
        <w:rPr>
          <w:rFonts w:cs="Arial"/>
          <w:color w:val="000000" w:themeColor="text1"/>
        </w:rPr>
      </w:pPr>
      <w:r>
        <w:rPr>
          <w:rFonts w:cs="Arial"/>
          <w:color w:val="000000"/>
        </w:rPr>
        <w:t>In July 2022,</w:t>
      </w:r>
      <w:r w:rsidR="000A6F7D">
        <w:rPr>
          <w:rFonts w:cs="Arial"/>
          <w:color w:val="000000"/>
        </w:rPr>
        <w:t xml:space="preserve"> the SBE </w:t>
      </w:r>
      <w:r w:rsidR="000A6F7D" w:rsidRPr="004A3A71">
        <w:rPr>
          <w:rFonts w:cs="Arial"/>
          <w:color w:val="000000"/>
          <w:shd w:val="clear" w:color="auto" w:fill="FFFFFF"/>
        </w:rPr>
        <w:t>authorize</w:t>
      </w:r>
      <w:r w:rsidR="000A6F7D">
        <w:rPr>
          <w:rFonts w:cs="Arial"/>
          <w:color w:val="000000"/>
          <w:shd w:val="clear" w:color="auto" w:fill="FFFFFF"/>
        </w:rPr>
        <w:t>d</w:t>
      </w:r>
      <w:r w:rsidR="000A6F7D" w:rsidRPr="004A3A71">
        <w:rPr>
          <w:rFonts w:cs="Arial"/>
          <w:color w:val="000000"/>
          <w:shd w:val="clear" w:color="auto" w:fill="FFFFFF"/>
        </w:rPr>
        <w:t xml:space="preserve"> the CDE to submit to the ED a request for </w:t>
      </w:r>
      <w:r w:rsidR="000A6F7D">
        <w:rPr>
          <w:rFonts w:cs="Arial"/>
          <w:color w:val="000000"/>
          <w:shd w:val="clear" w:color="auto" w:fill="FFFFFF"/>
        </w:rPr>
        <w:t xml:space="preserve">the </w:t>
      </w:r>
      <w:r w:rsidR="000A6F7D" w:rsidRPr="004A3A71">
        <w:rPr>
          <w:rFonts w:cs="Arial"/>
          <w:color w:val="000000"/>
          <w:shd w:val="clear" w:color="auto" w:fill="FFFFFF"/>
        </w:rPr>
        <w:t>waiver of the requirement to assess less than 1.0 percent of eligible students with an alternate assessment for ELA, mathematics, and science for the 2022–23 administration</w:t>
      </w:r>
      <w:r w:rsidR="000A6F7D">
        <w:rPr>
          <w:rFonts w:cs="Arial"/>
          <w:color w:val="000000" w:themeColor="text1"/>
        </w:rPr>
        <w:t xml:space="preserve">. The </w:t>
      </w:r>
      <w:r w:rsidR="000A6F7D" w:rsidRPr="3DEA7954">
        <w:rPr>
          <w:rFonts w:cs="Arial"/>
          <w:color w:val="000000" w:themeColor="text1"/>
        </w:rPr>
        <w:t xml:space="preserve">SBE </w:t>
      </w:r>
      <w:r w:rsidR="000A6F7D">
        <w:rPr>
          <w:rFonts w:cs="Arial"/>
          <w:color w:val="000000" w:themeColor="text1"/>
        </w:rPr>
        <w:t xml:space="preserve">also </w:t>
      </w:r>
      <w:r w:rsidR="000A6F7D" w:rsidRPr="3DEA7954">
        <w:rPr>
          <w:rFonts w:cs="Arial"/>
          <w:color w:val="000000" w:themeColor="text1"/>
        </w:rPr>
        <w:t>authorize</w:t>
      </w:r>
      <w:r w:rsidR="000A6F7D">
        <w:rPr>
          <w:rFonts w:cs="Arial"/>
          <w:color w:val="000000" w:themeColor="text1"/>
        </w:rPr>
        <w:t>d</w:t>
      </w:r>
      <w:r w:rsidR="000A6F7D" w:rsidRPr="3DEA7954">
        <w:rPr>
          <w:rFonts w:cs="Arial"/>
          <w:color w:val="000000" w:themeColor="text1"/>
        </w:rPr>
        <w:t xml:space="preserve"> the CDE to submit to the ED a request for a waiver of the requirement that a request for a waiver of the 1.0 percent cap be submitted at least 90</w:t>
      </w:r>
      <w:r w:rsidR="00C52501">
        <w:rPr>
          <w:rFonts w:cs="Arial"/>
          <w:color w:val="000000" w:themeColor="text1"/>
        </w:rPr>
        <w:t> </w:t>
      </w:r>
      <w:r w:rsidR="000A6F7D" w:rsidRPr="3DEA7954">
        <w:rPr>
          <w:rFonts w:cs="Arial"/>
          <w:color w:val="000000" w:themeColor="text1"/>
        </w:rPr>
        <w:t>days before the beginning of the annual testing window for the CAA for Science</w:t>
      </w:r>
      <w:r w:rsidR="000A6F7D">
        <w:rPr>
          <w:rFonts w:cs="Arial"/>
          <w:color w:val="000000" w:themeColor="text1"/>
        </w:rPr>
        <w:t xml:space="preserve"> (</w:t>
      </w:r>
      <w:hyperlink r:id="rId16" w:tooltip="This link opens the July 2022 SBE Agenda Item." w:history="1">
        <w:r w:rsidR="261356F5" w:rsidRPr="00286157">
          <w:rPr>
            <w:rStyle w:val="Hyperlink"/>
            <w:rFonts w:cs="Arial"/>
          </w:rPr>
          <w:t>https://www.cde.ca.gov/be/ag/ag/yr22/documents/jul22item06.docx</w:t>
        </w:r>
      </w:hyperlink>
      <w:r w:rsidR="261356F5">
        <w:rPr>
          <w:rFonts w:cs="Arial"/>
          <w:color w:val="000000" w:themeColor="text1"/>
        </w:rPr>
        <w:t>)</w:t>
      </w:r>
      <w:r w:rsidR="295AA084" w:rsidRPr="3DEA7954">
        <w:rPr>
          <w:rFonts w:cs="Arial"/>
          <w:color w:val="000000" w:themeColor="text1"/>
        </w:rPr>
        <w:t>.</w:t>
      </w:r>
    </w:p>
    <w:p w14:paraId="541285D4" w14:textId="1A09D45C" w:rsidR="001B16DE" w:rsidRPr="00F20F18" w:rsidRDefault="001B16DE" w:rsidP="001B16DE">
      <w:pPr>
        <w:spacing w:after="240"/>
        <w:rPr>
          <w:rFonts w:cs="Arial"/>
        </w:rPr>
      </w:pPr>
      <w:r w:rsidRPr="004A3A71">
        <w:rPr>
          <w:rFonts w:cs="Arial"/>
          <w:color w:val="000000"/>
        </w:rPr>
        <w:t>In March 2022, the SBE authorized the CDE to p</w:t>
      </w:r>
      <w:r w:rsidRPr="004A3A71">
        <w:rPr>
          <w:rFonts w:cs="Arial"/>
          <w:color w:val="000000"/>
          <w:shd w:val="clear" w:color="auto" w:fill="FFFFFF"/>
        </w:rPr>
        <w:t xml:space="preserve">ursue a waiver of the 1.0 percent cap on the percentage of eligible students with the most significant cognitive disabilities who </w:t>
      </w:r>
      <w:r w:rsidRPr="004A3A71">
        <w:rPr>
          <w:rFonts w:cs="Arial"/>
          <w:color w:val="000000"/>
          <w:shd w:val="clear" w:color="auto" w:fill="FFFFFF"/>
        </w:rPr>
        <w:lastRenderedPageBreak/>
        <w:t>may be assessed with an alternate assessment aligned with alternate academic achievement standards for ELA, mathematics, and science and other related waivers</w:t>
      </w:r>
      <w:r w:rsidRPr="2078A91D">
        <w:rPr>
          <w:rFonts w:cs="Arial"/>
          <w:color w:val="000000" w:themeColor="text1"/>
        </w:rPr>
        <w:t xml:space="preserve"> </w:t>
      </w:r>
      <w:r w:rsidRPr="004A3A71">
        <w:rPr>
          <w:rFonts w:cs="Arial"/>
          <w:color w:val="000000"/>
          <w:shd w:val="clear" w:color="auto" w:fill="FFFFFF"/>
        </w:rPr>
        <w:t xml:space="preserve">for the 2021–22 </w:t>
      </w:r>
      <w:r w:rsidR="006E2F35">
        <w:rPr>
          <w:rFonts w:cs="Arial"/>
          <w:color w:val="000000"/>
          <w:shd w:val="clear" w:color="auto" w:fill="FFFFFF"/>
        </w:rPr>
        <w:t>administration</w:t>
      </w:r>
      <w:r w:rsidRPr="004A3A71">
        <w:rPr>
          <w:rFonts w:cs="Arial"/>
          <w:color w:val="000000"/>
          <w:shd w:val="clear" w:color="auto" w:fill="FFFFFF"/>
        </w:rPr>
        <w:t xml:space="preserve"> (</w:t>
      </w:r>
      <w:hyperlink r:id="rId17" w:tooltip="This link opens the March 2022 SBE Agenda Item." w:history="1">
        <w:r w:rsidRPr="004A3A71">
          <w:rPr>
            <w:rStyle w:val="Hyperlink"/>
            <w:rFonts w:cs="Arial"/>
            <w:shd w:val="clear" w:color="auto" w:fill="FFFFFF"/>
          </w:rPr>
          <w:t>https://www.cde.ca.gov/be/ag/ag/yr22/documents/mar22item03rev.docx</w:t>
        </w:r>
      </w:hyperlink>
      <w:r w:rsidRPr="004A3A71">
        <w:rPr>
          <w:rFonts w:cs="Arial"/>
          <w:color w:val="000000"/>
          <w:shd w:val="clear" w:color="auto" w:fill="FFFFFF"/>
        </w:rPr>
        <w:t>)</w:t>
      </w:r>
      <w:r>
        <w:rPr>
          <w:rFonts w:cs="Arial"/>
        </w:rPr>
        <w:t>.</w:t>
      </w:r>
    </w:p>
    <w:p w14:paraId="2DCF2B65" w14:textId="286311F4" w:rsidR="001B16DE" w:rsidRPr="004A3A71" w:rsidRDefault="001B16DE" w:rsidP="001B16DE">
      <w:pPr>
        <w:spacing w:after="240"/>
        <w:textAlignment w:val="baseline"/>
        <w:rPr>
          <w:rFonts w:cs="Arial"/>
        </w:rPr>
      </w:pPr>
      <w:r w:rsidRPr="50D9BCFB">
        <w:rPr>
          <w:rFonts w:cs="Arial"/>
        </w:rPr>
        <w:t>In September 2020, the SBE provided approval for the CDE to r</w:t>
      </w:r>
      <w:r w:rsidRPr="50D9BCFB">
        <w:rPr>
          <w:rFonts w:cs="Arial"/>
          <w:color w:val="000000" w:themeColor="text1"/>
        </w:rPr>
        <w:t xml:space="preserve">equest a waiver under the Every Student Succeeds Act, </w:t>
      </w:r>
      <w:r w:rsidR="00871F33" w:rsidRPr="00871F33">
        <w:rPr>
          <w:rFonts w:cs="Arial"/>
          <w:color w:val="000000" w:themeColor="text1"/>
        </w:rPr>
        <w:t>34</w:t>
      </w:r>
      <w:r w:rsidRPr="00871F33">
        <w:rPr>
          <w:rFonts w:cs="Arial"/>
          <w:color w:val="000000" w:themeColor="text1"/>
        </w:rPr>
        <w:t xml:space="preserve"> </w:t>
      </w:r>
      <w:r w:rsidRPr="50D9BCFB">
        <w:rPr>
          <w:rFonts w:cs="Arial"/>
          <w:i/>
          <w:iCs/>
          <w:color w:val="000000" w:themeColor="text1"/>
        </w:rPr>
        <w:t>CFR</w:t>
      </w:r>
      <w:r w:rsidR="7ECE9647" w:rsidRPr="00871F33">
        <w:rPr>
          <w:rFonts w:cs="Arial"/>
          <w:color w:val="000000" w:themeColor="text1"/>
        </w:rPr>
        <w:t>,</w:t>
      </w:r>
      <w:r w:rsidRPr="50D9BCFB">
        <w:rPr>
          <w:rFonts w:cs="Arial"/>
          <w:color w:val="000000" w:themeColor="text1"/>
        </w:rPr>
        <w:t xml:space="preserve"> Section 200.6(c)(4), to waive the 1.0 percent threshold for the 2020–21 CAAs for ELA, mathematics, and science (</w:t>
      </w:r>
      <w:hyperlink r:id="rId18" w:tooltip="This link opens the September 2020 SBE Agenda Item.">
        <w:r w:rsidRPr="50D9BCFB">
          <w:rPr>
            <w:rFonts w:cs="Arial"/>
            <w:color w:val="0000FF"/>
            <w:u w:val="single"/>
          </w:rPr>
          <w:t>https://www.cde.ca.gov/be/ag/ag/yr20/documents/sep20item07.docx</w:t>
        </w:r>
      </w:hyperlink>
      <w:r w:rsidRPr="50D9BCFB">
        <w:rPr>
          <w:rFonts w:cs="Arial"/>
          <w:color w:val="000000" w:themeColor="text1"/>
        </w:rPr>
        <w:t>).</w:t>
      </w:r>
    </w:p>
    <w:p w14:paraId="6DFEEB1E" w14:textId="77777777" w:rsidR="001B16DE" w:rsidRPr="004A3A71" w:rsidRDefault="001B16DE" w:rsidP="001B16DE">
      <w:pPr>
        <w:spacing w:after="240"/>
        <w:textAlignment w:val="baseline"/>
        <w:rPr>
          <w:rFonts w:cs="Arial"/>
        </w:rPr>
      </w:pPr>
      <w:r w:rsidRPr="004A3A71">
        <w:rPr>
          <w:rFonts w:cs="Arial"/>
        </w:rPr>
        <w:t>In April 2020, the CDE provided the SBE with the notification from the ED’s Office of Elementary and Secondary Education, which indicated that the state had exceeded the 1.0 percent threshold of students taking alternate assessments. In addition, the CDE provided the SBE with the CDE’s response, which included an update to the plan to come into compliance (</w:t>
      </w:r>
      <w:hyperlink r:id="rId19" w:tgtFrame="_blank" w:tooltip="This link opens the April 2020 SBE Information Memorandum." w:history="1">
        <w:r w:rsidRPr="004A3A71">
          <w:rPr>
            <w:rFonts w:cs="Arial"/>
            <w:color w:val="0000FF"/>
            <w:u w:val="single"/>
          </w:rPr>
          <w:t>https://www.cde.ca.gov/be/pn/im/documents/apr20memoadad02.docx</w:t>
        </w:r>
      </w:hyperlink>
      <w:r w:rsidRPr="004A3A71">
        <w:rPr>
          <w:rFonts w:cs="Arial"/>
        </w:rPr>
        <w:t>).</w:t>
      </w:r>
    </w:p>
    <w:p w14:paraId="5EF7FAD9" w14:textId="77777777" w:rsidR="001B16DE" w:rsidRDefault="001B16DE" w:rsidP="005E79F3">
      <w:pPr>
        <w:pStyle w:val="Heading2"/>
        <w:spacing w:before="480"/>
        <w:rPr>
          <w:szCs w:val="36"/>
        </w:rPr>
      </w:pPr>
      <w:r>
        <w:rPr>
          <w:szCs w:val="36"/>
        </w:rPr>
        <w:t>Fiscal Analysis (as appropriate)</w:t>
      </w:r>
    </w:p>
    <w:p w14:paraId="6A5F4679" w14:textId="77777777" w:rsidR="001B16DE" w:rsidRPr="004A3A71" w:rsidRDefault="001B16DE" w:rsidP="001B16DE">
      <w:pPr>
        <w:spacing w:after="480"/>
        <w:rPr>
          <w:rFonts w:cs="Arial"/>
        </w:rPr>
      </w:pPr>
      <w:r w:rsidRPr="000560D2">
        <w:rPr>
          <w:rFonts w:cs="Arial"/>
          <w:color w:val="000000"/>
          <w:bdr w:val="none" w:sz="0" w:space="0" w:color="auto" w:frame="1"/>
        </w:rPr>
        <w:t>Not applicable.</w:t>
      </w:r>
    </w:p>
    <w:p w14:paraId="641F8285" w14:textId="05E21291" w:rsidR="001B16DE" w:rsidRDefault="001B16DE" w:rsidP="001B16DE">
      <w:pPr>
        <w:pStyle w:val="Heading2"/>
      </w:pPr>
      <w:r>
        <w:t>Attachment(s)</w:t>
      </w:r>
    </w:p>
    <w:p w14:paraId="44B3CCC6" w14:textId="2DC978B1" w:rsidR="008E6F07" w:rsidRDefault="001B16DE" w:rsidP="00914DF3">
      <w:pPr>
        <w:pStyle w:val="ListParagraph"/>
        <w:numPr>
          <w:ilvl w:val="0"/>
          <w:numId w:val="9"/>
        </w:numPr>
        <w:spacing w:after="480"/>
        <w:sectPr w:rsidR="008E6F07" w:rsidSect="00407E9B">
          <w:headerReference w:type="default" r:id="rId20"/>
          <w:footerReference w:type="default" r:id="rId21"/>
          <w:type w:val="continuous"/>
          <w:pgSz w:w="12240" w:h="15840"/>
          <w:pgMar w:top="720" w:right="1440" w:bottom="1440" w:left="1440" w:header="720" w:footer="720" w:gutter="0"/>
          <w:cols w:space="720"/>
          <w:docGrid w:linePitch="360"/>
        </w:sectPr>
      </w:pPr>
      <w:bookmarkStart w:id="13" w:name="_Hlk107344177"/>
      <w:r w:rsidRPr="11AF7C17">
        <w:rPr>
          <w:rStyle w:val="normaltextrun"/>
          <w:rFonts w:eastAsiaTheme="majorEastAsia" w:cs="Arial"/>
          <w:color w:val="000000"/>
          <w:shd w:val="clear" w:color="auto" w:fill="FFFFFF"/>
        </w:rPr>
        <w:t xml:space="preserve">Attachment 1: DRAFT Letter from State Superintendent of Public Instruction </w:t>
      </w:r>
      <w:r w:rsidR="00AD5AC3" w:rsidRPr="005A419A">
        <w:rPr>
          <w:rStyle w:val="normaltextrun"/>
          <w:rFonts w:eastAsiaTheme="majorEastAsia" w:cs="Arial"/>
          <w:color w:val="000000"/>
          <w:shd w:val="clear" w:color="auto" w:fill="FFFFFF"/>
        </w:rPr>
        <w:t>Tony</w:t>
      </w:r>
      <w:r w:rsidR="00AD5AC3" w:rsidRPr="11AF7C17">
        <w:rPr>
          <w:rStyle w:val="normaltextrun"/>
          <w:rFonts w:eastAsiaTheme="majorEastAsia" w:cs="Arial"/>
          <w:color w:val="000000"/>
          <w:shd w:val="clear" w:color="auto" w:fill="FFFFFF"/>
        </w:rPr>
        <w:t xml:space="preserve"> </w:t>
      </w:r>
      <w:r w:rsidRPr="11AF7C17">
        <w:rPr>
          <w:rStyle w:val="normaltextrun"/>
          <w:rFonts w:eastAsiaTheme="majorEastAsia" w:cs="Arial"/>
          <w:color w:val="000000"/>
          <w:shd w:val="clear" w:color="auto" w:fill="FFFFFF"/>
        </w:rPr>
        <w:t xml:space="preserve">Thurmond and State Board President </w:t>
      </w:r>
      <w:r w:rsidR="00AD5AC3" w:rsidRPr="005A419A">
        <w:rPr>
          <w:rStyle w:val="normaltextrun"/>
          <w:rFonts w:eastAsiaTheme="majorEastAsia" w:cs="Arial"/>
          <w:color w:val="000000"/>
          <w:shd w:val="clear" w:color="auto" w:fill="FFFFFF"/>
        </w:rPr>
        <w:t>Linda</w:t>
      </w:r>
      <w:r w:rsidR="00AD5AC3" w:rsidRPr="11AF7C17">
        <w:rPr>
          <w:rStyle w:val="normaltextrun"/>
          <w:rFonts w:eastAsiaTheme="majorEastAsia" w:cs="Arial"/>
          <w:color w:val="000000"/>
          <w:shd w:val="clear" w:color="auto" w:fill="FFFFFF"/>
        </w:rPr>
        <w:t xml:space="preserve"> </w:t>
      </w:r>
      <w:r w:rsidRPr="11AF7C17">
        <w:rPr>
          <w:rStyle w:val="normaltextrun"/>
          <w:rFonts w:eastAsiaTheme="majorEastAsia" w:cs="Arial"/>
          <w:color w:val="000000"/>
          <w:shd w:val="clear" w:color="auto" w:fill="FFFFFF"/>
        </w:rPr>
        <w:t xml:space="preserve">Darling-Hammond to </w:t>
      </w:r>
      <w:r w:rsidR="00A609C1" w:rsidRPr="11AF7C17">
        <w:rPr>
          <w:rStyle w:val="normaltextrun"/>
          <w:rFonts w:eastAsiaTheme="majorEastAsia" w:cs="Arial"/>
          <w:color w:val="000000"/>
          <w:shd w:val="clear" w:color="auto" w:fill="FFFFFF"/>
        </w:rPr>
        <w:t>U.S. Department of Education</w:t>
      </w:r>
      <w:r w:rsidRPr="11AF7C17">
        <w:rPr>
          <w:rStyle w:val="normaltextrun"/>
          <w:rFonts w:eastAsiaTheme="majorEastAsia" w:cs="Arial"/>
          <w:color w:val="000000"/>
          <w:shd w:val="clear" w:color="auto" w:fill="FFFFFF"/>
        </w:rPr>
        <w:t xml:space="preserve"> Regarding Waiver Requests </w:t>
      </w:r>
      <w:r>
        <w:t>(</w:t>
      </w:r>
      <w:r w:rsidRPr="003B667A">
        <w:t>13</w:t>
      </w:r>
      <w:r>
        <w:t xml:space="preserve"> </w:t>
      </w:r>
      <w:bookmarkEnd w:id="13"/>
      <w:r w:rsidR="00806DEF">
        <w:t>p</w:t>
      </w:r>
      <w:r>
        <w:t>ages)</w:t>
      </w:r>
    </w:p>
    <w:p w14:paraId="153E1FE8" w14:textId="77777777" w:rsidR="008E6F07" w:rsidRPr="008E6F07" w:rsidRDefault="008E6F07" w:rsidP="0060036E">
      <w:pPr>
        <w:rPr>
          <w:rFonts w:eastAsia="MS Gothic" w:cs="Arial"/>
        </w:rPr>
      </w:pPr>
      <w:r w:rsidRPr="008E6F07">
        <w:rPr>
          <w:noProof/>
        </w:rPr>
        <w:lastRenderedPageBreak/>
        <w:drawing>
          <wp:inline distT="0" distB="0" distL="0" distR="0" wp14:anchorId="5A573227" wp14:editId="5E2BDD0E">
            <wp:extent cx="990434" cy="990434"/>
            <wp:effectExtent l="0" t="0" r="635" b="635"/>
            <wp:docPr id="1" name="Picture 1"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99597" cy="999597"/>
                    </a:xfrm>
                    <a:prstGeom prst="rect">
                      <a:avLst/>
                    </a:prstGeom>
                  </pic:spPr>
                </pic:pic>
              </a:graphicData>
            </a:graphic>
          </wp:inline>
        </w:drawing>
      </w:r>
    </w:p>
    <w:p w14:paraId="0B5ACE9E" w14:textId="77777777" w:rsidR="008E6F07" w:rsidRPr="008E6F07" w:rsidRDefault="008E6F07" w:rsidP="008E6F07">
      <w:pPr>
        <w:ind w:left="-720" w:right="-720"/>
        <w:rPr>
          <w:rFonts w:eastAsia="MS Gothic" w:cs="Arial"/>
          <w:b/>
          <w:sz w:val="22"/>
          <w:szCs w:val="22"/>
        </w:rPr>
      </w:pPr>
      <w:r w:rsidRPr="008E6F07">
        <w:rPr>
          <w:rFonts w:eastAsia="MS Gothic" w:cs="Arial"/>
          <w:b/>
          <w:sz w:val="22"/>
          <w:szCs w:val="22"/>
        </w:rPr>
        <w:t>California Department of Education</w:t>
      </w:r>
    </w:p>
    <w:p w14:paraId="35B533E1" w14:textId="77777777" w:rsidR="008E6F07" w:rsidRPr="008E6F07" w:rsidRDefault="008E6F07" w:rsidP="008E6F07">
      <w:pPr>
        <w:ind w:left="-720" w:right="-720"/>
        <w:rPr>
          <w:rFonts w:eastAsia="MS Gothic" w:cs="Arial"/>
          <w:szCs w:val="22"/>
        </w:rPr>
      </w:pPr>
      <w:r w:rsidRPr="008E6F07">
        <w:rPr>
          <w:rFonts w:eastAsia="MS Gothic" w:cs="Arial"/>
          <w:b/>
          <w:sz w:val="22"/>
          <w:szCs w:val="22"/>
        </w:rPr>
        <w:t>Tony Thurmond</w:t>
      </w:r>
      <w:r w:rsidRPr="008E6F07">
        <w:rPr>
          <w:rFonts w:eastAsia="MS Gothic" w:cs="Arial"/>
          <w:sz w:val="22"/>
          <w:szCs w:val="22"/>
        </w:rPr>
        <w:t xml:space="preserve">, </w:t>
      </w:r>
      <w:r w:rsidRPr="008E6F07">
        <w:rPr>
          <w:rFonts w:eastAsia="MS Gothic" w:cs="Arial"/>
          <w:i/>
          <w:sz w:val="20"/>
          <w:szCs w:val="22"/>
        </w:rPr>
        <w:t>State Superintendent of Public Instruction</w:t>
      </w:r>
    </w:p>
    <w:p w14:paraId="03940639" w14:textId="77777777" w:rsidR="008E6F07" w:rsidRPr="008E6F07" w:rsidRDefault="008E6F07" w:rsidP="008E6F07">
      <w:pPr>
        <w:ind w:left="-720" w:right="-720"/>
        <w:rPr>
          <w:rFonts w:eastAsia="MS Gothic" w:cs="Arial"/>
          <w:sz w:val="22"/>
          <w:szCs w:val="22"/>
        </w:rPr>
      </w:pPr>
      <w:r w:rsidRPr="008E6F07">
        <w:rPr>
          <w:rFonts w:eastAsia="MS Gothic" w:cs="Arial"/>
          <w:sz w:val="22"/>
          <w:szCs w:val="22"/>
        </w:rPr>
        <w:t>1430 N Street, Sacramento, CA 95814-5901</w:t>
      </w:r>
    </w:p>
    <w:p w14:paraId="60BF771F" w14:textId="77777777" w:rsidR="008E6F07" w:rsidRPr="008E6F07" w:rsidRDefault="008E6F07" w:rsidP="008E6F07">
      <w:pPr>
        <w:ind w:left="-720" w:right="-720"/>
        <w:rPr>
          <w:rFonts w:eastAsia="MS Gothic" w:cs="Arial"/>
          <w:sz w:val="22"/>
          <w:szCs w:val="22"/>
        </w:rPr>
      </w:pPr>
      <w:r w:rsidRPr="008E6F07">
        <w:rPr>
          <w:rFonts w:eastAsia="MS Gothic" w:cs="Arial"/>
          <w:sz w:val="22"/>
          <w:szCs w:val="22"/>
        </w:rPr>
        <w:t>916-319-0800</w:t>
      </w:r>
    </w:p>
    <w:p w14:paraId="2C49C5DE" w14:textId="77777777" w:rsidR="008E6F07" w:rsidRPr="008E6F07" w:rsidRDefault="008E6F07" w:rsidP="008E6F07">
      <w:pPr>
        <w:pBdr>
          <w:bottom w:val="single" w:sz="4" w:space="1" w:color="BFBFBF"/>
        </w:pBdr>
        <w:ind w:left="-720" w:right="-720"/>
        <w:jc w:val="right"/>
        <w:rPr>
          <w:rFonts w:eastAsia="MS Gothic" w:cs="Arial"/>
        </w:rPr>
      </w:pPr>
      <w:r w:rsidRPr="008E6F07">
        <w:rPr>
          <w:rFonts w:ascii="Times New Roman" w:hAnsi="Times New Roman"/>
          <w:noProof/>
        </w:rPr>
        <w:drawing>
          <wp:inline distT="0" distB="0" distL="0" distR="0" wp14:anchorId="53CC4896" wp14:editId="5F098EE9">
            <wp:extent cx="981746" cy="990434"/>
            <wp:effectExtent l="0" t="0" r="8890" b="635"/>
            <wp:docPr id="4" name="Picture 4" descr="The 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86214" cy="994941"/>
                    </a:xfrm>
                    <a:prstGeom prst="rect">
                      <a:avLst/>
                    </a:prstGeom>
                  </pic:spPr>
                </pic:pic>
              </a:graphicData>
            </a:graphic>
          </wp:inline>
        </w:drawing>
      </w:r>
    </w:p>
    <w:p w14:paraId="253894D1" w14:textId="77777777" w:rsidR="008E6F07" w:rsidRPr="008E6F07" w:rsidRDefault="008E6F07" w:rsidP="008E6F07">
      <w:pPr>
        <w:ind w:left="-720" w:right="-720"/>
        <w:jc w:val="right"/>
        <w:rPr>
          <w:rFonts w:eastAsia="MS Gothic" w:cs="Arial"/>
          <w:b/>
          <w:sz w:val="22"/>
          <w:szCs w:val="22"/>
        </w:rPr>
      </w:pPr>
      <w:r w:rsidRPr="008E6F07">
        <w:rPr>
          <w:rFonts w:eastAsia="MS Gothic" w:cs="Arial"/>
          <w:b/>
          <w:sz w:val="22"/>
          <w:szCs w:val="22"/>
        </w:rPr>
        <w:t>California State Board of Education</w:t>
      </w:r>
    </w:p>
    <w:p w14:paraId="06B1CE20" w14:textId="77777777" w:rsidR="008E6F07" w:rsidRPr="008E6F07" w:rsidRDefault="008E6F07" w:rsidP="008E6F07">
      <w:pPr>
        <w:ind w:left="-720" w:right="-720"/>
        <w:jc w:val="right"/>
        <w:rPr>
          <w:rFonts w:eastAsia="MS Gothic" w:cs="Arial"/>
          <w:sz w:val="20"/>
          <w:szCs w:val="22"/>
        </w:rPr>
      </w:pPr>
      <w:r w:rsidRPr="008E6F07">
        <w:rPr>
          <w:rFonts w:eastAsia="MS Gothic" w:cs="Arial"/>
          <w:b/>
          <w:sz w:val="22"/>
          <w:szCs w:val="22"/>
        </w:rPr>
        <w:t>Linda Darling-Hammond</w:t>
      </w:r>
      <w:r w:rsidRPr="008E6F07">
        <w:rPr>
          <w:rFonts w:eastAsia="MS Gothic" w:cs="Arial"/>
          <w:sz w:val="22"/>
          <w:szCs w:val="22"/>
        </w:rPr>
        <w:t xml:space="preserve">, </w:t>
      </w:r>
      <w:r w:rsidRPr="008E6F07">
        <w:rPr>
          <w:rFonts w:eastAsia="MS Gothic" w:cs="Arial"/>
          <w:i/>
          <w:sz w:val="20"/>
          <w:szCs w:val="22"/>
        </w:rPr>
        <w:t>State Board President</w:t>
      </w:r>
    </w:p>
    <w:p w14:paraId="6E3D5DF1" w14:textId="77777777" w:rsidR="008E6F07" w:rsidRPr="008E6F07" w:rsidRDefault="008E6F07" w:rsidP="008E6F07">
      <w:pPr>
        <w:ind w:left="-720" w:right="-720"/>
        <w:jc w:val="right"/>
        <w:rPr>
          <w:rFonts w:eastAsia="MS Gothic" w:cs="Arial"/>
          <w:sz w:val="22"/>
          <w:szCs w:val="22"/>
        </w:rPr>
      </w:pPr>
      <w:r w:rsidRPr="008E6F07">
        <w:rPr>
          <w:rFonts w:eastAsia="MS Gothic" w:cs="Arial"/>
          <w:sz w:val="22"/>
          <w:szCs w:val="22"/>
        </w:rPr>
        <w:t>1430 N Street, Room 5111, Sacramento, CA 95814</w:t>
      </w:r>
    </w:p>
    <w:p w14:paraId="4349C8DB" w14:textId="77777777" w:rsidR="008E6F07" w:rsidRPr="008E6F07" w:rsidRDefault="008E6F07" w:rsidP="008E6F07">
      <w:pPr>
        <w:ind w:left="-720" w:right="-720"/>
        <w:jc w:val="right"/>
        <w:rPr>
          <w:rFonts w:eastAsia="MS Gothic" w:cs="Arial"/>
          <w:sz w:val="22"/>
          <w:szCs w:val="22"/>
        </w:rPr>
      </w:pPr>
      <w:r w:rsidRPr="008E6F07">
        <w:rPr>
          <w:rFonts w:eastAsia="MS Gothic" w:cs="Arial"/>
          <w:sz w:val="22"/>
          <w:szCs w:val="22"/>
        </w:rPr>
        <w:t>916-319-0827</w:t>
      </w:r>
    </w:p>
    <w:p w14:paraId="00AB5F64" w14:textId="77777777" w:rsidR="008E6F07" w:rsidRPr="008E6F07" w:rsidRDefault="008E6F07" w:rsidP="008E6F07">
      <w:pPr>
        <w:ind w:right="-720"/>
        <w:rPr>
          <w:rFonts w:eastAsia="MS Gothic" w:cs="Arial"/>
        </w:rPr>
        <w:sectPr w:rsidR="008E6F07" w:rsidRPr="008E6F07" w:rsidSect="008E6F07">
          <w:headerReference w:type="default" r:id="rId24"/>
          <w:headerReference w:type="first" r:id="rId25"/>
          <w:pgSz w:w="12240" w:h="15840" w:code="1"/>
          <w:pgMar w:top="810" w:right="1440" w:bottom="1440" w:left="1440" w:header="720" w:footer="720" w:gutter="0"/>
          <w:pgNumType w:start="1"/>
          <w:cols w:num="2" w:space="0" w:equalWidth="0">
            <w:col w:w="4752" w:space="0"/>
            <w:col w:w="4608"/>
          </w:cols>
          <w:docGrid w:linePitch="360"/>
        </w:sectPr>
      </w:pPr>
    </w:p>
    <w:p w14:paraId="49772D09" w14:textId="631BDFD8" w:rsidR="008E6F07" w:rsidRPr="00904D58" w:rsidRDefault="7365C9EB" w:rsidP="00904D58">
      <w:pPr>
        <w:pStyle w:val="Heading1"/>
        <w:spacing w:before="480" w:after="720"/>
        <w:jc w:val="center"/>
        <w:rPr>
          <w:b w:val="0"/>
          <w:bCs/>
          <w:sz w:val="24"/>
          <w:szCs w:val="24"/>
        </w:rPr>
      </w:pPr>
      <w:r w:rsidRPr="00904D58">
        <w:rPr>
          <w:b w:val="0"/>
          <w:bCs/>
          <w:sz w:val="24"/>
          <w:szCs w:val="24"/>
        </w:rPr>
        <w:t>DRAFT</w:t>
      </w:r>
      <w:r w:rsidR="00904D58" w:rsidRPr="00904D58">
        <w:rPr>
          <w:b w:val="0"/>
          <w:bCs/>
          <w:sz w:val="24"/>
          <w:szCs w:val="24"/>
        </w:rPr>
        <w:t xml:space="preserve"> </w:t>
      </w:r>
      <w:r w:rsidRPr="00904D58">
        <w:rPr>
          <w:b w:val="0"/>
          <w:bCs/>
          <w:sz w:val="24"/>
          <w:szCs w:val="24"/>
        </w:rPr>
        <w:t>November</w:t>
      </w:r>
      <w:r w:rsidR="1363BE30" w:rsidRPr="00904D58">
        <w:rPr>
          <w:b w:val="0"/>
          <w:bCs/>
          <w:sz w:val="24"/>
          <w:szCs w:val="24"/>
        </w:rPr>
        <w:t xml:space="preserve"> XX, 2023</w:t>
      </w:r>
    </w:p>
    <w:p w14:paraId="7C078477" w14:textId="77777777" w:rsidR="008E6F07" w:rsidRPr="008E6F07" w:rsidRDefault="008E6F07" w:rsidP="008E6F07">
      <w:pPr>
        <w:spacing w:after="240"/>
        <w:contextualSpacing/>
        <w:rPr>
          <w:rFonts w:eastAsia="Arial" w:cs="Arial"/>
        </w:rPr>
      </w:pPr>
      <w:r w:rsidRPr="008E6F07">
        <w:rPr>
          <w:rFonts w:eastAsia="Arial" w:cs="Arial"/>
        </w:rPr>
        <w:t>Patrick Rooney, Director</w:t>
      </w:r>
    </w:p>
    <w:p w14:paraId="4771B880" w14:textId="77777777" w:rsidR="008E6F07" w:rsidRPr="008E6F07" w:rsidRDefault="008E6F07" w:rsidP="008E6F07">
      <w:pPr>
        <w:spacing w:after="240"/>
        <w:contextualSpacing/>
        <w:rPr>
          <w:rFonts w:eastAsia="Arial" w:cs="Arial"/>
        </w:rPr>
      </w:pPr>
      <w:r w:rsidRPr="008E6F07">
        <w:rPr>
          <w:rFonts w:eastAsia="Arial" w:cs="Arial"/>
        </w:rPr>
        <w:t xml:space="preserve">School Support and Accountability </w:t>
      </w:r>
    </w:p>
    <w:p w14:paraId="70BFD64C" w14:textId="77777777" w:rsidR="008E6F07" w:rsidRPr="008E6F07" w:rsidRDefault="008E6F07" w:rsidP="008E6F07">
      <w:pPr>
        <w:spacing w:after="240"/>
        <w:contextualSpacing/>
      </w:pPr>
      <w:r w:rsidRPr="008E6F07">
        <w:rPr>
          <w:rFonts w:eastAsia="Arial" w:cs="Arial"/>
        </w:rPr>
        <w:t>Office of Elementary and Secondary Education</w:t>
      </w:r>
    </w:p>
    <w:p w14:paraId="0A8D0C9C" w14:textId="77777777" w:rsidR="008E6F07" w:rsidRPr="008E6F07" w:rsidRDefault="008E6F07" w:rsidP="008E6F07">
      <w:pPr>
        <w:spacing w:after="240"/>
        <w:contextualSpacing/>
        <w:rPr>
          <w:rFonts w:eastAsia="Calibri" w:cs="Arial"/>
        </w:rPr>
      </w:pPr>
      <w:r w:rsidRPr="008E6F07">
        <w:rPr>
          <w:rFonts w:eastAsia="Calibri" w:cs="Arial"/>
        </w:rPr>
        <w:t>U.S. Department of Education</w:t>
      </w:r>
    </w:p>
    <w:p w14:paraId="60297ED5" w14:textId="77777777" w:rsidR="008E6F07" w:rsidRPr="008E6F07" w:rsidRDefault="008E6F07" w:rsidP="008E6F07">
      <w:pPr>
        <w:spacing w:after="240"/>
        <w:contextualSpacing/>
        <w:rPr>
          <w:rFonts w:eastAsia="Calibri" w:cs="Arial"/>
        </w:rPr>
      </w:pPr>
      <w:r w:rsidRPr="008E6F07">
        <w:rPr>
          <w:rFonts w:eastAsia="Calibri" w:cs="Arial"/>
        </w:rPr>
        <w:t>400 Maryland Avenue SW</w:t>
      </w:r>
    </w:p>
    <w:p w14:paraId="32F39A21" w14:textId="77777777" w:rsidR="008E6F07" w:rsidRPr="008E6F07" w:rsidRDefault="008E6F07" w:rsidP="008E6F07">
      <w:pPr>
        <w:spacing w:after="240"/>
        <w:rPr>
          <w:rFonts w:eastAsia="Calibri" w:cs="Arial"/>
        </w:rPr>
      </w:pPr>
      <w:r w:rsidRPr="008E6F07">
        <w:rPr>
          <w:rFonts w:eastAsia="Calibri" w:cs="Arial"/>
        </w:rPr>
        <w:t>Washington, DC 20202</w:t>
      </w:r>
    </w:p>
    <w:p w14:paraId="466CBB48" w14:textId="77777777" w:rsidR="008E6F07" w:rsidRPr="008E6F07" w:rsidRDefault="008E6F07" w:rsidP="008E6F07">
      <w:pPr>
        <w:spacing w:after="240"/>
        <w:contextualSpacing/>
        <w:rPr>
          <w:rFonts w:eastAsia="Calibri" w:cs="Arial"/>
        </w:rPr>
      </w:pPr>
      <w:r w:rsidRPr="008E6F07">
        <w:rPr>
          <w:rFonts w:eastAsia="Calibri" w:cs="Arial"/>
        </w:rPr>
        <w:t xml:space="preserve">David Cantrell, Ph.D., Acting Director </w:t>
      </w:r>
    </w:p>
    <w:p w14:paraId="54598415" w14:textId="77777777" w:rsidR="008E6F07" w:rsidRPr="008E6F07" w:rsidRDefault="008E6F07" w:rsidP="008E6F07">
      <w:pPr>
        <w:spacing w:after="240"/>
        <w:contextualSpacing/>
        <w:rPr>
          <w:rFonts w:eastAsia="Calibri" w:cs="Arial"/>
        </w:rPr>
      </w:pPr>
      <w:r w:rsidRPr="008E6F07">
        <w:rPr>
          <w:rFonts w:eastAsia="Calibri" w:cs="Arial"/>
        </w:rPr>
        <w:t>Office of Special Education Programs</w:t>
      </w:r>
    </w:p>
    <w:p w14:paraId="092D0C0C" w14:textId="77777777" w:rsidR="008E6F07" w:rsidRPr="008E6F07" w:rsidRDefault="008E6F07" w:rsidP="008E6F07">
      <w:pPr>
        <w:spacing w:after="240"/>
        <w:contextualSpacing/>
        <w:rPr>
          <w:rFonts w:eastAsia="Calibri" w:cs="Arial"/>
        </w:rPr>
      </w:pPr>
      <w:r w:rsidRPr="008E6F07">
        <w:rPr>
          <w:rFonts w:eastAsia="Calibri" w:cs="Arial"/>
        </w:rPr>
        <w:t xml:space="preserve">Office of Special Education and Rehabilitative Services </w:t>
      </w:r>
    </w:p>
    <w:p w14:paraId="2033E9D9" w14:textId="77777777" w:rsidR="008E6F07" w:rsidRPr="008E6F07" w:rsidRDefault="008E6F07" w:rsidP="008E6F07">
      <w:pPr>
        <w:spacing w:after="240"/>
        <w:contextualSpacing/>
        <w:rPr>
          <w:rFonts w:eastAsia="Calibri" w:cs="Arial"/>
        </w:rPr>
      </w:pPr>
      <w:r w:rsidRPr="008E6F07">
        <w:rPr>
          <w:rFonts w:eastAsia="Calibri" w:cs="Arial"/>
        </w:rPr>
        <w:t>U.S. Department of Education</w:t>
      </w:r>
    </w:p>
    <w:p w14:paraId="029EFA3C" w14:textId="77777777" w:rsidR="008E6F07" w:rsidRPr="008E6F07" w:rsidRDefault="008E6F07" w:rsidP="008E6F07">
      <w:pPr>
        <w:spacing w:after="240"/>
        <w:contextualSpacing/>
        <w:rPr>
          <w:rFonts w:eastAsia="Calibri" w:cs="Arial"/>
        </w:rPr>
      </w:pPr>
      <w:r w:rsidRPr="008E6F07">
        <w:rPr>
          <w:rFonts w:eastAsia="Calibri" w:cs="Arial"/>
        </w:rPr>
        <w:t>400 Maryland Avenue SW</w:t>
      </w:r>
    </w:p>
    <w:p w14:paraId="27F27F74" w14:textId="77777777" w:rsidR="008E6F07" w:rsidRPr="008E6F07" w:rsidRDefault="008E6F07" w:rsidP="008E6F07">
      <w:pPr>
        <w:spacing w:after="240"/>
        <w:rPr>
          <w:rFonts w:eastAsia="Calibri" w:cs="Arial"/>
        </w:rPr>
      </w:pPr>
      <w:r w:rsidRPr="008E6F07">
        <w:rPr>
          <w:rFonts w:eastAsia="Calibri" w:cs="Arial"/>
        </w:rPr>
        <w:t>Washington, DC 20202</w:t>
      </w:r>
    </w:p>
    <w:p w14:paraId="1D104CB4" w14:textId="77777777" w:rsidR="008E6F07" w:rsidRPr="008E6F07" w:rsidRDefault="008E6F07" w:rsidP="008E6F07">
      <w:pPr>
        <w:spacing w:after="240"/>
        <w:rPr>
          <w:rFonts w:eastAsia="Calibri" w:cs="Arial"/>
        </w:rPr>
      </w:pPr>
      <w:r w:rsidRPr="008E6F07">
        <w:rPr>
          <w:rFonts w:eastAsia="Calibri" w:cs="Arial"/>
        </w:rPr>
        <w:t>Dear Director Rooney and Acting Director Cantrell:</w:t>
      </w:r>
    </w:p>
    <w:p w14:paraId="155B4B6B" w14:textId="77777777" w:rsidR="008E6F07" w:rsidRPr="008E6F07" w:rsidRDefault="008E6F07" w:rsidP="008E6F07">
      <w:pPr>
        <w:spacing w:after="240"/>
        <w:rPr>
          <w:rFonts w:eastAsia="Arial" w:cs="Arial"/>
          <w:color w:val="000000"/>
        </w:rPr>
      </w:pPr>
      <w:r w:rsidRPr="008E6F07">
        <w:rPr>
          <w:rFonts w:eastAsia="Arial" w:cs="Arial"/>
          <w:color w:val="000000"/>
        </w:rPr>
        <w:t xml:space="preserve">Please find attached California’s waiver request pursuant to </w:t>
      </w:r>
      <w:r w:rsidRPr="008E6F07">
        <w:rPr>
          <w:rFonts w:eastAsia="Arial" w:cs="Arial"/>
          <w:i/>
          <w:iCs/>
          <w:color w:val="000000"/>
        </w:rPr>
        <w:t>Code of Federal Regulations</w:t>
      </w:r>
      <w:r w:rsidRPr="008E6F07">
        <w:rPr>
          <w:rFonts w:eastAsia="Arial" w:cs="Arial"/>
          <w:color w:val="000000"/>
        </w:rPr>
        <w:t xml:space="preserve">, Title 34, Section 200.6(c)(4), which requires that, for each subject for which assessments are administered, the total number of eligible students assessed in that subject using an alternate assessment aligned with alternate academic achievement standards (AA-AAAS) may not exceed 1.0 percent of the total number of students in California who are assessed in that subject. Data analysis indicates that the submission of a waiver is warranted for English language arts, mathematics, and science for the 2023–24 school year. </w:t>
      </w:r>
    </w:p>
    <w:p w14:paraId="6A68F9EC" w14:textId="01725671" w:rsidR="008E6F07" w:rsidRPr="008E6F07" w:rsidRDefault="008E6F07" w:rsidP="11AF7C17">
      <w:pPr>
        <w:spacing w:after="160" w:line="259" w:lineRule="auto"/>
        <w:rPr>
          <w:rFonts w:eastAsia="Arial" w:cs="Arial"/>
          <w:color w:val="000000"/>
          <w:highlight w:val="yellow"/>
        </w:rPr>
      </w:pPr>
      <w:r w:rsidRPr="00904D58">
        <w:rPr>
          <w:rFonts w:eastAsia="Arial"/>
        </w:rPr>
        <w:br w:type="page"/>
      </w:r>
      <w:r w:rsidRPr="11AF7C17">
        <w:rPr>
          <w:rFonts w:eastAsia="Arial" w:cs="Arial"/>
          <w:color w:val="000000" w:themeColor="text1"/>
        </w:rPr>
        <w:lastRenderedPageBreak/>
        <w:t xml:space="preserve">For more information or questions about the attached waiver requests for the 2023–24 school year, please contact Cheryl Cotton, Deputy Superintendent, Instruction, Measurement, and Administration Branch, by </w:t>
      </w:r>
      <w:r w:rsidR="002A370E" w:rsidRPr="005A419A">
        <w:rPr>
          <w:rFonts w:eastAsia="Arial" w:cs="Arial"/>
          <w:color w:val="000000" w:themeColor="text1"/>
        </w:rPr>
        <w:t xml:space="preserve">phone at 916-323-6398 or by </w:t>
      </w:r>
      <w:r w:rsidRPr="005A419A">
        <w:rPr>
          <w:rFonts w:eastAsia="Arial" w:cs="Arial"/>
          <w:color w:val="000000" w:themeColor="text1"/>
        </w:rPr>
        <w:t>email at</w:t>
      </w:r>
      <w:r w:rsidR="00822F65" w:rsidRPr="005A419A">
        <w:rPr>
          <w:rFonts w:eastAsia="Arial" w:cs="Arial"/>
          <w:color w:val="000000" w:themeColor="text1"/>
        </w:rPr>
        <w:t xml:space="preserve"> </w:t>
      </w:r>
      <w:hyperlink r:id="rId26">
        <w:r w:rsidR="00A62B7F" w:rsidRPr="005A419A">
          <w:rPr>
            <w:rStyle w:val="Hyperlink"/>
            <w:rFonts w:eastAsia="Arial" w:cs="Arial"/>
          </w:rPr>
          <w:t>CCotton@cde.ca.gov</w:t>
        </w:r>
      </w:hyperlink>
      <w:r w:rsidR="002A370E" w:rsidRPr="005A419A">
        <w:rPr>
          <w:rFonts w:eastAsia="Arial" w:cs="Arial"/>
          <w:color w:val="000000" w:themeColor="text1"/>
        </w:rPr>
        <w:t>.</w:t>
      </w:r>
    </w:p>
    <w:p w14:paraId="5848B976" w14:textId="27A1E123" w:rsidR="008E6F07" w:rsidRDefault="008E6F07" w:rsidP="009F6320">
      <w:pPr>
        <w:tabs>
          <w:tab w:val="left" w:pos="0"/>
        </w:tabs>
        <w:spacing w:after="480"/>
        <w:ind w:right="1440"/>
        <w:rPr>
          <w:noProof/>
        </w:rPr>
      </w:pPr>
      <w:r w:rsidRPr="008E6F07">
        <w:rPr>
          <w:rFonts w:eastAsia="Calibri" w:cs="Arial"/>
        </w:rPr>
        <w:t>Sincerely,</w:t>
      </w:r>
    </w:p>
    <w:p w14:paraId="79A4BEF9" w14:textId="77777777" w:rsidR="009F6320" w:rsidRDefault="009F6320" w:rsidP="009F6320">
      <w:pPr>
        <w:tabs>
          <w:tab w:val="left" w:pos="0"/>
        </w:tabs>
        <w:ind w:right="1440"/>
        <w:rPr>
          <w:noProof/>
        </w:rPr>
        <w:sectPr w:rsidR="009F6320">
          <w:headerReference w:type="default" r:id="rId27"/>
          <w:type w:val="continuous"/>
          <w:pgSz w:w="12240" w:h="15840" w:code="1"/>
          <w:pgMar w:top="1440" w:right="1440" w:bottom="360" w:left="1440" w:header="720" w:footer="720" w:gutter="0"/>
          <w:pgNumType w:start="1"/>
          <w:cols w:space="720"/>
          <w:docGrid w:linePitch="360"/>
        </w:sectPr>
      </w:pPr>
    </w:p>
    <w:p w14:paraId="662D8C92" w14:textId="6299463B" w:rsidR="00904D58" w:rsidRDefault="00904D58" w:rsidP="009F6320">
      <w:pPr>
        <w:tabs>
          <w:tab w:val="left" w:pos="0"/>
        </w:tabs>
        <w:ind w:right="180"/>
        <w:rPr>
          <w:noProof/>
        </w:rPr>
      </w:pPr>
      <w:r>
        <w:rPr>
          <w:noProof/>
        </w:rPr>
        <w:t>Tony Thurmond</w:t>
      </w:r>
    </w:p>
    <w:p w14:paraId="7C76A470" w14:textId="2D2831A2" w:rsidR="00904D58" w:rsidRDefault="00904D58" w:rsidP="009F6320">
      <w:pPr>
        <w:tabs>
          <w:tab w:val="left" w:pos="0"/>
        </w:tabs>
        <w:ind w:right="180"/>
        <w:rPr>
          <w:noProof/>
        </w:rPr>
      </w:pPr>
      <w:r>
        <w:rPr>
          <w:noProof/>
        </w:rPr>
        <w:t>State Superintendent of Public Instruction</w:t>
      </w:r>
    </w:p>
    <w:p w14:paraId="6E8F5000" w14:textId="297B9859" w:rsidR="00904D58" w:rsidRDefault="00904D58" w:rsidP="009F6320">
      <w:pPr>
        <w:tabs>
          <w:tab w:val="left" w:pos="0"/>
        </w:tabs>
        <w:ind w:right="180"/>
        <w:rPr>
          <w:noProof/>
        </w:rPr>
      </w:pPr>
      <w:r>
        <w:rPr>
          <w:noProof/>
        </w:rPr>
        <w:t>California Department of Education</w:t>
      </w:r>
    </w:p>
    <w:p w14:paraId="26C88AA5" w14:textId="77777777" w:rsidR="00904D58" w:rsidRDefault="00904D58" w:rsidP="009F6320">
      <w:pPr>
        <w:tabs>
          <w:tab w:val="left" w:pos="0"/>
        </w:tabs>
        <w:ind w:right="180" w:firstLine="360"/>
        <w:rPr>
          <w:noProof/>
        </w:rPr>
      </w:pPr>
      <w:r>
        <w:rPr>
          <w:noProof/>
        </w:rPr>
        <w:t>Linda Darling-Hammond</w:t>
      </w:r>
    </w:p>
    <w:p w14:paraId="767B92F0" w14:textId="77777777" w:rsidR="00904D58" w:rsidRDefault="00904D58" w:rsidP="009F6320">
      <w:pPr>
        <w:tabs>
          <w:tab w:val="left" w:pos="0"/>
        </w:tabs>
        <w:ind w:right="180" w:firstLine="360"/>
        <w:rPr>
          <w:noProof/>
        </w:rPr>
      </w:pPr>
      <w:r>
        <w:rPr>
          <w:noProof/>
        </w:rPr>
        <w:t>President</w:t>
      </w:r>
    </w:p>
    <w:p w14:paraId="1D28A08A" w14:textId="7DC0E776" w:rsidR="00904D58" w:rsidRDefault="00904D58" w:rsidP="009F6320">
      <w:pPr>
        <w:tabs>
          <w:tab w:val="left" w:pos="0"/>
        </w:tabs>
        <w:ind w:right="180" w:firstLine="360"/>
        <w:rPr>
          <w:noProof/>
        </w:rPr>
      </w:pPr>
      <w:r>
        <w:rPr>
          <w:noProof/>
        </w:rPr>
        <w:t>California State Board of Education</w:t>
      </w:r>
    </w:p>
    <w:p w14:paraId="403F43C7" w14:textId="77777777" w:rsidR="009F6320" w:rsidRDefault="009F6320" w:rsidP="00904D58">
      <w:pPr>
        <w:tabs>
          <w:tab w:val="left" w:pos="0"/>
        </w:tabs>
        <w:spacing w:after="240"/>
        <w:ind w:right="1440"/>
        <w:rPr>
          <w:noProof/>
        </w:rPr>
        <w:sectPr w:rsidR="009F6320" w:rsidSect="009F6320">
          <w:type w:val="continuous"/>
          <w:pgSz w:w="12240" w:h="15840" w:code="1"/>
          <w:pgMar w:top="1440" w:right="1440" w:bottom="360" w:left="1440" w:header="720" w:footer="720" w:gutter="0"/>
          <w:pgNumType w:start="1"/>
          <w:cols w:num="2" w:space="0"/>
          <w:docGrid w:linePitch="360"/>
        </w:sectPr>
      </w:pPr>
    </w:p>
    <w:p w14:paraId="02D93A2B" w14:textId="77777777" w:rsidR="00904D58" w:rsidRDefault="00904D58" w:rsidP="00904D58">
      <w:pPr>
        <w:tabs>
          <w:tab w:val="left" w:pos="0"/>
        </w:tabs>
        <w:spacing w:after="240"/>
        <w:ind w:right="1440"/>
        <w:rPr>
          <w:noProof/>
        </w:rPr>
      </w:pPr>
    </w:p>
    <w:p w14:paraId="2EDA556C" w14:textId="77777777" w:rsidR="008E6F07" w:rsidRPr="008E6F07" w:rsidRDefault="008E6F07" w:rsidP="009F6320">
      <w:pPr>
        <w:tabs>
          <w:tab w:val="left" w:pos="0"/>
        </w:tabs>
        <w:spacing w:after="480"/>
        <w:ind w:right="1440"/>
        <w:rPr>
          <w:rFonts w:eastAsia="Calibri" w:cs="Arial"/>
        </w:rPr>
      </w:pPr>
      <w:r w:rsidRPr="008E6F07">
        <w:rPr>
          <w:rFonts w:eastAsia="Calibri" w:cs="Arial"/>
        </w:rPr>
        <w:t>TT/</w:t>
      </w:r>
      <w:proofErr w:type="spellStart"/>
      <w:proofErr w:type="gramStart"/>
      <w:r w:rsidRPr="008E6F07">
        <w:rPr>
          <w:rFonts w:eastAsia="Calibri" w:cs="Arial"/>
        </w:rPr>
        <w:t>LDH:tdb</w:t>
      </w:r>
      <w:proofErr w:type="spellEnd"/>
      <w:proofErr w:type="gramEnd"/>
    </w:p>
    <w:p w14:paraId="090BEB0D" w14:textId="77777777" w:rsidR="008E6F07" w:rsidRPr="008E6F07" w:rsidRDefault="008E6F07" w:rsidP="008E6F07">
      <w:pPr>
        <w:tabs>
          <w:tab w:val="left" w:pos="0"/>
        </w:tabs>
        <w:spacing w:after="240"/>
        <w:ind w:right="1440"/>
        <w:rPr>
          <w:rFonts w:eastAsia="Calibri" w:cs="Arial"/>
        </w:rPr>
        <w:sectPr w:rsidR="008E6F07" w:rsidRPr="008E6F07">
          <w:type w:val="continuous"/>
          <w:pgSz w:w="12240" w:h="15840" w:code="1"/>
          <w:pgMar w:top="1440" w:right="1440" w:bottom="360" w:left="1440" w:header="720" w:footer="720" w:gutter="0"/>
          <w:pgNumType w:start="1"/>
          <w:cols w:space="720"/>
          <w:docGrid w:linePitch="360"/>
        </w:sectPr>
      </w:pPr>
      <w:r w:rsidRPr="008E6F07">
        <w:rPr>
          <w:rFonts w:eastAsia="Calibri" w:cs="Arial"/>
        </w:rPr>
        <w:t>Attachment</w:t>
      </w:r>
    </w:p>
    <w:p w14:paraId="29450AE5" w14:textId="77777777" w:rsidR="008E6F07" w:rsidRPr="008E6F07" w:rsidRDefault="008E6F07" w:rsidP="009F6320">
      <w:pPr>
        <w:pStyle w:val="Heading2"/>
        <w:jc w:val="center"/>
      </w:pPr>
      <w:r w:rsidRPr="008E6F07">
        <w:lastRenderedPageBreak/>
        <w:t>Waiver Requests</w:t>
      </w:r>
    </w:p>
    <w:p w14:paraId="58BFBD5F" w14:textId="77777777" w:rsidR="008E6F07" w:rsidRPr="008E6F07" w:rsidRDefault="008E6F07" w:rsidP="008E6F07">
      <w:pPr>
        <w:spacing w:after="240"/>
        <w:contextualSpacing/>
        <w:jc w:val="center"/>
        <w:rPr>
          <w:rFonts w:eastAsia="Arial" w:cs="Arial"/>
          <w:color w:val="000000"/>
        </w:rPr>
      </w:pPr>
      <w:r w:rsidRPr="008E6F07">
        <w:rPr>
          <w:rFonts w:eastAsia="Arial" w:cs="Arial"/>
          <w:color w:val="000000"/>
        </w:rPr>
        <w:t>California Department of Education</w:t>
      </w:r>
    </w:p>
    <w:p w14:paraId="4ED0B89B" w14:textId="77777777" w:rsidR="008E6F07" w:rsidRPr="008E6F07" w:rsidRDefault="008E6F07" w:rsidP="008E6F07">
      <w:pPr>
        <w:spacing w:after="240"/>
        <w:contextualSpacing/>
        <w:jc w:val="center"/>
        <w:rPr>
          <w:rFonts w:eastAsia="Arial" w:cs="Arial"/>
          <w:color w:val="000000"/>
        </w:rPr>
      </w:pPr>
      <w:r w:rsidRPr="008E6F07">
        <w:rPr>
          <w:rFonts w:eastAsia="Arial" w:cs="Arial"/>
          <w:color w:val="000000"/>
        </w:rPr>
        <w:t>Alternate Assessment Aligned with Alternate Academic Achievement Standards</w:t>
      </w:r>
    </w:p>
    <w:p w14:paraId="3846FD02" w14:textId="77777777" w:rsidR="008E6F07" w:rsidRPr="008E6F07" w:rsidRDefault="008E6F07" w:rsidP="008E6F07">
      <w:pPr>
        <w:spacing w:after="240"/>
        <w:jc w:val="center"/>
        <w:rPr>
          <w:rFonts w:eastAsia="Arial" w:cs="Arial"/>
          <w:color w:val="000000"/>
        </w:rPr>
      </w:pPr>
      <w:r w:rsidRPr="008E6F07">
        <w:rPr>
          <w:rFonts w:eastAsia="Arial" w:cs="Arial"/>
          <w:color w:val="000000"/>
        </w:rPr>
        <w:t xml:space="preserve">Pursuant to </w:t>
      </w:r>
      <w:r w:rsidRPr="008E6F07">
        <w:rPr>
          <w:rFonts w:eastAsia="Arial" w:cs="Arial"/>
          <w:i/>
          <w:iCs/>
          <w:color w:val="000000"/>
        </w:rPr>
        <w:t>Code of Federal Regulations</w:t>
      </w:r>
      <w:r w:rsidRPr="008E6F07">
        <w:rPr>
          <w:rFonts w:eastAsia="Arial" w:cs="Arial"/>
          <w:color w:val="000000"/>
        </w:rPr>
        <w:t>, Title 34, Section 200.6 (c)(4)</w:t>
      </w:r>
    </w:p>
    <w:p w14:paraId="16650262" w14:textId="56C216BB" w:rsidR="008E6F07" w:rsidRPr="008E6F07" w:rsidRDefault="006346CF" w:rsidP="008E6F07">
      <w:pPr>
        <w:spacing w:after="160"/>
        <w:jc w:val="center"/>
        <w:rPr>
          <w:rFonts w:eastAsia="Arial" w:cs="Arial"/>
          <w:color w:val="000000"/>
        </w:rPr>
      </w:pPr>
      <w:r w:rsidRPr="3198D494">
        <w:rPr>
          <w:rFonts w:eastAsia="Arial" w:cs="Arial"/>
          <w:color w:val="000000" w:themeColor="text1"/>
        </w:rPr>
        <w:t>DRAFT</w:t>
      </w:r>
      <w:r w:rsidR="009F6320">
        <w:rPr>
          <w:rFonts w:eastAsia="Arial" w:cs="Arial"/>
          <w:color w:val="000000" w:themeColor="text1"/>
        </w:rPr>
        <w:t xml:space="preserve"> </w:t>
      </w:r>
      <w:proofErr w:type="gramStart"/>
      <w:r w:rsidRPr="3198D494">
        <w:rPr>
          <w:rFonts w:eastAsia="Arial" w:cs="Arial"/>
          <w:color w:val="000000" w:themeColor="text1"/>
        </w:rPr>
        <w:t>November XX,</w:t>
      </w:r>
      <w:proofErr w:type="gramEnd"/>
      <w:r w:rsidRPr="3198D494">
        <w:rPr>
          <w:rFonts w:eastAsia="Arial" w:cs="Arial"/>
          <w:color w:val="000000" w:themeColor="text1"/>
        </w:rPr>
        <w:t xml:space="preserve"> 2023</w:t>
      </w:r>
    </w:p>
    <w:p w14:paraId="3C19161C" w14:textId="77777777" w:rsidR="008E6F07" w:rsidRPr="008E6F07" w:rsidRDefault="008E6F07" w:rsidP="008E6F07">
      <w:pPr>
        <w:spacing w:after="240"/>
        <w:rPr>
          <w:rFonts w:eastAsia="Arial" w:cs="Arial"/>
          <w:color w:val="000000"/>
        </w:rPr>
      </w:pPr>
      <w:r w:rsidRPr="008E6F07">
        <w:rPr>
          <w:rFonts w:eastAsia="Arial" w:cs="Arial"/>
          <w:color w:val="000000"/>
        </w:rPr>
        <w:t xml:space="preserve">Title 1 of the Elementary and Secondary Education Act of 1965 (ESEA), as amended by the Every Student Succeeds Act of 2015 (ESSA) (ESEA Section 1111[b][2][D] and </w:t>
      </w:r>
      <w:r w:rsidRPr="008E6F07">
        <w:rPr>
          <w:rFonts w:eastAsia="Arial" w:cs="Arial"/>
          <w:i/>
          <w:iCs/>
          <w:color w:val="000000"/>
        </w:rPr>
        <w:t>Code of Federal Regulations</w:t>
      </w:r>
      <w:r w:rsidRPr="008E6F07">
        <w:rPr>
          <w:rFonts w:eastAsia="Arial" w:cs="Arial"/>
          <w:color w:val="000000"/>
        </w:rPr>
        <w:t xml:space="preserve">, Title 34 [34 </w:t>
      </w:r>
      <w:r w:rsidRPr="008E6F07">
        <w:rPr>
          <w:rFonts w:eastAsia="Arial" w:cs="Arial"/>
          <w:i/>
          <w:iCs/>
          <w:color w:val="000000"/>
        </w:rPr>
        <w:t>CFR</w:t>
      </w:r>
      <w:r w:rsidRPr="008E6F07">
        <w:rPr>
          <w:rFonts w:eastAsia="Arial" w:cs="Arial"/>
          <w:color w:val="000000"/>
        </w:rPr>
        <w:t>], sections 200.6[c] and [d]) modifies the provision that eligible students with the most significant cognitive disabilities may participate in alternate assessments aligned with alternate academic achievement standards (AA-AAAS). ESSA places a 1.0 percent cap on the number of eligible students who may participate in alternate assessments. States that anticipate exceeding the 1.0 percent cap must submit a waiver request to the U.S. Department of Education (ED).</w:t>
      </w:r>
    </w:p>
    <w:p w14:paraId="297205F7" w14:textId="77777777" w:rsidR="008E6F07" w:rsidRPr="008E6F07" w:rsidRDefault="008E6F07" w:rsidP="008E6F07">
      <w:pPr>
        <w:spacing w:after="240"/>
        <w:rPr>
          <w:rFonts w:eastAsia="Arial" w:cs="Arial"/>
          <w:color w:val="000000"/>
        </w:rPr>
      </w:pPr>
      <w:r w:rsidRPr="008E6F07">
        <w:rPr>
          <w:rFonts w:eastAsia="Arial" w:cs="Arial"/>
          <w:color w:val="000000"/>
        </w:rPr>
        <w:t>The California Alternate Assessments (CAAs) are California’s AA-AAAS. On behalf of the California State Board of Education (SBE), the California Department of Education (CDE) is submitting the required waiver request for the anticipated greater than 1.0 percent participation cap in the CAAs for English language arts/literacy (ELA), mathematics, and science for the 2023–24 school year. The CDE anticipates that participation rates for the CAAs for the 2023–24 school year will exceed the 1.0 percent cap for ELA, mathematics, and science.</w:t>
      </w:r>
    </w:p>
    <w:p w14:paraId="165BADC0" w14:textId="77777777" w:rsidR="008E6F07" w:rsidRPr="008E6F07" w:rsidRDefault="008E6F07" w:rsidP="008E6F07">
      <w:pPr>
        <w:spacing w:after="240"/>
        <w:rPr>
          <w:rFonts w:eastAsia="Arial" w:cs="Arial"/>
          <w:color w:val="000000"/>
        </w:rPr>
      </w:pPr>
      <w:r w:rsidRPr="008E6F07">
        <w:rPr>
          <w:rFonts w:eastAsia="Arial" w:cs="Arial"/>
          <w:color w:val="000000"/>
        </w:rPr>
        <w:t xml:space="preserve">The CDE and SBE are requesting a waiver of the requirement in 34 </w:t>
      </w:r>
      <w:r w:rsidRPr="008E6F07">
        <w:rPr>
          <w:rFonts w:eastAsia="Arial" w:cs="Arial"/>
          <w:i/>
          <w:iCs/>
          <w:color w:val="000000"/>
        </w:rPr>
        <w:t>CFR</w:t>
      </w:r>
      <w:r w:rsidRPr="008E6F07">
        <w:rPr>
          <w:rFonts w:eastAsia="Arial" w:cs="Arial"/>
          <w:color w:val="000000"/>
        </w:rPr>
        <w:t>, Section 200.6(c)(2) to assess less than 1.0 percent of eligible students with an AA-AAAS for the 2023–24 test administration.</w:t>
      </w:r>
    </w:p>
    <w:p w14:paraId="56254A22" w14:textId="77777777" w:rsidR="008E6F07" w:rsidRPr="008E6F07" w:rsidRDefault="008E6F07" w:rsidP="009F6320">
      <w:pPr>
        <w:pStyle w:val="Heading3"/>
      </w:pPr>
      <w:r w:rsidRPr="008E6F07">
        <w:t>Overview</w:t>
      </w:r>
    </w:p>
    <w:p w14:paraId="6F99DAB5" w14:textId="77777777" w:rsidR="008E6F07" w:rsidRPr="008E6F07" w:rsidRDefault="008E6F07" w:rsidP="008E6F07">
      <w:pPr>
        <w:spacing w:after="240"/>
        <w:rPr>
          <w:rFonts w:cs="Arial"/>
        </w:rPr>
      </w:pPr>
      <w:r w:rsidRPr="008E6F07">
        <w:rPr>
          <w:rFonts w:cs="Arial"/>
          <w:shd w:val="clear" w:color="auto" w:fill="FFFFFF"/>
        </w:rPr>
        <w:t xml:space="preserve">The 2022–23 test participation data in tables 1 through 7 reflect </w:t>
      </w:r>
      <w:r w:rsidRPr="008E6F07">
        <w:t>2022</w:t>
      </w:r>
      <w:r w:rsidRPr="008E6F07">
        <w:rPr>
          <w:rFonts w:eastAsia="Arial" w:cs="Arial"/>
        </w:rPr>
        <w:t>–</w:t>
      </w:r>
      <w:r w:rsidRPr="008E6F07">
        <w:t xml:space="preserve">23 </w:t>
      </w:r>
      <w:r w:rsidRPr="008E6F07">
        <w:rPr>
          <w:rFonts w:cs="Arial"/>
          <w:shd w:val="clear" w:color="auto" w:fill="FFFFFF"/>
        </w:rPr>
        <w:t>overall participation rates</w:t>
      </w:r>
      <w:r w:rsidRPr="008E6F07">
        <w:rPr>
          <w:rFonts w:cs="Arial"/>
        </w:rPr>
        <w:t>.</w:t>
      </w:r>
    </w:p>
    <w:p w14:paraId="7C684238" w14:textId="30974880" w:rsidR="008E6F07" w:rsidRPr="008E6F07" w:rsidRDefault="008E6F07" w:rsidP="008E6F07">
      <w:pPr>
        <w:spacing w:after="240"/>
      </w:pPr>
      <w:r w:rsidRPr="008E6F07">
        <w:t>Table 1 and</w:t>
      </w:r>
      <w:r w:rsidRPr="008E6F07" w:rsidDel="00F13337">
        <w:t xml:space="preserve"> </w:t>
      </w:r>
      <w:r w:rsidR="00F13337">
        <w:t>t</w:t>
      </w:r>
      <w:r w:rsidR="00F13337" w:rsidRPr="008E6F07">
        <w:t xml:space="preserve">able </w:t>
      </w:r>
      <w:r w:rsidRPr="008E6F07">
        <w:t>2 display the 2022</w:t>
      </w:r>
      <w:r w:rsidRPr="008E6F07">
        <w:rPr>
          <w:rFonts w:eastAsia="Arial" w:cs="Arial"/>
        </w:rPr>
        <w:t>–</w:t>
      </w:r>
      <w:r w:rsidRPr="008E6F07">
        <w:t>23 overall participation rates for all students and overall participation rates for students with disabilities by content area.</w:t>
      </w:r>
    </w:p>
    <w:p w14:paraId="46C150E9" w14:textId="77777777" w:rsidR="008E6F07" w:rsidRPr="00135F48" w:rsidRDefault="008E6F07" w:rsidP="00135F48">
      <w:pPr>
        <w:pStyle w:val="Heading4"/>
        <w:rPr>
          <w:i w:val="0"/>
          <w:iCs w:val="0"/>
        </w:rPr>
      </w:pPr>
      <w:r w:rsidRPr="00135F48">
        <w:rPr>
          <w:i w:val="0"/>
          <w:iCs w:val="0"/>
        </w:rPr>
        <w:t>Table 1. Overall Participation Rates for All Students by Content Area, 2022</w:t>
      </w:r>
      <w:r w:rsidRPr="00135F48">
        <w:rPr>
          <w:rFonts w:eastAsia="Arial"/>
          <w:i w:val="0"/>
          <w:iCs w:val="0"/>
        </w:rPr>
        <w:t>–</w:t>
      </w:r>
      <w:r w:rsidRPr="00135F48">
        <w:rPr>
          <w:i w:val="0"/>
          <w:iCs w:val="0"/>
        </w:rPr>
        <w:t>23</w:t>
      </w:r>
    </w:p>
    <w:tbl>
      <w:tblPr>
        <w:tblStyle w:val="TableGrid11"/>
        <w:tblW w:w="0" w:type="auto"/>
        <w:tblLook w:val="04A0" w:firstRow="1" w:lastRow="0" w:firstColumn="1" w:lastColumn="0" w:noHBand="0" w:noVBand="1"/>
        <w:tblCaption w:val="Table 1. Overall Participation Rates for All Students by Content Area, 2022–23"/>
        <w:tblDescription w:val="Table 1 display the 2022–23 overall participation rates for all students and overall participation rates for students with disabilities by content area."/>
      </w:tblPr>
      <w:tblGrid>
        <w:gridCol w:w="1593"/>
        <w:gridCol w:w="2607"/>
        <w:gridCol w:w="2610"/>
        <w:gridCol w:w="2540"/>
      </w:tblGrid>
      <w:tr w:rsidR="008E6F07" w:rsidRPr="008E6F07" w14:paraId="3E9DCF1F" w14:textId="77777777" w:rsidTr="734042CB">
        <w:trPr>
          <w:trHeight w:val="872"/>
          <w:tblHeader/>
        </w:trPr>
        <w:tc>
          <w:tcPr>
            <w:tcW w:w="1593" w:type="dxa"/>
            <w:shd w:val="clear" w:color="auto" w:fill="D9D9D9" w:themeFill="background1" w:themeFillShade="D9"/>
            <w:vAlign w:val="center"/>
          </w:tcPr>
          <w:p w14:paraId="0149CA26" w14:textId="77777777" w:rsidR="008E6F07" w:rsidRPr="008E6F07" w:rsidRDefault="008E6F07" w:rsidP="008E6F07">
            <w:pPr>
              <w:keepNext/>
              <w:jc w:val="center"/>
              <w:rPr>
                <w:rFonts w:cs="Arial"/>
                <w:b/>
                <w:bCs/>
                <w:color w:val="000000"/>
              </w:rPr>
            </w:pPr>
            <w:r w:rsidRPr="008E6F07">
              <w:rPr>
                <w:rFonts w:cs="Arial"/>
                <w:b/>
                <w:bCs/>
                <w:color w:val="000000"/>
              </w:rPr>
              <w:t>Content Area</w:t>
            </w:r>
          </w:p>
        </w:tc>
        <w:tc>
          <w:tcPr>
            <w:tcW w:w="2607" w:type="dxa"/>
            <w:shd w:val="clear" w:color="auto" w:fill="D9D9D9" w:themeFill="background1" w:themeFillShade="D9"/>
            <w:vAlign w:val="center"/>
          </w:tcPr>
          <w:p w14:paraId="06DCBC92" w14:textId="77777777" w:rsidR="008E6F07" w:rsidRPr="008E6F07" w:rsidRDefault="008E6F07" w:rsidP="008E6F07">
            <w:pPr>
              <w:keepNext/>
              <w:jc w:val="center"/>
              <w:rPr>
                <w:rFonts w:cs="Arial"/>
                <w:b/>
                <w:bCs/>
                <w:color w:val="000000"/>
              </w:rPr>
            </w:pPr>
            <w:r w:rsidRPr="008E6F07">
              <w:rPr>
                <w:rFonts w:cs="Arial"/>
                <w:b/>
                <w:bCs/>
                <w:color w:val="000000"/>
              </w:rPr>
              <w:t>Number of Eligible Students, 2023</w:t>
            </w:r>
          </w:p>
        </w:tc>
        <w:tc>
          <w:tcPr>
            <w:tcW w:w="2610" w:type="dxa"/>
            <w:shd w:val="clear" w:color="auto" w:fill="D9D9D9" w:themeFill="background1" w:themeFillShade="D9"/>
            <w:vAlign w:val="center"/>
          </w:tcPr>
          <w:p w14:paraId="5D3AD952" w14:textId="77777777" w:rsidR="008E6F07" w:rsidRPr="008E6F07" w:rsidRDefault="008E6F07" w:rsidP="008E6F07">
            <w:pPr>
              <w:keepNext/>
              <w:jc w:val="center"/>
              <w:rPr>
                <w:rFonts w:cs="Arial"/>
                <w:b/>
                <w:bCs/>
                <w:color w:val="000000"/>
              </w:rPr>
            </w:pPr>
            <w:r w:rsidRPr="008E6F07">
              <w:rPr>
                <w:rFonts w:cs="Arial"/>
                <w:b/>
                <w:bCs/>
                <w:color w:val="000000"/>
              </w:rPr>
              <w:t>Number of Students Assessed, 2023</w:t>
            </w:r>
          </w:p>
        </w:tc>
        <w:tc>
          <w:tcPr>
            <w:tcW w:w="2540" w:type="dxa"/>
            <w:shd w:val="clear" w:color="auto" w:fill="D9D9D9" w:themeFill="background1" w:themeFillShade="D9"/>
            <w:vAlign w:val="center"/>
          </w:tcPr>
          <w:p w14:paraId="35B0118B" w14:textId="77777777" w:rsidR="008E6F07" w:rsidRPr="008E6F07" w:rsidRDefault="008E6F07" w:rsidP="008E6F07">
            <w:pPr>
              <w:keepNext/>
              <w:jc w:val="center"/>
              <w:rPr>
                <w:rFonts w:cs="Arial"/>
                <w:b/>
                <w:bCs/>
                <w:color w:val="000000"/>
              </w:rPr>
            </w:pPr>
            <w:r w:rsidRPr="008E6F07">
              <w:rPr>
                <w:rFonts w:cs="Arial"/>
                <w:b/>
                <w:bCs/>
                <w:color w:val="000000"/>
              </w:rPr>
              <w:t>Participation Rate, 2023</w:t>
            </w:r>
          </w:p>
        </w:tc>
      </w:tr>
      <w:tr w:rsidR="001D5B57" w:rsidRPr="008E6F07" w14:paraId="13EA91E0" w14:textId="77777777">
        <w:trPr>
          <w:trHeight w:val="320"/>
        </w:trPr>
        <w:tc>
          <w:tcPr>
            <w:tcW w:w="1593" w:type="dxa"/>
            <w:vAlign w:val="center"/>
          </w:tcPr>
          <w:p w14:paraId="471FB8FE" w14:textId="77777777" w:rsidR="001D5B57" w:rsidRPr="008E6F07" w:rsidRDefault="001D5B57" w:rsidP="001D5B57">
            <w:pPr>
              <w:rPr>
                <w:rFonts w:cs="Arial"/>
                <w:color w:val="000000"/>
              </w:rPr>
            </w:pPr>
            <w:r w:rsidRPr="008E6F07">
              <w:rPr>
                <w:rFonts w:cs="Arial"/>
                <w:color w:val="000000"/>
              </w:rPr>
              <w:t>ELA</w:t>
            </w:r>
          </w:p>
        </w:tc>
        <w:tc>
          <w:tcPr>
            <w:tcW w:w="2607" w:type="dxa"/>
            <w:vAlign w:val="bottom"/>
          </w:tcPr>
          <w:p w14:paraId="2708D539" w14:textId="4C8287DB" w:rsidR="001D5B57" w:rsidRPr="008E6F07" w:rsidRDefault="001D5B57" w:rsidP="001D5B57">
            <w:pPr>
              <w:tabs>
                <w:tab w:val="decimal" w:pos="1710"/>
              </w:tabs>
              <w:rPr>
                <w:rFonts w:cs="Arial"/>
                <w:color w:val="000000"/>
              </w:rPr>
            </w:pPr>
            <w:r w:rsidRPr="00B07246">
              <w:rPr>
                <w:rFonts w:cs="Arial"/>
                <w:color w:val="000000"/>
              </w:rPr>
              <w:t>3,095,581</w:t>
            </w:r>
          </w:p>
        </w:tc>
        <w:tc>
          <w:tcPr>
            <w:tcW w:w="2610" w:type="dxa"/>
            <w:vAlign w:val="bottom"/>
          </w:tcPr>
          <w:p w14:paraId="18E8A33B" w14:textId="46A2C861" w:rsidR="001D5B57" w:rsidRPr="008E6F07" w:rsidRDefault="001D5B57" w:rsidP="001D5B57">
            <w:pPr>
              <w:tabs>
                <w:tab w:val="decimal" w:pos="1720"/>
              </w:tabs>
              <w:rPr>
                <w:rFonts w:cs="Arial"/>
                <w:color w:val="000000"/>
              </w:rPr>
            </w:pPr>
            <w:r w:rsidRPr="00B07246">
              <w:rPr>
                <w:rFonts w:cs="Arial"/>
                <w:color w:val="000000"/>
              </w:rPr>
              <w:t>2,996,485</w:t>
            </w:r>
          </w:p>
        </w:tc>
        <w:tc>
          <w:tcPr>
            <w:tcW w:w="2540" w:type="dxa"/>
            <w:vAlign w:val="bottom"/>
          </w:tcPr>
          <w:p w14:paraId="2FCAD8C4" w14:textId="6DEE19B0" w:rsidR="001D5B57" w:rsidRPr="008E6F07" w:rsidRDefault="001D5B57" w:rsidP="001D5B57">
            <w:pPr>
              <w:tabs>
                <w:tab w:val="decimal" w:pos="1180"/>
              </w:tabs>
              <w:rPr>
                <w:rFonts w:cs="Arial"/>
                <w:color w:val="000000"/>
              </w:rPr>
            </w:pPr>
            <w:r w:rsidRPr="00B07246">
              <w:rPr>
                <w:rFonts w:cs="Arial"/>
                <w:color w:val="000000"/>
              </w:rPr>
              <w:t>96.80%</w:t>
            </w:r>
          </w:p>
        </w:tc>
      </w:tr>
      <w:tr w:rsidR="001D5B57" w:rsidRPr="008E6F07" w14:paraId="21F3371C" w14:textId="77777777">
        <w:trPr>
          <w:trHeight w:val="320"/>
        </w:trPr>
        <w:tc>
          <w:tcPr>
            <w:tcW w:w="1593" w:type="dxa"/>
            <w:vAlign w:val="center"/>
          </w:tcPr>
          <w:p w14:paraId="28EAFA78" w14:textId="77777777" w:rsidR="001D5B57" w:rsidRPr="008E6F07" w:rsidRDefault="001D5B57" w:rsidP="001D5B57">
            <w:pPr>
              <w:rPr>
                <w:rFonts w:cs="Arial"/>
                <w:color w:val="000000"/>
              </w:rPr>
            </w:pPr>
            <w:r w:rsidRPr="008E6F07">
              <w:rPr>
                <w:rFonts w:cs="Arial"/>
                <w:color w:val="000000"/>
              </w:rPr>
              <w:t>Math</w:t>
            </w:r>
          </w:p>
        </w:tc>
        <w:tc>
          <w:tcPr>
            <w:tcW w:w="2607" w:type="dxa"/>
            <w:vAlign w:val="bottom"/>
          </w:tcPr>
          <w:p w14:paraId="59979AFE" w14:textId="625C56B8" w:rsidR="001D5B57" w:rsidRPr="008E6F07" w:rsidRDefault="001D5B57" w:rsidP="001D5B57">
            <w:pPr>
              <w:tabs>
                <w:tab w:val="decimal" w:pos="1710"/>
              </w:tabs>
              <w:rPr>
                <w:rFonts w:cs="Arial"/>
                <w:color w:val="000000"/>
              </w:rPr>
            </w:pPr>
            <w:r w:rsidRPr="00B07246">
              <w:rPr>
                <w:rFonts w:cs="Arial"/>
                <w:color w:val="000000"/>
              </w:rPr>
              <w:t>3,095,581</w:t>
            </w:r>
          </w:p>
        </w:tc>
        <w:tc>
          <w:tcPr>
            <w:tcW w:w="2610" w:type="dxa"/>
            <w:vAlign w:val="bottom"/>
          </w:tcPr>
          <w:p w14:paraId="2821F477" w14:textId="0B77AC56" w:rsidR="001D5B57" w:rsidRPr="008E6F07" w:rsidRDefault="001D5B57" w:rsidP="001D5B57">
            <w:pPr>
              <w:tabs>
                <w:tab w:val="decimal" w:pos="1720"/>
              </w:tabs>
              <w:rPr>
                <w:rFonts w:cs="Arial"/>
                <w:color w:val="000000"/>
              </w:rPr>
            </w:pPr>
            <w:r w:rsidRPr="00B07246">
              <w:rPr>
                <w:rFonts w:cs="Arial"/>
                <w:color w:val="000000"/>
              </w:rPr>
              <w:t>3,007,770</w:t>
            </w:r>
          </w:p>
        </w:tc>
        <w:tc>
          <w:tcPr>
            <w:tcW w:w="2540" w:type="dxa"/>
            <w:vAlign w:val="bottom"/>
          </w:tcPr>
          <w:p w14:paraId="39AC4C2D" w14:textId="091B0A68" w:rsidR="001D5B57" w:rsidRPr="008E6F07" w:rsidRDefault="001D5B57" w:rsidP="001D5B57">
            <w:pPr>
              <w:tabs>
                <w:tab w:val="decimal" w:pos="1180"/>
              </w:tabs>
              <w:rPr>
                <w:rFonts w:cs="Arial"/>
                <w:color w:val="000000"/>
              </w:rPr>
            </w:pPr>
            <w:r w:rsidRPr="00B07246">
              <w:rPr>
                <w:rFonts w:cs="Arial"/>
                <w:color w:val="000000"/>
              </w:rPr>
              <w:t>97.16%</w:t>
            </w:r>
          </w:p>
        </w:tc>
      </w:tr>
      <w:tr w:rsidR="001D5B57" w:rsidRPr="008E6F07" w14:paraId="160AB6CC" w14:textId="77777777">
        <w:trPr>
          <w:trHeight w:val="320"/>
        </w:trPr>
        <w:tc>
          <w:tcPr>
            <w:tcW w:w="1593" w:type="dxa"/>
            <w:vAlign w:val="center"/>
          </w:tcPr>
          <w:p w14:paraId="0A960212" w14:textId="77777777" w:rsidR="001D5B57" w:rsidRPr="008E6F07" w:rsidRDefault="001D5B57" w:rsidP="001D5B57">
            <w:pPr>
              <w:rPr>
                <w:rFonts w:cs="Arial"/>
                <w:color w:val="000000"/>
              </w:rPr>
            </w:pPr>
            <w:r w:rsidRPr="008E6F07">
              <w:rPr>
                <w:rFonts w:cs="Arial"/>
                <w:color w:val="000000"/>
              </w:rPr>
              <w:t>Science</w:t>
            </w:r>
          </w:p>
        </w:tc>
        <w:tc>
          <w:tcPr>
            <w:tcW w:w="2607" w:type="dxa"/>
            <w:vAlign w:val="bottom"/>
          </w:tcPr>
          <w:p w14:paraId="37DA184C" w14:textId="6D6ADCDE" w:rsidR="001D5B57" w:rsidRPr="008E6F07" w:rsidRDefault="001D5B57" w:rsidP="001D5B57">
            <w:pPr>
              <w:tabs>
                <w:tab w:val="decimal" w:pos="1710"/>
              </w:tabs>
              <w:rPr>
                <w:rFonts w:cs="Arial"/>
                <w:color w:val="000000"/>
              </w:rPr>
            </w:pPr>
            <w:r w:rsidRPr="734042CB">
              <w:rPr>
                <w:rFonts w:cs="Arial"/>
                <w:color w:val="000000" w:themeColor="text1"/>
              </w:rPr>
              <w:t>1,389,291</w:t>
            </w:r>
          </w:p>
        </w:tc>
        <w:tc>
          <w:tcPr>
            <w:tcW w:w="2610" w:type="dxa"/>
            <w:vAlign w:val="bottom"/>
          </w:tcPr>
          <w:p w14:paraId="44E2F872" w14:textId="37A82D7B" w:rsidR="001D5B57" w:rsidRPr="008E6F07" w:rsidRDefault="001D5B57" w:rsidP="001D5B57">
            <w:pPr>
              <w:tabs>
                <w:tab w:val="decimal" w:pos="1720"/>
              </w:tabs>
              <w:rPr>
                <w:rFonts w:cs="Arial"/>
                <w:color w:val="000000"/>
              </w:rPr>
            </w:pPr>
            <w:r w:rsidRPr="734042CB">
              <w:rPr>
                <w:rFonts w:cs="Arial"/>
                <w:color w:val="000000" w:themeColor="text1"/>
              </w:rPr>
              <w:t>1,341,082</w:t>
            </w:r>
          </w:p>
        </w:tc>
        <w:tc>
          <w:tcPr>
            <w:tcW w:w="2540" w:type="dxa"/>
            <w:vAlign w:val="bottom"/>
          </w:tcPr>
          <w:p w14:paraId="52620946" w14:textId="49E592D6" w:rsidR="001D5B57" w:rsidRPr="008E6F07" w:rsidRDefault="001D5B57" w:rsidP="001D5B57">
            <w:pPr>
              <w:tabs>
                <w:tab w:val="decimal" w:pos="1180"/>
              </w:tabs>
              <w:rPr>
                <w:rFonts w:cs="Arial"/>
                <w:color w:val="000000"/>
              </w:rPr>
            </w:pPr>
            <w:r w:rsidRPr="00B07246">
              <w:rPr>
                <w:rFonts w:cs="Arial"/>
                <w:color w:val="000000"/>
              </w:rPr>
              <w:t>96.53%</w:t>
            </w:r>
          </w:p>
        </w:tc>
      </w:tr>
    </w:tbl>
    <w:p w14:paraId="341366F5" w14:textId="77777777" w:rsidR="008E6F07" w:rsidRPr="00135F48" w:rsidRDefault="008E6F07" w:rsidP="00135F48">
      <w:pPr>
        <w:pStyle w:val="Heading4"/>
        <w:rPr>
          <w:i w:val="0"/>
          <w:iCs w:val="0"/>
        </w:rPr>
      </w:pPr>
      <w:r w:rsidRPr="00135F48">
        <w:rPr>
          <w:i w:val="0"/>
          <w:iCs w:val="0"/>
        </w:rPr>
        <w:lastRenderedPageBreak/>
        <w:t xml:space="preserve">Table 2. Overall Participation Rates of Students with Disabilities by Content Area, 2022–23 </w:t>
      </w:r>
    </w:p>
    <w:tbl>
      <w:tblPr>
        <w:tblStyle w:val="TableGrid11"/>
        <w:tblW w:w="0" w:type="auto"/>
        <w:tblLook w:val="04A0" w:firstRow="1" w:lastRow="0" w:firstColumn="1" w:lastColumn="0" w:noHBand="0" w:noVBand="1"/>
        <w:tblCaption w:val="Table 2. Overall Participation Rates of Students with Disabilities by Content Area, 2022–23 "/>
        <w:tblDescription w:val="Table 2 display the 2022–23 overall participation rates for all students and overall participation rates for students with disabilities by content area."/>
      </w:tblPr>
      <w:tblGrid>
        <w:gridCol w:w="1487"/>
        <w:gridCol w:w="2640"/>
        <w:gridCol w:w="2643"/>
        <w:gridCol w:w="2580"/>
      </w:tblGrid>
      <w:tr w:rsidR="008E6F07" w:rsidRPr="008E6F07" w14:paraId="505F11A9" w14:textId="77777777" w:rsidTr="008E6F07">
        <w:trPr>
          <w:trHeight w:val="1020"/>
          <w:tblHeader/>
        </w:trPr>
        <w:tc>
          <w:tcPr>
            <w:tcW w:w="1487" w:type="dxa"/>
            <w:shd w:val="clear" w:color="auto" w:fill="D9D9D9"/>
            <w:vAlign w:val="center"/>
          </w:tcPr>
          <w:p w14:paraId="67619D58" w14:textId="77777777" w:rsidR="008E6F07" w:rsidRPr="008E6F07" w:rsidRDefault="008E6F07" w:rsidP="008E6F07">
            <w:pPr>
              <w:jc w:val="center"/>
              <w:rPr>
                <w:rFonts w:cs="Arial"/>
                <w:b/>
                <w:bCs/>
                <w:color w:val="000000"/>
              </w:rPr>
            </w:pPr>
            <w:r w:rsidRPr="008E6F07">
              <w:rPr>
                <w:rFonts w:cs="Arial"/>
                <w:b/>
                <w:bCs/>
                <w:color w:val="000000"/>
              </w:rPr>
              <w:t>Content Area</w:t>
            </w:r>
          </w:p>
        </w:tc>
        <w:tc>
          <w:tcPr>
            <w:tcW w:w="2640" w:type="dxa"/>
            <w:shd w:val="clear" w:color="auto" w:fill="D9D9D9"/>
            <w:vAlign w:val="center"/>
          </w:tcPr>
          <w:p w14:paraId="26DE18BB" w14:textId="77777777" w:rsidR="008E6F07" w:rsidRPr="008E6F07" w:rsidRDefault="008E6F07" w:rsidP="008E6F07">
            <w:pPr>
              <w:jc w:val="center"/>
              <w:rPr>
                <w:rFonts w:cs="Arial"/>
                <w:b/>
                <w:bCs/>
                <w:color w:val="000000"/>
              </w:rPr>
            </w:pPr>
            <w:r w:rsidRPr="008E6F07">
              <w:rPr>
                <w:rFonts w:cs="Arial"/>
                <w:b/>
                <w:bCs/>
                <w:color w:val="000000"/>
              </w:rPr>
              <w:t>Number of Students with Disabilities, 2023</w:t>
            </w:r>
            <w:r w:rsidRPr="008E6F07">
              <w:rPr>
                <w:rFonts w:cs="Arial"/>
                <w:b/>
                <w:bCs/>
                <w:color w:val="000000"/>
                <w:vertAlign w:val="superscript"/>
              </w:rPr>
              <w:footnoteReference w:customMarkFollows="1" w:id="2"/>
              <w:t>*</w:t>
            </w:r>
          </w:p>
        </w:tc>
        <w:tc>
          <w:tcPr>
            <w:tcW w:w="2643" w:type="dxa"/>
            <w:shd w:val="clear" w:color="auto" w:fill="D9D9D9"/>
            <w:vAlign w:val="center"/>
          </w:tcPr>
          <w:p w14:paraId="316776A8" w14:textId="77777777" w:rsidR="008E6F07" w:rsidRPr="008E6F07" w:rsidRDefault="008E6F07" w:rsidP="008E6F07">
            <w:pPr>
              <w:jc w:val="center"/>
              <w:rPr>
                <w:rFonts w:cs="Arial"/>
                <w:b/>
                <w:bCs/>
                <w:color w:val="000000"/>
              </w:rPr>
            </w:pPr>
            <w:r w:rsidRPr="008E6F07">
              <w:rPr>
                <w:rFonts w:cs="Arial"/>
                <w:b/>
                <w:bCs/>
                <w:color w:val="000000"/>
              </w:rPr>
              <w:t>Number of Students with Disabilities Assessed, 2023</w:t>
            </w:r>
            <w:r w:rsidRPr="008E6F07">
              <w:rPr>
                <w:rFonts w:cs="Arial"/>
                <w:b/>
                <w:bCs/>
                <w:color w:val="000000"/>
                <w:vertAlign w:val="superscript"/>
              </w:rPr>
              <w:footnoteReference w:customMarkFollows="1" w:id="3"/>
              <w:t>†</w:t>
            </w:r>
          </w:p>
        </w:tc>
        <w:tc>
          <w:tcPr>
            <w:tcW w:w="2580" w:type="dxa"/>
            <w:shd w:val="clear" w:color="auto" w:fill="D9D9D9"/>
            <w:vAlign w:val="center"/>
          </w:tcPr>
          <w:p w14:paraId="693FD1C3" w14:textId="77777777" w:rsidR="008E6F07" w:rsidRPr="008E6F07" w:rsidRDefault="008E6F07" w:rsidP="008E6F07">
            <w:pPr>
              <w:jc w:val="center"/>
              <w:rPr>
                <w:rFonts w:cs="Arial"/>
                <w:b/>
                <w:bCs/>
                <w:color w:val="000000"/>
              </w:rPr>
            </w:pPr>
            <w:r w:rsidRPr="008E6F07">
              <w:rPr>
                <w:rFonts w:cs="Arial"/>
                <w:b/>
                <w:bCs/>
                <w:color w:val="000000"/>
              </w:rPr>
              <w:t>Participation Rate, 2023</w:t>
            </w:r>
          </w:p>
        </w:tc>
      </w:tr>
      <w:tr w:rsidR="008440FF" w:rsidRPr="008E6F07" w14:paraId="5F352AA3" w14:textId="77777777">
        <w:trPr>
          <w:trHeight w:val="320"/>
        </w:trPr>
        <w:tc>
          <w:tcPr>
            <w:tcW w:w="1487" w:type="dxa"/>
            <w:vAlign w:val="center"/>
          </w:tcPr>
          <w:p w14:paraId="6A3568D8" w14:textId="77777777" w:rsidR="008440FF" w:rsidRPr="008E6F07" w:rsidRDefault="008440FF" w:rsidP="008440FF">
            <w:pPr>
              <w:rPr>
                <w:rFonts w:cs="Arial"/>
                <w:color w:val="000000"/>
              </w:rPr>
            </w:pPr>
            <w:r w:rsidRPr="008E6F07">
              <w:rPr>
                <w:rFonts w:cs="Arial"/>
                <w:color w:val="000000"/>
              </w:rPr>
              <w:t>ELA</w:t>
            </w:r>
          </w:p>
        </w:tc>
        <w:tc>
          <w:tcPr>
            <w:tcW w:w="2640" w:type="dxa"/>
            <w:vAlign w:val="bottom"/>
          </w:tcPr>
          <w:p w14:paraId="1E040841" w14:textId="4450C09D" w:rsidR="008440FF" w:rsidRPr="008E6F07" w:rsidRDefault="008440FF" w:rsidP="008440FF">
            <w:pPr>
              <w:tabs>
                <w:tab w:val="decimal" w:pos="1550"/>
              </w:tabs>
              <w:rPr>
                <w:rFonts w:cs="Arial"/>
                <w:color w:val="000000"/>
              </w:rPr>
            </w:pPr>
            <w:r w:rsidRPr="00B07246">
              <w:rPr>
                <w:rFonts w:cs="Arial"/>
                <w:color w:val="000000"/>
              </w:rPr>
              <w:t>425,930</w:t>
            </w:r>
          </w:p>
        </w:tc>
        <w:tc>
          <w:tcPr>
            <w:tcW w:w="2643" w:type="dxa"/>
            <w:vAlign w:val="bottom"/>
          </w:tcPr>
          <w:p w14:paraId="1BBD5AAA" w14:textId="68FA2BA9" w:rsidR="008440FF" w:rsidRPr="008E6F07" w:rsidRDefault="008440FF" w:rsidP="008440FF">
            <w:pPr>
              <w:tabs>
                <w:tab w:val="decimal" w:pos="1520"/>
              </w:tabs>
              <w:rPr>
                <w:rFonts w:cs="Arial"/>
                <w:color w:val="000000"/>
              </w:rPr>
            </w:pPr>
            <w:r w:rsidRPr="00B07246">
              <w:rPr>
                <w:rFonts w:cs="Arial"/>
                <w:color w:val="000000"/>
              </w:rPr>
              <w:t>399,090</w:t>
            </w:r>
          </w:p>
        </w:tc>
        <w:tc>
          <w:tcPr>
            <w:tcW w:w="2580" w:type="dxa"/>
            <w:vAlign w:val="bottom"/>
          </w:tcPr>
          <w:p w14:paraId="4A4BF650" w14:textId="6069F06C" w:rsidR="008440FF" w:rsidRPr="008E6F07" w:rsidRDefault="008440FF" w:rsidP="008440FF">
            <w:pPr>
              <w:tabs>
                <w:tab w:val="decimal" w:pos="1040"/>
              </w:tabs>
              <w:rPr>
                <w:rFonts w:cs="Arial"/>
                <w:color w:val="000000"/>
              </w:rPr>
            </w:pPr>
            <w:r w:rsidRPr="00B07246">
              <w:rPr>
                <w:rFonts w:cs="Arial"/>
                <w:color w:val="000000"/>
              </w:rPr>
              <w:t>93.70%</w:t>
            </w:r>
          </w:p>
        </w:tc>
      </w:tr>
      <w:tr w:rsidR="008440FF" w:rsidRPr="008E6F07" w14:paraId="71BFC4D3" w14:textId="77777777">
        <w:trPr>
          <w:trHeight w:val="320"/>
        </w:trPr>
        <w:tc>
          <w:tcPr>
            <w:tcW w:w="1487" w:type="dxa"/>
            <w:vAlign w:val="center"/>
          </w:tcPr>
          <w:p w14:paraId="15B1854F" w14:textId="77777777" w:rsidR="008440FF" w:rsidRPr="008E6F07" w:rsidRDefault="008440FF" w:rsidP="008440FF">
            <w:pPr>
              <w:rPr>
                <w:rFonts w:cs="Arial"/>
                <w:color w:val="000000"/>
              </w:rPr>
            </w:pPr>
            <w:r w:rsidRPr="008E6F07">
              <w:rPr>
                <w:rFonts w:cs="Arial"/>
                <w:color w:val="000000"/>
              </w:rPr>
              <w:t>Math</w:t>
            </w:r>
          </w:p>
        </w:tc>
        <w:tc>
          <w:tcPr>
            <w:tcW w:w="2640" w:type="dxa"/>
            <w:vAlign w:val="bottom"/>
          </w:tcPr>
          <w:p w14:paraId="5653F639" w14:textId="5B394D01" w:rsidR="008440FF" w:rsidRPr="008E6F07" w:rsidRDefault="008440FF" w:rsidP="008440FF">
            <w:pPr>
              <w:tabs>
                <w:tab w:val="decimal" w:pos="1550"/>
              </w:tabs>
              <w:rPr>
                <w:rFonts w:cs="Arial"/>
                <w:color w:val="000000"/>
              </w:rPr>
            </w:pPr>
            <w:r w:rsidRPr="00B07246">
              <w:rPr>
                <w:rFonts w:cs="Arial"/>
                <w:color w:val="000000"/>
              </w:rPr>
              <w:t>425,930</w:t>
            </w:r>
          </w:p>
        </w:tc>
        <w:tc>
          <w:tcPr>
            <w:tcW w:w="2643" w:type="dxa"/>
            <w:vAlign w:val="bottom"/>
          </w:tcPr>
          <w:p w14:paraId="6E19D055" w14:textId="404BFD2C" w:rsidR="008440FF" w:rsidRPr="008E6F07" w:rsidRDefault="008440FF" w:rsidP="008440FF">
            <w:pPr>
              <w:tabs>
                <w:tab w:val="decimal" w:pos="1520"/>
              </w:tabs>
              <w:rPr>
                <w:rFonts w:cs="Arial"/>
                <w:color w:val="000000"/>
              </w:rPr>
            </w:pPr>
            <w:r w:rsidRPr="00B07246">
              <w:rPr>
                <w:rFonts w:cs="Arial"/>
                <w:color w:val="000000"/>
              </w:rPr>
              <w:t>397,674</w:t>
            </w:r>
          </w:p>
        </w:tc>
        <w:tc>
          <w:tcPr>
            <w:tcW w:w="2580" w:type="dxa"/>
            <w:vAlign w:val="bottom"/>
          </w:tcPr>
          <w:p w14:paraId="6F5A2EBC" w14:textId="3E3C6AB5" w:rsidR="008440FF" w:rsidRPr="008E6F07" w:rsidRDefault="008440FF" w:rsidP="008440FF">
            <w:pPr>
              <w:tabs>
                <w:tab w:val="decimal" w:pos="1040"/>
              </w:tabs>
              <w:rPr>
                <w:rFonts w:cs="Arial"/>
                <w:color w:val="000000"/>
              </w:rPr>
            </w:pPr>
            <w:r w:rsidRPr="00B07246">
              <w:rPr>
                <w:rFonts w:cs="Arial"/>
                <w:color w:val="000000"/>
              </w:rPr>
              <w:t>93.37%</w:t>
            </w:r>
          </w:p>
        </w:tc>
      </w:tr>
      <w:tr w:rsidR="008440FF" w:rsidRPr="008E6F07" w14:paraId="15144E34" w14:textId="77777777">
        <w:trPr>
          <w:trHeight w:val="296"/>
        </w:trPr>
        <w:tc>
          <w:tcPr>
            <w:tcW w:w="1487" w:type="dxa"/>
            <w:vAlign w:val="center"/>
          </w:tcPr>
          <w:p w14:paraId="64EECD75" w14:textId="77777777" w:rsidR="008440FF" w:rsidRPr="008E6F07" w:rsidRDefault="008440FF" w:rsidP="008440FF">
            <w:pPr>
              <w:rPr>
                <w:rFonts w:cs="Arial"/>
                <w:color w:val="000000"/>
              </w:rPr>
            </w:pPr>
            <w:r w:rsidRPr="008E6F07">
              <w:rPr>
                <w:rFonts w:cs="Arial"/>
                <w:color w:val="000000"/>
              </w:rPr>
              <w:t>Science</w:t>
            </w:r>
          </w:p>
        </w:tc>
        <w:tc>
          <w:tcPr>
            <w:tcW w:w="2640" w:type="dxa"/>
            <w:vAlign w:val="bottom"/>
          </w:tcPr>
          <w:p w14:paraId="384CF69E" w14:textId="2ED686E9" w:rsidR="008440FF" w:rsidRPr="008E6F07" w:rsidRDefault="008440FF" w:rsidP="008440FF">
            <w:pPr>
              <w:tabs>
                <w:tab w:val="decimal" w:pos="1550"/>
              </w:tabs>
              <w:rPr>
                <w:rFonts w:cs="Arial"/>
                <w:color w:val="000000"/>
              </w:rPr>
            </w:pPr>
            <w:r w:rsidRPr="00B07246">
              <w:rPr>
                <w:rFonts w:cs="Arial"/>
                <w:color w:val="000000"/>
              </w:rPr>
              <w:t>184,013</w:t>
            </w:r>
          </w:p>
        </w:tc>
        <w:tc>
          <w:tcPr>
            <w:tcW w:w="2643" w:type="dxa"/>
            <w:vAlign w:val="bottom"/>
          </w:tcPr>
          <w:p w14:paraId="7B9DE190" w14:textId="7702545C" w:rsidR="008440FF" w:rsidRPr="008E6F07" w:rsidRDefault="008440FF" w:rsidP="008440FF">
            <w:pPr>
              <w:tabs>
                <w:tab w:val="decimal" w:pos="1520"/>
              </w:tabs>
              <w:rPr>
                <w:rFonts w:cs="Arial"/>
                <w:color w:val="000000"/>
              </w:rPr>
            </w:pPr>
            <w:r w:rsidRPr="00B07246">
              <w:rPr>
                <w:rFonts w:cs="Arial"/>
                <w:color w:val="000000"/>
              </w:rPr>
              <w:t>170,294</w:t>
            </w:r>
          </w:p>
        </w:tc>
        <w:tc>
          <w:tcPr>
            <w:tcW w:w="2580" w:type="dxa"/>
            <w:vAlign w:val="bottom"/>
          </w:tcPr>
          <w:p w14:paraId="72E34D2B" w14:textId="2F6B44B6" w:rsidR="008440FF" w:rsidRPr="008E6F07" w:rsidRDefault="008440FF" w:rsidP="008440FF">
            <w:pPr>
              <w:tabs>
                <w:tab w:val="decimal" w:pos="1040"/>
              </w:tabs>
              <w:rPr>
                <w:rFonts w:cs="Arial"/>
                <w:color w:val="000000"/>
              </w:rPr>
            </w:pPr>
            <w:r w:rsidRPr="00B07246">
              <w:rPr>
                <w:rFonts w:cs="Arial"/>
                <w:color w:val="000000"/>
              </w:rPr>
              <w:t>92.54%</w:t>
            </w:r>
          </w:p>
        </w:tc>
      </w:tr>
    </w:tbl>
    <w:p w14:paraId="4708E3CD" w14:textId="77777777" w:rsidR="008E6F07" w:rsidRPr="008E6F07" w:rsidRDefault="008E6F07" w:rsidP="009F6320">
      <w:pPr>
        <w:pStyle w:val="Heading3"/>
      </w:pPr>
      <w:r w:rsidRPr="008E6F07">
        <w:t>Estimated Participation Rates for 2023–</w:t>
      </w:r>
      <w:proofErr w:type="gramStart"/>
      <w:r w:rsidRPr="008E6F07">
        <w:t>24</w:t>
      </w:r>
      <w:proofErr w:type="gramEnd"/>
    </w:p>
    <w:p w14:paraId="3B18112E" w14:textId="77777777" w:rsidR="008E6F07" w:rsidRPr="009F6320" w:rsidRDefault="008E6F07" w:rsidP="009F6320">
      <w:pPr>
        <w:spacing w:before="240" w:after="240"/>
        <w:rPr>
          <w:rFonts w:eastAsia="Arial"/>
        </w:rPr>
      </w:pPr>
      <w:r w:rsidRPr="009F6320">
        <w:rPr>
          <w:rFonts w:eastAsia="Arial"/>
        </w:rPr>
        <w:t>After reviewing alternate assessment registration and participation data from 2022–23 and other relevant data, the CDE estimates that the state will exceed the 1.0 percent cap on the percentage of eligible students with the most significant cognitive disabilities who may be assessed with an AA-AAAS.</w:t>
      </w:r>
    </w:p>
    <w:p w14:paraId="2557E628" w14:textId="77777777" w:rsidR="008E6F07" w:rsidRPr="008E6F07" w:rsidRDefault="008E6F07" w:rsidP="008E6F07">
      <w:pPr>
        <w:spacing w:after="240"/>
        <w:rPr>
          <w:rFonts w:eastAsia="Arial" w:cs="Arial"/>
          <w:color w:val="000000"/>
        </w:rPr>
      </w:pPr>
      <w:r w:rsidRPr="008E6F07">
        <w:rPr>
          <w:rFonts w:eastAsia="Calibri" w:cs="Arial"/>
        </w:rPr>
        <w:t xml:space="preserve">Table 3 </w:t>
      </w:r>
      <w:r w:rsidRPr="008E6F07">
        <w:rPr>
          <w:rFonts w:eastAsia="Arial" w:cs="Arial"/>
          <w:color w:val="000000"/>
        </w:rPr>
        <w:t>shows the estimated CAA participation rates for all eligible students in 2023–24.</w:t>
      </w:r>
    </w:p>
    <w:p w14:paraId="38255B35" w14:textId="77777777" w:rsidR="008E6F07" w:rsidRPr="00135F48" w:rsidRDefault="008E6F07" w:rsidP="00135F48">
      <w:pPr>
        <w:pStyle w:val="Heading4"/>
        <w:rPr>
          <w:i w:val="0"/>
          <w:iCs w:val="0"/>
        </w:rPr>
      </w:pPr>
      <w:r w:rsidRPr="00135F48">
        <w:rPr>
          <w:i w:val="0"/>
          <w:iCs w:val="0"/>
        </w:rPr>
        <w:t>Table 3. Estimated CAA Participation Rates of Eligible Students by Content Area, 2024</w:t>
      </w:r>
    </w:p>
    <w:tbl>
      <w:tblPr>
        <w:tblStyle w:val="TableGrid11"/>
        <w:tblW w:w="0" w:type="auto"/>
        <w:tblLook w:val="04A0" w:firstRow="1" w:lastRow="0" w:firstColumn="1" w:lastColumn="0" w:noHBand="0" w:noVBand="1"/>
        <w:tblCaption w:val="Table 3. Estimated CAA Participation Rates of Eligible Students by Content Area, 2024"/>
        <w:tblDescription w:val="Table 3 shows the CAA participation rate estimates for all students in 2023–24."/>
      </w:tblPr>
      <w:tblGrid>
        <w:gridCol w:w="1311"/>
        <w:gridCol w:w="2910"/>
        <w:gridCol w:w="2614"/>
        <w:gridCol w:w="2515"/>
      </w:tblGrid>
      <w:tr w:rsidR="008E6F07" w:rsidRPr="008E6F07" w14:paraId="4AEE6082" w14:textId="77777777" w:rsidTr="008E6F07">
        <w:trPr>
          <w:trHeight w:val="1952"/>
          <w:tblHeader/>
        </w:trPr>
        <w:tc>
          <w:tcPr>
            <w:tcW w:w="1311" w:type="dxa"/>
            <w:shd w:val="clear" w:color="auto" w:fill="D9D9D9"/>
            <w:vAlign w:val="center"/>
          </w:tcPr>
          <w:p w14:paraId="0C28CF75" w14:textId="77777777" w:rsidR="008E6F07" w:rsidRPr="008E6F07" w:rsidRDefault="008E6F07" w:rsidP="008E6F07">
            <w:pPr>
              <w:jc w:val="center"/>
              <w:rPr>
                <w:rFonts w:cs="Arial"/>
                <w:b/>
                <w:bCs/>
                <w:color w:val="000000"/>
              </w:rPr>
            </w:pPr>
            <w:r w:rsidRPr="008E6F07">
              <w:rPr>
                <w:rFonts w:cs="Arial"/>
                <w:b/>
                <w:bCs/>
                <w:color w:val="000000"/>
              </w:rPr>
              <w:t>Content Area</w:t>
            </w:r>
          </w:p>
        </w:tc>
        <w:tc>
          <w:tcPr>
            <w:tcW w:w="2910" w:type="dxa"/>
            <w:shd w:val="clear" w:color="auto" w:fill="D9D9D9"/>
            <w:vAlign w:val="center"/>
          </w:tcPr>
          <w:p w14:paraId="14AB6EC2" w14:textId="77777777" w:rsidR="008E6F07" w:rsidRPr="008E6F07" w:rsidRDefault="008E6F07" w:rsidP="008E6F07">
            <w:pPr>
              <w:jc w:val="center"/>
              <w:rPr>
                <w:rFonts w:cs="Arial"/>
                <w:b/>
                <w:bCs/>
                <w:color w:val="000000"/>
              </w:rPr>
            </w:pPr>
            <w:r w:rsidRPr="008E6F07">
              <w:rPr>
                <w:rFonts w:cs="Arial"/>
                <w:b/>
                <w:bCs/>
                <w:color w:val="000000"/>
              </w:rPr>
              <w:t>Estimated Number of Students Eligible for CAA, 2024</w:t>
            </w:r>
          </w:p>
          <w:p w14:paraId="0FC4C53F" w14:textId="77777777" w:rsidR="008E6F07" w:rsidRPr="008E6F07" w:rsidRDefault="008E6F07" w:rsidP="008E6F07">
            <w:pPr>
              <w:jc w:val="center"/>
              <w:rPr>
                <w:rFonts w:cs="Arial"/>
                <w:b/>
                <w:bCs/>
                <w:color w:val="000000"/>
              </w:rPr>
            </w:pPr>
            <w:r w:rsidRPr="008E6F07">
              <w:rPr>
                <w:rFonts w:cs="Arial"/>
                <w:b/>
                <w:bCs/>
                <w:color w:val="000000"/>
              </w:rPr>
              <w:t>(based on 2023 enrollment/registration)</w:t>
            </w:r>
          </w:p>
        </w:tc>
        <w:tc>
          <w:tcPr>
            <w:tcW w:w="2614" w:type="dxa"/>
            <w:shd w:val="clear" w:color="auto" w:fill="D9D9D9"/>
            <w:vAlign w:val="center"/>
          </w:tcPr>
          <w:p w14:paraId="0ACFC148" w14:textId="77777777" w:rsidR="008E6F07" w:rsidRPr="008E6F07" w:rsidRDefault="008E6F07" w:rsidP="008E6F07">
            <w:pPr>
              <w:jc w:val="center"/>
              <w:rPr>
                <w:rFonts w:cs="Arial"/>
                <w:b/>
                <w:bCs/>
                <w:color w:val="000000"/>
              </w:rPr>
            </w:pPr>
            <w:r w:rsidRPr="008E6F07">
              <w:rPr>
                <w:rFonts w:cs="Arial"/>
                <w:b/>
                <w:bCs/>
                <w:color w:val="000000"/>
              </w:rPr>
              <w:t>Estimated Number of Students Assessed with CAA, 2024 (estimate based on 95% participation)</w:t>
            </w:r>
          </w:p>
        </w:tc>
        <w:tc>
          <w:tcPr>
            <w:tcW w:w="2515" w:type="dxa"/>
            <w:shd w:val="clear" w:color="auto" w:fill="D9D9D9"/>
            <w:vAlign w:val="center"/>
          </w:tcPr>
          <w:p w14:paraId="5F368DE5" w14:textId="77777777" w:rsidR="008E6F07" w:rsidRPr="008E6F07" w:rsidRDefault="008E6F07" w:rsidP="008E6F07">
            <w:pPr>
              <w:jc w:val="center"/>
              <w:rPr>
                <w:rFonts w:cs="Arial"/>
                <w:b/>
                <w:bCs/>
                <w:color w:val="000000"/>
              </w:rPr>
            </w:pPr>
            <w:r w:rsidRPr="008E6F07">
              <w:rPr>
                <w:rFonts w:cs="Arial"/>
                <w:b/>
                <w:bCs/>
                <w:color w:val="000000"/>
              </w:rPr>
              <w:t>Participation Rate, 2024 (estimate)</w:t>
            </w:r>
          </w:p>
        </w:tc>
      </w:tr>
      <w:tr w:rsidR="00C83D1D" w:rsidRPr="008E6F07" w14:paraId="082E27D0" w14:textId="77777777">
        <w:trPr>
          <w:trHeight w:val="320"/>
        </w:trPr>
        <w:tc>
          <w:tcPr>
            <w:tcW w:w="1311" w:type="dxa"/>
            <w:vAlign w:val="center"/>
          </w:tcPr>
          <w:p w14:paraId="35F93EA8" w14:textId="77777777" w:rsidR="00C83D1D" w:rsidRPr="008E6F07" w:rsidRDefault="00C83D1D" w:rsidP="00C83D1D">
            <w:pPr>
              <w:rPr>
                <w:rFonts w:cs="Arial"/>
                <w:color w:val="000000"/>
              </w:rPr>
            </w:pPr>
            <w:r w:rsidRPr="008E6F07">
              <w:rPr>
                <w:rFonts w:cs="Arial"/>
                <w:color w:val="000000"/>
              </w:rPr>
              <w:t>ELA</w:t>
            </w:r>
          </w:p>
        </w:tc>
        <w:tc>
          <w:tcPr>
            <w:tcW w:w="2910" w:type="dxa"/>
            <w:vAlign w:val="bottom"/>
          </w:tcPr>
          <w:p w14:paraId="35E58E4B" w14:textId="4137B430" w:rsidR="00C83D1D" w:rsidRPr="008E6F07" w:rsidRDefault="00C83D1D" w:rsidP="00C83D1D">
            <w:pPr>
              <w:tabs>
                <w:tab w:val="decimal" w:pos="1730"/>
              </w:tabs>
              <w:rPr>
                <w:rFonts w:cs="Arial"/>
                <w:color w:val="000000"/>
              </w:rPr>
            </w:pPr>
            <w:r w:rsidRPr="00B07246">
              <w:rPr>
                <w:rFonts w:cs="Arial"/>
                <w:color w:val="000000"/>
              </w:rPr>
              <w:t>425,930</w:t>
            </w:r>
          </w:p>
        </w:tc>
        <w:tc>
          <w:tcPr>
            <w:tcW w:w="2614" w:type="dxa"/>
            <w:vAlign w:val="bottom"/>
          </w:tcPr>
          <w:p w14:paraId="4290B63A" w14:textId="11086683" w:rsidR="00C83D1D" w:rsidRPr="008E6F07" w:rsidRDefault="00C83D1D" w:rsidP="00C83D1D">
            <w:pPr>
              <w:tabs>
                <w:tab w:val="decimal" w:pos="1610"/>
              </w:tabs>
              <w:rPr>
                <w:rFonts w:cs="Arial"/>
                <w:color w:val="000000"/>
              </w:rPr>
            </w:pPr>
            <w:r w:rsidRPr="00B07246">
              <w:rPr>
                <w:rFonts w:cs="Arial"/>
                <w:color w:val="000000"/>
              </w:rPr>
              <w:t>404,634</w:t>
            </w:r>
          </w:p>
        </w:tc>
        <w:tc>
          <w:tcPr>
            <w:tcW w:w="2515" w:type="dxa"/>
            <w:vAlign w:val="bottom"/>
          </w:tcPr>
          <w:p w14:paraId="44ABA6E3" w14:textId="0A517799" w:rsidR="00C83D1D" w:rsidRPr="008E6F07" w:rsidRDefault="00C83D1D" w:rsidP="00C83D1D">
            <w:pPr>
              <w:tabs>
                <w:tab w:val="decimal" w:pos="1060"/>
              </w:tabs>
              <w:rPr>
                <w:rFonts w:eastAsia="Calibri" w:cs="Arial"/>
                <w:color w:val="000000"/>
              </w:rPr>
            </w:pPr>
            <w:r w:rsidRPr="00B07246">
              <w:rPr>
                <w:rFonts w:cs="Arial"/>
                <w:color w:val="000000"/>
              </w:rPr>
              <w:t>95.00%</w:t>
            </w:r>
          </w:p>
        </w:tc>
      </w:tr>
      <w:tr w:rsidR="00C83D1D" w:rsidRPr="008E6F07" w14:paraId="39F6FCB8" w14:textId="77777777">
        <w:trPr>
          <w:trHeight w:val="320"/>
        </w:trPr>
        <w:tc>
          <w:tcPr>
            <w:tcW w:w="1311" w:type="dxa"/>
            <w:vAlign w:val="center"/>
          </w:tcPr>
          <w:p w14:paraId="6DBA05C4" w14:textId="77777777" w:rsidR="00C83D1D" w:rsidRPr="008E6F07" w:rsidRDefault="00C83D1D" w:rsidP="00C83D1D">
            <w:pPr>
              <w:rPr>
                <w:rFonts w:cs="Arial"/>
                <w:color w:val="000000"/>
              </w:rPr>
            </w:pPr>
            <w:r w:rsidRPr="008E6F07">
              <w:rPr>
                <w:rFonts w:cs="Arial"/>
                <w:color w:val="000000"/>
              </w:rPr>
              <w:t>Math</w:t>
            </w:r>
          </w:p>
        </w:tc>
        <w:tc>
          <w:tcPr>
            <w:tcW w:w="2910" w:type="dxa"/>
            <w:vAlign w:val="bottom"/>
          </w:tcPr>
          <w:p w14:paraId="147C1AAE" w14:textId="7265F169" w:rsidR="00C83D1D" w:rsidRPr="008E6F07" w:rsidRDefault="00C83D1D" w:rsidP="00C83D1D">
            <w:pPr>
              <w:tabs>
                <w:tab w:val="decimal" w:pos="1730"/>
              </w:tabs>
              <w:rPr>
                <w:rFonts w:cs="Arial"/>
                <w:color w:val="000000"/>
              </w:rPr>
            </w:pPr>
            <w:r w:rsidRPr="00B07246">
              <w:rPr>
                <w:rFonts w:cs="Arial"/>
                <w:color w:val="000000"/>
              </w:rPr>
              <w:t>425,930</w:t>
            </w:r>
          </w:p>
        </w:tc>
        <w:tc>
          <w:tcPr>
            <w:tcW w:w="2614" w:type="dxa"/>
            <w:vAlign w:val="bottom"/>
          </w:tcPr>
          <w:p w14:paraId="78183D08" w14:textId="4BEB3843" w:rsidR="00C83D1D" w:rsidRPr="008E6F07" w:rsidRDefault="00C83D1D" w:rsidP="00C83D1D">
            <w:pPr>
              <w:tabs>
                <w:tab w:val="decimal" w:pos="1610"/>
              </w:tabs>
              <w:rPr>
                <w:rFonts w:cs="Arial"/>
                <w:color w:val="000000"/>
              </w:rPr>
            </w:pPr>
            <w:r w:rsidRPr="00B07246">
              <w:rPr>
                <w:rFonts w:cs="Arial"/>
                <w:color w:val="000000"/>
              </w:rPr>
              <w:t>404,634</w:t>
            </w:r>
          </w:p>
        </w:tc>
        <w:tc>
          <w:tcPr>
            <w:tcW w:w="2515" w:type="dxa"/>
            <w:vAlign w:val="bottom"/>
          </w:tcPr>
          <w:p w14:paraId="54EA421C" w14:textId="19DA4A91" w:rsidR="00C83D1D" w:rsidRPr="008E6F07" w:rsidRDefault="00C83D1D" w:rsidP="00C83D1D">
            <w:pPr>
              <w:tabs>
                <w:tab w:val="decimal" w:pos="1060"/>
              </w:tabs>
              <w:rPr>
                <w:rFonts w:eastAsia="Calibri" w:cs="Arial"/>
                <w:color w:val="000000"/>
              </w:rPr>
            </w:pPr>
            <w:r w:rsidRPr="00B07246">
              <w:rPr>
                <w:rFonts w:cs="Arial"/>
                <w:color w:val="000000"/>
              </w:rPr>
              <w:t>95.00%</w:t>
            </w:r>
          </w:p>
        </w:tc>
      </w:tr>
      <w:tr w:rsidR="00C83D1D" w:rsidRPr="008E6F07" w14:paraId="36F85176" w14:textId="77777777">
        <w:trPr>
          <w:trHeight w:val="320"/>
        </w:trPr>
        <w:tc>
          <w:tcPr>
            <w:tcW w:w="1311" w:type="dxa"/>
            <w:vAlign w:val="center"/>
          </w:tcPr>
          <w:p w14:paraId="534A02CC" w14:textId="77777777" w:rsidR="00C83D1D" w:rsidRPr="008E6F07" w:rsidRDefault="00C83D1D" w:rsidP="00C83D1D">
            <w:pPr>
              <w:rPr>
                <w:rFonts w:cs="Arial"/>
                <w:color w:val="000000"/>
              </w:rPr>
            </w:pPr>
            <w:r w:rsidRPr="008E6F07">
              <w:rPr>
                <w:rFonts w:cs="Arial"/>
                <w:color w:val="000000"/>
              </w:rPr>
              <w:t>Science</w:t>
            </w:r>
          </w:p>
        </w:tc>
        <w:tc>
          <w:tcPr>
            <w:tcW w:w="2910" w:type="dxa"/>
            <w:vAlign w:val="bottom"/>
          </w:tcPr>
          <w:p w14:paraId="595A31C9" w14:textId="666B698D" w:rsidR="00C83D1D" w:rsidRPr="008E6F07" w:rsidRDefault="00C83D1D" w:rsidP="00C83D1D">
            <w:pPr>
              <w:tabs>
                <w:tab w:val="decimal" w:pos="1730"/>
              </w:tabs>
              <w:rPr>
                <w:rFonts w:cs="Arial"/>
                <w:color w:val="000000"/>
              </w:rPr>
            </w:pPr>
            <w:r w:rsidRPr="00B07246">
              <w:rPr>
                <w:rFonts w:cs="Arial"/>
                <w:color w:val="000000"/>
              </w:rPr>
              <w:t>184,013</w:t>
            </w:r>
          </w:p>
        </w:tc>
        <w:tc>
          <w:tcPr>
            <w:tcW w:w="2614" w:type="dxa"/>
            <w:vAlign w:val="bottom"/>
          </w:tcPr>
          <w:p w14:paraId="7434D883" w14:textId="41BD2E00" w:rsidR="00C83D1D" w:rsidRPr="008E6F07" w:rsidRDefault="00C83D1D" w:rsidP="00C83D1D">
            <w:pPr>
              <w:tabs>
                <w:tab w:val="decimal" w:pos="1610"/>
              </w:tabs>
              <w:rPr>
                <w:rFonts w:cs="Arial"/>
                <w:color w:val="000000"/>
              </w:rPr>
            </w:pPr>
            <w:r w:rsidRPr="00B07246">
              <w:rPr>
                <w:rFonts w:cs="Arial"/>
                <w:color w:val="000000"/>
              </w:rPr>
              <w:t>174,812</w:t>
            </w:r>
          </w:p>
        </w:tc>
        <w:tc>
          <w:tcPr>
            <w:tcW w:w="2515" w:type="dxa"/>
            <w:vAlign w:val="bottom"/>
          </w:tcPr>
          <w:p w14:paraId="2A631A65" w14:textId="119A7F6F" w:rsidR="00C83D1D" w:rsidRPr="008E6F07" w:rsidRDefault="00C83D1D" w:rsidP="00C83D1D">
            <w:pPr>
              <w:tabs>
                <w:tab w:val="decimal" w:pos="1060"/>
              </w:tabs>
              <w:rPr>
                <w:rFonts w:eastAsia="Calibri" w:cs="Arial"/>
                <w:color w:val="000000"/>
              </w:rPr>
            </w:pPr>
            <w:r w:rsidRPr="00B07246">
              <w:rPr>
                <w:rFonts w:cs="Arial"/>
                <w:color w:val="000000"/>
              </w:rPr>
              <w:t>95.00%</w:t>
            </w:r>
          </w:p>
        </w:tc>
      </w:tr>
    </w:tbl>
    <w:p w14:paraId="6F59DB41" w14:textId="77777777" w:rsidR="008E6F07" w:rsidRPr="008E6F07" w:rsidRDefault="008E6F07" w:rsidP="008E6F07">
      <w:pPr>
        <w:keepNext/>
        <w:spacing w:before="240" w:after="240"/>
        <w:rPr>
          <w:rFonts w:eastAsia="Arial" w:cs="Arial"/>
          <w:color w:val="000000"/>
        </w:rPr>
      </w:pPr>
      <w:r w:rsidRPr="008E6F07">
        <w:rPr>
          <w:rFonts w:eastAsia="Calibri" w:cs="Arial"/>
        </w:rPr>
        <w:lastRenderedPageBreak/>
        <w:t xml:space="preserve">Table 4 </w:t>
      </w:r>
      <w:r w:rsidRPr="008E6F07">
        <w:rPr>
          <w:rFonts w:eastAsia="Arial" w:cs="Arial"/>
          <w:color w:val="000000"/>
        </w:rPr>
        <w:t>shows the overall participation rate estimates for all students in 2023–24.</w:t>
      </w:r>
    </w:p>
    <w:p w14:paraId="653D4013" w14:textId="77777777" w:rsidR="008E6F07" w:rsidRPr="00135F48" w:rsidRDefault="008E6F07" w:rsidP="00135F48">
      <w:pPr>
        <w:pStyle w:val="Heading4"/>
        <w:rPr>
          <w:i w:val="0"/>
          <w:iCs w:val="0"/>
        </w:rPr>
      </w:pPr>
      <w:r w:rsidRPr="00135F48">
        <w:rPr>
          <w:i w:val="0"/>
          <w:iCs w:val="0"/>
        </w:rPr>
        <w:t>Table 4. Estimated Overall Participation Rates for All Students, 2024</w:t>
      </w:r>
    </w:p>
    <w:tbl>
      <w:tblPr>
        <w:tblStyle w:val="TableGrid11"/>
        <w:tblW w:w="0" w:type="auto"/>
        <w:tblLook w:val="04A0" w:firstRow="1" w:lastRow="0" w:firstColumn="1" w:lastColumn="0" w:noHBand="0" w:noVBand="1"/>
        <w:tblCaption w:val="Table 4. Estimated Overall Participation Rates for All Students, 2024"/>
        <w:tblDescription w:val="Table 4 shows the overall participation rate estimates for all students in 2023–24."/>
      </w:tblPr>
      <w:tblGrid>
        <w:gridCol w:w="1255"/>
        <w:gridCol w:w="2970"/>
        <w:gridCol w:w="2686"/>
        <w:gridCol w:w="2439"/>
      </w:tblGrid>
      <w:tr w:rsidR="008E6F07" w:rsidRPr="008E6F07" w14:paraId="554BF7C4" w14:textId="77777777" w:rsidTr="008E6F07">
        <w:trPr>
          <w:trHeight w:val="1655"/>
          <w:tblHeader/>
        </w:trPr>
        <w:tc>
          <w:tcPr>
            <w:tcW w:w="1255" w:type="dxa"/>
            <w:shd w:val="clear" w:color="auto" w:fill="D9D9D9"/>
            <w:vAlign w:val="center"/>
          </w:tcPr>
          <w:p w14:paraId="79D015A8" w14:textId="77777777" w:rsidR="008E6F07" w:rsidRPr="008E6F07" w:rsidRDefault="008E6F07" w:rsidP="008E6F07">
            <w:pPr>
              <w:jc w:val="center"/>
              <w:rPr>
                <w:rFonts w:cs="Arial"/>
                <w:b/>
                <w:bCs/>
                <w:color w:val="000000"/>
              </w:rPr>
            </w:pPr>
            <w:r w:rsidRPr="008E6F07">
              <w:rPr>
                <w:rFonts w:cs="Arial"/>
                <w:b/>
                <w:bCs/>
                <w:color w:val="000000"/>
              </w:rPr>
              <w:t>Content Area</w:t>
            </w:r>
          </w:p>
        </w:tc>
        <w:tc>
          <w:tcPr>
            <w:tcW w:w="2970" w:type="dxa"/>
            <w:shd w:val="clear" w:color="auto" w:fill="D9D9D9"/>
            <w:vAlign w:val="center"/>
          </w:tcPr>
          <w:p w14:paraId="3EDBB86E" w14:textId="77777777" w:rsidR="008E6F07" w:rsidRPr="008E6F07" w:rsidRDefault="008E6F07" w:rsidP="008E6F07">
            <w:pPr>
              <w:jc w:val="center"/>
              <w:rPr>
                <w:rFonts w:cs="Arial"/>
                <w:b/>
                <w:bCs/>
                <w:color w:val="000000"/>
              </w:rPr>
            </w:pPr>
            <w:r w:rsidRPr="008E6F07">
              <w:rPr>
                <w:rFonts w:cs="Arial"/>
                <w:b/>
                <w:bCs/>
                <w:color w:val="000000"/>
              </w:rPr>
              <w:t>Estimated Number of Eligible Students, 2024 (based on 2023 enrollment/</w:t>
            </w:r>
            <w:r w:rsidRPr="008E6F07">
              <w:rPr>
                <w:rFonts w:cs="Arial"/>
                <w:b/>
                <w:bCs/>
                <w:color w:val="000000"/>
              </w:rPr>
              <w:br/>
              <w:t>registration)</w:t>
            </w:r>
          </w:p>
        </w:tc>
        <w:tc>
          <w:tcPr>
            <w:tcW w:w="2686" w:type="dxa"/>
            <w:shd w:val="clear" w:color="auto" w:fill="D9D9D9"/>
            <w:vAlign w:val="center"/>
          </w:tcPr>
          <w:p w14:paraId="0E3F2B1B" w14:textId="77777777" w:rsidR="008E6F07" w:rsidRPr="008E6F07" w:rsidRDefault="008E6F07" w:rsidP="001839E5">
            <w:pPr>
              <w:tabs>
                <w:tab w:val="decimal" w:pos="1580"/>
              </w:tabs>
              <w:jc w:val="center"/>
              <w:rPr>
                <w:rFonts w:cs="Arial"/>
                <w:b/>
                <w:bCs/>
                <w:color w:val="000000"/>
              </w:rPr>
            </w:pPr>
            <w:r w:rsidRPr="008E6F07">
              <w:rPr>
                <w:rFonts w:cs="Arial"/>
                <w:b/>
                <w:bCs/>
                <w:color w:val="000000"/>
              </w:rPr>
              <w:t>Number of Students Assessed, 2024 (estimate based on 95% participation)</w:t>
            </w:r>
          </w:p>
        </w:tc>
        <w:tc>
          <w:tcPr>
            <w:tcW w:w="2439" w:type="dxa"/>
            <w:shd w:val="clear" w:color="auto" w:fill="D9D9D9"/>
            <w:vAlign w:val="center"/>
          </w:tcPr>
          <w:p w14:paraId="286567CD" w14:textId="77777777" w:rsidR="008E6F07" w:rsidRPr="008E6F07" w:rsidRDefault="008E6F07" w:rsidP="008E6F07">
            <w:pPr>
              <w:jc w:val="center"/>
              <w:rPr>
                <w:rFonts w:cs="Arial"/>
                <w:b/>
                <w:bCs/>
                <w:color w:val="000000"/>
              </w:rPr>
            </w:pPr>
            <w:r w:rsidRPr="008E6F07">
              <w:rPr>
                <w:rFonts w:cs="Arial"/>
                <w:b/>
                <w:bCs/>
                <w:color w:val="000000"/>
              </w:rPr>
              <w:t>Participation Rate, 2024 (estimate)</w:t>
            </w:r>
          </w:p>
        </w:tc>
      </w:tr>
      <w:tr w:rsidR="00895455" w:rsidRPr="008E6F07" w14:paraId="318CE111" w14:textId="77777777">
        <w:trPr>
          <w:trHeight w:val="320"/>
        </w:trPr>
        <w:tc>
          <w:tcPr>
            <w:tcW w:w="1255" w:type="dxa"/>
            <w:vAlign w:val="center"/>
          </w:tcPr>
          <w:p w14:paraId="5E6D014E" w14:textId="77777777" w:rsidR="00895455" w:rsidRPr="008E6F07" w:rsidRDefault="00895455" w:rsidP="00895455">
            <w:pPr>
              <w:rPr>
                <w:rFonts w:cs="Arial"/>
                <w:color w:val="000000"/>
              </w:rPr>
            </w:pPr>
            <w:r w:rsidRPr="008E6F07">
              <w:rPr>
                <w:rFonts w:cs="Arial"/>
                <w:color w:val="000000"/>
              </w:rPr>
              <w:t>ELA</w:t>
            </w:r>
          </w:p>
        </w:tc>
        <w:tc>
          <w:tcPr>
            <w:tcW w:w="2970" w:type="dxa"/>
            <w:vAlign w:val="bottom"/>
          </w:tcPr>
          <w:p w14:paraId="16D7E4C8" w14:textId="6F177919" w:rsidR="00895455" w:rsidRPr="008E6F07" w:rsidRDefault="00895455" w:rsidP="00895455">
            <w:pPr>
              <w:tabs>
                <w:tab w:val="decimal" w:pos="1790"/>
              </w:tabs>
              <w:rPr>
                <w:rFonts w:cs="Arial"/>
                <w:color w:val="000000"/>
              </w:rPr>
            </w:pPr>
            <w:r w:rsidRPr="00B07246">
              <w:rPr>
                <w:rFonts w:cs="Arial"/>
                <w:color w:val="000000"/>
              </w:rPr>
              <w:t>3,095,581</w:t>
            </w:r>
          </w:p>
        </w:tc>
        <w:tc>
          <w:tcPr>
            <w:tcW w:w="2686" w:type="dxa"/>
            <w:vAlign w:val="bottom"/>
          </w:tcPr>
          <w:p w14:paraId="73707F28" w14:textId="728DA1A0" w:rsidR="00895455" w:rsidRPr="008E6F07" w:rsidRDefault="00895455" w:rsidP="00895455">
            <w:pPr>
              <w:tabs>
                <w:tab w:val="decimal" w:pos="1790"/>
              </w:tabs>
              <w:rPr>
                <w:rFonts w:cs="Arial"/>
                <w:color w:val="000000"/>
              </w:rPr>
            </w:pPr>
            <w:r w:rsidRPr="00B07246">
              <w:rPr>
                <w:rFonts w:cs="Arial"/>
                <w:color w:val="000000"/>
              </w:rPr>
              <w:t>2,940,802</w:t>
            </w:r>
          </w:p>
        </w:tc>
        <w:tc>
          <w:tcPr>
            <w:tcW w:w="2439" w:type="dxa"/>
            <w:vAlign w:val="bottom"/>
          </w:tcPr>
          <w:p w14:paraId="3DCB0BB5" w14:textId="3E7E668B" w:rsidR="00895455" w:rsidRPr="008E6F07" w:rsidRDefault="00895455" w:rsidP="00895455">
            <w:pPr>
              <w:tabs>
                <w:tab w:val="decimal" w:pos="1100"/>
              </w:tabs>
              <w:rPr>
                <w:rFonts w:eastAsia="Calibri" w:cs="Arial"/>
                <w:color w:val="000000"/>
              </w:rPr>
            </w:pPr>
            <w:r w:rsidRPr="00B07246">
              <w:rPr>
                <w:rFonts w:cs="Arial"/>
                <w:color w:val="000000"/>
              </w:rPr>
              <w:t>95.00%</w:t>
            </w:r>
          </w:p>
        </w:tc>
      </w:tr>
      <w:tr w:rsidR="00895455" w:rsidRPr="008E6F07" w14:paraId="054FB6BE" w14:textId="77777777">
        <w:trPr>
          <w:trHeight w:val="320"/>
        </w:trPr>
        <w:tc>
          <w:tcPr>
            <w:tcW w:w="1255" w:type="dxa"/>
            <w:vAlign w:val="center"/>
          </w:tcPr>
          <w:p w14:paraId="04A31981" w14:textId="77777777" w:rsidR="00895455" w:rsidRPr="008E6F07" w:rsidRDefault="00895455" w:rsidP="00895455">
            <w:pPr>
              <w:rPr>
                <w:rFonts w:cs="Arial"/>
                <w:color w:val="000000"/>
              </w:rPr>
            </w:pPr>
            <w:r w:rsidRPr="008E6F07">
              <w:rPr>
                <w:rFonts w:cs="Arial"/>
                <w:color w:val="000000"/>
              </w:rPr>
              <w:t>Math</w:t>
            </w:r>
          </w:p>
        </w:tc>
        <w:tc>
          <w:tcPr>
            <w:tcW w:w="2970" w:type="dxa"/>
            <w:vAlign w:val="bottom"/>
          </w:tcPr>
          <w:p w14:paraId="0016128E" w14:textId="1230C03C" w:rsidR="00895455" w:rsidRPr="008E6F07" w:rsidRDefault="00895455" w:rsidP="00895455">
            <w:pPr>
              <w:tabs>
                <w:tab w:val="decimal" w:pos="1790"/>
              </w:tabs>
              <w:rPr>
                <w:rFonts w:cs="Arial"/>
                <w:color w:val="000000"/>
              </w:rPr>
            </w:pPr>
            <w:r w:rsidRPr="00B07246">
              <w:rPr>
                <w:rFonts w:cs="Arial"/>
                <w:color w:val="000000"/>
              </w:rPr>
              <w:t>3,095,581</w:t>
            </w:r>
          </w:p>
        </w:tc>
        <w:tc>
          <w:tcPr>
            <w:tcW w:w="2686" w:type="dxa"/>
            <w:vAlign w:val="bottom"/>
          </w:tcPr>
          <w:p w14:paraId="69D276E6" w14:textId="734B7A30" w:rsidR="00895455" w:rsidRPr="008E6F07" w:rsidRDefault="00895455" w:rsidP="00895455">
            <w:pPr>
              <w:tabs>
                <w:tab w:val="decimal" w:pos="1790"/>
              </w:tabs>
              <w:rPr>
                <w:color w:val="000000"/>
              </w:rPr>
            </w:pPr>
            <w:r w:rsidRPr="00B07246">
              <w:rPr>
                <w:rFonts w:cs="Arial"/>
                <w:color w:val="000000"/>
              </w:rPr>
              <w:t>2,940,802</w:t>
            </w:r>
          </w:p>
        </w:tc>
        <w:tc>
          <w:tcPr>
            <w:tcW w:w="2439" w:type="dxa"/>
            <w:vAlign w:val="bottom"/>
          </w:tcPr>
          <w:p w14:paraId="4A2840EE" w14:textId="319B6CB7" w:rsidR="00895455" w:rsidRPr="008E6F07" w:rsidRDefault="00895455" w:rsidP="00895455">
            <w:pPr>
              <w:tabs>
                <w:tab w:val="decimal" w:pos="1100"/>
              </w:tabs>
              <w:rPr>
                <w:rFonts w:eastAsia="Calibri" w:cs="Arial"/>
                <w:color w:val="000000"/>
              </w:rPr>
            </w:pPr>
            <w:r w:rsidRPr="00B07246">
              <w:rPr>
                <w:rFonts w:cs="Arial"/>
                <w:color w:val="000000"/>
              </w:rPr>
              <w:t>95.00%</w:t>
            </w:r>
          </w:p>
        </w:tc>
      </w:tr>
      <w:tr w:rsidR="00895455" w:rsidRPr="008E6F07" w14:paraId="2565EE3A" w14:textId="77777777">
        <w:trPr>
          <w:trHeight w:val="320"/>
        </w:trPr>
        <w:tc>
          <w:tcPr>
            <w:tcW w:w="1255" w:type="dxa"/>
            <w:vAlign w:val="center"/>
          </w:tcPr>
          <w:p w14:paraId="5E22470D" w14:textId="77777777" w:rsidR="00895455" w:rsidRPr="008E6F07" w:rsidRDefault="00895455" w:rsidP="00895455">
            <w:pPr>
              <w:rPr>
                <w:rFonts w:cs="Arial"/>
                <w:color w:val="000000"/>
              </w:rPr>
            </w:pPr>
            <w:r w:rsidRPr="008E6F07">
              <w:rPr>
                <w:rFonts w:cs="Arial"/>
                <w:color w:val="000000"/>
              </w:rPr>
              <w:t>Science</w:t>
            </w:r>
          </w:p>
        </w:tc>
        <w:tc>
          <w:tcPr>
            <w:tcW w:w="2970" w:type="dxa"/>
            <w:vAlign w:val="bottom"/>
          </w:tcPr>
          <w:p w14:paraId="640CA81E" w14:textId="32A663E6" w:rsidR="00895455" w:rsidRPr="008E6F07" w:rsidRDefault="00895455" w:rsidP="00895455">
            <w:pPr>
              <w:tabs>
                <w:tab w:val="decimal" w:pos="1790"/>
              </w:tabs>
              <w:rPr>
                <w:rFonts w:cs="Arial"/>
                <w:color w:val="000000"/>
              </w:rPr>
            </w:pPr>
            <w:r w:rsidRPr="00B07246">
              <w:rPr>
                <w:rFonts w:cs="Arial"/>
                <w:color w:val="000000"/>
              </w:rPr>
              <w:t>1,389,291</w:t>
            </w:r>
          </w:p>
        </w:tc>
        <w:tc>
          <w:tcPr>
            <w:tcW w:w="2686" w:type="dxa"/>
            <w:vAlign w:val="bottom"/>
          </w:tcPr>
          <w:p w14:paraId="549A8467" w14:textId="345349F8" w:rsidR="00895455" w:rsidRPr="008E6F07" w:rsidRDefault="00895455" w:rsidP="00895455">
            <w:pPr>
              <w:tabs>
                <w:tab w:val="decimal" w:pos="1790"/>
              </w:tabs>
              <w:rPr>
                <w:rFonts w:cs="Arial"/>
                <w:color w:val="000000"/>
              </w:rPr>
            </w:pPr>
            <w:r w:rsidRPr="00B07246">
              <w:rPr>
                <w:rFonts w:cs="Arial"/>
                <w:color w:val="000000"/>
              </w:rPr>
              <w:t>1,319,826</w:t>
            </w:r>
          </w:p>
        </w:tc>
        <w:tc>
          <w:tcPr>
            <w:tcW w:w="2439" w:type="dxa"/>
            <w:vAlign w:val="bottom"/>
          </w:tcPr>
          <w:p w14:paraId="46D646C6" w14:textId="7A4979A5" w:rsidR="00895455" w:rsidRPr="008E6F07" w:rsidRDefault="00895455" w:rsidP="00895455">
            <w:pPr>
              <w:tabs>
                <w:tab w:val="decimal" w:pos="1100"/>
              </w:tabs>
              <w:rPr>
                <w:rFonts w:eastAsia="Calibri" w:cs="Arial"/>
                <w:color w:val="000000"/>
              </w:rPr>
            </w:pPr>
            <w:r w:rsidRPr="00B07246">
              <w:rPr>
                <w:rFonts w:cs="Arial"/>
                <w:color w:val="000000"/>
              </w:rPr>
              <w:t>95.00%</w:t>
            </w:r>
          </w:p>
        </w:tc>
      </w:tr>
    </w:tbl>
    <w:p w14:paraId="5270E7CF" w14:textId="77777777" w:rsidR="008E6F07" w:rsidRPr="008E6F07" w:rsidRDefault="008E6F07" w:rsidP="009F6320">
      <w:pPr>
        <w:pStyle w:val="Heading3"/>
      </w:pPr>
      <w:r w:rsidRPr="008E6F07">
        <w:rPr>
          <w:rFonts w:eastAsia="Calibri"/>
        </w:rPr>
        <w:t xml:space="preserve">The 1.0 </w:t>
      </w:r>
      <w:r w:rsidRPr="008E6F07">
        <w:t>Percent Waiver Request Requirements</w:t>
      </w:r>
    </w:p>
    <w:p w14:paraId="5079C7A4" w14:textId="77777777" w:rsidR="008E6F07" w:rsidRPr="008E6F07" w:rsidRDefault="008E6F07" w:rsidP="008E6F07">
      <w:pPr>
        <w:spacing w:after="240"/>
        <w:rPr>
          <w:rFonts w:eastAsia="Arial" w:cs="Arial"/>
          <w:color w:val="000000"/>
        </w:rPr>
      </w:pPr>
      <w:r w:rsidRPr="008E6F07">
        <w:rPr>
          <w:rFonts w:eastAsia="Arial" w:cs="Arial"/>
          <w:b/>
          <w:bCs/>
        </w:rPr>
        <w:t xml:space="preserve">Requirement 1—34 </w:t>
      </w:r>
      <w:r w:rsidRPr="008E6F07">
        <w:rPr>
          <w:rFonts w:eastAsia="Arial" w:cs="Arial"/>
          <w:b/>
          <w:bCs/>
          <w:i/>
          <w:iCs/>
        </w:rPr>
        <w:t>CFR</w:t>
      </w:r>
      <w:r w:rsidRPr="008E6F07">
        <w:rPr>
          <w:rFonts w:eastAsia="Arial" w:cs="Arial"/>
          <w:b/>
          <w:bCs/>
        </w:rPr>
        <w:t xml:space="preserve">, Section </w:t>
      </w:r>
      <w:r w:rsidRPr="008E6F07">
        <w:rPr>
          <w:rFonts w:eastAsia="Arial" w:cs="Arial"/>
          <w:b/>
          <w:bCs/>
          <w:color w:val="000000"/>
        </w:rPr>
        <w:t>200.6I(4)(i):</w:t>
      </w:r>
      <w:r w:rsidRPr="008E6F07">
        <w:rPr>
          <w:rFonts w:eastAsia="Arial" w:cs="Arial"/>
          <w:color w:val="000000"/>
        </w:rPr>
        <w:t xml:space="preserve"> Submit the waiver request at least 90 days before the testing window starts for the relevant subject.</w:t>
      </w:r>
    </w:p>
    <w:p w14:paraId="6AECB771" w14:textId="7BBB0388" w:rsidR="008E6F07" w:rsidRPr="008E6F07" w:rsidRDefault="008E6F07" w:rsidP="008E6F07">
      <w:pPr>
        <w:spacing w:after="240"/>
        <w:rPr>
          <w:rFonts w:eastAsia="Arial" w:cs="Arial"/>
          <w:color w:val="000000"/>
        </w:rPr>
      </w:pPr>
      <w:r w:rsidRPr="008E6F07">
        <w:rPr>
          <w:rFonts w:eastAsia="Arial" w:cs="Arial"/>
          <w:color w:val="000000"/>
        </w:rPr>
        <w:t>The state testing window for ELA and mathematics alternate assessments opens on January 9, 2024. Ninety days prior to January 9, 2024, will be October 11, 2023. The CAA for Science testing window open</w:t>
      </w:r>
      <w:r w:rsidR="00955189">
        <w:rPr>
          <w:rFonts w:eastAsia="Arial" w:cs="Arial"/>
          <w:color w:val="000000"/>
        </w:rPr>
        <w:t>ed</w:t>
      </w:r>
      <w:r w:rsidRPr="008E6F07">
        <w:rPr>
          <w:rFonts w:eastAsia="Arial" w:cs="Arial"/>
          <w:color w:val="000000"/>
        </w:rPr>
        <w:t xml:space="preserve"> on September 19, 2023, per </w:t>
      </w:r>
      <w:r w:rsidRPr="007A50C0">
        <w:rPr>
          <w:rFonts w:eastAsia="Arial" w:cs="Arial"/>
          <w:color w:val="000000"/>
        </w:rPr>
        <w:t>California</w:t>
      </w:r>
      <w:r w:rsidRPr="008E6F07">
        <w:rPr>
          <w:rFonts w:eastAsia="Arial" w:cs="Arial"/>
          <w:i/>
          <w:iCs/>
          <w:color w:val="000000"/>
        </w:rPr>
        <w:t xml:space="preserve"> Education Code</w:t>
      </w:r>
      <w:r w:rsidRPr="008E6F07">
        <w:rPr>
          <w:rFonts w:eastAsia="Arial" w:cs="Arial"/>
          <w:color w:val="000000"/>
        </w:rPr>
        <w:t xml:space="preserve"> (</w:t>
      </w:r>
      <w:r w:rsidRPr="008E6F07">
        <w:rPr>
          <w:rFonts w:eastAsia="Arial" w:cs="Arial"/>
          <w:i/>
          <w:iCs/>
          <w:color w:val="000000"/>
        </w:rPr>
        <w:t>EC</w:t>
      </w:r>
      <w:r w:rsidRPr="008E6F07">
        <w:rPr>
          <w:rFonts w:eastAsia="Arial" w:cs="Arial"/>
          <w:color w:val="000000"/>
        </w:rPr>
        <w:t xml:space="preserve">) Section 855(a)(2). Ninety days prior to September 19, 2023, would have been June 21, 2023. As a result, California requests a waiver of 34 </w:t>
      </w:r>
      <w:r w:rsidRPr="008E6F07">
        <w:rPr>
          <w:rFonts w:eastAsia="Arial" w:cs="Arial"/>
          <w:i/>
          <w:iCs/>
          <w:color w:val="000000"/>
        </w:rPr>
        <w:t>CFR</w:t>
      </w:r>
      <w:r w:rsidRPr="008E6F07">
        <w:rPr>
          <w:rFonts w:eastAsia="Arial" w:cs="Arial"/>
          <w:color w:val="000000"/>
        </w:rPr>
        <w:t xml:space="preserve"> Section 200.6(c)(4)(i) for the CAA for ELA, mathematics, and Science.</w:t>
      </w:r>
    </w:p>
    <w:p w14:paraId="1646543A" w14:textId="77777777" w:rsidR="008E6F07" w:rsidRPr="008E6F07" w:rsidRDefault="008E6F07" w:rsidP="008E6F07">
      <w:pPr>
        <w:keepNext/>
        <w:keepLines/>
        <w:spacing w:after="240"/>
        <w:rPr>
          <w:rFonts w:eastAsia="Arial" w:cs="Arial"/>
          <w:color w:val="000000"/>
        </w:rPr>
      </w:pPr>
      <w:r w:rsidRPr="008E6F07">
        <w:rPr>
          <w:rFonts w:eastAsia="Arial" w:cs="Arial"/>
          <w:b/>
          <w:bCs/>
        </w:rPr>
        <w:t xml:space="preserve">Requirement 2—34 </w:t>
      </w:r>
      <w:r w:rsidRPr="008E6F07">
        <w:rPr>
          <w:rFonts w:eastAsia="Arial" w:cs="Arial"/>
          <w:b/>
          <w:bCs/>
          <w:i/>
          <w:iCs/>
        </w:rPr>
        <w:t>CFR</w:t>
      </w:r>
      <w:r w:rsidRPr="008E6F07">
        <w:rPr>
          <w:rFonts w:eastAsia="Arial" w:cs="Arial"/>
          <w:b/>
          <w:bCs/>
        </w:rPr>
        <w:t xml:space="preserve">, Section </w:t>
      </w:r>
      <w:r w:rsidRPr="008E6F07">
        <w:rPr>
          <w:rFonts w:eastAsia="Arial" w:cs="Arial"/>
          <w:b/>
          <w:bCs/>
          <w:color w:val="000000"/>
        </w:rPr>
        <w:t>200.6(c)(4)(ii)</w:t>
      </w:r>
      <w:r w:rsidRPr="008E6F07">
        <w:rPr>
          <w:rFonts w:eastAsia="Arial" w:cs="Arial"/>
          <w:b/>
          <w:color w:val="000000"/>
        </w:rPr>
        <w:t>:</w:t>
      </w:r>
      <w:r w:rsidRPr="008E6F07">
        <w:rPr>
          <w:rFonts w:eastAsia="Arial" w:cs="Arial"/>
          <w:color w:val="000000"/>
        </w:rPr>
        <w:t xml:space="preserve"> Provide state-level data, from the current or previous year, to show: (A) the number and percent in each student group who took the AA-AAAS in the subject area; and (B) the state has measured the achievement of at least 95 percent of all students and students with disabilities in the previous year who were enrolled in the grades for which the AA-AAAS is required.</w:t>
      </w:r>
    </w:p>
    <w:p w14:paraId="2319F762" w14:textId="77777777" w:rsidR="008E6F07" w:rsidRPr="008E6F07" w:rsidRDefault="008E6F07" w:rsidP="008E6F07">
      <w:pPr>
        <w:spacing w:after="240"/>
        <w:rPr>
          <w:rFonts w:eastAsia="Arial" w:cs="Arial"/>
          <w:color w:val="000000"/>
        </w:rPr>
      </w:pPr>
      <w:r w:rsidRPr="008E6F07">
        <w:rPr>
          <w:rFonts w:eastAsia="Arial" w:cs="Arial"/>
          <w:color w:val="000000"/>
        </w:rPr>
        <w:t>Where applicable, the state will also provide a credible estimate of the number and percentage of students (including by student group, if possible) it expects to take the alternate assessment in 2023</w:t>
      </w:r>
      <w:r w:rsidRPr="008E6F07">
        <w:rPr>
          <w:rFonts w:eastAsia="Arial" w:cs="Arial"/>
        </w:rPr>
        <w:t>–</w:t>
      </w:r>
      <w:r w:rsidRPr="008E6F07">
        <w:rPr>
          <w:rFonts w:eastAsia="Arial" w:cs="Arial"/>
          <w:color w:val="000000"/>
        </w:rPr>
        <w:t>24.</w:t>
      </w:r>
    </w:p>
    <w:p w14:paraId="36343AED" w14:textId="77777777" w:rsidR="008E6F07" w:rsidRPr="008E6F07" w:rsidRDefault="008E6F07" w:rsidP="008E6F07">
      <w:pPr>
        <w:spacing w:after="240"/>
        <w:rPr>
          <w:rFonts w:eastAsia="Arial" w:cs="Arial"/>
          <w:color w:val="000000"/>
        </w:rPr>
        <w:sectPr w:rsidR="008E6F07" w:rsidRPr="008E6F07" w:rsidSect="00514792">
          <w:headerReference w:type="default" r:id="rId28"/>
          <w:pgSz w:w="12240" w:h="15840" w:code="1"/>
          <w:pgMar w:top="1440" w:right="1440" w:bottom="1008" w:left="1440" w:header="720" w:footer="720" w:gutter="0"/>
          <w:pgNumType w:start="3"/>
          <w:cols w:space="720"/>
          <w:docGrid w:linePitch="360"/>
        </w:sectPr>
      </w:pPr>
      <w:r w:rsidRPr="008E6F07">
        <w:t xml:space="preserve">Tables 5 through 7 show detailed student group CAA participation rates for eligible students by content area for 2022–23 as well as estimated test registration numbers for the 2023–24 school year. </w:t>
      </w:r>
    </w:p>
    <w:p w14:paraId="0CC56527" w14:textId="77777777" w:rsidR="008E6F07" w:rsidRPr="00135F48" w:rsidRDefault="008E6F07" w:rsidP="00135F48">
      <w:pPr>
        <w:pStyle w:val="Heading4"/>
        <w:ind w:hanging="810"/>
        <w:rPr>
          <w:i w:val="0"/>
          <w:iCs w:val="0"/>
        </w:rPr>
      </w:pPr>
      <w:r w:rsidRPr="00135F48">
        <w:rPr>
          <w:i w:val="0"/>
          <w:iCs w:val="0"/>
        </w:rPr>
        <w:lastRenderedPageBreak/>
        <w:t>Table 5. CAA for ELA Participation Rates by Student Group</w:t>
      </w:r>
    </w:p>
    <w:tbl>
      <w:tblPr>
        <w:tblStyle w:val="TableGrid11"/>
        <w:tblW w:w="14220" w:type="dxa"/>
        <w:tblInd w:w="-815" w:type="dxa"/>
        <w:tblLayout w:type="fixed"/>
        <w:tblLook w:val="04A0" w:firstRow="1" w:lastRow="0" w:firstColumn="1" w:lastColumn="0" w:noHBand="0" w:noVBand="1"/>
        <w:tblCaption w:val="Table 5. CAA for ELA Participation Rates by Student Group, 2023 and 2024."/>
        <w:tblDescription w:val="Table 5 displays the CAA for ELA Participation Rates by Student Group for 2022–23 and the expected rates for 2023–24."/>
      </w:tblPr>
      <w:tblGrid>
        <w:gridCol w:w="2340"/>
        <w:gridCol w:w="1635"/>
        <w:gridCol w:w="1785"/>
        <w:gridCol w:w="1710"/>
        <w:gridCol w:w="2340"/>
        <w:gridCol w:w="2430"/>
        <w:gridCol w:w="1980"/>
      </w:tblGrid>
      <w:tr w:rsidR="00724F89" w:rsidRPr="008E6F07" w14:paraId="5629776B" w14:textId="77777777" w:rsidTr="008E6F07">
        <w:trPr>
          <w:trHeight w:val="1700"/>
          <w:tblHeader/>
        </w:trPr>
        <w:tc>
          <w:tcPr>
            <w:tcW w:w="2340" w:type="dxa"/>
            <w:shd w:val="clear" w:color="auto" w:fill="D9D9D9"/>
            <w:tcMar>
              <w:top w:w="43" w:type="dxa"/>
              <w:left w:w="115" w:type="dxa"/>
              <w:bottom w:w="43" w:type="dxa"/>
              <w:right w:w="115" w:type="dxa"/>
            </w:tcMar>
            <w:vAlign w:val="center"/>
            <w:hideMark/>
          </w:tcPr>
          <w:p w14:paraId="0BC62E7C" w14:textId="77777777" w:rsidR="008E6F07" w:rsidRPr="008E6F07" w:rsidRDefault="008E6F07" w:rsidP="008E6F07">
            <w:pPr>
              <w:jc w:val="center"/>
              <w:rPr>
                <w:rFonts w:cs="Arial"/>
                <w:b/>
                <w:bCs/>
                <w:color w:val="000000"/>
              </w:rPr>
            </w:pPr>
            <w:r w:rsidRPr="008E6F07">
              <w:rPr>
                <w:rFonts w:cs="Arial"/>
                <w:b/>
                <w:bCs/>
                <w:color w:val="000000"/>
              </w:rPr>
              <w:t>Student Group</w:t>
            </w:r>
          </w:p>
        </w:tc>
        <w:tc>
          <w:tcPr>
            <w:tcW w:w="1635" w:type="dxa"/>
            <w:shd w:val="clear" w:color="auto" w:fill="D9D9D9"/>
            <w:tcMar>
              <w:top w:w="43" w:type="dxa"/>
              <w:left w:w="115" w:type="dxa"/>
              <w:bottom w:w="43" w:type="dxa"/>
              <w:right w:w="115" w:type="dxa"/>
            </w:tcMar>
            <w:vAlign w:val="center"/>
            <w:hideMark/>
          </w:tcPr>
          <w:p w14:paraId="4CF2100E" w14:textId="77777777" w:rsidR="008E6F07" w:rsidRPr="008E6F07" w:rsidRDefault="008E6F07" w:rsidP="008E6F07">
            <w:pPr>
              <w:jc w:val="center"/>
              <w:rPr>
                <w:rFonts w:cs="Arial"/>
                <w:b/>
                <w:bCs/>
                <w:color w:val="000000"/>
              </w:rPr>
            </w:pPr>
            <w:r w:rsidRPr="008E6F07">
              <w:rPr>
                <w:rFonts w:cs="Arial"/>
                <w:b/>
                <w:bCs/>
                <w:color w:val="000000"/>
              </w:rPr>
              <w:t>Number of Students Assessed, 2023</w:t>
            </w:r>
          </w:p>
        </w:tc>
        <w:tc>
          <w:tcPr>
            <w:tcW w:w="1785" w:type="dxa"/>
            <w:shd w:val="clear" w:color="auto" w:fill="D9D9D9"/>
            <w:tcMar>
              <w:top w:w="43" w:type="dxa"/>
              <w:left w:w="115" w:type="dxa"/>
              <w:bottom w:w="43" w:type="dxa"/>
              <w:right w:w="115" w:type="dxa"/>
            </w:tcMar>
            <w:vAlign w:val="center"/>
            <w:hideMark/>
          </w:tcPr>
          <w:p w14:paraId="7D5ECE16" w14:textId="77777777" w:rsidR="008E6F07" w:rsidRPr="008E6F07" w:rsidRDefault="008E6F07" w:rsidP="008E6F07">
            <w:pPr>
              <w:jc w:val="center"/>
              <w:rPr>
                <w:rFonts w:cs="Arial"/>
                <w:b/>
                <w:bCs/>
                <w:color w:val="000000"/>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2023</w:t>
            </w:r>
          </w:p>
        </w:tc>
        <w:tc>
          <w:tcPr>
            <w:tcW w:w="1710" w:type="dxa"/>
            <w:shd w:val="clear" w:color="auto" w:fill="D9D9D9"/>
            <w:tcMar>
              <w:top w:w="43" w:type="dxa"/>
              <w:left w:w="115" w:type="dxa"/>
              <w:bottom w:w="43" w:type="dxa"/>
              <w:right w:w="115" w:type="dxa"/>
            </w:tcMar>
            <w:vAlign w:val="center"/>
            <w:hideMark/>
          </w:tcPr>
          <w:p w14:paraId="39151C80"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2023</w:t>
            </w:r>
          </w:p>
        </w:tc>
        <w:tc>
          <w:tcPr>
            <w:tcW w:w="2340" w:type="dxa"/>
            <w:shd w:val="clear" w:color="auto" w:fill="D9D9D9"/>
            <w:tcMar>
              <w:top w:w="43" w:type="dxa"/>
              <w:left w:w="115" w:type="dxa"/>
              <w:bottom w:w="43" w:type="dxa"/>
              <w:right w:w="115" w:type="dxa"/>
            </w:tcMar>
            <w:vAlign w:val="center"/>
            <w:hideMark/>
          </w:tcPr>
          <w:p w14:paraId="79F333BD" w14:textId="77777777" w:rsidR="008E6F07" w:rsidRPr="008E6F07" w:rsidRDefault="008E6F07" w:rsidP="008E6F07">
            <w:pPr>
              <w:jc w:val="center"/>
              <w:rPr>
                <w:rFonts w:cs="Arial"/>
                <w:b/>
                <w:bCs/>
                <w:color w:val="000000"/>
              </w:rPr>
            </w:pPr>
            <w:r w:rsidRPr="008E6F07">
              <w:rPr>
                <w:rFonts w:cs="Arial"/>
                <w:b/>
                <w:bCs/>
                <w:color w:val="000000"/>
              </w:rPr>
              <w:t>Number of Students Assessed, 2024 (estimate based on number of students assessed in 2023)</w:t>
            </w:r>
          </w:p>
        </w:tc>
        <w:tc>
          <w:tcPr>
            <w:tcW w:w="2430" w:type="dxa"/>
            <w:shd w:val="clear" w:color="auto" w:fill="D9D9D9"/>
            <w:tcMar>
              <w:top w:w="43" w:type="dxa"/>
              <w:left w:w="115" w:type="dxa"/>
              <w:bottom w:w="43" w:type="dxa"/>
              <w:right w:w="115" w:type="dxa"/>
            </w:tcMar>
            <w:vAlign w:val="center"/>
            <w:hideMark/>
          </w:tcPr>
          <w:p w14:paraId="0214C051" w14:textId="77777777" w:rsidR="008E6F07" w:rsidRPr="008E6F07" w:rsidRDefault="008E6F07" w:rsidP="008E6F07">
            <w:pPr>
              <w:jc w:val="center"/>
              <w:rPr>
                <w:rFonts w:eastAsia="Arial" w:cs="Arial"/>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2024 (estimate based on 2023 test registration)</w:t>
            </w:r>
          </w:p>
        </w:tc>
        <w:tc>
          <w:tcPr>
            <w:tcW w:w="1980" w:type="dxa"/>
            <w:shd w:val="clear" w:color="auto" w:fill="D9D9D9"/>
            <w:tcMar>
              <w:top w:w="43" w:type="dxa"/>
              <w:left w:w="115" w:type="dxa"/>
              <w:bottom w:w="43" w:type="dxa"/>
              <w:right w:w="115" w:type="dxa"/>
            </w:tcMar>
            <w:vAlign w:val="center"/>
            <w:hideMark/>
          </w:tcPr>
          <w:p w14:paraId="71229134"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2024 (estimate)</w:t>
            </w:r>
          </w:p>
        </w:tc>
      </w:tr>
      <w:tr w:rsidR="00D54840" w:rsidRPr="008E6F07" w14:paraId="376383A7" w14:textId="77777777" w:rsidTr="00821AD8">
        <w:trPr>
          <w:trHeight w:val="320"/>
        </w:trPr>
        <w:tc>
          <w:tcPr>
            <w:tcW w:w="2340" w:type="dxa"/>
            <w:noWrap/>
            <w:tcMar>
              <w:top w:w="43" w:type="dxa"/>
              <w:left w:w="115" w:type="dxa"/>
              <w:bottom w:w="43" w:type="dxa"/>
              <w:right w:w="115" w:type="dxa"/>
            </w:tcMar>
            <w:vAlign w:val="center"/>
            <w:hideMark/>
          </w:tcPr>
          <w:p w14:paraId="0FD73AA3" w14:textId="77777777" w:rsidR="00D54840" w:rsidRPr="008E6F07" w:rsidRDefault="00D54840" w:rsidP="00D54840">
            <w:pPr>
              <w:rPr>
                <w:rFonts w:cs="Arial"/>
                <w:color w:val="000000"/>
              </w:rPr>
            </w:pPr>
            <w:r w:rsidRPr="008E6F07">
              <w:rPr>
                <w:rFonts w:cs="Arial"/>
                <w:color w:val="000000"/>
              </w:rPr>
              <w:t>All Students</w:t>
            </w:r>
          </w:p>
        </w:tc>
        <w:tc>
          <w:tcPr>
            <w:tcW w:w="1635" w:type="dxa"/>
            <w:noWrap/>
            <w:tcMar>
              <w:top w:w="43" w:type="dxa"/>
              <w:left w:w="115" w:type="dxa"/>
              <w:bottom w:w="43" w:type="dxa"/>
              <w:right w:w="115" w:type="dxa"/>
            </w:tcMar>
            <w:vAlign w:val="bottom"/>
          </w:tcPr>
          <w:p w14:paraId="4EF12EDE" w14:textId="6FCCA4E0" w:rsidR="00D54840" w:rsidRPr="008E6F07" w:rsidRDefault="00D54840" w:rsidP="00D54840">
            <w:pPr>
              <w:tabs>
                <w:tab w:val="decimal" w:pos="1230"/>
              </w:tabs>
              <w:rPr>
                <w:rFonts w:cs="Arial"/>
                <w:color w:val="000000"/>
              </w:rPr>
            </w:pPr>
            <w:r w:rsidRPr="00B07246">
              <w:rPr>
                <w:rFonts w:cs="Arial"/>
                <w:color w:val="000000"/>
              </w:rPr>
              <w:t>2,996,485</w:t>
            </w:r>
          </w:p>
        </w:tc>
        <w:tc>
          <w:tcPr>
            <w:tcW w:w="1785" w:type="dxa"/>
            <w:noWrap/>
            <w:tcMar>
              <w:top w:w="43" w:type="dxa"/>
              <w:left w:w="115" w:type="dxa"/>
              <w:bottom w:w="43" w:type="dxa"/>
              <w:right w:w="115" w:type="dxa"/>
            </w:tcMar>
            <w:vAlign w:val="bottom"/>
          </w:tcPr>
          <w:p w14:paraId="159FE892" w14:textId="18DE21FC" w:rsidR="00D54840" w:rsidRPr="008E6F07" w:rsidRDefault="00D54840" w:rsidP="00D54840">
            <w:pPr>
              <w:tabs>
                <w:tab w:val="decimal" w:pos="1065"/>
              </w:tabs>
              <w:rPr>
                <w:rFonts w:cs="Arial"/>
                <w:color w:val="000000"/>
              </w:rPr>
            </w:pPr>
            <w:r w:rsidRPr="00B07246">
              <w:rPr>
                <w:rFonts w:cs="Arial"/>
                <w:color w:val="000000"/>
              </w:rPr>
              <w:t>35,495</w:t>
            </w:r>
          </w:p>
        </w:tc>
        <w:tc>
          <w:tcPr>
            <w:tcW w:w="1710" w:type="dxa"/>
            <w:noWrap/>
            <w:tcMar>
              <w:top w:w="43" w:type="dxa"/>
              <w:left w:w="115" w:type="dxa"/>
              <w:bottom w:w="43" w:type="dxa"/>
              <w:right w:w="115" w:type="dxa"/>
            </w:tcMar>
            <w:vAlign w:val="bottom"/>
          </w:tcPr>
          <w:p w14:paraId="32A9EE6C" w14:textId="1CCA76B9" w:rsidR="00D54840" w:rsidRPr="008E6F07" w:rsidRDefault="00D54840" w:rsidP="00D54840">
            <w:pPr>
              <w:tabs>
                <w:tab w:val="decimal" w:pos="701"/>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3C2C86B7" w14:textId="1E395733" w:rsidR="00D54840" w:rsidRPr="008E6F07" w:rsidRDefault="00D54840" w:rsidP="00D54840">
            <w:pPr>
              <w:tabs>
                <w:tab w:val="decimal" w:pos="1866"/>
              </w:tabs>
              <w:rPr>
                <w:rFonts w:cs="Arial"/>
                <w:color w:val="000000"/>
              </w:rPr>
            </w:pPr>
            <w:r w:rsidRPr="00B07246">
              <w:rPr>
                <w:rFonts w:cs="Arial"/>
                <w:color w:val="000000"/>
              </w:rPr>
              <w:t>2,996,485</w:t>
            </w:r>
          </w:p>
        </w:tc>
        <w:tc>
          <w:tcPr>
            <w:tcW w:w="2430" w:type="dxa"/>
            <w:noWrap/>
            <w:tcMar>
              <w:top w:w="43" w:type="dxa"/>
              <w:left w:w="115" w:type="dxa"/>
              <w:bottom w:w="43" w:type="dxa"/>
              <w:right w:w="115" w:type="dxa"/>
            </w:tcMar>
            <w:vAlign w:val="bottom"/>
          </w:tcPr>
          <w:p w14:paraId="13390063" w14:textId="18D2F7A7" w:rsidR="00D54840" w:rsidRPr="008E6F07" w:rsidRDefault="00D54840" w:rsidP="00D54840">
            <w:pPr>
              <w:tabs>
                <w:tab w:val="decimal" w:pos="1684"/>
              </w:tabs>
              <w:rPr>
                <w:rFonts w:cs="Arial"/>
                <w:color w:val="000000"/>
              </w:rPr>
            </w:pPr>
            <w:r w:rsidRPr="00B07246">
              <w:rPr>
                <w:rFonts w:cs="Arial"/>
                <w:color w:val="000000"/>
              </w:rPr>
              <w:t>40,311</w:t>
            </w:r>
          </w:p>
        </w:tc>
        <w:tc>
          <w:tcPr>
            <w:tcW w:w="1980" w:type="dxa"/>
            <w:noWrap/>
            <w:tcMar>
              <w:top w:w="43" w:type="dxa"/>
              <w:left w:w="115" w:type="dxa"/>
              <w:bottom w:w="43" w:type="dxa"/>
              <w:right w:w="115" w:type="dxa"/>
            </w:tcMar>
            <w:vAlign w:val="bottom"/>
          </w:tcPr>
          <w:p w14:paraId="0CD08AA5" w14:textId="70737704" w:rsidR="00D54840" w:rsidRPr="008E6F07" w:rsidRDefault="00D54840" w:rsidP="00D54840">
            <w:pPr>
              <w:tabs>
                <w:tab w:val="decimal" w:pos="785"/>
              </w:tabs>
              <w:rPr>
                <w:rFonts w:cs="Arial"/>
                <w:color w:val="000000"/>
              </w:rPr>
            </w:pPr>
            <w:r w:rsidRPr="00B07246">
              <w:rPr>
                <w:rFonts w:cs="Arial"/>
                <w:color w:val="000000"/>
              </w:rPr>
              <w:t>1.3%</w:t>
            </w:r>
          </w:p>
        </w:tc>
      </w:tr>
      <w:tr w:rsidR="00D54840" w:rsidRPr="008E6F07" w14:paraId="269D75A5" w14:textId="77777777" w:rsidTr="00821AD8">
        <w:trPr>
          <w:trHeight w:val="320"/>
        </w:trPr>
        <w:tc>
          <w:tcPr>
            <w:tcW w:w="2340" w:type="dxa"/>
            <w:noWrap/>
            <w:tcMar>
              <w:top w:w="43" w:type="dxa"/>
              <w:left w:w="115" w:type="dxa"/>
              <w:bottom w:w="43" w:type="dxa"/>
              <w:right w:w="115" w:type="dxa"/>
            </w:tcMar>
            <w:vAlign w:val="center"/>
            <w:hideMark/>
          </w:tcPr>
          <w:p w14:paraId="7FBE81D8" w14:textId="77777777" w:rsidR="00D54840" w:rsidRPr="008E6F07" w:rsidRDefault="00D54840" w:rsidP="00D54840">
            <w:pPr>
              <w:rPr>
                <w:rFonts w:cs="Arial"/>
                <w:color w:val="000000"/>
              </w:rPr>
            </w:pPr>
            <w:r w:rsidRPr="008E6F07">
              <w:rPr>
                <w:rFonts w:cs="Arial"/>
                <w:color w:val="000000"/>
              </w:rPr>
              <w:t>Females</w:t>
            </w:r>
          </w:p>
        </w:tc>
        <w:tc>
          <w:tcPr>
            <w:tcW w:w="1635" w:type="dxa"/>
            <w:noWrap/>
            <w:tcMar>
              <w:top w:w="43" w:type="dxa"/>
              <w:left w:w="115" w:type="dxa"/>
              <w:bottom w:w="43" w:type="dxa"/>
              <w:right w:w="115" w:type="dxa"/>
            </w:tcMar>
            <w:vAlign w:val="bottom"/>
          </w:tcPr>
          <w:p w14:paraId="4A88360D" w14:textId="31634B06" w:rsidR="00D54840" w:rsidRPr="008E6F07" w:rsidRDefault="00D54840" w:rsidP="00D54840">
            <w:pPr>
              <w:tabs>
                <w:tab w:val="decimal" w:pos="1230"/>
              </w:tabs>
              <w:rPr>
                <w:rFonts w:cs="Arial"/>
                <w:color w:val="000000"/>
              </w:rPr>
            </w:pPr>
            <w:r w:rsidRPr="00B07246">
              <w:rPr>
                <w:rFonts w:cs="Arial"/>
                <w:color w:val="000000"/>
              </w:rPr>
              <w:t>1,456,955</w:t>
            </w:r>
          </w:p>
        </w:tc>
        <w:tc>
          <w:tcPr>
            <w:tcW w:w="1785" w:type="dxa"/>
            <w:noWrap/>
            <w:tcMar>
              <w:top w:w="43" w:type="dxa"/>
              <w:left w:w="115" w:type="dxa"/>
              <w:bottom w:w="43" w:type="dxa"/>
              <w:right w:w="115" w:type="dxa"/>
            </w:tcMar>
            <w:vAlign w:val="bottom"/>
          </w:tcPr>
          <w:p w14:paraId="668E70DB" w14:textId="4941FDAB" w:rsidR="00D54840" w:rsidRPr="008E6F07" w:rsidRDefault="00D54840" w:rsidP="00D54840">
            <w:pPr>
              <w:tabs>
                <w:tab w:val="decimal" w:pos="1065"/>
              </w:tabs>
              <w:rPr>
                <w:rFonts w:cs="Arial"/>
                <w:color w:val="000000"/>
              </w:rPr>
            </w:pPr>
            <w:r w:rsidRPr="00B07246">
              <w:rPr>
                <w:rFonts w:cs="Arial"/>
                <w:color w:val="000000"/>
              </w:rPr>
              <w:t>11,028</w:t>
            </w:r>
          </w:p>
        </w:tc>
        <w:tc>
          <w:tcPr>
            <w:tcW w:w="1710" w:type="dxa"/>
            <w:noWrap/>
            <w:tcMar>
              <w:top w:w="43" w:type="dxa"/>
              <w:left w:w="115" w:type="dxa"/>
              <w:bottom w:w="43" w:type="dxa"/>
              <w:right w:w="115" w:type="dxa"/>
            </w:tcMar>
            <w:vAlign w:val="bottom"/>
          </w:tcPr>
          <w:p w14:paraId="018C5D20" w14:textId="03AD76D2" w:rsidR="00D54840" w:rsidRPr="008E6F07" w:rsidRDefault="00D54840" w:rsidP="00D54840">
            <w:pPr>
              <w:tabs>
                <w:tab w:val="decimal" w:pos="701"/>
              </w:tabs>
              <w:rPr>
                <w:rFonts w:cs="Arial"/>
                <w:color w:val="000000"/>
              </w:rPr>
            </w:pPr>
            <w:r w:rsidRPr="00B07246">
              <w:rPr>
                <w:rFonts w:cs="Arial"/>
                <w:color w:val="000000"/>
              </w:rPr>
              <w:t>0.8%</w:t>
            </w:r>
          </w:p>
        </w:tc>
        <w:tc>
          <w:tcPr>
            <w:tcW w:w="2340" w:type="dxa"/>
            <w:noWrap/>
            <w:tcMar>
              <w:top w:w="43" w:type="dxa"/>
              <w:left w:w="115" w:type="dxa"/>
              <w:bottom w:w="43" w:type="dxa"/>
              <w:right w:w="115" w:type="dxa"/>
            </w:tcMar>
            <w:vAlign w:val="bottom"/>
          </w:tcPr>
          <w:p w14:paraId="00DD46C2" w14:textId="30B406C5" w:rsidR="00D54840" w:rsidRPr="008E6F07" w:rsidRDefault="00D54840" w:rsidP="00D54840">
            <w:pPr>
              <w:tabs>
                <w:tab w:val="decimal" w:pos="1866"/>
              </w:tabs>
              <w:rPr>
                <w:rFonts w:cs="Arial"/>
                <w:color w:val="000000"/>
              </w:rPr>
            </w:pPr>
            <w:r w:rsidRPr="00B07246">
              <w:rPr>
                <w:rFonts w:cs="Arial"/>
                <w:color w:val="000000"/>
              </w:rPr>
              <w:t>1,456,955</w:t>
            </w:r>
          </w:p>
        </w:tc>
        <w:tc>
          <w:tcPr>
            <w:tcW w:w="2430" w:type="dxa"/>
            <w:noWrap/>
            <w:tcMar>
              <w:top w:w="43" w:type="dxa"/>
              <w:left w:w="115" w:type="dxa"/>
              <w:bottom w:w="43" w:type="dxa"/>
              <w:right w:w="115" w:type="dxa"/>
            </w:tcMar>
            <w:vAlign w:val="bottom"/>
          </w:tcPr>
          <w:p w14:paraId="43F02172" w14:textId="05747B0D" w:rsidR="00D54840" w:rsidRPr="008E6F07" w:rsidRDefault="00D54840" w:rsidP="00D54840">
            <w:pPr>
              <w:tabs>
                <w:tab w:val="decimal" w:pos="1684"/>
              </w:tabs>
              <w:rPr>
                <w:rFonts w:cs="Arial"/>
                <w:color w:val="000000"/>
              </w:rPr>
            </w:pPr>
            <w:r w:rsidRPr="00B07246">
              <w:rPr>
                <w:rFonts w:cs="Arial"/>
                <w:color w:val="000000"/>
              </w:rPr>
              <w:t>12,613</w:t>
            </w:r>
          </w:p>
        </w:tc>
        <w:tc>
          <w:tcPr>
            <w:tcW w:w="1980" w:type="dxa"/>
            <w:noWrap/>
            <w:tcMar>
              <w:top w:w="43" w:type="dxa"/>
              <w:left w:w="115" w:type="dxa"/>
              <w:bottom w:w="43" w:type="dxa"/>
              <w:right w:w="115" w:type="dxa"/>
            </w:tcMar>
            <w:vAlign w:val="bottom"/>
          </w:tcPr>
          <w:p w14:paraId="6E3FF4C1" w14:textId="60A16023" w:rsidR="00D54840" w:rsidRPr="008E6F07" w:rsidRDefault="00D54840" w:rsidP="00D54840">
            <w:pPr>
              <w:tabs>
                <w:tab w:val="decimal" w:pos="785"/>
              </w:tabs>
              <w:rPr>
                <w:rFonts w:cs="Arial"/>
                <w:color w:val="000000"/>
              </w:rPr>
            </w:pPr>
            <w:r w:rsidRPr="00B07246">
              <w:rPr>
                <w:rFonts w:cs="Arial"/>
                <w:color w:val="000000"/>
              </w:rPr>
              <w:t>0.9%</w:t>
            </w:r>
          </w:p>
        </w:tc>
      </w:tr>
      <w:tr w:rsidR="00D54840" w:rsidRPr="008E6F07" w14:paraId="00D2428C" w14:textId="77777777" w:rsidTr="00821AD8">
        <w:trPr>
          <w:trHeight w:val="320"/>
        </w:trPr>
        <w:tc>
          <w:tcPr>
            <w:tcW w:w="2340" w:type="dxa"/>
            <w:noWrap/>
            <w:tcMar>
              <w:top w:w="43" w:type="dxa"/>
              <w:left w:w="115" w:type="dxa"/>
              <w:bottom w:w="43" w:type="dxa"/>
              <w:right w:w="115" w:type="dxa"/>
            </w:tcMar>
            <w:vAlign w:val="center"/>
            <w:hideMark/>
          </w:tcPr>
          <w:p w14:paraId="01B6F337" w14:textId="77777777" w:rsidR="00D54840" w:rsidRPr="008E6F07" w:rsidRDefault="00D54840" w:rsidP="00D54840">
            <w:pPr>
              <w:rPr>
                <w:rFonts w:cs="Arial"/>
                <w:color w:val="000000"/>
              </w:rPr>
            </w:pPr>
            <w:r w:rsidRPr="008E6F07">
              <w:rPr>
                <w:rFonts w:cs="Arial"/>
                <w:color w:val="000000"/>
              </w:rPr>
              <w:t>Males</w:t>
            </w:r>
          </w:p>
        </w:tc>
        <w:tc>
          <w:tcPr>
            <w:tcW w:w="1635" w:type="dxa"/>
            <w:noWrap/>
            <w:tcMar>
              <w:top w:w="43" w:type="dxa"/>
              <w:left w:w="115" w:type="dxa"/>
              <w:bottom w:w="43" w:type="dxa"/>
              <w:right w:w="115" w:type="dxa"/>
            </w:tcMar>
            <w:vAlign w:val="bottom"/>
          </w:tcPr>
          <w:p w14:paraId="629D4844" w14:textId="19897B69" w:rsidR="00D54840" w:rsidRPr="008E6F07" w:rsidRDefault="00D54840" w:rsidP="00D54840">
            <w:pPr>
              <w:tabs>
                <w:tab w:val="decimal" w:pos="1230"/>
              </w:tabs>
              <w:rPr>
                <w:rFonts w:cs="Arial"/>
                <w:color w:val="000000"/>
              </w:rPr>
            </w:pPr>
            <w:r w:rsidRPr="00B07246">
              <w:rPr>
                <w:rFonts w:cs="Arial"/>
                <w:color w:val="000000"/>
              </w:rPr>
              <w:t>1,537,439</w:t>
            </w:r>
          </w:p>
        </w:tc>
        <w:tc>
          <w:tcPr>
            <w:tcW w:w="1785" w:type="dxa"/>
            <w:noWrap/>
            <w:tcMar>
              <w:top w:w="43" w:type="dxa"/>
              <w:left w:w="115" w:type="dxa"/>
              <w:bottom w:w="43" w:type="dxa"/>
              <w:right w:w="115" w:type="dxa"/>
            </w:tcMar>
            <w:vAlign w:val="bottom"/>
          </w:tcPr>
          <w:p w14:paraId="46EA36E4" w14:textId="4A503194" w:rsidR="00D54840" w:rsidRPr="008E6F07" w:rsidRDefault="00D54840" w:rsidP="00D54840">
            <w:pPr>
              <w:tabs>
                <w:tab w:val="decimal" w:pos="1065"/>
              </w:tabs>
              <w:rPr>
                <w:rFonts w:cs="Arial"/>
                <w:color w:val="000000"/>
              </w:rPr>
            </w:pPr>
            <w:r w:rsidRPr="00B07246">
              <w:rPr>
                <w:rFonts w:cs="Arial"/>
                <w:color w:val="000000"/>
              </w:rPr>
              <w:t>24,462</w:t>
            </w:r>
          </w:p>
        </w:tc>
        <w:tc>
          <w:tcPr>
            <w:tcW w:w="1710" w:type="dxa"/>
            <w:noWrap/>
            <w:tcMar>
              <w:top w:w="43" w:type="dxa"/>
              <w:left w:w="115" w:type="dxa"/>
              <w:bottom w:w="43" w:type="dxa"/>
              <w:right w:w="115" w:type="dxa"/>
            </w:tcMar>
            <w:vAlign w:val="bottom"/>
          </w:tcPr>
          <w:p w14:paraId="22489FAC" w14:textId="018ACAB8" w:rsidR="00D54840" w:rsidRPr="008E6F07" w:rsidRDefault="00D54840" w:rsidP="00D54840">
            <w:pPr>
              <w:tabs>
                <w:tab w:val="decimal" w:pos="701"/>
              </w:tabs>
              <w:rPr>
                <w:rFonts w:cs="Arial"/>
                <w:color w:val="000000"/>
              </w:rPr>
            </w:pPr>
            <w:r w:rsidRPr="00B07246">
              <w:rPr>
                <w:rFonts w:cs="Arial"/>
                <w:color w:val="000000"/>
              </w:rPr>
              <w:t>1.6%</w:t>
            </w:r>
          </w:p>
        </w:tc>
        <w:tc>
          <w:tcPr>
            <w:tcW w:w="2340" w:type="dxa"/>
            <w:noWrap/>
            <w:tcMar>
              <w:top w:w="43" w:type="dxa"/>
              <w:left w:w="115" w:type="dxa"/>
              <w:bottom w:w="43" w:type="dxa"/>
              <w:right w:w="115" w:type="dxa"/>
            </w:tcMar>
            <w:vAlign w:val="bottom"/>
          </w:tcPr>
          <w:p w14:paraId="572250F7" w14:textId="448FA10D" w:rsidR="00D54840" w:rsidRPr="008E6F07" w:rsidRDefault="00D54840" w:rsidP="00D54840">
            <w:pPr>
              <w:tabs>
                <w:tab w:val="decimal" w:pos="1866"/>
              </w:tabs>
              <w:rPr>
                <w:rFonts w:cs="Arial"/>
                <w:color w:val="000000"/>
              </w:rPr>
            </w:pPr>
            <w:r w:rsidRPr="00B07246">
              <w:rPr>
                <w:rFonts w:cs="Arial"/>
                <w:color w:val="000000"/>
              </w:rPr>
              <w:t>1,537,439</w:t>
            </w:r>
          </w:p>
        </w:tc>
        <w:tc>
          <w:tcPr>
            <w:tcW w:w="2430" w:type="dxa"/>
            <w:noWrap/>
            <w:tcMar>
              <w:top w:w="43" w:type="dxa"/>
              <w:left w:w="115" w:type="dxa"/>
              <w:bottom w:w="43" w:type="dxa"/>
              <w:right w:w="115" w:type="dxa"/>
            </w:tcMar>
            <w:vAlign w:val="bottom"/>
          </w:tcPr>
          <w:p w14:paraId="5A88F882" w14:textId="55225001" w:rsidR="00D54840" w:rsidRPr="008E6F07" w:rsidRDefault="00D54840" w:rsidP="00D54840">
            <w:pPr>
              <w:tabs>
                <w:tab w:val="decimal" w:pos="1684"/>
              </w:tabs>
              <w:rPr>
                <w:rFonts w:cs="Arial"/>
                <w:color w:val="000000"/>
              </w:rPr>
            </w:pPr>
            <w:r w:rsidRPr="00B07246">
              <w:rPr>
                <w:rFonts w:cs="Arial"/>
                <w:color w:val="000000"/>
              </w:rPr>
              <w:t>27,692</w:t>
            </w:r>
          </w:p>
        </w:tc>
        <w:tc>
          <w:tcPr>
            <w:tcW w:w="1980" w:type="dxa"/>
            <w:noWrap/>
            <w:tcMar>
              <w:top w:w="43" w:type="dxa"/>
              <w:left w:w="115" w:type="dxa"/>
              <w:bottom w:w="43" w:type="dxa"/>
              <w:right w:w="115" w:type="dxa"/>
            </w:tcMar>
            <w:vAlign w:val="bottom"/>
          </w:tcPr>
          <w:p w14:paraId="53B278D4" w14:textId="20642B54" w:rsidR="00D54840" w:rsidRPr="008E6F07" w:rsidRDefault="00D54840" w:rsidP="00D54840">
            <w:pPr>
              <w:tabs>
                <w:tab w:val="decimal" w:pos="785"/>
              </w:tabs>
              <w:rPr>
                <w:rFonts w:cs="Arial"/>
                <w:color w:val="000000"/>
              </w:rPr>
            </w:pPr>
            <w:r w:rsidRPr="00B07246">
              <w:rPr>
                <w:rFonts w:cs="Arial"/>
                <w:color w:val="000000"/>
              </w:rPr>
              <w:t>1.8%</w:t>
            </w:r>
          </w:p>
        </w:tc>
      </w:tr>
      <w:tr w:rsidR="00D54840" w:rsidRPr="008E6F07" w14:paraId="7274FDCE" w14:textId="77777777" w:rsidTr="00821AD8">
        <w:trPr>
          <w:trHeight w:val="320"/>
        </w:trPr>
        <w:tc>
          <w:tcPr>
            <w:tcW w:w="2340" w:type="dxa"/>
            <w:noWrap/>
            <w:tcMar>
              <w:top w:w="43" w:type="dxa"/>
              <w:left w:w="115" w:type="dxa"/>
              <w:bottom w:w="43" w:type="dxa"/>
              <w:right w:w="115" w:type="dxa"/>
            </w:tcMar>
            <w:vAlign w:val="center"/>
            <w:hideMark/>
          </w:tcPr>
          <w:p w14:paraId="1D4FAD0F" w14:textId="77777777" w:rsidR="00D54840" w:rsidRPr="008E6F07" w:rsidRDefault="00D54840" w:rsidP="00D54840">
            <w:pPr>
              <w:rPr>
                <w:rFonts w:cs="Arial"/>
                <w:color w:val="000000"/>
              </w:rPr>
            </w:pPr>
            <w:r w:rsidRPr="008E6F07">
              <w:rPr>
                <w:rFonts w:cs="Arial"/>
                <w:color w:val="000000"/>
              </w:rPr>
              <w:t>Black</w:t>
            </w:r>
          </w:p>
        </w:tc>
        <w:tc>
          <w:tcPr>
            <w:tcW w:w="1635" w:type="dxa"/>
            <w:noWrap/>
            <w:tcMar>
              <w:top w:w="43" w:type="dxa"/>
              <w:left w:w="115" w:type="dxa"/>
              <w:bottom w:w="43" w:type="dxa"/>
              <w:right w:w="115" w:type="dxa"/>
            </w:tcMar>
            <w:vAlign w:val="bottom"/>
          </w:tcPr>
          <w:p w14:paraId="14AED4C5" w14:textId="679A27A1" w:rsidR="00D54840" w:rsidRPr="008E6F07" w:rsidRDefault="00D54840" w:rsidP="00D54840">
            <w:pPr>
              <w:tabs>
                <w:tab w:val="decimal" w:pos="1230"/>
              </w:tabs>
              <w:rPr>
                <w:rFonts w:cs="Arial"/>
                <w:color w:val="000000"/>
              </w:rPr>
            </w:pPr>
            <w:r w:rsidRPr="00B07246">
              <w:rPr>
                <w:rFonts w:cs="Arial"/>
                <w:color w:val="000000"/>
              </w:rPr>
              <w:t>150,576</w:t>
            </w:r>
          </w:p>
        </w:tc>
        <w:tc>
          <w:tcPr>
            <w:tcW w:w="1785" w:type="dxa"/>
            <w:noWrap/>
            <w:tcMar>
              <w:top w:w="43" w:type="dxa"/>
              <w:left w:w="115" w:type="dxa"/>
              <w:bottom w:w="43" w:type="dxa"/>
              <w:right w:w="115" w:type="dxa"/>
            </w:tcMar>
            <w:vAlign w:val="bottom"/>
          </w:tcPr>
          <w:p w14:paraId="12255103" w14:textId="1FEF44B9" w:rsidR="00D54840" w:rsidRPr="008E6F07" w:rsidRDefault="00D54840" w:rsidP="00D54840">
            <w:pPr>
              <w:tabs>
                <w:tab w:val="decimal" w:pos="1065"/>
              </w:tabs>
              <w:rPr>
                <w:rFonts w:cs="Arial"/>
                <w:color w:val="000000"/>
              </w:rPr>
            </w:pPr>
            <w:r w:rsidRPr="00B07246">
              <w:rPr>
                <w:rFonts w:cs="Arial"/>
                <w:color w:val="000000"/>
              </w:rPr>
              <w:t>2,671</w:t>
            </w:r>
          </w:p>
        </w:tc>
        <w:tc>
          <w:tcPr>
            <w:tcW w:w="1710" w:type="dxa"/>
            <w:noWrap/>
            <w:tcMar>
              <w:top w:w="43" w:type="dxa"/>
              <w:left w:w="115" w:type="dxa"/>
              <w:bottom w:w="43" w:type="dxa"/>
              <w:right w:w="115" w:type="dxa"/>
            </w:tcMar>
            <w:vAlign w:val="bottom"/>
          </w:tcPr>
          <w:p w14:paraId="3CA1AE34" w14:textId="392C4300" w:rsidR="00D54840" w:rsidRPr="008E6F07" w:rsidRDefault="00D54840" w:rsidP="00D54840">
            <w:pPr>
              <w:tabs>
                <w:tab w:val="decimal" w:pos="701"/>
              </w:tabs>
              <w:rPr>
                <w:rFonts w:cs="Arial"/>
                <w:color w:val="000000"/>
              </w:rPr>
            </w:pPr>
            <w:r w:rsidRPr="00B07246">
              <w:rPr>
                <w:rFonts w:cs="Arial"/>
                <w:color w:val="000000"/>
              </w:rPr>
              <w:t>1.8%</w:t>
            </w:r>
          </w:p>
        </w:tc>
        <w:tc>
          <w:tcPr>
            <w:tcW w:w="2340" w:type="dxa"/>
            <w:noWrap/>
            <w:tcMar>
              <w:top w:w="43" w:type="dxa"/>
              <w:left w:w="115" w:type="dxa"/>
              <w:bottom w:w="43" w:type="dxa"/>
              <w:right w:w="115" w:type="dxa"/>
            </w:tcMar>
            <w:vAlign w:val="bottom"/>
          </w:tcPr>
          <w:p w14:paraId="21A4D560" w14:textId="72133003" w:rsidR="00D54840" w:rsidRPr="008E6F07" w:rsidRDefault="00D54840" w:rsidP="00D54840">
            <w:pPr>
              <w:tabs>
                <w:tab w:val="decimal" w:pos="1866"/>
              </w:tabs>
              <w:rPr>
                <w:rFonts w:cs="Arial"/>
                <w:color w:val="000000"/>
              </w:rPr>
            </w:pPr>
            <w:r w:rsidRPr="00B07246">
              <w:rPr>
                <w:rFonts w:cs="Arial"/>
                <w:color w:val="000000"/>
              </w:rPr>
              <w:t>150,576</w:t>
            </w:r>
          </w:p>
        </w:tc>
        <w:tc>
          <w:tcPr>
            <w:tcW w:w="2430" w:type="dxa"/>
            <w:noWrap/>
            <w:tcMar>
              <w:top w:w="43" w:type="dxa"/>
              <w:left w:w="115" w:type="dxa"/>
              <w:bottom w:w="43" w:type="dxa"/>
              <w:right w:w="115" w:type="dxa"/>
            </w:tcMar>
            <w:vAlign w:val="bottom"/>
          </w:tcPr>
          <w:p w14:paraId="4B9A82D0" w14:textId="6525DB33" w:rsidR="00D54840" w:rsidRPr="008E6F07" w:rsidRDefault="00D54840" w:rsidP="00D54840">
            <w:pPr>
              <w:tabs>
                <w:tab w:val="decimal" w:pos="1684"/>
              </w:tabs>
              <w:rPr>
                <w:rFonts w:cs="Arial"/>
                <w:color w:val="000000"/>
              </w:rPr>
            </w:pPr>
            <w:r w:rsidRPr="00B07246">
              <w:rPr>
                <w:rFonts w:cs="Arial"/>
                <w:color w:val="000000"/>
              </w:rPr>
              <w:t>3,084</w:t>
            </w:r>
          </w:p>
        </w:tc>
        <w:tc>
          <w:tcPr>
            <w:tcW w:w="1980" w:type="dxa"/>
            <w:noWrap/>
            <w:tcMar>
              <w:top w:w="43" w:type="dxa"/>
              <w:left w:w="115" w:type="dxa"/>
              <w:bottom w:w="43" w:type="dxa"/>
              <w:right w:w="115" w:type="dxa"/>
            </w:tcMar>
            <w:vAlign w:val="bottom"/>
          </w:tcPr>
          <w:p w14:paraId="01995596" w14:textId="785713F5" w:rsidR="00D54840" w:rsidRPr="008E6F07" w:rsidRDefault="00D54840" w:rsidP="00D54840">
            <w:pPr>
              <w:tabs>
                <w:tab w:val="decimal" w:pos="785"/>
              </w:tabs>
              <w:rPr>
                <w:rFonts w:cs="Arial"/>
                <w:color w:val="000000"/>
              </w:rPr>
            </w:pPr>
            <w:r w:rsidRPr="00B07246">
              <w:rPr>
                <w:rFonts w:cs="Arial"/>
                <w:color w:val="000000"/>
              </w:rPr>
              <w:t>2.0%</w:t>
            </w:r>
          </w:p>
        </w:tc>
      </w:tr>
      <w:tr w:rsidR="00D54840" w:rsidRPr="008E6F07" w14:paraId="323AE55F" w14:textId="77777777" w:rsidTr="00821AD8">
        <w:trPr>
          <w:trHeight w:val="320"/>
        </w:trPr>
        <w:tc>
          <w:tcPr>
            <w:tcW w:w="2340" w:type="dxa"/>
            <w:noWrap/>
            <w:tcMar>
              <w:top w:w="43" w:type="dxa"/>
              <w:left w:w="115" w:type="dxa"/>
              <w:bottom w:w="43" w:type="dxa"/>
              <w:right w:w="115" w:type="dxa"/>
            </w:tcMar>
            <w:vAlign w:val="center"/>
            <w:hideMark/>
          </w:tcPr>
          <w:p w14:paraId="0D39CF63" w14:textId="77777777" w:rsidR="00D54840" w:rsidRPr="008E6F07" w:rsidRDefault="00D54840" w:rsidP="00D54840">
            <w:pPr>
              <w:rPr>
                <w:rFonts w:cs="Arial"/>
                <w:color w:val="000000"/>
              </w:rPr>
            </w:pPr>
            <w:r w:rsidRPr="008E6F07">
              <w:rPr>
                <w:rFonts w:cs="Arial"/>
                <w:color w:val="000000"/>
              </w:rPr>
              <w:t>Hispanic</w:t>
            </w:r>
          </w:p>
        </w:tc>
        <w:tc>
          <w:tcPr>
            <w:tcW w:w="1635" w:type="dxa"/>
            <w:noWrap/>
            <w:tcMar>
              <w:top w:w="43" w:type="dxa"/>
              <w:left w:w="115" w:type="dxa"/>
              <w:bottom w:w="43" w:type="dxa"/>
              <w:right w:w="115" w:type="dxa"/>
            </w:tcMar>
            <w:vAlign w:val="bottom"/>
          </w:tcPr>
          <w:p w14:paraId="7DD5B83E" w14:textId="64A26824" w:rsidR="00D54840" w:rsidRPr="008E6F07" w:rsidRDefault="00D54840" w:rsidP="00D54840">
            <w:pPr>
              <w:tabs>
                <w:tab w:val="decimal" w:pos="1230"/>
              </w:tabs>
              <w:rPr>
                <w:rFonts w:cs="Arial"/>
                <w:color w:val="000000"/>
              </w:rPr>
            </w:pPr>
            <w:r w:rsidRPr="00B07246">
              <w:rPr>
                <w:rFonts w:cs="Arial"/>
                <w:color w:val="000000"/>
              </w:rPr>
              <w:t>1,686,884</w:t>
            </w:r>
          </w:p>
        </w:tc>
        <w:tc>
          <w:tcPr>
            <w:tcW w:w="1785" w:type="dxa"/>
            <w:noWrap/>
            <w:tcMar>
              <w:top w:w="43" w:type="dxa"/>
              <w:left w:w="115" w:type="dxa"/>
              <w:bottom w:w="43" w:type="dxa"/>
              <w:right w:w="115" w:type="dxa"/>
            </w:tcMar>
            <w:vAlign w:val="bottom"/>
          </w:tcPr>
          <w:p w14:paraId="0B0A13F8" w14:textId="45820E2F" w:rsidR="00D54840" w:rsidRPr="008E6F07" w:rsidRDefault="00D54840" w:rsidP="00D54840">
            <w:pPr>
              <w:tabs>
                <w:tab w:val="decimal" w:pos="1065"/>
              </w:tabs>
              <w:rPr>
                <w:rFonts w:cs="Arial"/>
                <w:color w:val="000000"/>
              </w:rPr>
            </w:pPr>
            <w:r w:rsidRPr="00B07246">
              <w:rPr>
                <w:rFonts w:cs="Arial"/>
                <w:color w:val="000000"/>
              </w:rPr>
              <w:t>20,752</w:t>
            </w:r>
          </w:p>
        </w:tc>
        <w:tc>
          <w:tcPr>
            <w:tcW w:w="1710" w:type="dxa"/>
            <w:noWrap/>
            <w:tcMar>
              <w:top w:w="43" w:type="dxa"/>
              <w:left w:w="115" w:type="dxa"/>
              <w:bottom w:w="43" w:type="dxa"/>
              <w:right w:w="115" w:type="dxa"/>
            </w:tcMar>
            <w:vAlign w:val="bottom"/>
          </w:tcPr>
          <w:p w14:paraId="1CACC4DF" w14:textId="29670A80" w:rsidR="00D54840" w:rsidRPr="008E6F07" w:rsidRDefault="00D54840" w:rsidP="00D54840">
            <w:pPr>
              <w:tabs>
                <w:tab w:val="decimal" w:pos="701"/>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2B096632" w14:textId="710A99C7" w:rsidR="00D54840" w:rsidRPr="008E6F07" w:rsidRDefault="00D54840" w:rsidP="00D54840">
            <w:pPr>
              <w:tabs>
                <w:tab w:val="decimal" w:pos="1866"/>
              </w:tabs>
              <w:rPr>
                <w:rFonts w:cs="Arial"/>
                <w:color w:val="000000"/>
              </w:rPr>
            </w:pPr>
            <w:r w:rsidRPr="00B07246">
              <w:rPr>
                <w:rFonts w:cs="Arial"/>
                <w:color w:val="000000"/>
              </w:rPr>
              <w:t>1,686,884</w:t>
            </w:r>
          </w:p>
        </w:tc>
        <w:tc>
          <w:tcPr>
            <w:tcW w:w="2430" w:type="dxa"/>
            <w:noWrap/>
            <w:tcMar>
              <w:top w:w="43" w:type="dxa"/>
              <w:left w:w="115" w:type="dxa"/>
              <w:bottom w:w="43" w:type="dxa"/>
              <w:right w:w="115" w:type="dxa"/>
            </w:tcMar>
            <w:vAlign w:val="bottom"/>
          </w:tcPr>
          <w:p w14:paraId="22A25512" w14:textId="3EBA59DC" w:rsidR="00D54840" w:rsidRPr="008E6F07" w:rsidRDefault="00D54840" w:rsidP="00D54840">
            <w:pPr>
              <w:tabs>
                <w:tab w:val="decimal" w:pos="1684"/>
              </w:tabs>
              <w:rPr>
                <w:rFonts w:cs="Arial"/>
                <w:color w:val="000000"/>
              </w:rPr>
            </w:pPr>
            <w:r w:rsidRPr="00B07246">
              <w:rPr>
                <w:rFonts w:cs="Arial"/>
                <w:color w:val="000000"/>
              </w:rPr>
              <w:t>23,059</w:t>
            </w:r>
          </w:p>
        </w:tc>
        <w:tc>
          <w:tcPr>
            <w:tcW w:w="1980" w:type="dxa"/>
            <w:noWrap/>
            <w:tcMar>
              <w:top w:w="43" w:type="dxa"/>
              <w:left w:w="115" w:type="dxa"/>
              <w:bottom w:w="43" w:type="dxa"/>
              <w:right w:w="115" w:type="dxa"/>
            </w:tcMar>
            <w:vAlign w:val="bottom"/>
          </w:tcPr>
          <w:p w14:paraId="48A66343" w14:textId="0E161C6D" w:rsidR="00D54840" w:rsidRPr="008E6F07" w:rsidRDefault="00D54840" w:rsidP="00D54840">
            <w:pPr>
              <w:tabs>
                <w:tab w:val="decimal" w:pos="785"/>
              </w:tabs>
              <w:rPr>
                <w:rFonts w:cs="Arial"/>
                <w:color w:val="000000"/>
              </w:rPr>
            </w:pPr>
            <w:r w:rsidRPr="00B07246">
              <w:rPr>
                <w:rFonts w:cs="Arial"/>
                <w:color w:val="000000"/>
              </w:rPr>
              <w:t>1.4%</w:t>
            </w:r>
          </w:p>
        </w:tc>
      </w:tr>
      <w:tr w:rsidR="00D54840" w:rsidRPr="008E6F07" w14:paraId="645580DB" w14:textId="77777777" w:rsidTr="00821AD8">
        <w:trPr>
          <w:trHeight w:val="320"/>
        </w:trPr>
        <w:tc>
          <w:tcPr>
            <w:tcW w:w="2340" w:type="dxa"/>
            <w:noWrap/>
            <w:tcMar>
              <w:top w:w="43" w:type="dxa"/>
              <w:left w:w="115" w:type="dxa"/>
              <w:bottom w:w="43" w:type="dxa"/>
              <w:right w:w="115" w:type="dxa"/>
            </w:tcMar>
            <w:vAlign w:val="center"/>
            <w:hideMark/>
          </w:tcPr>
          <w:p w14:paraId="187E33CC" w14:textId="77777777" w:rsidR="00D54840" w:rsidRPr="008E6F07" w:rsidRDefault="00D54840" w:rsidP="00D54840">
            <w:pPr>
              <w:rPr>
                <w:rFonts w:cs="Arial"/>
                <w:color w:val="000000"/>
              </w:rPr>
            </w:pPr>
            <w:r w:rsidRPr="008E6F07">
              <w:rPr>
                <w:rFonts w:cs="Arial"/>
                <w:color w:val="000000"/>
              </w:rPr>
              <w:t>Asian</w:t>
            </w:r>
          </w:p>
        </w:tc>
        <w:tc>
          <w:tcPr>
            <w:tcW w:w="1635" w:type="dxa"/>
            <w:noWrap/>
            <w:tcMar>
              <w:top w:w="43" w:type="dxa"/>
              <w:left w:w="115" w:type="dxa"/>
              <w:bottom w:w="43" w:type="dxa"/>
              <w:right w:w="115" w:type="dxa"/>
            </w:tcMar>
            <w:vAlign w:val="bottom"/>
          </w:tcPr>
          <w:p w14:paraId="3C95DB1F" w14:textId="3F48ECD9" w:rsidR="00D54840" w:rsidRPr="008E6F07" w:rsidRDefault="00D54840" w:rsidP="00D54840">
            <w:pPr>
              <w:tabs>
                <w:tab w:val="decimal" w:pos="1230"/>
              </w:tabs>
              <w:rPr>
                <w:rFonts w:cs="Arial"/>
                <w:color w:val="000000"/>
              </w:rPr>
            </w:pPr>
            <w:r w:rsidRPr="00B07246">
              <w:rPr>
                <w:rFonts w:cs="Arial"/>
                <w:color w:val="000000"/>
              </w:rPr>
              <w:t>296,201</w:t>
            </w:r>
          </w:p>
        </w:tc>
        <w:tc>
          <w:tcPr>
            <w:tcW w:w="1785" w:type="dxa"/>
            <w:noWrap/>
            <w:tcMar>
              <w:top w:w="43" w:type="dxa"/>
              <w:left w:w="115" w:type="dxa"/>
              <w:bottom w:w="43" w:type="dxa"/>
              <w:right w:w="115" w:type="dxa"/>
            </w:tcMar>
            <w:vAlign w:val="bottom"/>
          </w:tcPr>
          <w:p w14:paraId="5C040F13" w14:textId="6BB30637" w:rsidR="00D54840" w:rsidRPr="008E6F07" w:rsidRDefault="00D54840" w:rsidP="00D54840">
            <w:pPr>
              <w:tabs>
                <w:tab w:val="decimal" w:pos="1065"/>
              </w:tabs>
              <w:rPr>
                <w:rFonts w:cs="Arial"/>
                <w:color w:val="000000"/>
              </w:rPr>
            </w:pPr>
            <w:r w:rsidRPr="00B07246">
              <w:rPr>
                <w:rFonts w:cs="Arial"/>
                <w:color w:val="000000"/>
              </w:rPr>
              <w:t>3,109</w:t>
            </w:r>
          </w:p>
        </w:tc>
        <w:tc>
          <w:tcPr>
            <w:tcW w:w="1710" w:type="dxa"/>
            <w:noWrap/>
            <w:tcMar>
              <w:top w:w="43" w:type="dxa"/>
              <w:left w:w="115" w:type="dxa"/>
              <w:bottom w:w="43" w:type="dxa"/>
              <w:right w:w="115" w:type="dxa"/>
            </w:tcMar>
            <w:vAlign w:val="bottom"/>
          </w:tcPr>
          <w:p w14:paraId="22C32B70" w14:textId="4E024D76" w:rsidR="00D54840" w:rsidRPr="008E6F07" w:rsidRDefault="00D54840" w:rsidP="00D54840">
            <w:pPr>
              <w:tabs>
                <w:tab w:val="decimal" w:pos="701"/>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346631DE" w14:textId="49628DD8" w:rsidR="00D54840" w:rsidRPr="008E6F07" w:rsidRDefault="00D54840" w:rsidP="00D54840">
            <w:pPr>
              <w:tabs>
                <w:tab w:val="decimal" w:pos="1866"/>
              </w:tabs>
              <w:rPr>
                <w:rFonts w:cs="Arial"/>
                <w:color w:val="000000"/>
              </w:rPr>
            </w:pPr>
            <w:r w:rsidRPr="00B07246">
              <w:rPr>
                <w:rFonts w:cs="Arial"/>
                <w:color w:val="000000"/>
              </w:rPr>
              <w:t>296,201</w:t>
            </w:r>
          </w:p>
        </w:tc>
        <w:tc>
          <w:tcPr>
            <w:tcW w:w="2430" w:type="dxa"/>
            <w:noWrap/>
            <w:tcMar>
              <w:top w:w="43" w:type="dxa"/>
              <w:left w:w="115" w:type="dxa"/>
              <w:bottom w:w="43" w:type="dxa"/>
              <w:right w:w="115" w:type="dxa"/>
            </w:tcMar>
            <w:vAlign w:val="bottom"/>
          </w:tcPr>
          <w:p w14:paraId="4F93E4BE" w14:textId="64E87979" w:rsidR="00D54840" w:rsidRPr="008E6F07" w:rsidRDefault="00D54840" w:rsidP="00D54840">
            <w:pPr>
              <w:tabs>
                <w:tab w:val="decimal" w:pos="1684"/>
              </w:tabs>
              <w:rPr>
                <w:rFonts w:cs="Arial"/>
                <w:color w:val="000000"/>
              </w:rPr>
            </w:pPr>
            <w:r w:rsidRPr="00B07246">
              <w:rPr>
                <w:rFonts w:cs="Arial"/>
                <w:color w:val="000000"/>
              </w:rPr>
              <w:t>3,598</w:t>
            </w:r>
          </w:p>
        </w:tc>
        <w:tc>
          <w:tcPr>
            <w:tcW w:w="1980" w:type="dxa"/>
            <w:noWrap/>
            <w:tcMar>
              <w:top w:w="43" w:type="dxa"/>
              <w:left w:w="115" w:type="dxa"/>
              <w:bottom w:w="43" w:type="dxa"/>
              <w:right w:w="115" w:type="dxa"/>
            </w:tcMar>
            <w:vAlign w:val="bottom"/>
          </w:tcPr>
          <w:p w14:paraId="77BB37B8" w14:textId="45890746" w:rsidR="00D54840" w:rsidRPr="008E6F07" w:rsidRDefault="00D54840" w:rsidP="00D54840">
            <w:pPr>
              <w:tabs>
                <w:tab w:val="decimal" w:pos="785"/>
              </w:tabs>
              <w:rPr>
                <w:rFonts w:cs="Arial"/>
                <w:color w:val="000000"/>
              </w:rPr>
            </w:pPr>
            <w:r w:rsidRPr="00B07246">
              <w:rPr>
                <w:rFonts w:cs="Arial"/>
                <w:color w:val="000000"/>
              </w:rPr>
              <w:t>1.2%</w:t>
            </w:r>
          </w:p>
        </w:tc>
      </w:tr>
      <w:tr w:rsidR="00D54840" w:rsidRPr="008E6F07" w14:paraId="1916AA39" w14:textId="77777777" w:rsidTr="00821AD8">
        <w:trPr>
          <w:trHeight w:val="320"/>
        </w:trPr>
        <w:tc>
          <w:tcPr>
            <w:tcW w:w="2340" w:type="dxa"/>
            <w:noWrap/>
            <w:tcMar>
              <w:top w:w="43" w:type="dxa"/>
              <w:left w:w="115" w:type="dxa"/>
              <w:bottom w:w="43" w:type="dxa"/>
              <w:right w:w="115" w:type="dxa"/>
            </w:tcMar>
            <w:vAlign w:val="center"/>
            <w:hideMark/>
          </w:tcPr>
          <w:p w14:paraId="3F3D4ADE" w14:textId="77777777" w:rsidR="00D54840" w:rsidRPr="008E6F07" w:rsidRDefault="00D54840" w:rsidP="00D54840">
            <w:pPr>
              <w:rPr>
                <w:rFonts w:cs="Arial"/>
                <w:color w:val="000000"/>
              </w:rPr>
            </w:pPr>
            <w:r w:rsidRPr="008E6F07">
              <w:rPr>
                <w:rFonts w:cs="Arial"/>
                <w:color w:val="000000"/>
              </w:rPr>
              <w:t>White</w:t>
            </w:r>
          </w:p>
        </w:tc>
        <w:tc>
          <w:tcPr>
            <w:tcW w:w="1635" w:type="dxa"/>
            <w:noWrap/>
            <w:tcMar>
              <w:top w:w="43" w:type="dxa"/>
              <w:left w:w="115" w:type="dxa"/>
              <w:bottom w:w="43" w:type="dxa"/>
              <w:right w:w="115" w:type="dxa"/>
            </w:tcMar>
            <w:vAlign w:val="bottom"/>
          </w:tcPr>
          <w:p w14:paraId="2D6E0369" w14:textId="655A3403" w:rsidR="00D54840" w:rsidRPr="008E6F07" w:rsidRDefault="00D54840" w:rsidP="00D54840">
            <w:pPr>
              <w:tabs>
                <w:tab w:val="decimal" w:pos="1230"/>
              </w:tabs>
              <w:rPr>
                <w:rFonts w:cs="Arial"/>
                <w:color w:val="000000"/>
              </w:rPr>
            </w:pPr>
            <w:r w:rsidRPr="00B07246">
              <w:rPr>
                <w:rFonts w:cs="Arial"/>
                <w:color w:val="000000"/>
              </w:rPr>
              <w:t>608,107</w:t>
            </w:r>
          </w:p>
        </w:tc>
        <w:tc>
          <w:tcPr>
            <w:tcW w:w="1785" w:type="dxa"/>
            <w:noWrap/>
            <w:tcMar>
              <w:top w:w="43" w:type="dxa"/>
              <w:left w:w="115" w:type="dxa"/>
              <w:bottom w:w="43" w:type="dxa"/>
              <w:right w:w="115" w:type="dxa"/>
            </w:tcMar>
            <w:vAlign w:val="bottom"/>
          </w:tcPr>
          <w:p w14:paraId="7085A809" w14:textId="508A331A" w:rsidR="00D54840" w:rsidRPr="008E6F07" w:rsidRDefault="00D54840" w:rsidP="00D54840">
            <w:pPr>
              <w:tabs>
                <w:tab w:val="decimal" w:pos="1065"/>
              </w:tabs>
              <w:rPr>
                <w:rFonts w:cs="Arial"/>
                <w:color w:val="000000"/>
              </w:rPr>
            </w:pPr>
            <w:r w:rsidRPr="00B07246">
              <w:rPr>
                <w:rFonts w:cs="Arial"/>
                <w:color w:val="000000"/>
              </w:rPr>
              <w:t>5,914</w:t>
            </w:r>
          </w:p>
        </w:tc>
        <w:tc>
          <w:tcPr>
            <w:tcW w:w="1710" w:type="dxa"/>
            <w:noWrap/>
            <w:tcMar>
              <w:top w:w="43" w:type="dxa"/>
              <w:left w:w="115" w:type="dxa"/>
              <w:bottom w:w="43" w:type="dxa"/>
              <w:right w:w="115" w:type="dxa"/>
            </w:tcMar>
            <w:vAlign w:val="bottom"/>
          </w:tcPr>
          <w:p w14:paraId="528C59C1" w14:textId="60D74861" w:rsidR="00D54840" w:rsidRPr="008E6F07" w:rsidRDefault="00D54840" w:rsidP="00D54840">
            <w:pPr>
              <w:tabs>
                <w:tab w:val="decimal" w:pos="701"/>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6D5C1DF2" w14:textId="3E00AC92" w:rsidR="00D54840" w:rsidRPr="008E6F07" w:rsidRDefault="00D54840" w:rsidP="00D54840">
            <w:pPr>
              <w:tabs>
                <w:tab w:val="decimal" w:pos="1866"/>
              </w:tabs>
              <w:rPr>
                <w:rFonts w:cs="Arial"/>
                <w:color w:val="000000"/>
              </w:rPr>
            </w:pPr>
            <w:r w:rsidRPr="00B07246">
              <w:rPr>
                <w:rFonts w:cs="Arial"/>
                <w:color w:val="000000"/>
              </w:rPr>
              <w:t>608,107</w:t>
            </w:r>
          </w:p>
        </w:tc>
        <w:tc>
          <w:tcPr>
            <w:tcW w:w="2430" w:type="dxa"/>
            <w:noWrap/>
            <w:tcMar>
              <w:top w:w="43" w:type="dxa"/>
              <w:left w:w="115" w:type="dxa"/>
              <w:bottom w:w="43" w:type="dxa"/>
              <w:right w:w="115" w:type="dxa"/>
            </w:tcMar>
            <w:vAlign w:val="bottom"/>
          </w:tcPr>
          <w:p w14:paraId="01F5CF25" w14:textId="3AE93621" w:rsidR="00D54840" w:rsidRPr="008E6F07" w:rsidRDefault="00D54840" w:rsidP="00D54840">
            <w:pPr>
              <w:tabs>
                <w:tab w:val="decimal" w:pos="1684"/>
              </w:tabs>
              <w:rPr>
                <w:rFonts w:cs="Arial"/>
                <w:color w:val="000000"/>
              </w:rPr>
            </w:pPr>
            <w:r w:rsidRPr="00B07246">
              <w:rPr>
                <w:rFonts w:cs="Arial"/>
                <w:color w:val="000000"/>
              </w:rPr>
              <w:t>7,011</w:t>
            </w:r>
          </w:p>
        </w:tc>
        <w:tc>
          <w:tcPr>
            <w:tcW w:w="1980" w:type="dxa"/>
            <w:noWrap/>
            <w:tcMar>
              <w:top w:w="43" w:type="dxa"/>
              <w:left w:w="115" w:type="dxa"/>
              <w:bottom w:w="43" w:type="dxa"/>
              <w:right w:w="115" w:type="dxa"/>
            </w:tcMar>
            <w:vAlign w:val="bottom"/>
          </w:tcPr>
          <w:p w14:paraId="4E18663A" w14:textId="1FCE68B5" w:rsidR="00D54840" w:rsidRPr="008E6F07" w:rsidRDefault="00D54840" w:rsidP="00D54840">
            <w:pPr>
              <w:tabs>
                <w:tab w:val="decimal" w:pos="785"/>
              </w:tabs>
              <w:rPr>
                <w:rFonts w:cs="Arial"/>
                <w:color w:val="000000"/>
              </w:rPr>
            </w:pPr>
            <w:r w:rsidRPr="00B07246">
              <w:rPr>
                <w:rFonts w:cs="Arial"/>
                <w:color w:val="000000"/>
              </w:rPr>
              <w:t>1.2%</w:t>
            </w:r>
          </w:p>
        </w:tc>
      </w:tr>
      <w:tr w:rsidR="00D54840" w:rsidRPr="008E6F07" w14:paraId="25E641CD" w14:textId="77777777" w:rsidTr="00821AD8">
        <w:trPr>
          <w:trHeight w:val="320"/>
        </w:trPr>
        <w:tc>
          <w:tcPr>
            <w:tcW w:w="2340" w:type="dxa"/>
            <w:noWrap/>
            <w:tcMar>
              <w:top w:w="43" w:type="dxa"/>
              <w:left w:w="115" w:type="dxa"/>
              <w:bottom w:w="43" w:type="dxa"/>
              <w:right w:w="115" w:type="dxa"/>
            </w:tcMar>
            <w:vAlign w:val="center"/>
            <w:hideMark/>
          </w:tcPr>
          <w:p w14:paraId="158D0D73" w14:textId="77777777" w:rsidR="00D54840" w:rsidRPr="008E6F07" w:rsidRDefault="00D54840" w:rsidP="00D54840">
            <w:pPr>
              <w:rPr>
                <w:rFonts w:cs="Arial"/>
                <w:color w:val="000000"/>
              </w:rPr>
            </w:pPr>
            <w:r w:rsidRPr="008E6F07">
              <w:rPr>
                <w:rFonts w:cs="Arial"/>
                <w:color w:val="000000"/>
              </w:rPr>
              <w:t>American Indian or Alaska Native</w:t>
            </w:r>
          </w:p>
        </w:tc>
        <w:tc>
          <w:tcPr>
            <w:tcW w:w="1635" w:type="dxa"/>
            <w:noWrap/>
            <w:tcMar>
              <w:top w:w="43" w:type="dxa"/>
              <w:left w:w="115" w:type="dxa"/>
              <w:bottom w:w="43" w:type="dxa"/>
              <w:right w:w="115" w:type="dxa"/>
            </w:tcMar>
            <w:vAlign w:val="bottom"/>
          </w:tcPr>
          <w:p w14:paraId="5F49A5DB" w14:textId="154C850E" w:rsidR="00D54840" w:rsidRPr="008E6F07" w:rsidRDefault="00D54840" w:rsidP="00D54840">
            <w:pPr>
              <w:tabs>
                <w:tab w:val="decimal" w:pos="1230"/>
              </w:tabs>
              <w:rPr>
                <w:rFonts w:cs="Arial"/>
                <w:color w:val="000000"/>
              </w:rPr>
            </w:pPr>
            <w:r w:rsidRPr="00B07246">
              <w:rPr>
                <w:rFonts w:cs="Arial"/>
                <w:color w:val="000000"/>
              </w:rPr>
              <w:t>12,916</w:t>
            </w:r>
          </w:p>
        </w:tc>
        <w:tc>
          <w:tcPr>
            <w:tcW w:w="1785" w:type="dxa"/>
            <w:noWrap/>
            <w:tcMar>
              <w:top w:w="43" w:type="dxa"/>
              <w:left w:w="115" w:type="dxa"/>
              <w:bottom w:w="43" w:type="dxa"/>
              <w:right w:w="115" w:type="dxa"/>
            </w:tcMar>
            <w:vAlign w:val="bottom"/>
          </w:tcPr>
          <w:p w14:paraId="276C9B6D" w14:textId="33993012" w:rsidR="00D54840" w:rsidRPr="008E6F07" w:rsidRDefault="00D54840" w:rsidP="00D54840">
            <w:pPr>
              <w:tabs>
                <w:tab w:val="decimal" w:pos="1065"/>
              </w:tabs>
              <w:rPr>
                <w:rFonts w:cs="Arial"/>
                <w:color w:val="000000"/>
              </w:rPr>
            </w:pPr>
            <w:r w:rsidRPr="00B07246">
              <w:rPr>
                <w:rFonts w:cs="Arial"/>
                <w:color w:val="000000"/>
              </w:rPr>
              <w:t>204</w:t>
            </w:r>
          </w:p>
        </w:tc>
        <w:tc>
          <w:tcPr>
            <w:tcW w:w="1710" w:type="dxa"/>
            <w:noWrap/>
            <w:tcMar>
              <w:top w:w="43" w:type="dxa"/>
              <w:left w:w="115" w:type="dxa"/>
              <w:bottom w:w="43" w:type="dxa"/>
              <w:right w:w="115" w:type="dxa"/>
            </w:tcMar>
            <w:vAlign w:val="bottom"/>
          </w:tcPr>
          <w:p w14:paraId="0C936869" w14:textId="16D5EF0B" w:rsidR="00D54840" w:rsidRPr="008E6F07" w:rsidRDefault="00D54840" w:rsidP="00D54840">
            <w:pPr>
              <w:tabs>
                <w:tab w:val="decimal" w:pos="701"/>
              </w:tabs>
              <w:rPr>
                <w:rFonts w:cs="Arial"/>
                <w:color w:val="000000"/>
              </w:rPr>
            </w:pPr>
            <w:r w:rsidRPr="00B07246">
              <w:rPr>
                <w:rFonts w:cs="Arial"/>
                <w:color w:val="000000"/>
              </w:rPr>
              <w:t>1.6%</w:t>
            </w:r>
          </w:p>
        </w:tc>
        <w:tc>
          <w:tcPr>
            <w:tcW w:w="2340" w:type="dxa"/>
            <w:noWrap/>
            <w:tcMar>
              <w:top w:w="43" w:type="dxa"/>
              <w:left w:w="115" w:type="dxa"/>
              <w:bottom w:w="43" w:type="dxa"/>
              <w:right w:w="115" w:type="dxa"/>
            </w:tcMar>
            <w:vAlign w:val="bottom"/>
          </w:tcPr>
          <w:p w14:paraId="0E194662" w14:textId="28403DEF" w:rsidR="00D54840" w:rsidRPr="008E6F07" w:rsidRDefault="00D54840" w:rsidP="00D54840">
            <w:pPr>
              <w:tabs>
                <w:tab w:val="decimal" w:pos="1866"/>
              </w:tabs>
              <w:rPr>
                <w:rFonts w:cs="Arial"/>
                <w:color w:val="000000"/>
              </w:rPr>
            </w:pPr>
            <w:r w:rsidRPr="00B07246">
              <w:rPr>
                <w:rFonts w:cs="Arial"/>
                <w:color w:val="000000"/>
              </w:rPr>
              <w:t>12,916</w:t>
            </w:r>
          </w:p>
        </w:tc>
        <w:tc>
          <w:tcPr>
            <w:tcW w:w="2430" w:type="dxa"/>
            <w:noWrap/>
            <w:tcMar>
              <w:top w:w="43" w:type="dxa"/>
              <w:left w:w="115" w:type="dxa"/>
              <w:bottom w:w="43" w:type="dxa"/>
              <w:right w:w="115" w:type="dxa"/>
            </w:tcMar>
            <w:vAlign w:val="bottom"/>
          </w:tcPr>
          <w:p w14:paraId="7AADE6F4" w14:textId="4394B17F" w:rsidR="00D54840" w:rsidRPr="008E6F07" w:rsidRDefault="00D54840" w:rsidP="00D54840">
            <w:pPr>
              <w:tabs>
                <w:tab w:val="decimal" w:pos="1684"/>
              </w:tabs>
              <w:rPr>
                <w:rFonts w:cs="Arial"/>
                <w:color w:val="000000"/>
              </w:rPr>
            </w:pPr>
            <w:r w:rsidRPr="00B07246">
              <w:rPr>
                <w:rFonts w:cs="Arial"/>
                <w:color w:val="000000"/>
              </w:rPr>
              <w:t>234</w:t>
            </w:r>
          </w:p>
        </w:tc>
        <w:tc>
          <w:tcPr>
            <w:tcW w:w="1980" w:type="dxa"/>
            <w:noWrap/>
            <w:tcMar>
              <w:top w:w="43" w:type="dxa"/>
              <w:left w:w="115" w:type="dxa"/>
              <w:bottom w:w="43" w:type="dxa"/>
              <w:right w:w="115" w:type="dxa"/>
            </w:tcMar>
            <w:vAlign w:val="bottom"/>
          </w:tcPr>
          <w:p w14:paraId="7C82182C" w14:textId="3A6A2D67" w:rsidR="00D54840" w:rsidRPr="008E6F07" w:rsidRDefault="00D54840" w:rsidP="00D54840">
            <w:pPr>
              <w:tabs>
                <w:tab w:val="decimal" w:pos="785"/>
              </w:tabs>
              <w:rPr>
                <w:rFonts w:cs="Arial"/>
                <w:color w:val="000000"/>
              </w:rPr>
            </w:pPr>
            <w:r w:rsidRPr="00B07246">
              <w:rPr>
                <w:rFonts w:cs="Arial"/>
                <w:color w:val="000000"/>
              </w:rPr>
              <w:t>1.8%</w:t>
            </w:r>
          </w:p>
        </w:tc>
      </w:tr>
      <w:tr w:rsidR="00D54840" w:rsidRPr="008E6F07" w14:paraId="4D9F11D1" w14:textId="77777777" w:rsidTr="00821AD8">
        <w:trPr>
          <w:trHeight w:val="320"/>
        </w:trPr>
        <w:tc>
          <w:tcPr>
            <w:tcW w:w="2340" w:type="dxa"/>
            <w:noWrap/>
            <w:tcMar>
              <w:top w:w="43" w:type="dxa"/>
              <w:left w:w="115" w:type="dxa"/>
              <w:bottom w:w="43" w:type="dxa"/>
              <w:right w:w="115" w:type="dxa"/>
            </w:tcMar>
            <w:vAlign w:val="center"/>
            <w:hideMark/>
          </w:tcPr>
          <w:p w14:paraId="0D772C05" w14:textId="77777777" w:rsidR="00D54840" w:rsidRPr="008E6F07" w:rsidRDefault="00D54840" w:rsidP="00D54840">
            <w:pPr>
              <w:rPr>
                <w:rFonts w:cs="Arial"/>
                <w:color w:val="000000"/>
              </w:rPr>
            </w:pPr>
            <w:r w:rsidRPr="008E6F07">
              <w:rPr>
                <w:rFonts w:cs="Arial"/>
                <w:color w:val="000000"/>
              </w:rPr>
              <w:t>Filipino</w:t>
            </w:r>
          </w:p>
        </w:tc>
        <w:tc>
          <w:tcPr>
            <w:tcW w:w="1635" w:type="dxa"/>
            <w:noWrap/>
            <w:tcMar>
              <w:top w:w="43" w:type="dxa"/>
              <w:left w:w="115" w:type="dxa"/>
              <w:bottom w:w="43" w:type="dxa"/>
              <w:right w:w="115" w:type="dxa"/>
            </w:tcMar>
            <w:vAlign w:val="bottom"/>
          </w:tcPr>
          <w:p w14:paraId="2FE0676D" w14:textId="77A3ACC8" w:rsidR="00D54840" w:rsidRPr="008E6F07" w:rsidRDefault="00D54840" w:rsidP="00D54840">
            <w:pPr>
              <w:tabs>
                <w:tab w:val="decimal" w:pos="1230"/>
              </w:tabs>
              <w:rPr>
                <w:rFonts w:cs="Arial"/>
                <w:color w:val="000000"/>
              </w:rPr>
            </w:pPr>
            <w:r w:rsidRPr="00B07246">
              <w:rPr>
                <w:rFonts w:cs="Arial"/>
                <w:color w:val="000000"/>
              </w:rPr>
              <w:t>69,749</w:t>
            </w:r>
          </w:p>
        </w:tc>
        <w:tc>
          <w:tcPr>
            <w:tcW w:w="1785" w:type="dxa"/>
            <w:noWrap/>
            <w:tcMar>
              <w:top w:w="43" w:type="dxa"/>
              <w:left w:w="115" w:type="dxa"/>
              <w:bottom w:w="43" w:type="dxa"/>
              <w:right w:w="115" w:type="dxa"/>
            </w:tcMar>
            <w:vAlign w:val="bottom"/>
          </w:tcPr>
          <w:p w14:paraId="4EEC8F7F" w14:textId="5D285DC7" w:rsidR="00D54840" w:rsidRPr="008E6F07" w:rsidRDefault="00D54840" w:rsidP="00D54840">
            <w:pPr>
              <w:tabs>
                <w:tab w:val="decimal" w:pos="1065"/>
              </w:tabs>
              <w:rPr>
                <w:rFonts w:cs="Arial"/>
                <w:color w:val="000000"/>
              </w:rPr>
            </w:pPr>
            <w:r w:rsidRPr="00B07246">
              <w:rPr>
                <w:rFonts w:cs="Arial"/>
                <w:color w:val="000000"/>
              </w:rPr>
              <w:t>1,056</w:t>
            </w:r>
          </w:p>
        </w:tc>
        <w:tc>
          <w:tcPr>
            <w:tcW w:w="1710" w:type="dxa"/>
            <w:noWrap/>
            <w:tcMar>
              <w:top w:w="43" w:type="dxa"/>
              <w:left w:w="115" w:type="dxa"/>
              <w:bottom w:w="43" w:type="dxa"/>
              <w:right w:w="115" w:type="dxa"/>
            </w:tcMar>
            <w:vAlign w:val="bottom"/>
          </w:tcPr>
          <w:p w14:paraId="6449DF3D" w14:textId="70A29580" w:rsidR="00D54840" w:rsidRPr="008E6F07" w:rsidRDefault="00D54840" w:rsidP="00D54840">
            <w:pPr>
              <w:tabs>
                <w:tab w:val="decimal" w:pos="701"/>
              </w:tabs>
              <w:rPr>
                <w:rFonts w:cs="Arial"/>
                <w:color w:val="000000"/>
              </w:rPr>
            </w:pPr>
            <w:r w:rsidRPr="00B07246">
              <w:rPr>
                <w:rFonts w:cs="Arial"/>
                <w:color w:val="000000"/>
              </w:rPr>
              <w:t>1.5%</w:t>
            </w:r>
          </w:p>
        </w:tc>
        <w:tc>
          <w:tcPr>
            <w:tcW w:w="2340" w:type="dxa"/>
            <w:noWrap/>
            <w:tcMar>
              <w:top w:w="43" w:type="dxa"/>
              <w:left w:w="115" w:type="dxa"/>
              <w:bottom w:w="43" w:type="dxa"/>
              <w:right w:w="115" w:type="dxa"/>
            </w:tcMar>
            <w:vAlign w:val="bottom"/>
          </w:tcPr>
          <w:p w14:paraId="01061AC7" w14:textId="284E3328" w:rsidR="00D54840" w:rsidRPr="008E6F07" w:rsidRDefault="00D54840" w:rsidP="00D54840">
            <w:pPr>
              <w:tabs>
                <w:tab w:val="decimal" w:pos="1866"/>
              </w:tabs>
              <w:rPr>
                <w:rFonts w:cs="Arial"/>
                <w:color w:val="000000"/>
              </w:rPr>
            </w:pPr>
            <w:r w:rsidRPr="00B07246">
              <w:rPr>
                <w:rFonts w:cs="Arial"/>
                <w:color w:val="000000"/>
              </w:rPr>
              <w:t>69,749</w:t>
            </w:r>
          </w:p>
        </w:tc>
        <w:tc>
          <w:tcPr>
            <w:tcW w:w="2430" w:type="dxa"/>
            <w:noWrap/>
            <w:tcMar>
              <w:top w:w="43" w:type="dxa"/>
              <w:left w:w="115" w:type="dxa"/>
              <w:bottom w:w="43" w:type="dxa"/>
              <w:right w:w="115" w:type="dxa"/>
            </w:tcMar>
            <w:vAlign w:val="bottom"/>
          </w:tcPr>
          <w:p w14:paraId="623E022F" w14:textId="5B0D4F7C" w:rsidR="00D54840" w:rsidRPr="008E6F07" w:rsidRDefault="00D54840" w:rsidP="00D54840">
            <w:pPr>
              <w:tabs>
                <w:tab w:val="decimal" w:pos="1684"/>
              </w:tabs>
              <w:rPr>
                <w:rFonts w:cs="Arial"/>
                <w:color w:val="000000"/>
              </w:rPr>
            </w:pPr>
            <w:r w:rsidRPr="00B07246">
              <w:rPr>
                <w:rFonts w:cs="Arial"/>
                <w:color w:val="000000"/>
              </w:rPr>
              <w:t>1,208</w:t>
            </w:r>
          </w:p>
        </w:tc>
        <w:tc>
          <w:tcPr>
            <w:tcW w:w="1980" w:type="dxa"/>
            <w:noWrap/>
            <w:tcMar>
              <w:top w:w="43" w:type="dxa"/>
              <w:left w:w="115" w:type="dxa"/>
              <w:bottom w:w="43" w:type="dxa"/>
              <w:right w:w="115" w:type="dxa"/>
            </w:tcMar>
            <w:vAlign w:val="bottom"/>
          </w:tcPr>
          <w:p w14:paraId="7FE6A042" w14:textId="28AF2C9A" w:rsidR="00D54840" w:rsidRPr="008E6F07" w:rsidRDefault="00D54840" w:rsidP="00D54840">
            <w:pPr>
              <w:tabs>
                <w:tab w:val="decimal" w:pos="785"/>
              </w:tabs>
              <w:rPr>
                <w:rFonts w:cs="Arial"/>
                <w:color w:val="000000"/>
              </w:rPr>
            </w:pPr>
            <w:r w:rsidRPr="00B07246">
              <w:rPr>
                <w:rFonts w:cs="Arial"/>
                <w:color w:val="000000"/>
              </w:rPr>
              <w:t>1.7%</w:t>
            </w:r>
          </w:p>
        </w:tc>
      </w:tr>
      <w:tr w:rsidR="00D54840" w:rsidRPr="008E6F07" w14:paraId="1444E1E4" w14:textId="77777777" w:rsidTr="00821AD8">
        <w:trPr>
          <w:trHeight w:val="320"/>
        </w:trPr>
        <w:tc>
          <w:tcPr>
            <w:tcW w:w="2340" w:type="dxa"/>
            <w:noWrap/>
            <w:tcMar>
              <w:top w:w="43" w:type="dxa"/>
              <w:left w:w="115" w:type="dxa"/>
              <w:bottom w:w="43" w:type="dxa"/>
              <w:right w:w="115" w:type="dxa"/>
            </w:tcMar>
            <w:vAlign w:val="center"/>
            <w:hideMark/>
          </w:tcPr>
          <w:p w14:paraId="6A7B52EB" w14:textId="77777777" w:rsidR="00D54840" w:rsidRPr="008E6F07" w:rsidRDefault="00D54840" w:rsidP="00D54840">
            <w:pPr>
              <w:rPr>
                <w:rFonts w:cs="Arial"/>
                <w:color w:val="000000"/>
              </w:rPr>
            </w:pPr>
            <w:r w:rsidRPr="008E6F07">
              <w:rPr>
                <w:rFonts w:cs="Arial"/>
                <w:color w:val="000000"/>
              </w:rPr>
              <w:t>Native Hawaiian or Pacific Islander</w:t>
            </w:r>
          </w:p>
        </w:tc>
        <w:tc>
          <w:tcPr>
            <w:tcW w:w="1635" w:type="dxa"/>
            <w:noWrap/>
            <w:tcMar>
              <w:top w:w="43" w:type="dxa"/>
              <w:left w:w="115" w:type="dxa"/>
              <w:bottom w:w="43" w:type="dxa"/>
              <w:right w:w="115" w:type="dxa"/>
            </w:tcMar>
            <w:vAlign w:val="bottom"/>
          </w:tcPr>
          <w:p w14:paraId="1828F2F7" w14:textId="75BFC148" w:rsidR="00D54840" w:rsidRPr="008E6F07" w:rsidRDefault="00D54840" w:rsidP="00D54840">
            <w:pPr>
              <w:tabs>
                <w:tab w:val="decimal" w:pos="1230"/>
              </w:tabs>
              <w:rPr>
                <w:rFonts w:cs="Arial"/>
                <w:color w:val="000000"/>
              </w:rPr>
            </w:pPr>
            <w:r w:rsidRPr="00B07246">
              <w:rPr>
                <w:rFonts w:cs="Arial"/>
                <w:color w:val="000000"/>
              </w:rPr>
              <w:t>12,531</w:t>
            </w:r>
          </w:p>
        </w:tc>
        <w:tc>
          <w:tcPr>
            <w:tcW w:w="1785" w:type="dxa"/>
            <w:noWrap/>
            <w:tcMar>
              <w:top w:w="43" w:type="dxa"/>
              <w:left w:w="115" w:type="dxa"/>
              <w:bottom w:w="43" w:type="dxa"/>
              <w:right w:w="115" w:type="dxa"/>
            </w:tcMar>
            <w:vAlign w:val="bottom"/>
          </w:tcPr>
          <w:p w14:paraId="75FDAF4A" w14:textId="5866CBEF" w:rsidR="00D54840" w:rsidRPr="008E6F07" w:rsidRDefault="00D54840" w:rsidP="00D54840">
            <w:pPr>
              <w:tabs>
                <w:tab w:val="decimal" w:pos="1065"/>
              </w:tabs>
              <w:rPr>
                <w:rFonts w:cs="Arial"/>
                <w:color w:val="000000"/>
              </w:rPr>
            </w:pPr>
            <w:r w:rsidRPr="00B07246">
              <w:rPr>
                <w:rFonts w:cs="Arial"/>
                <w:color w:val="000000"/>
              </w:rPr>
              <w:t>150</w:t>
            </w:r>
          </w:p>
        </w:tc>
        <w:tc>
          <w:tcPr>
            <w:tcW w:w="1710" w:type="dxa"/>
            <w:noWrap/>
            <w:tcMar>
              <w:top w:w="43" w:type="dxa"/>
              <w:left w:w="115" w:type="dxa"/>
              <w:bottom w:w="43" w:type="dxa"/>
              <w:right w:w="115" w:type="dxa"/>
            </w:tcMar>
            <w:vAlign w:val="bottom"/>
          </w:tcPr>
          <w:p w14:paraId="203AA79D" w14:textId="7AAA7580" w:rsidR="00D54840" w:rsidRPr="008E6F07" w:rsidRDefault="00D54840" w:rsidP="00D54840">
            <w:pPr>
              <w:tabs>
                <w:tab w:val="decimal" w:pos="701"/>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053D0416" w14:textId="786A9BFE" w:rsidR="00D54840" w:rsidRPr="008E6F07" w:rsidRDefault="00D54840" w:rsidP="00D54840">
            <w:pPr>
              <w:tabs>
                <w:tab w:val="decimal" w:pos="1866"/>
              </w:tabs>
              <w:rPr>
                <w:rFonts w:cs="Arial"/>
                <w:color w:val="000000"/>
              </w:rPr>
            </w:pPr>
            <w:r w:rsidRPr="00B07246">
              <w:rPr>
                <w:rFonts w:cs="Arial"/>
                <w:color w:val="000000"/>
              </w:rPr>
              <w:t>12,531</w:t>
            </w:r>
          </w:p>
        </w:tc>
        <w:tc>
          <w:tcPr>
            <w:tcW w:w="2430" w:type="dxa"/>
            <w:noWrap/>
            <w:tcMar>
              <w:top w:w="43" w:type="dxa"/>
              <w:left w:w="115" w:type="dxa"/>
              <w:bottom w:w="43" w:type="dxa"/>
              <w:right w:w="115" w:type="dxa"/>
            </w:tcMar>
            <w:vAlign w:val="bottom"/>
          </w:tcPr>
          <w:p w14:paraId="10D26F80" w14:textId="2CEF6014" w:rsidR="00D54840" w:rsidRPr="008E6F07" w:rsidRDefault="00D54840" w:rsidP="00D54840">
            <w:pPr>
              <w:tabs>
                <w:tab w:val="decimal" w:pos="1684"/>
              </w:tabs>
              <w:rPr>
                <w:rFonts w:cs="Arial"/>
                <w:color w:val="000000"/>
              </w:rPr>
            </w:pPr>
            <w:r w:rsidRPr="00B07246">
              <w:rPr>
                <w:rFonts w:cs="Arial"/>
                <w:color w:val="000000"/>
              </w:rPr>
              <w:t>176</w:t>
            </w:r>
          </w:p>
        </w:tc>
        <w:tc>
          <w:tcPr>
            <w:tcW w:w="1980" w:type="dxa"/>
            <w:noWrap/>
            <w:tcMar>
              <w:top w:w="43" w:type="dxa"/>
              <w:left w:w="115" w:type="dxa"/>
              <w:bottom w:w="43" w:type="dxa"/>
              <w:right w:w="115" w:type="dxa"/>
            </w:tcMar>
            <w:vAlign w:val="bottom"/>
          </w:tcPr>
          <w:p w14:paraId="740C3B1E" w14:textId="76459C08" w:rsidR="00D54840" w:rsidRPr="008E6F07" w:rsidRDefault="00D54840" w:rsidP="00D54840">
            <w:pPr>
              <w:tabs>
                <w:tab w:val="decimal" w:pos="785"/>
              </w:tabs>
              <w:rPr>
                <w:rFonts w:cs="Arial"/>
                <w:color w:val="000000"/>
              </w:rPr>
            </w:pPr>
            <w:r w:rsidRPr="00B07246">
              <w:rPr>
                <w:rFonts w:cs="Arial"/>
                <w:color w:val="000000"/>
              </w:rPr>
              <w:t>1.4%</w:t>
            </w:r>
          </w:p>
        </w:tc>
      </w:tr>
      <w:tr w:rsidR="00D54840" w:rsidRPr="008E6F07" w14:paraId="2E748B9F" w14:textId="77777777" w:rsidTr="00821AD8">
        <w:trPr>
          <w:trHeight w:val="320"/>
        </w:trPr>
        <w:tc>
          <w:tcPr>
            <w:tcW w:w="2340" w:type="dxa"/>
            <w:noWrap/>
            <w:tcMar>
              <w:top w:w="43" w:type="dxa"/>
              <w:left w:w="115" w:type="dxa"/>
              <w:bottom w:w="43" w:type="dxa"/>
              <w:right w:w="115" w:type="dxa"/>
            </w:tcMar>
            <w:vAlign w:val="center"/>
            <w:hideMark/>
          </w:tcPr>
          <w:p w14:paraId="319AA233" w14:textId="77777777" w:rsidR="00D54840" w:rsidRPr="008E6F07" w:rsidRDefault="00D54840" w:rsidP="00D54840">
            <w:pPr>
              <w:rPr>
                <w:rFonts w:cs="Arial"/>
                <w:color w:val="000000"/>
              </w:rPr>
            </w:pPr>
            <w:r w:rsidRPr="008E6F07">
              <w:rPr>
                <w:rFonts w:cs="Arial"/>
                <w:color w:val="000000"/>
              </w:rPr>
              <w:t>Two or more races</w:t>
            </w:r>
          </w:p>
        </w:tc>
        <w:tc>
          <w:tcPr>
            <w:tcW w:w="1635" w:type="dxa"/>
            <w:noWrap/>
            <w:tcMar>
              <w:top w:w="43" w:type="dxa"/>
              <w:left w:w="115" w:type="dxa"/>
              <w:bottom w:w="43" w:type="dxa"/>
              <w:right w:w="115" w:type="dxa"/>
            </w:tcMar>
            <w:vAlign w:val="bottom"/>
          </w:tcPr>
          <w:p w14:paraId="144D451D" w14:textId="26A3C641" w:rsidR="00D54840" w:rsidRPr="008E6F07" w:rsidRDefault="00D54840" w:rsidP="00D54840">
            <w:pPr>
              <w:tabs>
                <w:tab w:val="decimal" w:pos="1230"/>
              </w:tabs>
              <w:rPr>
                <w:rFonts w:cs="Arial"/>
                <w:color w:val="000000"/>
              </w:rPr>
            </w:pPr>
            <w:r w:rsidRPr="00B07246">
              <w:rPr>
                <w:rFonts w:cs="Arial"/>
                <w:color w:val="000000"/>
              </w:rPr>
              <w:t>159,521</w:t>
            </w:r>
          </w:p>
        </w:tc>
        <w:tc>
          <w:tcPr>
            <w:tcW w:w="1785" w:type="dxa"/>
            <w:noWrap/>
            <w:tcMar>
              <w:top w:w="43" w:type="dxa"/>
              <w:left w:w="115" w:type="dxa"/>
              <w:bottom w:w="43" w:type="dxa"/>
              <w:right w:w="115" w:type="dxa"/>
            </w:tcMar>
            <w:vAlign w:val="bottom"/>
          </w:tcPr>
          <w:p w14:paraId="7361210E" w14:textId="73F96575" w:rsidR="00D54840" w:rsidRPr="008E6F07" w:rsidRDefault="00D54840" w:rsidP="00D54840">
            <w:pPr>
              <w:tabs>
                <w:tab w:val="decimal" w:pos="1065"/>
              </w:tabs>
              <w:rPr>
                <w:rFonts w:cs="Arial"/>
                <w:color w:val="000000"/>
              </w:rPr>
            </w:pPr>
            <w:r w:rsidRPr="00B07246">
              <w:rPr>
                <w:rFonts w:cs="Arial"/>
                <w:color w:val="000000"/>
              </w:rPr>
              <w:t>1,639</w:t>
            </w:r>
          </w:p>
        </w:tc>
        <w:tc>
          <w:tcPr>
            <w:tcW w:w="1710" w:type="dxa"/>
            <w:noWrap/>
            <w:tcMar>
              <w:top w:w="43" w:type="dxa"/>
              <w:left w:w="115" w:type="dxa"/>
              <w:bottom w:w="43" w:type="dxa"/>
              <w:right w:w="115" w:type="dxa"/>
            </w:tcMar>
            <w:vAlign w:val="bottom"/>
          </w:tcPr>
          <w:p w14:paraId="703E06C7" w14:textId="41B61C09" w:rsidR="00D54840" w:rsidRPr="008E6F07" w:rsidRDefault="00D54840" w:rsidP="00D54840">
            <w:pPr>
              <w:tabs>
                <w:tab w:val="decimal" w:pos="701"/>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1696E154" w14:textId="025E59B8" w:rsidR="00D54840" w:rsidRPr="008E6F07" w:rsidRDefault="00D54840" w:rsidP="00D54840">
            <w:pPr>
              <w:tabs>
                <w:tab w:val="decimal" w:pos="1866"/>
              </w:tabs>
              <w:rPr>
                <w:rFonts w:cs="Arial"/>
                <w:color w:val="000000"/>
              </w:rPr>
            </w:pPr>
            <w:r w:rsidRPr="00B07246">
              <w:rPr>
                <w:rFonts w:cs="Arial"/>
                <w:color w:val="000000"/>
              </w:rPr>
              <w:t>159,521</w:t>
            </w:r>
          </w:p>
        </w:tc>
        <w:tc>
          <w:tcPr>
            <w:tcW w:w="2430" w:type="dxa"/>
            <w:noWrap/>
            <w:tcMar>
              <w:top w:w="43" w:type="dxa"/>
              <w:left w:w="115" w:type="dxa"/>
              <w:bottom w:w="43" w:type="dxa"/>
              <w:right w:w="115" w:type="dxa"/>
            </w:tcMar>
            <w:vAlign w:val="bottom"/>
          </w:tcPr>
          <w:p w14:paraId="354F0FAF" w14:textId="78A49027" w:rsidR="00D54840" w:rsidRPr="008E6F07" w:rsidRDefault="00D54840" w:rsidP="00D54840">
            <w:pPr>
              <w:tabs>
                <w:tab w:val="decimal" w:pos="1684"/>
              </w:tabs>
              <w:rPr>
                <w:rFonts w:cs="Arial"/>
                <w:color w:val="000000"/>
              </w:rPr>
            </w:pPr>
            <w:r w:rsidRPr="00B07246">
              <w:rPr>
                <w:rFonts w:cs="Arial"/>
                <w:color w:val="000000"/>
              </w:rPr>
              <w:t>1,941</w:t>
            </w:r>
          </w:p>
        </w:tc>
        <w:tc>
          <w:tcPr>
            <w:tcW w:w="1980" w:type="dxa"/>
            <w:noWrap/>
            <w:tcMar>
              <w:top w:w="43" w:type="dxa"/>
              <w:left w:w="115" w:type="dxa"/>
              <w:bottom w:w="43" w:type="dxa"/>
              <w:right w:w="115" w:type="dxa"/>
            </w:tcMar>
            <w:vAlign w:val="bottom"/>
          </w:tcPr>
          <w:p w14:paraId="351980F2" w14:textId="5C3B1DBB" w:rsidR="00D54840" w:rsidRPr="008E6F07" w:rsidRDefault="00D54840" w:rsidP="00D54840">
            <w:pPr>
              <w:tabs>
                <w:tab w:val="decimal" w:pos="785"/>
              </w:tabs>
              <w:rPr>
                <w:rFonts w:cs="Arial"/>
                <w:color w:val="000000"/>
              </w:rPr>
            </w:pPr>
            <w:r w:rsidRPr="00B07246">
              <w:rPr>
                <w:rFonts w:cs="Arial"/>
                <w:color w:val="000000"/>
              </w:rPr>
              <w:t>1.2%</w:t>
            </w:r>
          </w:p>
        </w:tc>
      </w:tr>
      <w:tr w:rsidR="00D54840" w:rsidRPr="008E6F07" w14:paraId="39C497BB" w14:textId="77777777" w:rsidTr="00821AD8">
        <w:trPr>
          <w:trHeight w:val="320"/>
        </w:trPr>
        <w:tc>
          <w:tcPr>
            <w:tcW w:w="2340" w:type="dxa"/>
            <w:noWrap/>
            <w:tcMar>
              <w:top w:w="43" w:type="dxa"/>
              <w:left w:w="115" w:type="dxa"/>
              <w:bottom w:w="43" w:type="dxa"/>
              <w:right w:w="115" w:type="dxa"/>
            </w:tcMar>
            <w:vAlign w:val="center"/>
            <w:hideMark/>
          </w:tcPr>
          <w:p w14:paraId="481D2615" w14:textId="77777777" w:rsidR="00D54840" w:rsidRPr="008E6F07" w:rsidRDefault="00D54840" w:rsidP="00D54840">
            <w:pPr>
              <w:rPr>
                <w:rFonts w:cs="Arial"/>
                <w:color w:val="000000"/>
              </w:rPr>
            </w:pPr>
            <w:r w:rsidRPr="008E6F07">
              <w:rPr>
                <w:rFonts w:cs="Arial"/>
                <w:color w:val="000000"/>
              </w:rPr>
              <w:t>English learners</w:t>
            </w:r>
          </w:p>
        </w:tc>
        <w:tc>
          <w:tcPr>
            <w:tcW w:w="1635" w:type="dxa"/>
            <w:noWrap/>
            <w:tcMar>
              <w:top w:w="43" w:type="dxa"/>
              <w:left w:w="115" w:type="dxa"/>
              <w:bottom w:w="43" w:type="dxa"/>
              <w:right w:w="115" w:type="dxa"/>
            </w:tcMar>
            <w:vAlign w:val="bottom"/>
          </w:tcPr>
          <w:p w14:paraId="214ACCDF" w14:textId="637C616C" w:rsidR="00D54840" w:rsidRPr="008E6F07" w:rsidRDefault="00D54840" w:rsidP="00D54840">
            <w:pPr>
              <w:tabs>
                <w:tab w:val="decimal" w:pos="1230"/>
              </w:tabs>
              <w:rPr>
                <w:rFonts w:cs="Arial"/>
                <w:color w:val="000000"/>
              </w:rPr>
            </w:pPr>
            <w:r w:rsidRPr="00B07246">
              <w:rPr>
                <w:rFonts w:cs="Arial"/>
                <w:color w:val="000000"/>
              </w:rPr>
              <w:t>509,269</w:t>
            </w:r>
          </w:p>
        </w:tc>
        <w:tc>
          <w:tcPr>
            <w:tcW w:w="1785" w:type="dxa"/>
            <w:noWrap/>
            <w:tcMar>
              <w:top w:w="43" w:type="dxa"/>
              <w:left w:w="115" w:type="dxa"/>
              <w:bottom w:w="43" w:type="dxa"/>
              <w:right w:w="115" w:type="dxa"/>
            </w:tcMar>
            <w:vAlign w:val="bottom"/>
          </w:tcPr>
          <w:p w14:paraId="4DA2474D" w14:textId="35B25A01" w:rsidR="00D54840" w:rsidRPr="008E6F07" w:rsidRDefault="00D54840" w:rsidP="00D54840">
            <w:pPr>
              <w:tabs>
                <w:tab w:val="decimal" w:pos="1065"/>
              </w:tabs>
              <w:rPr>
                <w:rFonts w:cs="Arial"/>
                <w:color w:val="000000"/>
              </w:rPr>
            </w:pPr>
            <w:r w:rsidRPr="00B07246">
              <w:rPr>
                <w:rFonts w:cs="Arial"/>
                <w:color w:val="000000"/>
              </w:rPr>
              <w:t>8,460</w:t>
            </w:r>
          </w:p>
        </w:tc>
        <w:tc>
          <w:tcPr>
            <w:tcW w:w="1710" w:type="dxa"/>
            <w:noWrap/>
            <w:tcMar>
              <w:top w:w="43" w:type="dxa"/>
              <w:left w:w="115" w:type="dxa"/>
              <w:bottom w:w="43" w:type="dxa"/>
              <w:right w:w="115" w:type="dxa"/>
            </w:tcMar>
            <w:vAlign w:val="bottom"/>
          </w:tcPr>
          <w:p w14:paraId="659628F7" w14:textId="1633B62D" w:rsidR="00D54840" w:rsidRPr="008E6F07" w:rsidRDefault="00D54840" w:rsidP="00D54840">
            <w:pPr>
              <w:tabs>
                <w:tab w:val="decimal" w:pos="701"/>
              </w:tabs>
              <w:rPr>
                <w:rFonts w:cs="Arial"/>
                <w:color w:val="000000"/>
              </w:rPr>
            </w:pPr>
            <w:r w:rsidRPr="00B07246">
              <w:rPr>
                <w:rFonts w:cs="Arial"/>
                <w:color w:val="000000"/>
              </w:rPr>
              <w:t>1.7%</w:t>
            </w:r>
          </w:p>
        </w:tc>
        <w:tc>
          <w:tcPr>
            <w:tcW w:w="2340" w:type="dxa"/>
            <w:noWrap/>
            <w:tcMar>
              <w:top w:w="43" w:type="dxa"/>
              <w:left w:w="115" w:type="dxa"/>
              <w:bottom w:w="43" w:type="dxa"/>
              <w:right w:w="115" w:type="dxa"/>
            </w:tcMar>
            <w:vAlign w:val="bottom"/>
          </w:tcPr>
          <w:p w14:paraId="4CAE7D52" w14:textId="58E09FB5" w:rsidR="00D54840" w:rsidRPr="008E6F07" w:rsidRDefault="00D54840" w:rsidP="00D54840">
            <w:pPr>
              <w:tabs>
                <w:tab w:val="decimal" w:pos="1866"/>
              </w:tabs>
              <w:rPr>
                <w:rFonts w:cs="Arial"/>
                <w:color w:val="000000"/>
              </w:rPr>
            </w:pPr>
            <w:r w:rsidRPr="00B07246">
              <w:rPr>
                <w:rFonts w:cs="Arial"/>
                <w:color w:val="000000"/>
              </w:rPr>
              <w:t>509,269</w:t>
            </w:r>
          </w:p>
        </w:tc>
        <w:tc>
          <w:tcPr>
            <w:tcW w:w="2430" w:type="dxa"/>
            <w:noWrap/>
            <w:tcMar>
              <w:top w:w="43" w:type="dxa"/>
              <w:left w:w="115" w:type="dxa"/>
              <w:bottom w:w="43" w:type="dxa"/>
              <w:right w:w="115" w:type="dxa"/>
            </w:tcMar>
            <w:vAlign w:val="bottom"/>
          </w:tcPr>
          <w:p w14:paraId="5D0A9AB7" w14:textId="3C5BC7E8" w:rsidR="00D54840" w:rsidRPr="008E6F07" w:rsidRDefault="00D54840" w:rsidP="00D54840">
            <w:pPr>
              <w:tabs>
                <w:tab w:val="decimal" w:pos="1684"/>
              </w:tabs>
              <w:rPr>
                <w:rFonts w:cs="Arial"/>
                <w:color w:val="000000"/>
              </w:rPr>
            </w:pPr>
            <w:r w:rsidRPr="00B07246">
              <w:rPr>
                <w:rFonts w:cs="Arial"/>
                <w:color w:val="000000"/>
              </w:rPr>
              <w:t>9,538</w:t>
            </w:r>
          </w:p>
        </w:tc>
        <w:tc>
          <w:tcPr>
            <w:tcW w:w="1980" w:type="dxa"/>
            <w:noWrap/>
            <w:tcMar>
              <w:top w:w="43" w:type="dxa"/>
              <w:left w:w="115" w:type="dxa"/>
              <w:bottom w:w="43" w:type="dxa"/>
              <w:right w:w="115" w:type="dxa"/>
            </w:tcMar>
            <w:vAlign w:val="bottom"/>
          </w:tcPr>
          <w:p w14:paraId="7ADE35D8" w14:textId="2810F15D" w:rsidR="00D54840" w:rsidRPr="008E6F07" w:rsidRDefault="00D54840" w:rsidP="00D54840">
            <w:pPr>
              <w:tabs>
                <w:tab w:val="decimal" w:pos="785"/>
              </w:tabs>
              <w:rPr>
                <w:rFonts w:cs="Arial"/>
                <w:color w:val="000000"/>
              </w:rPr>
            </w:pPr>
            <w:r w:rsidRPr="00B07246">
              <w:rPr>
                <w:rFonts w:cs="Arial"/>
                <w:color w:val="000000"/>
              </w:rPr>
              <w:t>1.9%</w:t>
            </w:r>
          </w:p>
        </w:tc>
      </w:tr>
      <w:tr w:rsidR="00D54840" w:rsidRPr="008E6F07" w14:paraId="34D0D5F3" w14:textId="77777777" w:rsidTr="00821AD8">
        <w:trPr>
          <w:trHeight w:val="320"/>
        </w:trPr>
        <w:tc>
          <w:tcPr>
            <w:tcW w:w="2340" w:type="dxa"/>
            <w:noWrap/>
            <w:tcMar>
              <w:top w:w="43" w:type="dxa"/>
              <w:left w:w="115" w:type="dxa"/>
              <w:bottom w:w="43" w:type="dxa"/>
              <w:right w:w="115" w:type="dxa"/>
            </w:tcMar>
            <w:vAlign w:val="center"/>
            <w:hideMark/>
          </w:tcPr>
          <w:p w14:paraId="45FDA8F1" w14:textId="77777777" w:rsidR="00D54840" w:rsidRPr="008E6F07" w:rsidRDefault="00D54840" w:rsidP="00D54840">
            <w:pPr>
              <w:rPr>
                <w:rFonts w:cs="Arial"/>
                <w:color w:val="000000"/>
              </w:rPr>
            </w:pPr>
            <w:proofErr w:type="gramStart"/>
            <w:r w:rsidRPr="008E6F07">
              <w:rPr>
                <w:rFonts w:cs="Arial"/>
                <w:color w:val="000000"/>
              </w:rPr>
              <w:t>Economically disadvantaged</w:t>
            </w:r>
            <w:proofErr w:type="gramEnd"/>
          </w:p>
        </w:tc>
        <w:tc>
          <w:tcPr>
            <w:tcW w:w="1635" w:type="dxa"/>
            <w:noWrap/>
            <w:tcMar>
              <w:top w:w="43" w:type="dxa"/>
              <w:left w:w="115" w:type="dxa"/>
              <w:bottom w:w="43" w:type="dxa"/>
              <w:right w:w="115" w:type="dxa"/>
            </w:tcMar>
            <w:vAlign w:val="bottom"/>
          </w:tcPr>
          <w:p w14:paraId="2F46EE62" w14:textId="05B99C7A" w:rsidR="00D54840" w:rsidRPr="008E6F07" w:rsidRDefault="00D54840" w:rsidP="00D54840">
            <w:pPr>
              <w:tabs>
                <w:tab w:val="decimal" w:pos="1230"/>
              </w:tabs>
              <w:rPr>
                <w:rFonts w:cs="Arial"/>
                <w:color w:val="000000"/>
              </w:rPr>
            </w:pPr>
            <w:r w:rsidRPr="00B07246">
              <w:rPr>
                <w:rFonts w:cs="Arial"/>
                <w:color w:val="000000"/>
              </w:rPr>
              <w:t>1,880,724</w:t>
            </w:r>
          </w:p>
        </w:tc>
        <w:tc>
          <w:tcPr>
            <w:tcW w:w="1785" w:type="dxa"/>
            <w:noWrap/>
            <w:tcMar>
              <w:top w:w="43" w:type="dxa"/>
              <w:left w:w="115" w:type="dxa"/>
              <w:bottom w:w="43" w:type="dxa"/>
              <w:right w:w="115" w:type="dxa"/>
            </w:tcMar>
            <w:vAlign w:val="bottom"/>
          </w:tcPr>
          <w:p w14:paraId="4F33EE5B" w14:textId="3CB4A89F" w:rsidR="00D54840" w:rsidRPr="008E6F07" w:rsidRDefault="00D54840" w:rsidP="00D54840">
            <w:pPr>
              <w:tabs>
                <w:tab w:val="decimal" w:pos="1065"/>
              </w:tabs>
              <w:rPr>
                <w:rFonts w:cs="Arial"/>
                <w:color w:val="000000"/>
              </w:rPr>
            </w:pPr>
            <w:r w:rsidRPr="00B07246">
              <w:rPr>
                <w:rFonts w:cs="Arial"/>
                <w:color w:val="000000"/>
              </w:rPr>
              <w:t>23,945</w:t>
            </w:r>
          </w:p>
        </w:tc>
        <w:tc>
          <w:tcPr>
            <w:tcW w:w="1710" w:type="dxa"/>
            <w:noWrap/>
            <w:tcMar>
              <w:top w:w="43" w:type="dxa"/>
              <w:left w:w="115" w:type="dxa"/>
              <w:bottom w:w="43" w:type="dxa"/>
              <w:right w:w="115" w:type="dxa"/>
            </w:tcMar>
            <w:vAlign w:val="bottom"/>
          </w:tcPr>
          <w:p w14:paraId="164C0136" w14:textId="79B5AD5B" w:rsidR="00D54840" w:rsidRPr="008E6F07" w:rsidRDefault="00D54840" w:rsidP="00D54840">
            <w:pPr>
              <w:tabs>
                <w:tab w:val="decimal" w:pos="701"/>
              </w:tabs>
              <w:rPr>
                <w:rFonts w:cs="Arial"/>
                <w:color w:val="000000"/>
              </w:rPr>
            </w:pPr>
            <w:r w:rsidRPr="00B07246">
              <w:rPr>
                <w:rFonts w:cs="Arial"/>
                <w:color w:val="000000"/>
              </w:rPr>
              <w:t>1.3%</w:t>
            </w:r>
          </w:p>
        </w:tc>
        <w:tc>
          <w:tcPr>
            <w:tcW w:w="2340" w:type="dxa"/>
            <w:noWrap/>
            <w:tcMar>
              <w:top w:w="43" w:type="dxa"/>
              <w:left w:w="115" w:type="dxa"/>
              <w:bottom w:w="43" w:type="dxa"/>
              <w:right w:w="115" w:type="dxa"/>
            </w:tcMar>
            <w:vAlign w:val="bottom"/>
          </w:tcPr>
          <w:p w14:paraId="7CD73A86" w14:textId="49C874D8" w:rsidR="00D54840" w:rsidRPr="008E6F07" w:rsidRDefault="00D54840" w:rsidP="00D54840">
            <w:pPr>
              <w:tabs>
                <w:tab w:val="decimal" w:pos="1866"/>
              </w:tabs>
              <w:rPr>
                <w:rFonts w:cs="Arial"/>
                <w:color w:val="000000"/>
              </w:rPr>
            </w:pPr>
            <w:r w:rsidRPr="00B07246">
              <w:rPr>
                <w:rFonts w:cs="Arial"/>
                <w:color w:val="000000"/>
              </w:rPr>
              <w:t>1,880,724</w:t>
            </w:r>
          </w:p>
        </w:tc>
        <w:tc>
          <w:tcPr>
            <w:tcW w:w="2430" w:type="dxa"/>
            <w:noWrap/>
            <w:tcMar>
              <w:top w:w="43" w:type="dxa"/>
              <w:left w:w="115" w:type="dxa"/>
              <w:bottom w:w="43" w:type="dxa"/>
              <w:right w:w="115" w:type="dxa"/>
            </w:tcMar>
            <w:vAlign w:val="bottom"/>
          </w:tcPr>
          <w:p w14:paraId="67ED1293" w14:textId="2A3754D1" w:rsidR="00D54840" w:rsidRPr="008E6F07" w:rsidRDefault="00D54840" w:rsidP="00D54840">
            <w:pPr>
              <w:tabs>
                <w:tab w:val="decimal" w:pos="1684"/>
              </w:tabs>
              <w:rPr>
                <w:rFonts w:cs="Arial"/>
                <w:color w:val="000000"/>
              </w:rPr>
            </w:pPr>
            <w:r w:rsidRPr="00B07246">
              <w:rPr>
                <w:rFonts w:cs="Arial"/>
                <w:color w:val="000000"/>
              </w:rPr>
              <w:t>26,507</w:t>
            </w:r>
          </w:p>
        </w:tc>
        <w:tc>
          <w:tcPr>
            <w:tcW w:w="1980" w:type="dxa"/>
            <w:noWrap/>
            <w:tcMar>
              <w:top w:w="43" w:type="dxa"/>
              <w:left w:w="115" w:type="dxa"/>
              <w:bottom w:w="43" w:type="dxa"/>
              <w:right w:w="115" w:type="dxa"/>
            </w:tcMar>
            <w:vAlign w:val="bottom"/>
          </w:tcPr>
          <w:p w14:paraId="0CEE80D3" w14:textId="27BDA14E" w:rsidR="00D54840" w:rsidRPr="008E6F07" w:rsidRDefault="00D54840" w:rsidP="00D54840">
            <w:pPr>
              <w:tabs>
                <w:tab w:val="decimal" w:pos="785"/>
              </w:tabs>
              <w:rPr>
                <w:rFonts w:cs="Arial"/>
                <w:color w:val="000000"/>
              </w:rPr>
            </w:pPr>
            <w:r w:rsidRPr="00B07246">
              <w:rPr>
                <w:rFonts w:cs="Arial"/>
                <w:color w:val="000000"/>
              </w:rPr>
              <w:t>1.4%</w:t>
            </w:r>
          </w:p>
        </w:tc>
      </w:tr>
    </w:tbl>
    <w:p w14:paraId="4AACA710" w14:textId="77777777" w:rsidR="008E6F07" w:rsidRPr="00135F48" w:rsidRDefault="008E6F07" w:rsidP="00135F48">
      <w:pPr>
        <w:pStyle w:val="Heading4"/>
        <w:ind w:hanging="810"/>
        <w:rPr>
          <w:i w:val="0"/>
          <w:iCs w:val="0"/>
        </w:rPr>
      </w:pPr>
      <w:r w:rsidRPr="00135F48">
        <w:rPr>
          <w:i w:val="0"/>
          <w:iCs w:val="0"/>
        </w:rPr>
        <w:lastRenderedPageBreak/>
        <w:t>Table 6. CAA for Mathematics Participation Rates by Student Group</w:t>
      </w:r>
    </w:p>
    <w:tbl>
      <w:tblPr>
        <w:tblStyle w:val="TableGrid11"/>
        <w:tblW w:w="14220" w:type="dxa"/>
        <w:tblInd w:w="-815" w:type="dxa"/>
        <w:tblLayout w:type="fixed"/>
        <w:tblLook w:val="04A0" w:firstRow="1" w:lastRow="0" w:firstColumn="1" w:lastColumn="0" w:noHBand="0" w:noVBand="1"/>
        <w:tblCaption w:val="Table 6. CAA for Mathematics Participation Rates by Student Group, 2023 and 2024"/>
        <w:tblDescription w:val="Table 6 display the CAA for Mathematics Participation Rates by Student Group for 2022–23 and the expected rates for 2023–24."/>
      </w:tblPr>
      <w:tblGrid>
        <w:gridCol w:w="2250"/>
        <w:gridCol w:w="1710"/>
        <w:gridCol w:w="1800"/>
        <w:gridCol w:w="1710"/>
        <w:gridCol w:w="2340"/>
        <w:gridCol w:w="2430"/>
        <w:gridCol w:w="1980"/>
      </w:tblGrid>
      <w:tr w:rsidR="00724F89" w:rsidRPr="008E6F07" w14:paraId="5143FF49" w14:textId="77777777" w:rsidTr="008E6F07">
        <w:trPr>
          <w:cantSplit/>
          <w:trHeight w:val="1297"/>
          <w:tblHeader/>
        </w:trPr>
        <w:tc>
          <w:tcPr>
            <w:tcW w:w="2250" w:type="dxa"/>
            <w:shd w:val="clear" w:color="auto" w:fill="D9D9D9"/>
            <w:tcMar>
              <w:top w:w="43" w:type="dxa"/>
              <w:left w:w="115" w:type="dxa"/>
              <w:bottom w:w="43" w:type="dxa"/>
              <w:right w:w="115" w:type="dxa"/>
            </w:tcMar>
            <w:vAlign w:val="center"/>
            <w:hideMark/>
          </w:tcPr>
          <w:p w14:paraId="5C91FE35" w14:textId="77777777" w:rsidR="008E6F07" w:rsidRPr="008E6F07" w:rsidRDefault="008E6F07" w:rsidP="008E6F07">
            <w:pPr>
              <w:jc w:val="center"/>
              <w:rPr>
                <w:rFonts w:cs="Arial"/>
                <w:b/>
                <w:bCs/>
                <w:color w:val="000000"/>
              </w:rPr>
            </w:pPr>
            <w:bookmarkStart w:id="14" w:name="_Hlk95836348"/>
            <w:r w:rsidRPr="008E6F07">
              <w:rPr>
                <w:rFonts w:cs="Arial"/>
                <w:b/>
                <w:bCs/>
                <w:color w:val="000000"/>
              </w:rPr>
              <w:t>Student Group</w:t>
            </w:r>
          </w:p>
        </w:tc>
        <w:tc>
          <w:tcPr>
            <w:tcW w:w="1710" w:type="dxa"/>
            <w:shd w:val="clear" w:color="auto" w:fill="D9D9D9"/>
            <w:tcMar>
              <w:top w:w="43" w:type="dxa"/>
              <w:left w:w="115" w:type="dxa"/>
              <w:bottom w:w="43" w:type="dxa"/>
              <w:right w:w="115" w:type="dxa"/>
            </w:tcMar>
            <w:vAlign w:val="center"/>
            <w:hideMark/>
          </w:tcPr>
          <w:p w14:paraId="67D21895" w14:textId="77777777" w:rsidR="008E6F07" w:rsidRPr="008E6F07" w:rsidRDefault="008E6F07" w:rsidP="008E6F07">
            <w:pPr>
              <w:jc w:val="center"/>
              <w:rPr>
                <w:rFonts w:cs="Arial"/>
                <w:b/>
                <w:bCs/>
                <w:color w:val="000000"/>
              </w:rPr>
            </w:pPr>
            <w:r w:rsidRPr="008E6F07">
              <w:rPr>
                <w:rFonts w:cs="Arial"/>
                <w:b/>
                <w:bCs/>
                <w:color w:val="000000"/>
              </w:rPr>
              <w:t>Number of Students Assessed, 2023</w:t>
            </w:r>
          </w:p>
        </w:tc>
        <w:tc>
          <w:tcPr>
            <w:tcW w:w="1800" w:type="dxa"/>
            <w:shd w:val="clear" w:color="auto" w:fill="D9D9D9"/>
            <w:tcMar>
              <w:top w:w="43" w:type="dxa"/>
              <w:left w:w="115" w:type="dxa"/>
              <w:bottom w:w="43" w:type="dxa"/>
              <w:right w:w="115" w:type="dxa"/>
            </w:tcMar>
            <w:vAlign w:val="center"/>
            <w:hideMark/>
          </w:tcPr>
          <w:p w14:paraId="02060A76" w14:textId="77777777" w:rsidR="008E6F07" w:rsidRPr="008E6F07" w:rsidRDefault="008E6F07" w:rsidP="008E6F07">
            <w:pPr>
              <w:jc w:val="center"/>
              <w:rPr>
                <w:rFonts w:cs="Arial"/>
                <w:b/>
                <w:bCs/>
                <w:color w:val="000000"/>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2023</w:t>
            </w:r>
          </w:p>
        </w:tc>
        <w:tc>
          <w:tcPr>
            <w:tcW w:w="1710" w:type="dxa"/>
            <w:shd w:val="clear" w:color="auto" w:fill="D9D9D9"/>
            <w:tcMar>
              <w:top w:w="43" w:type="dxa"/>
              <w:left w:w="115" w:type="dxa"/>
              <w:bottom w:w="43" w:type="dxa"/>
              <w:right w:w="115" w:type="dxa"/>
            </w:tcMar>
            <w:vAlign w:val="center"/>
            <w:hideMark/>
          </w:tcPr>
          <w:p w14:paraId="3CCC0DC9"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2023</w:t>
            </w:r>
          </w:p>
        </w:tc>
        <w:tc>
          <w:tcPr>
            <w:tcW w:w="2340" w:type="dxa"/>
            <w:shd w:val="clear" w:color="auto" w:fill="D9D9D9"/>
            <w:tcMar>
              <w:top w:w="43" w:type="dxa"/>
              <w:left w:w="115" w:type="dxa"/>
              <w:bottom w:w="43" w:type="dxa"/>
              <w:right w:w="115" w:type="dxa"/>
            </w:tcMar>
            <w:vAlign w:val="center"/>
            <w:hideMark/>
          </w:tcPr>
          <w:p w14:paraId="7B39A558" w14:textId="77777777" w:rsidR="008E6F07" w:rsidRPr="008E6F07" w:rsidRDefault="008E6F07" w:rsidP="008E6F07">
            <w:pPr>
              <w:jc w:val="center"/>
              <w:rPr>
                <w:rFonts w:cs="Arial"/>
                <w:b/>
                <w:bCs/>
                <w:color w:val="000000"/>
              </w:rPr>
            </w:pPr>
            <w:r w:rsidRPr="008E6F07">
              <w:rPr>
                <w:rFonts w:cs="Arial"/>
                <w:b/>
                <w:bCs/>
                <w:color w:val="000000"/>
              </w:rPr>
              <w:t>Number of Students Assessed, 2024 (estimate based on number of students assessed in 2023)</w:t>
            </w:r>
          </w:p>
        </w:tc>
        <w:tc>
          <w:tcPr>
            <w:tcW w:w="2430" w:type="dxa"/>
            <w:shd w:val="clear" w:color="auto" w:fill="D9D9D9"/>
            <w:tcMar>
              <w:top w:w="43" w:type="dxa"/>
              <w:left w:w="115" w:type="dxa"/>
              <w:bottom w:w="43" w:type="dxa"/>
              <w:right w:w="115" w:type="dxa"/>
            </w:tcMar>
            <w:vAlign w:val="center"/>
            <w:hideMark/>
          </w:tcPr>
          <w:p w14:paraId="6D892331" w14:textId="77777777" w:rsidR="008E6F07" w:rsidRPr="008E6F07" w:rsidRDefault="008E6F07" w:rsidP="008E6F07">
            <w:pPr>
              <w:jc w:val="center"/>
              <w:rPr>
                <w:rFonts w:eastAsia="Arial" w:cs="Arial"/>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2024 (estimate based on 2023 test registration)</w:t>
            </w:r>
          </w:p>
        </w:tc>
        <w:tc>
          <w:tcPr>
            <w:tcW w:w="1980" w:type="dxa"/>
            <w:shd w:val="clear" w:color="auto" w:fill="D9D9D9"/>
            <w:tcMar>
              <w:top w:w="43" w:type="dxa"/>
              <w:left w:w="115" w:type="dxa"/>
              <w:bottom w:w="43" w:type="dxa"/>
              <w:right w:w="115" w:type="dxa"/>
            </w:tcMar>
            <w:vAlign w:val="center"/>
            <w:hideMark/>
          </w:tcPr>
          <w:p w14:paraId="41180351"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2024 (estimate)</w:t>
            </w:r>
          </w:p>
        </w:tc>
      </w:tr>
      <w:tr w:rsidR="00F449EA" w:rsidRPr="008E6F07" w14:paraId="1D006BAC" w14:textId="77777777" w:rsidTr="00821AD8">
        <w:trPr>
          <w:cantSplit/>
          <w:trHeight w:val="320"/>
        </w:trPr>
        <w:tc>
          <w:tcPr>
            <w:tcW w:w="2250" w:type="dxa"/>
            <w:noWrap/>
            <w:tcMar>
              <w:top w:w="43" w:type="dxa"/>
              <w:left w:w="115" w:type="dxa"/>
              <w:bottom w:w="43" w:type="dxa"/>
              <w:right w:w="115" w:type="dxa"/>
            </w:tcMar>
            <w:hideMark/>
          </w:tcPr>
          <w:p w14:paraId="38A56A96" w14:textId="77777777" w:rsidR="00F449EA" w:rsidRPr="008E6F07" w:rsidRDefault="00F449EA" w:rsidP="00F449EA">
            <w:pPr>
              <w:rPr>
                <w:rFonts w:cs="Arial"/>
                <w:color w:val="000000"/>
              </w:rPr>
            </w:pPr>
            <w:r w:rsidRPr="008E6F07">
              <w:rPr>
                <w:rFonts w:cs="Arial"/>
                <w:color w:val="000000"/>
              </w:rPr>
              <w:t>All Students</w:t>
            </w:r>
          </w:p>
        </w:tc>
        <w:tc>
          <w:tcPr>
            <w:tcW w:w="1710" w:type="dxa"/>
            <w:noWrap/>
            <w:tcMar>
              <w:top w:w="43" w:type="dxa"/>
              <w:left w:w="115" w:type="dxa"/>
              <w:bottom w:w="43" w:type="dxa"/>
              <w:right w:w="115" w:type="dxa"/>
            </w:tcMar>
            <w:vAlign w:val="bottom"/>
          </w:tcPr>
          <w:p w14:paraId="3CF6D8E1" w14:textId="152F5AC9" w:rsidR="00F449EA" w:rsidRPr="008E6F07" w:rsidRDefault="00F449EA" w:rsidP="00F449EA">
            <w:pPr>
              <w:tabs>
                <w:tab w:val="decimal" w:pos="1239"/>
              </w:tabs>
              <w:rPr>
                <w:rFonts w:cs="Arial"/>
                <w:color w:val="000000"/>
              </w:rPr>
            </w:pPr>
            <w:r w:rsidRPr="00B07246">
              <w:rPr>
                <w:rFonts w:cs="Arial"/>
                <w:color w:val="000000"/>
              </w:rPr>
              <w:t>3,007,770</w:t>
            </w:r>
          </w:p>
        </w:tc>
        <w:tc>
          <w:tcPr>
            <w:tcW w:w="1800" w:type="dxa"/>
            <w:noWrap/>
            <w:tcMar>
              <w:top w:w="43" w:type="dxa"/>
              <w:left w:w="115" w:type="dxa"/>
              <w:bottom w:w="43" w:type="dxa"/>
              <w:right w:w="115" w:type="dxa"/>
            </w:tcMar>
            <w:vAlign w:val="bottom"/>
          </w:tcPr>
          <w:p w14:paraId="64EB0827" w14:textId="54BA9B46" w:rsidR="00F449EA" w:rsidRPr="008E6F07" w:rsidRDefault="00F449EA" w:rsidP="00F449EA">
            <w:pPr>
              <w:tabs>
                <w:tab w:val="decimal" w:pos="1138"/>
              </w:tabs>
              <w:rPr>
                <w:rFonts w:cs="Arial"/>
                <w:color w:val="000000"/>
              </w:rPr>
            </w:pPr>
            <w:r w:rsidRPr="00B07246">
              <w:rPr>
                <w:rFonts w:cs="Arial"/>
                <w:color w:val="000000"/>
              </w:rPr>
              <w:t>35,476</w:t>
            </w:r>
          </w:p>
        </w:tc>
        <w:tc>
          <w:tcPr>
            <w:tcW w:w="1710" w:type="dxa"/>
            <w:noWrap/>
            <w:tcMar>
              <w:top w:w="43" w:type="dxa"/>
              <w:left w:w="115" w:type="dxa"/>
              <w:bottom w:w="43" w:type="dxa"/>
              <w:right w:w="115" w:type="dxa"/>
            </w:tcMar>
            <w:vAlign w:val="bottom"/>
          </w:tcPr>
          <w:p w14:paraId="27A4A6E5" w14:textId="15E3A67F" w:rsidR="00F449EA" w:rsidRPr="008E6F07" w:rsidRDefault="00F449EA" w:rsidP="00F449EA">
            <w:pPr>
              <w:tabs>
                <w:tab w:val="decimal" w:pos="603"/>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72A37A27" w14:textId="59771659" w:rsidR="00F449EA" w:rsidRPr="008E6F07" w:rsidRDefault="00F449EA" w:rsidP="00F449EA">
            <w:pPr>
              <w:tabs>
                <w:tab w:val="decimal" w:pos="1691"/>
              </w:tabs>
              <w:rPr>
                <w:rFonts w:cs="Arial"/>
                <w:color w:val="000000"/>
              </w:rPr>
            </w:pPr>
            <w:r w:rsidRPr="00B07246">
              <w:rPr>
                <w:rFonts w:cs="Arial"/>
                <w:color w:val="000000"/>
              </w:rPr>
              <w:t>3,007,770</w:t>
            </w:r>
          </w:p>
        </w:tc>
        <w:tc>
          <w:tcPr>
            <w:tcW w:w="2430" w:type="dxa"/>
            <w:noWrap/>
            <w:tcMar>
              <w:top w:w="43" w:type="dxa"/>
              <w:left w:w="115" w:type="dxa"/>
              <w:bottom w:w="43" w:type="dxa"/>
              <w:right w:w="115" w:type="dxa"/>
            </w:tcMar>
            <w:vAlign w:val="bottom"/>
          </w:tcPr>
          <w:p w14:paraId="049217A4" w14:textId="48A147B9" w:rsidR="00F449EA" w:rsidRPr="008E6F07" w:rsidRDefault="00F449EA" w:rsidP="00F449EA">
            <w:pPr>
              <w:tabs>
                <w:tab w:val="decimal" w:pos="1333"/>
              </w:tabs>
              <w:rPr>
                <w:rFonts w:cs="Arial"/>
                <w:color w:val="000000"/>
              </w:rPr>
            </w:pPr>
            <w:r w:rsidRPr="00B07246">
              <w:rPr>
                <w:rFonts w:cs="Arial"/>
                <w:color w:val="000000"/>
              </w:rPr>
              <w:t>40,311</w:t>
            </w:r>
          </w:p>
        </w:tc>
        <w:tc>
          <w:tcPr>
            <w:tcW w:w="1980" w:type="dxa"/>
            <w:noWrap/>
            <w:tcMar>
              <w:top w:w="43" w:type="dxa"/>
              <w:left w:w="115" w:type="dxa"/>
              <w:bottom w:w="43" w:type="dxa"/>
              <w:right w:w="115" w:type="dxa"/>
            </w:tcMar>
            <w:vAlign w:val="bottom"/>
          </w:tcPr>
          <w:p w14:paraId="73A1B096" w14:textId="6E49538E" w:rsidR="00F449EA" w:rsidRPr="008E6F07" w:rsidRDefault="00F449EA" w:rsidP="00F449EA">
            <w:pPr>
              <w:tabs>
                <w:tab w:val="decimal" w:pos="882"/>
              </w:tabs>
              <w:rPr>
                <w:rFonts w:cs="Arial"/>
                <w:color w:val="000000"/>
              </w:rPr>
            </w:pPr>
            <w:r w:rsidRPr="00B07246">
              <w:rPr>
                <w:rFonts w:cs="Arial"/>
                <w:color w:val="000000"/>
              </w:rPr>
              <w:t>1.3%</w:t>
            </w:r>
          </w:p>
        </w:tc>
      </w:tr>
      <w:tr w:rsidR="00F449EA" w:rsidRPr="008E6F07" w14:paraId="67EDB9BD" w14:textId="77777777" w:rsidTr="00821AD8">
        <w:trPr>
          <w:cantSplit/>
          <w:trHeight w:val="320"/>
        </w:trPr>
        <w:tc>
          <w:tcPr>
            <w:tcW w:w="2250" w:type="dxa"/>
            <w:noWrap/>
            <w:tcMar>
              <w:top w:w="43" w:type="dxa"/>
              <w:left w:w="115" w:type="dxa"/>
              <w:bottom w:w="43" w:type="dxa"/>
              <w:right w:w="115" w:type="dxa"/>
            </w:tcMar>
            <w:hideMark/>
          </w:tcPr>
          <w:p w14:paraId="342F5EA8" w14:textId="77777777" w:rsidR="00F449EA" w:rsidRPr="008E6F07" w:rsidRDefault="00F449EA" w:rsidP="00F449EA">
            <w:pPr>
              <w:rPr>
                <w:rFonts w:cs="Arial"/>
                <w:color w:val="000000"/>
              </w:rPr>
            </w:pPr>
            <w:r w:rsidRPr="008E6F07">
              <w:rPr>
                <w:rFonts w:cs="Arial"/>
                <w:color w:val="000000"/>
              </w:rPr>
              <w:t>Females</w:t>
            </w:r>
          </w:p>
        </w:tc>
        <w:tc>
          <w:tcPr>
            <w:tcW w:w="1710" w:type="dxa"/>
            <w:noWrap/>
            <w:tcMar>
              <w:top w:w="43" w:type="dxa"/>
              <w:left w:w="115" w:type="dxa"/>
              <w:bottom w:w="43" w:type="dxa"/>
              <w:right w:w="115" w:type="dxa"/>
            </w:tcMar>
            <w:vAlign w:val="bottom"/>
          </w:tcPr>
          <w:p w14:paraId="184F1D37" w14:textId="0E175624" w:rsidR="00F449EA" w:rsidRPr="008E6F07" w:rsidRDefault="00F449EA" w:rsidP="00F449EA">
            <w:pPr>
              <w:tabs>
                <w:tab w:val="decimal" w:pos="1239"/>
              </w:tabs>
              <w:rPr>
                <w:rFonts w:cs="Arial"/>
                <w:color w:val="000000"/>
              </w:rPr>
            </w:pPr>
            <w:r w:rsidRPr="00B07246">
              <w:rPr>
                <w:rFonts w:cs="Arial"/>
                <w:color w:val="000000"/>
              </w:rPr>
              <w:t>1,461,997</w:t>
            </w:r>
          </w:p>
        </w:tc>
        <w:tc>
          <w:tcPr>
            <w:tcW w:w="1800" w:type="dxa"/>
            <w:noWrap/>
            <w:tcMar>
              <w:top w:w="43" w:type="dxa"/>
              <w:left w:w="115" w:type="dxa"/>
              <w:bottom w:w="43" w:type="dxa"/>
              <w:right w:w="115" w:type="dxa"/>
            </w:tcMar>
            <w:vAlign w:val="bottom"/>
          </w:tcPr>
          <w:p w14:paraId="2E2073B7" w14:textId="305057C1" w:rsidR="00F449EA" w:rsidRPr="008E6F07" w:rsidRDefault="00F449EA" w:rsidP="00F449EA">
            <w:pPr>
              <w:tabs>
                <w:tab w:val="decimal" w:pos="1138"/>
              </w:tabs>
              <w:rPr>
                <w:rFonts w:cs="Arial"/>
                <w:color w:val="000000"/>
              </w:rPr>
            </w:pPr>
            <w:r w:rsidRPr="00B07246">
              <w:rPr>
                <w:rFonts w:cs="Arial"/>
                <w:color w:val="000000"/>
              </w:rPr>
              <w:t>11,015</w:t>
            </w:r>
          </w:p>
        </w:tc>
        <w:tc>
          <w:tcPr>
            <w:tcW w:w="1710" w:type="dxa"/>
            <w:noWrap/>
            <w:tcMar>
              <w:top w:w="43" w:type="dxa"/>
              <w:left w:w="115" w:type="dxa"/>
              <w:bottom w:w="43" w:type="dxa"/>
              <w:right w:w="115" w:type="dxa"/>
            </w:tcMar>
            <w:vAlign w:val="bottom"/>
          </w:tcPr>
          <w:p w14:paraId="2E03F7D1" w14:textId="15435531" w:rsidR="00F449EA" w:rsidRPr="008E6F07" w:rsidRDefault="00F449EA" w:rsidP="00F449EA">
            <w:pPr>
              <w:tabs>
                <w:tab w:val="decimal" w:pos="603"/>
              </w:tabs>
              <w:rPr>
                <w:rFonts w:cs="Arial"/>
                <w:color w:val="000000"/>
              </w:rPr>
            </w:pPr>
            <w:r w:rsidRPr="00B07246">
              <w:rPr>
                <w:rFonts w:cs="Arial"/>
                <w:color w:val="000000"/>
              </w:rPr>
              <w:t>0.8%</w:t>
            </w:r>
          </w:p>
        </w:tc>
        <w:tc>
          <w:tcPr>
            <w:tcW w:w="2340" w:type="dxa"/>
            <w:noWrap/>
            <w:tcMar>
              <w:top w:w="43" w:type="dxa"/>
              <w:left w:w="115" w:type="dxa"/>
              <w:bottom w:w="43" w:type="dxa"/>
              <w:right w:w="115" w:type="dxa"/>
            </w:tcMar>
            <w:vAlign w:val="bottom"/>
          </w:tcPr>
          <w:p w14:paraId="6946D993" w14:textId="5327F69E" w:rsidR="00F449EA" w:rsidRPr="008E6F07" w:rsidRDefault="00F449EA" w:rsidP="00F449EA">
            <w:pPr>
              <w:tabs>
                <w:tab w:val="decimal" w:pos="1691"/>
              </w:tabs>
              <w:rPr>
                <w:rFonts w:cs="Arial"/>
                <w:color w:val="000000"/>
              </w:rPr>
            </w:pPr>
            <w:r w:rsidRPr="00B07246">
              <w:rPr>
                <w:rFonts w:cs="Arial"/>
                <w:color w:val="000000"/>
              </w:rPr>
              <w:t>1,461,997</w:t>
            </w:r>
          </w:p>
        </w:tc>
        <w:tc>
          <w:tcPr>
            <w:tcW w:w="2430" w:type="dxa"/>
            <w:noWrap/>
            <w:tcMar>
              <w:top w:w="43" w:type="dxa"/>
              <w:left w:w="115" w:type="dxa"/>
              <w:bottom w:w="43" w:type="dxa"/>
              <w:right w:w="115" w:type="dxa"/>
            </w:tcMar>
            <w:vAlign w:val="bottom"/>
          </w:tcPr>
          <w:p w14:paraId="5E15D5A3" w14:textId="3F2CDF9E" w:rsidR="00F449EA" w:rsidRPr="008E6F07" w:rsidRDefault="00F449EA" w:rsidP="00F449EA">
            <w:pPr>
              <w:tabs>
                <w:tab w:val="decimal" w:pos="1333"/>
              </w:tabs>
              <w:rPr>
                <w:rFonts w:cs="Arial"/>
                <w:color w:val="000000"/>
              </w:rPr>
            </w:pPr>
            <w:r w:rsidRPr="00B07246">
              <w:rPr>
                <w:rFonts w:cs="Arial"/>
                <w:color w:val="000000"/>
              </w:rPr>
              <w:t>12,613</w:t>
            </w:r>
          </w:p>
        </w:tc>
        <w:tc>
          <w:tcPr>
            <w:tcW w:w="1980" w:type="dxa"/>
            <w:noWrap/>
            <w:tcMar>
              <w:top w:w="43" w:type="dxa"/>
              <w:left w:w="115" w:type="dxa"/>
              <w:bottom w:w="43" w:type="dxa"/>
              <w:right w:w="115" w:type="dxa"/>
            </w:tcMar>
            <w:vAlign w:val="bottom"/>
          </w:tcPr>
          <w:p w14:paraId="06B1A403" w14:textId="378B9088" w:rsidR="00F449EA" w:rsidRPr="008E6F07" w:rsidRDefault="00F449EA" w:rsidP="00F449EA">
            <w:pPr>
              <w:tabs>
                <w:tab w:val="decimal" w:pos="882"/>
              </w:tabs>
              <w:rPr>
                <w:rFonts w:cs="Arial"/>
                <w:color w:val="000000"/>
              </w:rPr>
            </w:pPr>
            <w:r w:rsidRPr="00B07246">
              <w:rPr>
                <w:rFonts w:cs="Arial"/>
                <w:color w:val="000000"/>
              </w:rPr>
              <w:t>0.9%</w:t>
            </w:r>
          </w:p>
        </w:tc>
      </w:tr>
      <w:tr w:rsidR="00F449EA" w:rsidRPr="008E6F07" w14:paraId="3F6291D7" w14:textId="77777777" w:rsidTr="00821AD8">
        <w:trPr>
          <w:cantSplit/>
          <w:trHeight w:val="320"/>
        </w:trPr>
        <w:tc>
          <w:tcPr>
            <w:tcW w:w="2250" w:type="dxa"/>
            <w:noWrap/>
            <w:tcMar>
              <w:top w:w="43" w:type="dxa"/>
              <w:left w:w="115" w:type="dxa"/>
              <w:bottom w:w="43" w:type="dxa"/>
              <w:right w:w="115" w:type="dxa"/>
            </w:tcMar>
            <w:hideMark/>
          </w:tcPr>
          <w:p w14:paraId="25FB7FC6" w14:textId="77777777" w:rsidR="00F449EA" w:rsidRPr="008E6F07" w:rsidRDefault="00F449EA" w:rsidP="00F449EA">
            <w:pPr>
              <w:rPr>
                <w:rFonts w:cs="Arial"/>
                <w:color w:val="000000"/>
              </w:rPr>
            </w:pPr>
            <w:r w:rsidRPr="008E6F07">
              <w:rPr>
                <w:rFonts w:cs="Arial"/>
                <w:color w:val="000000"/>
              </w:rPr>
              <w:t>Males</w:t>
            </w:r>
          </w:p>
        </w:tc>
        <w:tc>
          <w:tcPr>
            <w:tcW w:w="1710" w:type="dxa"/>
            <w:noWrap/>
            <w:tcMar>
              <w:top w:w="43" w:type="dxa"/>
              <w:left w:w="115" w:type="dxa"/>
              <w:bottom w:w="43" w:type="dxa"/>
              <w:right w:w="115" w:type="dxa"/>
            </w:tcMar>
            <w:vAlign w:val="bottom"/>
          </w:tcPr>
          <w:p w14:paraId="3C6188ED" w14:textId="00348CF9" w:rsidR="00F449EA" w:rsidRPr="008E6F07" w:rsidRDefault="00F449EA" w:rsidP="00F449EA">
            <w:pPr>
              <w:tabs>
                <w:tab w:val="decimal" w:pos="1239"/>
              </w:tabs>
              <w:rPr>
                <w:rFonts w:cs="Arial"/>
                <w:color w:val="000000"/>
              </w:rPr>
            </w:pPr>
            <w:r w:rsidRPr="00B07246">
              <w:rPr>
                <w:rFonts w:cs="Arial"/>
                <w:color w:val="000000"/>
              </w:rPr>
              <w:t>1,543,692</w:t>
            </w:r>
          </w:p>
        </w:tc>
        <w:tc>
          <w:tcPr>
            <w:tcW w:w="1800" w:type="dxa"/>
            <w:noWrap/>
            <w:tcMar>
              <w:top w:w="43" w:type="dxa"/>
              <w:left w:w="115" w:type="dxa"/>
              <w:bottom w:w="43" w:type="dxa"/>
              <w:right w:w="115" w:type="dxa"/>
            </w:tcMar>
            <w:vAlign w:val="bottom"/>
          </w:tcPr>
          <w:p w14:paraId="04CEB635" w14:textId="7B10DE95" w:rsidR="00F449EA" w:rsidRPr="008E6F07" w:rsidRDefault="00F449EA" w:rsidP="00F449EA">
            <w:pPr>
              <w:tabs>
                <w:tab w:val="decimal" w:pos="1138"/>
              </w:tabs>
              <w:rPr>
                <w:rFonts w:cs="Arial"/>
                <w:color w:val="000000"/>
              </w:rPr>
            </w:pPr>
            <w:r w:rsidRPr="00B07246">
              <w:rPr>
                <w:rFonts w:cs="Arial"/>
                <w:color w:val="000000"/>
              </w:rPr>
              <w:t>24,456</w:t>
            </w:r>
          </w:p>
        </w:tc>
        <w:tc>
          <w:tcPr>
            <w:tcW w:w="1710" w:type="dxa"/>
            <w:noWrap/>
            <w:tcMar>
              <w:top w:w="43" w:type="dxa"/>
              <w:left w:w="115" w:type="dxa"/>
              <w:bottom w:w="43" w:type="dxa"/>
              <w:right w:w="115" w:type="dxa"/>
            </w:tcMar>
            <w:vAlign w:val="bottom"/>
          </w:tcPr>
          <w:p w14:paraId="0930B505" w14:textId="5137E7D3" w:rsidR="00F449EA" w:rsidRPr="008E6F07" w:rsidRDefault="00F449EA" w:rsidP="00F449EA">
            <w:pPr>
              <w:tabs>
                <w:tab w:val="decimal" w:pos="603"/>
              </w:tabs>
              <w:rPr>
                <w:rFonts w:cs="Arial"/>
                <w:color w:val="000000"/>
              </w:rPr>
            </w:pPr>
            <w:r w:rsidRPr="00B07246">
              <w:rPr>
                <w:rFonts w:cs="Arial"/>
                <w:color w:val="000000"/>
              </w:rPr>
              <w:t>1.6%</w:t>
            </w:r>
          </w:p>
        </w:tc>
        <w:tc>
          <w:tcPr>
            <w:tcW w:w="2340" w:type="dxa"/>
            <w:noWrap/>
            <w:tcMar>
              <w:top w:w="43" w:type="dxa"/>
              <w:left w:w="115" w:type="dxa"/>
              <w:bottom w:w="43" w:type="dxa"/>
              <w:right w:w="115" w:type="dxa"/>
            </w:tcMar>
            <w:vAlign w:val="bottom"/>
          </w:tcPr>
          <w:p w14:paraId="2C9D4946" w14:textId="68C56EE1" w:rsidR="00F449EA" w:rsidRPr="008E6F07" w:rsidRDefault="00F449EA" w:rsidP="00F449EA">
            <w:pPr>
              <w:tabs>
                <w:tab w:val="decimal" w:pos="1691"/>
              </w:tabs>
              <w:rPr>
                <w:rFonts w:cs="Arial"/>
                <w:color w:val="000000"/>
              </w:rPr>
            </w:pPr>
            <w:r w:rsidRPr="00B07246">
              <w:rPr>
                <w:rFonts w:cs="Arial"/>
                <w:color w:val="000000"/>
              </w:rPr>
              <w:t>1,543,692</w:t>
            </w:r>
          </w:p>
        </w:tc>
        <w:tc>
          <w:tcPr>
            <w:tcW w:w="2430" w:type="dxa"/>
            <w:noWrap/>
            <w:tcMar>
              <w:top w:w="43" w:type="dxa"/>
              <w:left w:w="115" w:type="dxa"/>
              <w:bottom w:w="43" w:type="dxa"/>
              <w:right w:w="115" w:type="dxa"/>
            </w:tcMar>
            <w:vAlign w:val="bottom"/>
          </w:tcPr>
          <w:p w14:paraId="2910CEB5" w14:textId="793B96C9" w:rsidR="00F449EA" w:rsidRPr="008E6F07" w:rsidRDefault="00F449EA" w:rsidP="00F449EA">
            <w:pPr>
              <w:tabs>
                <w:tab w:val="decimal" w:pos="1333"/>
              </w:tabs>
              <w:rPr>
                <w:rFonts w:cs="Arial"/>
                <w:color w:val="000000"/>
              </w:rPr>
            </w:pPr>
            <w:r w:rsidRPr="00B07246">
              <w:rPr>
                <w:rFonts w:cs="Arial"/>
                <w:color w:val="000000"/>
              </w:rPr>
              <w:t>27,692</w:t>
            </w:r>
          </w:p>
        </w:tc>
        <w:tc>
          <w:tcPr>
            <w:tcW w:w="1980" w:type="dxa"/>
            <w:noWrap/>
            <w:tcMar>
              <w:top w:w="43" w:type="dxa"/>
              <w:left w:w="115" w:type="dxa"/>
              <w:bottom w:w="43" w:type="dxa"/>
              <w:right w:w="115" w:type="dxa"/>
            </w:tcMar>
            <w:vAlign w:val="bottom"/>
          </w:tcPr>
          <w:p w14:paraId="04D6CC26" w14:textId="7E14902E" w:rsidR="00F449EA" w:rsidRPr="008E6F07" w:rsidRDefault="00F449EA" w:rsidP="00F449EA">
            <w:pPr>
              <w:tabs>
                <w:tab w:val="decimal" w:pos="882"/>
              </w:tabs>
              <w:rPr>
                <w:rFonts w:cs="Arial"/>
                <w:color w:val="000000"/>
              </w:rPr>
            </w:pPr>
            <w:r w:rsidRPr="00B07246">
              <w:rPr>
                <w:rFonts w:cs="Arial"/>
                <w:color w:val="000000"/>
              </w:rPr>
              <w:t>1.8%</w:t>
            </w:r>
          </w:p>
        </w:tc>
      </w:tr>
      <w:tr w:rsidR="00F449EA" w:rsidRPr="008E6F07" w14:paraId="1A4D3407" w14:textId="77777777" w:rsidTr="00821AD8">
        <w:trPr>
          <w:cantSplit/>
          <w:trHeight w:val="320"/>
        </w:trPr>
        <w:tc>
          <w:tcPr>
            <w:tcW w:w="2250" w:type="dxa"/>
            <w:noWrap/>
            <w:tcMar>
              <w:top w:w="43" w:type="dxa"/>
              <w:left w:w="115" w:type="dxa"/>
              <w:bottom w:w="43" w:type="dxa"/>
              <w:right w:w="115" w:type="dxa"/>
            </w:tcMar>
            <w:hideMark/>
          </w:tcPr>
          <w:p w14:paraId="4381BC3F" w14:textId="77777777" w:rsidR="00F449EA" w:rsidRPr="008E6F07" w:rsidRDefault="00F449EA" w:rsidP="00F449EA">
            <w:pPr>
              <w:rPr>
                <w:rFonts w:cs="Arial"/>
                <w:color w:val="000000"/>
              </w:rPr>
            </w:pPr>
            <w:r w:rsidRPr="008E6F07">
              <w:rPr>
                <w:rFonts w:cs="Arial"/>
                <w:color w:val="000000"/>
              </w:rPr>
              <w:t>Black</w:t>
            </w:r>
          </w:p>
        </w:tc>
        <w:tc>
          <w:tcPr>
            <w:tcW w:w="1710" w:type="dxa"/>
            <w:noWrap/>
            <w:tcMar>
              <w:top w:w="43" w:type="dxa"/>
              <w:left w:w="115" w:type="dxa"/>
              <w:bottom w:w="43" w:type="dxa"/>
              <w:right w:w="115" w:type="dxa"/>
            </w:tcMar>
            <w:vAlign w:val="bottom"/>
          </w:tcPr>
          <w:p w14:paraId="631FA03D" w14:textId="75EC3BF4" w:rsidR="00F449EA" w:rsidRPr="008E6F07" w:rsidRDefault="00F449EA" w:rsidP="00F449EA">
            <w:pPr>
              <w:tabs>
                <w:tab w:val="decimal" w:pos="1239"/>
              </w:tabs>
              <w:rPr>
                <w:rFonts w:cs="Arial"/>
                <w:color w:val="000000"/>
              </w:rPr>
            </w:pPr>
            <w:r w:rsidRPr="00B07246">
              <w:rPr>
                <w:rFonts w:cs="Arial"/>
                <w:color w:val="000000"/>
              </w:rPr>
              <w:t>149,969</w:t>
            </w:r>
          </w:p>
        </w:tc>
        <w:tc>
          <w:tcPr>
            <w:tcW w:w="1800" w:type="dxa"/>
            <w:noWrap/>
            <w:tcMar>
              <w:top w:w="43" w:type="dxa"/>
              <w:left w:w="115" w:type="dxa"/>
              <w:bottom w:w="43" w:type="dxa"/>
              <w:right w:w="115" w:type="dxa"/>
            </w:tcMar>
            <w:vAlign w:val="bottom"/>
          </w:tcPr>
          <w:p w14:paraId="4F533ED1" w14:textId="02C4FA9A" w:rsidR="00F449EA" w:rsidRPr="008E6F07" w:rsidRDefault="00F449EA" w:rsidP="00F449EA">
            <w:pPr>
              <w:tabs>
                <w:tab w:val="decimal" w:pos="1138"/>
              </w:tabs>
              <w:rPr>
                <w:rFonts w:cs="Arial"/>
                <w:color w:val="000000"/>
              </w:rPr>
            </w:pPr>
            <w:r w:rsidRPr="00B07246">
              <w:rPr>
                <w:rFonts w:cs="Arial"/>
                <w:color w:val="000000"/>
              </w:rPr>
              <w:t>2,667</w:t>
            </w:r>
          </w:p>
        </w:tc>
        <w:tc>
          <w:tcPr>
            <w:tcW w:w="1710" w:type="dxa"/>
            <w:noWrap/>
            <w:tcMar>
              <w:top w:w="43" w:type="dxa"/>
              <w:left w:w="115" w:type="dxa"/>
              <w:bottom w:w="43" w:type="dxa"/>
              <w:right w:w="115" w:type="dxa"/>
            </w:tcMar>
            <w:vAlign w:val="bottom"/>
          </w:tcPr>
          <w:p w14:paraId="479DBF07" w14:textId="59CE9C44" w:rsidR="00F449EA" w:rsidRPr="008E6F07" w:rsidRDefault="00F449EA" w:rsidP="00F449EA">
            <w:pPr>
              <w:tabs>
                <w:tab w:val="decimal" w:pos="603"/>
              </w:tabs>
              <w:rPr>
                <w:rFonts w:cs="Arial"/>
                <w:color w:val="000000"/>
              </w:rPr>
            </w:pPr>
            <w:r w:rsidRPr="00B07246">
              <w:rPr>
                <w:rFonts w:cs="Arial"/>
                <w:color w:val="000000"/>
              </w:rPr>
              <w:t>1.8%</w:t>
            </w:r>
          </w:p>
        </w:tc>
        <w:tc>
          <w:tcPr>
            <w:tcW w:w="2340" w:type="dxa"/>
            <w:noWrap/>
            <w:tcMar>
              <w:top w:w="43" w:type="dxa"/>
              <w:left w:w="115" w:type="dxa"/>
              <w:bottom w:w="43" w:type="dxa"/>
              <w:right w:w="115" w:type="dxa"/>
            </w:tcMar>
            <w:vAlign w:val="bottom"/>
          </w:tcPr>
          <w:p w14:paraId="09B646FD" w14:textId="664DD0FE" w:rsidR="00F449EA" w:rsidRPr="008E6F07" w:rsidRDefault="00F449EA" w:rsidP="00F449EA">
            <w:pPr>
              <w:tabs>
                <w:tab w:val="decimal" w:pos="1691"/>
              </w:tabs>
              <w:rPr>
                <w:rFonts w:cs="Arial"/>
                <w:color w:val="000000"/>
              </w:rPr>
            </w:pPr>
            <w:r w:rsidRPr="00B07246">
              <w:rPr>
                <w:rFonts w:cs="Arial"/>
                <w:color w:val="000000"/>
              </w:rPr>
              <w:t>149,969</w:t>
            </w:r>
          </w:p>
        </w:tc>
        <w:tc>
          <w:tcPr>
            <w:tcW w:w="2430" w:type="dxa"/>
            <w:noWrap/>
            <w:tcMar>
              <w:top w:w="43" w:type="dxa"/>
              <w:left w:w="115" w:type="dxa"/>
              <w:bottom w:w="43" w:type="dxa"/>
              <w:right w:w="115" w:type="dxa"/>
            </w:tcMar>
            <w:vAlign w:val="bottom"/>
          </w:tcPr>
          <w:p w14:paraId="30CE0A6A" w14:textId="52578D85" w:rsidR="00F449EA" w:rsidRPr="008E6F07" w:rsidRDefault="00F449EA" w:rsidP="00F449EA">
            <w:pPr>
              <w:tabs>
                <w:tab w:val="decimal" w:pos="1333"/>
              </w:tabs>
              <w:rPr>
                <w:rFonts w:cs="Arial"/>
                <w:color w:val="000000"/>
              </w:rPr>
            </w:pPr>
            <w:r w:rsidRPr="00B07246">
              <w:rPr>
                <w:rFonts w:cs="Arial"/>
                <w:color w:val="000000"/>
              </w:rPr>
              <w:t>3,084</w:t>
            </w:r>
          </w:p>
        </w:tc>
        <w:tc>
          <w:tcPr>
            <w:tcW w:w="1980" w:type="dxa"/>
            <w:noWrap/>
            <w:tcMar>
              <w:top w:w="43" w:type="dxa"/>
              <w:left w:w="115" w:type="dxa"/>
              <w:bottom w:w="43" w:type="dxa"/>
              <w:right w:w="115" w:type="dxa"/>
            </w:tcMar>
            <w:vAlign w:val="bottom"/>
          </w:tcPr>
          <w:p w14:paraId="6B724851" w14:textId="03DCFAB7" w:rsidR="00F449EA" w:rsidRPr="008E6F07" w:rsidRDefault="00F449EA" w:rsidP="00F449EA">
            <w:pPr>
              <w:tabs>
                <w:tab w:val="decimal" w:pos="882"/>
              </w:tabs>
              <w:rPr>
                <w:rFonts w:cs="Arial"/>
                <w:color w:val="000000"/>
              </w:rPr>
            </w:pPr>
            <w:r w:rsidRPr="00B07246">
              <w:rPr>
                <w:rFonts w:cs="Arial"/>
                <w:color w:val="000000"/>
              </w:rPr>
              <w:t>2.1%</w:t>
            </w:r>
          </w:p>
        </w:tc>
      </w:tr>
      <w:tr w:rsidR="00F449EA" w:rsidRPr="008E6F07" w14:paraId="06C241BC" w14:textId="77777777" w:rsidTr="00821AD8">
        <w:trPr>
          <w:cantSplit/>
          <w:trHeight w:val="320"/>
        </w:trPr>
        <w:tc>
          <w:tcPr>
            <w:tcW w:w="2250" w:type="dxa"/>
            <w:noWrap/>
            <w:tcMar>
              <w:top w:w="43" w:type="dxa"/>
              <w:left w:w="115" w:type="dxa"/>
              <w:bottom w:w="43" w:type="dxa"/>
              <w:right w:w="115" w:type="dxa"/>
            </w:tcMar>
            <w:hideMark/>
          </w:tcPr>
          <w:p w14:paraId="1ED1B9E6" w14:textId="77777777" w:rsidR="00F449EA" w:rsidRPr="008E6F07" w:rsidRDefault="00F449EA" w:rsidP="00F449EA">
            <w:pPr>
              <w:rPr>
                <w:rFonts w:cs="Arial"/>
                <w:color w:val="000000"/>
              </w:rPr>
            </w:pPr>
            <w:r w:rsidRPr="008E6F07">
              <w:rPr>
                <w:rFonts w:cs="Arial"/>
                <w:color w:val="000000"/>
              </w:rPr>
              <w:t>Hispanic</w:t>
            </w:r>
          </w:p>
        </w:tc>
        <w:tc>
          <w:tcPr>
            <w:tcW w:w="1710" w:type="dxa"/>
            <w:noWrap/>
            <w:tcMar>
              <w:top w:w="43" w:type="dxa"/>
              <w:left w:w="115" w:type="dxa"/>
              <w:bottom w:w="43" w:type="dxa"/>
              <w:right w:w="115" w:type="dxa"/>
            </w:tcMar>
            <w:vAlign w:val="bottom"/>
          </w:tcPr>
          <w:p w14:paraId="6ED57FB9" w14:textId="4F8AF853" w:rsidR="00F449EA" w:rsidRPr="008E6F07" w:rsidRDefault="00F449EA" w:rsidP="00F449EA">
            <w:pPr>
              <w:tabs>
                <w:tab w:val="decimal" w:pos="1239"/>
              </w:tabs>
              <w:rPr>
                <w:rFonts w:cs="Arial"/>
                <w:color w:val="000000"/>
              </w:rPr>
            </w:pPr>
            <w:r w:rsidRPr="00B07246">
              <w:rPr>
                <w:rFonts w:cs="Arial"/>
                <w:color w:val="000000"/>
              </w:rPr>
              <w:t>1,693,586</w:t>
            </w:r>
          </w:p>
        </w:tc>
        <w:tc>
          <w:tcPr>
            <w:tcW w:w="1800" w:type="dxa"/>
            <w:noWrap/>
            <w:tcMar>
              <w:top w:w="43" w:type="dxa"/>
              <w:left w:w="115" w:type="dxa"/>
              <w:bottom w:w="43" w:type="dxa"/>
              <w:right w:w="115" w:type="dxa"/>
            </w:tcMar>
            <w:vAlign w:val="bottom"/>
          </w:tcPr>
          <w:p w14:paraId="0F91CDE0" w14:textId="21656AAF" w:rsidR="00F449EA" w:rsidRPr="008E6F07" w:rsidRDefault="00F449EA" w:rsidP="00F449EA">
            <w:pPr>
              <w:tabs>
                <w:tab w:val="decimal" w:pos="1138"/>
              </w:tabs>
              <w:rPr>
                <w:rFonts w:cs="Arial"/>
                <w:color w:val="000000"/>
              </w:rPr>
            </w:pPr>
            <w:r w:rsidRPr="00B07246">
              <w:rPr>
                <w:rFonts w:cs="Arial"/>
                <w:color w:val="000000"/>
              </w:rPr>
              <w:t>20,738</w:t>
            </w:r>
          </w:p>
        </w:tc>
        <w:tc>
          <w:tcPr>
            <w:tcW w:w="1710" w:type="dxa"/>
            <w:noWrap/>
            <w:tcMar>
              <w:top w:w="43" w:type="dxa"/>
              <w:left w:w="115" w:type="dxa"/>
              <w:bottom w:w="43" w:type="dxa"/>
              <w:right w:w="115" w:type="dxa"/>
            </w:tcMar>
            <w:vAlign w:val="bottom"/>
          </w:tcPr>
          <w:p w14:paraId="6793D2FA" w14:textId="4ABA8FF1" w:rsidR="00F449EA" w:rsidRPr="008E6F07" w:rsidRDefault="00F449EA" w:rsidP="00F449EA">
            <w:pPr>
              <w:tabs>
                <w:tab w:val="decimal" w:pos="603"/>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2D11C166" w14:textId="7230FE9E" w:rsidR="00F449EA" w:rsidRPr="008E6F07" w:rsidRDefault="00F449EA" w:rsidP="00F449EA">
            <w:pPr>
              <w:tabs>
                <w:tab w:val="decimal" w:pos="1691"/>
              </w:tabs>
              <w:rPr>
                <w:rFonts w:cs="Arial"/>
                <w:color w:val="000000"/>
              </w:rPr>
            </w:pPr>
            <w:r w:rsidRPr="00B07246">
              <w:rPr>
                <w:rFonts w:cs="Arial"/>
                <w:color w:val="000000"/>
              </w:rPr>
              <w:t>1,693,586</w:t>
            </w:r>
          </w:p>
        </w:tc>
        <w:tc>
          <w:tcPr>
            <w:tcW w:w="2430" w:type="dxa"/>
            <w:noWrap/>
            <w:tcMar>
              <w:top w:w="43" w:type="dxa"/>
              <w:left w:w="115" w:type="dxa"/>
              <w:bottom w:w="43" w:type="dxa"/>
              <w:right w:w="115" w:type="dxa"/>
            </w:tcMar>
            <w:vAlign w:val="bottom"/>
          </w:tcPr>
          <w:p w14:paraId="1D353435" w14:textId="5CA4ED15" w:rsidR="00F449EA" w:rsidRPr="008E6F07" w:rsidRDefault="00F449EA" w:rsidP="00F449EA">
            <w:pPr>
              <w:tabs>
                <w:tab w:val="decimal" w:pos="1333"/>
              </w:tabs>
              <w:rPr>
                <w:rFonts w:cs="Arial"/>
                <w:color w:val="000000"/>
              </w:rPr>
            </w:pPr>
            <w:r w:rsidRPr="00B07246">
              <w:rPr>
                <w:rFonts w:cs="Arial"/>
                <w:color w:val="000000"/>
              </w:rPr>
              <w:t>23,059</w:t>
            </w:r>
          </w:p>
        </w:tc>
        <w:tc>
          <w:tcPr>
            <w:tcW w:w="1980" w:type="dxa"/>
            <w:noWrap/>
            <w:tcMar>
              <w:top w:w="43" w:type="dxa"/>
              <w:left w:w="115" w:type="dxa"/>
              <w:bottom w:w="43" w:type="dxa"/>
              <w:right w:w="115" w:type="dxa"/>
            </w:tcMar>
            <w:vAlign w:val="bottom"/>
          </w:tcPr>
          <w:p w14:paraId="1D209A0A" w14:textId="3E2817DE" w:rsidR="00F449EA" w:rsidRPr="008E6F07" w:rsidRDefault="00F449EA" w:rsidP="00F449EA">
            <w:pPr>
              <w:tabs>
                <w:tab w:val="decimal" w:pos="882"/>
              </w:tabs>
              <w:rPr>
                <w:rFonts w:cs="Arial"/>
                <w:color w:val="000000"/>
              </w:rPr>
            </w:pPr>
            <w:r w:rsidRPr="00B07246">
              <w:rPr>
                <w:rFonts w:cs="Arial"/>
                <w:color w:val="000000"/>
              </w:rPr>
              <w:t>1.4%</w:t>
            </w:r>
          </w:p>
        </w:tc>
      </w:tr>
      <w:tr w:rsidR="00F449EA" w:rsidRPr="008E6F07" w14:paraId="14615BE7" w14:textId="77777777" w:rsidTr="00821AD8">
        <w:trPr>
          <w:cantSplit/>
          <w:trHeight w:val="320"/>
        </w:trPr>
        <w:tc>
          <w:tcPr>
            <w:tcW w:w="2250" w:type="dxa"/>
            <w:noWrap/>
            <w:tcMar>
              <w:top w:w="43" w:type="dxa"/>
              <w:left w:w="115" w:type="dxa"/>
              <w:bottom w:w="43" w:type="dxa"/>
              <w:right w:w="115" w:type="dxa"/>
            </w:tcMar>
            <w:hideMark/>
          </w:tcPr>
          <w:p w14:paraId="65608370" w14:textId="77777777" w:rsidR="00F449EA" w:rsidRPr="008E6F07" w:rsidRDefault="00F449EA" w:rsidP="00F449EA">
            <w:pPr>
              <w:rPr>
                <w:rFonts w:cs="Arial"/>
                <w:color w:val="000000"/>
              </w:rPr>
            </w:pPr>
            <w:r w:rsidRPr="008E6F07">
              <w:rPr>
                <w:rFonts w:cs="Arial"/>
                <w:color w:val="000000"/>
              </w:rPr>
              <w:t>Asian</w:t>
            </w:r>
          </w:p>
        </w:tc>
        <w:tc>
          <w:tcPr>
            <w:tcW w:w="1710" w:type="dxa"/>
            <w:noWrap/>
            <w:tcMar>
              <w:top w:w="43" w:type="dxa"/>
              <w:left w:w="115" w:type="dxa"/>
              <w:bottom w:w="43" w:type="dxa"/>
              <w:right w:w="115" w:type="dxa"/>
            </w:tcMar>
            <w:vAlign w:val="bottom"/>
          </w:tcPr>
          <w:p w14:paraId="429F5E17" w14:textId="2328864D" w:rsidR="00F449EA" w:rsidRPr="008E6F07" w:rsidRDefault="00F449EA" w:rsidP="00F449EA">
            <w:pPr>
              <w:tabs>
                <w:tab w:val="decimal" w:pos="1239"/>
              </w:tabs>
              <w:rPr>
                <w:rFonts w:cs="Arial"/>
                <w:color w:val="000000"/>
              </w:rPr>
            </w:pPr>
            <w:r w:rsidRPr="00B07246">
              <w:rPr>
                <w:rFonts w:cs="Arial"/>
                <w:color w:val="000000"/>
              </w:rPr>
              <w:t>299,409</w:t>
            </w:r>
          </w:p>
        </w:tc>
        <w:tc>
          <w:tcPr>
            <w:tcW w:w="1800" w:type="dxa"/>
            <w:noWrap/>
            <w:tcMar>
              <w:top w:w="43" w:type="dxa"/>
              <w:left w:w="115" w:type="dxa"/>
              <w:bottom w:w="43" w:type="dxa"/>
              <w:right w:w="115" w:type="dxa"/>
            </w:tcMar>
            <w:vAlign w:val="bottom"/>
          </w:tcPr>
          <w:p w14:paraId="76E9829A" w14:textId="64B50BF7" w:rsidR="00F449EA" w:rsidRPr="008E6F07" w:rsidRDefault="00F449EA" w:rsidP="00F449EA">
            <w:pPr>
              <w:tabs>
                <w:tab w:val="decimal" w:pos="1138"/>
              </w:tabs>
              <w:rPr>
                <w:rFonts w:cs="Arial"/>
                <w:color w:val="000000"/>
              </w:rPr>
            </w:pPr>
            <w:r w:rsidRPr="00B07246">
              <w:rPr>
                <w:rFonts w:cs="Arial"/>
                <w:color w:val="000000"/>
              </w:rPr>
              <w:t>3,119</w:t>
            </w:r>
          </w:p>
        </w:tc>
        <w:tc>
          <w:tcPr>
            <w:tcW w:w="1710" w:type="dxa"/>
            <w:noWrap/>
            <w:tcMar>
              <w:top w:w="43" w:type="dxa"/>
              <w:left w:w="115" w:type="dxa"/>
              <w:bottom w:w="43" w:type="dxa"/>
              <w:right w:w="115" w:type="dxa"/>
            </w:tcMar>
            <w:vAlign w:val="bottom"/>
          </w:tcPr>
          <w:p w14:paraId="77443D83" w14:textId="1098F453" w:rsidR="00F449EA" w:rsidRPr="008E6F07" w:rsidRDefault="00F449EA" w:rsidP="00F449EA">
            <w:pPr>
              <w:tabs>
                <w:tab w:val="decimal" w:pos="603"/>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0FF8B644" w14:textId="56E1D5B7" w:rsidR="00F449EA" w:rsidRPr="008E6F07" w:rsidRDefault="00F449EA" w:rsidP="00F449EA">
            <w:pPr>
              <w:tabs>
                <w:tab w:val="decimal" w:pos="1691"/>
              </w:tabs>
              <w:rPr>
                <w:rFonts w:cs="Arial"/>
                <w:color w:val="000000"/>
              </w:rPr>
            </w:pPr>
            <w:r w:rsidRPr="00B07246">
              <w:rPr>
                <w:rFonts w:cs="Arial"/>
                <w:color w:val="000000"/>
              </w:rPr>
              <w:t>299,409</w:t>
            </w:r>
          </w:p>
        </w:tc>
        <w:tc>
          <w:tcPr>
            <w:tcW w:w="2430" w:type="dxa"/>
            <w:noWrap/>
            <w:tcMar>
              <w:top w:w="43" w:type="dxa"/>
              <w:left w:w="115" w:type="dxa"/>
              <w:bottom w:w="43" w:type="dxa"/>
              <w:right w:w="115" w:type="dxa"/>
            </w:tcMar>
            <w:vAlign w:val="bottom"/>
          </w:tcPr>
          <w:p w14:paraId="537502ED" w14:textId="30D0A4D9" w:rsidR="00F449EA" w:rsidRPr="008E6F07" w:rsidRDefault="00F449EA" w:rsidP="00F449EA">
            <w:pPr>
              <w:tabs>
                <w:tab w:val="decimal" w:pos="1333"/>
              </w:tabs>
              <w:rPr>
                <w:rFonts w:cs="Arial"/>
                <w:color w:val="000000"/>
              </w:rPr>
            </w:pPr>
            <w:r w:rsidRPr="00B07246">
              <w:rPr>
                <w:rFonts w:cs="Arial"/>
                <w:color w:val="000000"/>
              </w:rPr>
              <w:t>3,598</w:t>
            </w:r>
          </w:p>
        </w:tc>
        <w:tc>
          <w:tcPr>
            <w:tcW w:w="1980" w:type="dxa"/>
            <w:noWrap/>
            <w:tcMar>
              <w:top w:w="43" w:type="dxa"/>
              <w:left w:w="115" w:type="dxa"/>
              <w:bottom w:w="43" w:type="dxa"/>
              <w:right w:w="115" w:type="dxa"/>
            </w:tcMar>
            <w:vAlign w:val="bottom"/>
          </w:tcPr>
          <w:p w14:paraId="4AFE2F17" w14:textId="4F50EABA" w:rsidR="00F449EA" w:rsidRPr="008E6F07" w:rsidRDefault="00F449EA" w:rsidP="00F449EA">
            <w:pPr>
              <w:tabs>
                <w:tab w:val="decimal" w:pos="882"/>
              </w:tabs>
              <w:rPr>
                <w:rFonts w:cs="Arial"/>
                <w:color w:val="000000"/>
              </w:rPr>
            </w:pPr>
            <w:r w:rsidRPr="00B07246">
              <w:rPr>
                <w:rFonts w:cs="Arial"/>
                <w:color w:val="000000"/>
              </w:rPr>
              <w:t>1.2%</w:t>
            </w:r>
          </w:p>
        </w:tc>
      </w:tr>
      <w:tr w:rsidR="00F449EA" w:rsidRPr="008E6F07" w14:paraId="14B100B7" w14:textId="77777777" w:rsidTr="00821AD8">
        <w:trPr>
          <w:cantSplit/>
          <w:trHeight w:val="320"/>
        </w:trPr>
        <w:tc>
          <w:tcPr>
            <w:tcW w:w="2250" w:type="dxa"/>
            <w:noWrap/>
            <w:tcMar>
              <w:top w:w="43" w:type="dxa"/>
              <w:left w:w="115" w:type="dxa"/>
              <w:bottom w:w="43" w:type="dxa"/>
              <w:right w:w="115" w:type="dxa"/>
            </w:tcMar>
            <w:hideMark/>
          </w:tcPr>
          <w:p w14:paraId="760F5886" w14:textId="77777777" w:rsidR="00F449EA" w:rsidRPr="008E6F07" w:rsidRDefault="00F449EA" w:rsidP="00F449EA">
            <w:pPr>
              <w:rPr>
                <w:rFonts w:cs="Arial"/>
                <w:color w:val="000000"/>
              </w:rPr>
            </w:pPr>
            <w:r w:rsidRPr="008E6F07">
              <w:rPr>
                <w:rFonts w:cs="Arial"/>
                <w:color w:val="000000"/>
              </w:rPr>
              <w:t>White</w:t>
            </w:r>
          </w:p>
        </w:tc>
        <w:tc>
          <w:tcPr>
            <w:tcW w:w="1710" w:type="dxa"/>
            <w:noWrap/>
            <w:tcMar>
              <w:top w:w="43" w:type="dxa"/>
              <w:left w:w="115" w:type="dxa"/>
              <w:bottom w:w="43" w:type="dxa"/>
              <w:right w:w="115" w:type="dxa"/>
            </w:tcMar>
            <w:vAlign w:val="bottom"/>
          </w:tcPr>
          <w:p w14:paraId="45C401F1" w14:textId="6E49CFDD" w:rsidR="00F449EA" w:rsidRPr="008E6F07" w:rsidRDefault="00F449EA" w:rsidP="00F449EA">
            <w:pPr>
              <w:tabs>
                <w:tab w:val="decimal" w:pos="1239"/>
              </w:tabs>
              <w:rPr>
                <w:rFonts w:cs="Arial"/>
                <w:color w:val="000000"/>
              </w:rPr>
            </w:pPr>
            <w:r w:rsidRPr="00B07246">
              <w:rPr>
                <w:rFonts w:cs="Arial"/>
                <w:color w:val="000000"/>
              </w:rPr>
              <w:t>609,942</w:t>
            </w:r>
          </w:p>
        </w:tc>
        <w:tc>
          <w:tcPr>
            <w:tcW w:w="1800" w:type="dxa"/>
            <w:noWrap/>
            <w:tcMar>
              <w:top w:w="43" w:type="dxa"/>
              <w:left w:w="115" w:type="dxa"/>
              <w:bottom w:w="43" w:type="dxa"/>
              <w:right w:w="115" w:type="dxa"/>
            </w:tcMar>
            <w:vAlign w:val="bottom"/>
          </w:tcPr>
          <w:p w14:paraId="0B8B5EBC" w14:textId="20B83983" w:rsidR="00F449EA" w:rsidRPr="008E6F07" w:rsidRDefault="00F449EA" w:rsidP="00F449EA">
            <w:pPr>
              <w:tabs>
                <w:tab w:val="decimal" w:pos="1138"/>
              </w:tabs>
              <w:rPr>
                <w:rFonts w:cs="Arial"/>
                <w:color w:val="000000"/>
              </w:rPr>
            </w:pPr>
            <w:r w:rsidRPr="00B07246">
              <w:rPr>
                <w:rFonts w:cs="Arial"/>
                <w:color w:val="000000"/>
              </w:rPr>
              <w:t>5,905</w:t>
            </w:r>
          </w:p>
        </w:tc>
        <w:tc>
          <w:tcPr>
            <w:tcW w:w="1710" w:type="dxa"/>
            <w:noWrap/>
            <w:tcMar>
              <w:top w:w="43" w:type="dxa"/>
              <w:left w:w="115" w:type="dxa"/>
              <w:bottom w:w="43" w:type="dxa"/>
              <w:right w:w="115" w:type="dxa"/>
            </w:tcMar>
            <w:vAlign w:val="bottom"/>
          </w:tcPr>
          <w:p w14:paraId="7CBE0026" w14:textId="5683238A" w:rsidR="00F449EA" w:rsidRPr="008E6F07" w:rsidRDefault="00F449EA" w:rsidP="00F449EA">
            <w:pPr>
              <w:tabs>
                <w:tab w:val="decimal" w:pos="603"/>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2018B84E" w14:textId="7FF753E0" w:rsidR="00F449EA" w:rsidRPr="008E6F07" w:rsidRDefault="00F449EA" w:rsidP="00F449EA">
            <w:pPr>
              <w:tabs>
                <w:tab w:val="decimal" w:pos="1691"/>
              </w:tabs>
              <w:rPr>
                <w:rFonts w:cs="Arial"/>
                <w:color w:val="000000"/>
              </w:rPr>
            </w:pPr>
            <w:r w:rsidRPr="00B07246">
              <w:rPr>
                <w:rFonts w:cs="Arial"/>
                <w:color w:val="000000"/>
              </w:rPr>
              <w:t>609,942</w:t>
            </w:r>
          </w:p>
        </w:tc>
        <w:tc>
          <w:tcPr>
            <w:tcW w:w="2430" w:type="dxa"/>
            <w:noWrap/>
            <w:tcMar>
              <w:top w:w="43" w:type="dxa"/>
              <w:left w:w="115" w:type="dxa"/>
              <w:bottom w:w="43" w:type="dxa"/>
              <w:right w:w="115" w:type="dxa"/>
            </w:tcMar>
            <w:vAlign w:val="bottom"/>
          </w:tcPr>
          <w:p w14:paraId="6F633D9B" w14:textId="4E59A40C" w:rsidR="00F449EA" w:rsidRPr="008E6F07" w:rsidRDefault="00F449EA" w:rsidP="00F449EA">
            <w:pPr>
              <w:tabs>
                <w:tab w:val="decimal" w:pos="1333"/>
              </w:tabs>
              <w:rPr>
                <w:rFonts w:cs="Arial"/>
                <w:color w:val="000000"/>
              </w:rPr>
            </w:pPr>
            <w:r w:rsidRPr="00B07246">
              <w:rPr>
                <w:rFonts w:cs="Arial"/>
                <w:color w:val="000000"/>
              </w:rPr>
              <w:t>7,011</w:t>
            </w:r>
          </w:p>
        </w:tc>
        <w:tc>
          <w:tcPr>
            <w:tcW w:w="1980" w:type="dxa"/>
            <w:noWrap/>
            <w:tcMar>
              <w:top w:w="43" w:type="dxa"/>
              <w:left w:w="115" w:type="dxa"/>
              <w:bottom w:w="43" w:type="dxa"/>
              <w:right w:w="115" w:type="dxa"/>
            </w:tcMar>
            <w:vAlign w:val="bottom"/>
          </w:tcPr>
          <w:p w14:paraId="4D3F6921" w14:textId="5FF73AF2" w:rsidR="00F449EA" w:rsidRPr="008E6F07" w:rsidRDefault="00F449EA" w:rsidP="00F449EA">
            <w:pPr>
              <w:tabs>
                <w:tab w:val="decimal" w:pos="882"/>
              </w:tabs>
              <w:rPr>
                <w:rFonts w:cs="Arial"/>
                <w:color w:val="000000"/>
              </w:rPr>
            </w:pPr>
            <w:r w:rsidRPr="00B07246">
              <w:rPr>
                <w:rFonts w:cs="Arial"/>
                <w:color w:val="000000"/>
              </w:rPr>
              <w:t>1.1%</w:t>
            </w:r>
          </w:p>
        </w:tc>
      </w:tr>
      <w:tr w:rsidR="00F449EA" w:rsidRPr="008E6F07" w14:paraId="4F2A46D6" w14:textId="77777777" w:rsidTr="00821AD8">
        <w:trPr>
          <w:cantSplit/>
          <w:trHeight w:val="320"/>
        </w:trPr>
        <w:tc>
          <w:tcPr>
            <w:tcW w:w="2250" w:type="dxa"/>
            <w:noWrap/>
            <w:tcMar>
              <w:top w:w="43" w:type="dxa"/>
              <w:left w:w="115" w:type="dxa"/>
              <w:bottom w:w="43" w:type="dxa"/>
              <w:right w:w="115" w:type="dxa"/>
            </w:tcMar>
            <w:hideMark/>
          </w:tcPr>
          <w:p w14:paraId="65752B45" w14:textId="77777777" w:rsidR="00F449EA" w:rsidRPr="008E6F07" w:rsidRDefault="00F449EA" w:rsidP="00F449EA">
            <w:pPr>
              <w:rPr>
                <w:rFonts w:cs="Arial"/>
                <w:color w:val="000000"/>
              </w:rPr>
            </w:pPr>
            <w:r w:rsidRPr="008E6F07">
              <w:rPr>
                <w:rFonts w:cs="Arial"/>
                <w:color w:val="000000"/>
              </w:rPr>
              <w:t>American Indian or Alaska Native</w:t>
            </w:r>
          </w:p>
        </w:tc>
        <w:tc>
          <w:tcPr>
            <w:tcW w:w="1710" w:type="dxa"/>
            <w:noWrap/>
            <w:tcMar>
              <w:top w:w="43" w:type="dxa"/>
              <w:left w:w="115" w:type="dxa"/>
              <w:bottom w:w="43" w:type="dxa"/>
              <w:right w:w="115" w:type="dxa"/>
            </w:tcMar>
            <w:vAlign w:val="bottom"/>
          </w:tcPr>
          <w:p w14:paraId="5B09D825" w14:textId="2A9D46E8" w:rsidR="00F449EA" w:rsidRPr="008E6F07" w:rsidRDefault="00F449EA" w:rsidP="00F449EA">
            <w:pPr>
              <w:tabs>
                <w:tab w:val="decimal" w:pos="1239"/>
              </w:tabs>
              <w:rPr>
                <w:rFonts w:cs="Arial"/>
                <w:color w:val="000000"/>
              </w:rPr>
            </w:pPr>
            <w:r w:rsidRPr="00B07246">
              <w:rPr>
                <w:rFonts w:cs="Arial"/>
                <w:color w:val="000000"/>
              </w:rPr>
              <w:t>12,853</w:t>
            </w:r>
          </w:p>
        </w:tc>
        <w:tc>
          <w:tcPr>
            <w:tcW w:w="1800" w:type="dxa"/>
            <w:noWrap/>
            <w:tcMar>
              <w:top w:w="43" w:type="dxa"/>
              <w:left w:w="115" w:type="dxa"/>
              <w:bottom w:w="43" w:type="dxa"/>
              <w:right w:w="115" w:type="dxa"/>
            </w:tcMar>
            <w:vAlign w:val="bottom"/>
          </w:tcPr>
          <w:p w14:paraId="23B5FABB" w14:textId="6EB608D2" w:rsidR="00F449EA" w:rsidRPr="008E6F07" w:rsidRDefault="00F449EA" w:rsidP="00F449EA">
            <w:pPr>
              <w:tabs>
                <w:tab w:val="decimal" w:pos="1138"/>
              </w:tabs>
              <w:rPr>
                <w:rFonts w:cs="Arial"/>
                <w:color w:val="000000"/>
              </w:rPr>
            </w:pPr>
            <w:r w:rsidRPr="00B07246">
              <w:rPr>
                <w:rFonts w:cs="Arial"/>
                <w:color w:val="000000"/>
              </w:rPr>
              <w:t>199</w:t>
            </w:r>
          </w:p>
        </w:tc>
        <w:tc>
          <w:tcPr>
            <w:tcW w:w="1710" w:type="dxa"/>
            <w:noWrap/>
            <w:tcMar>
              <w:top w:w="43" w:type="dxa"/>
              <w:left w:w="115" w:type="dxa"/>
              <w:bottom w:w="43" w:type="dxa"/>
              <w:right w:w="115" w:type="dxa"/>
            </w:tcMar>
            <w:vAlign w:val="bottom"/>
          </w:tcPr>
          <w:p w14:paraId="17609201" w14:textId="587D589F" w:rsidR="00F449EA" w:rsidRPr="008E6F07" w:rsidRDefault="00F449EA" w:rsidP="00F449EA">
            <w:pPr>
              <w:tabs>
                <w:tab w:val="decimal" w:pos="603"/>
              </w:tabs>
              <w:rPr>
                <w:rFonts w:cs="Arial"/>
                <w:color w:val="000000"/>
              </w:rPr>
            </w:pPr>
            <w:r w:rsidRPr="00B07246">
              <w:rPr>
                <w:rFonts w:cs="Arial"/>
                <w:color w:val="000000"/>
              </w:rPr>
              <w:t>1.5%</w:t>
            </w:r>
          </w:p>
        </w:tc>
        <w:tc>
          <w:tcPr>
            <w:tcW w:w="2340" w:type="dxa"/>
            <w:noWrap/>
            <w:tcMar>
              <w:top w:w="43" w:type="dxa"/>
              <w:left w:w="115" w:type="dxa"/>
              <w:bottom w:w="43" w:type="dxa"/>
              <w:right w:w="115" w:type="dxa"/>
            </w:tcMar>
            <w:vAlign w:val="bottom"/>
          </w:tcPr>
          <w:p w14:paraId="6ECE016F" w14:textId="5BBDC12C" w:rsidR="00F449EA" w:rsidRPr="008E6F07" w:rsidRDefault="00F449EA" w:rsidP="00F449EA">
            <w:pPr>
              <w:tabs>
                <w:tab w:val="decimal" w:pos="1691"/>
              </w:tabs>
              <w:rPr>
                <w:rFonts w:cs="Arial"/>
                <w:color w:val="000000"/>
              </w:rPr>
            </w:pPr>
            <w:r w:rsidRPr="00B07246">
              <w:rPr>
                <w:rFonts w:cs="Arial"/>
                <w:color w:val="000000"/>
              </w:rPr>
              <w:t>12,853</w:t>
            </w:r>
          </w:p>
        </w:tc>
        <w:tc>
          <w:tcPr>
            <w:tcW w:w="2430" w:type="dxa"/>
            <w:noWrap/>
            <w:tcMar>
              <w:top w:w="43" w:type="dxa"/>
              <w:left w:w="115" w:type="dxa"/>
              <w:bottom w:w="43" w:type="dxa"/>
              <w:right w:w="115" w:type="dxa"/>
            </w:tcMar>
            <w:vAlign w:val="bottom"/>
          </w:tcPr>
          <w:p w14:paraId="7019EDB1" w14:textId="19A8A707" w:rsidR="00F449EA" w:rsidRPr="008E6F07" w:rsidRDefault="00F449EA" w:rsidP="00F449EA">
            <w:pPr>
              <w:tabs>
                <w:tab w:val="decimal" w:pos="1333"/>
              </w:tabs>
              <w:rPr>
                <w:rFonts w:cs="Arial"/>
                <w:color w:val="000000"/>
              </w:rPr>
            </w:pPr>
            <w:r w:rsidRPr="00B07246">
              <w:rPr>
                <w:rFonts w:cs="Arial"/>
                <w:color w:val="000000"/>
              </w:rPr>
              <w:t>234</w:t>
            </w:r>
          </w:p>
        </w:tc>
        <w:tc>
          <w:tcPr>
            <w:tcW w:w="1980" w:type="dxa"/>
            <w:noWrap/>
            <w:tcMar>
              <w:top w:w="43" w:type="dxa"/>
              <w:left w:w="115" w:type="dxa"/>
              <w:bottom w:w="43" w:type="dxa"/>
              <w:right w:w="115" w:type="dxa"/>
            </w:tcMar>
            <w:vAlign w:val="bottom"/>
          </w:tcPr>
          <w:p w14:paraId="2DC08E92" w14:textId="761C7C8D" w:rsidR="00F449EA" w:rsidRPr="008E6F07" w:rsidRDefault="00F449EA" w:rsidP="00F449EA">
            <w:pPr>
              <w:tabs>
                <w:tab w:val="decimal" w:pos="882"/>
              </w:tabs>
              <w:rPr>
                <w:rFonts w:cs="Arial"/>
                <w:color w:val="000000"/>
              </w:rPr>
            </w:pPr>
            <w:r w:rsidRPr="00B07246">
              <w:rPr>
                <w:rFonts w:cs="Arial"/>
                <w:color w:val="000000"/>
              </w:rPr>
              <w:t>1.8%</w:t>
            </w:r>
          </w:p>
        </w:tc>
      </w:tr>
      <w:tr w:rsidR="00F449EA" w:rsidRPr="008E6F07" w14:paraId="7A13CAFB" w14:textId="77777777" w:rsidTr="00821AD8">
        <w:trPr>
          <w:cantSplit/>
          <w:trHeight w:val="320"/>
        </w:trPr>
        <w:tc>
          <w:tcPr>
            <w:tcW w:w="2250" w:type="dxa"/>
            <w:noWrap/>
            <w:tcMar>
              <w:top w:w="43" w:type="dxa"/>
              <w:left w:w="115" w:type="dxa"/>
              <w:bottom w:w="43" w:type="dxa"/>
              <w:right w:w="115" w:type="dxa"/>
            </w:tcMar>
            <w:hideMark/>
          </w:tcPr>
          <w:p w14:paraId="23EC6ABE" w14:textId="77777777" w:rsidR="00F449EA" w:rsidRPr="008E6F07" w:rsidRDefault="00F449EA" w:rsidP="00F449EA">
            <w:pPr>
              <w:rPr>
                <w:rFonts w:cs="Arial"/>
                <w:color w:val="000000"/>
              </w:rPr>
            </w:pPr>
            <w:r w:rsidRPr="008E6F07">
              <w:rPr>
                <w:rFonts w:cs="Arial"/>
                <w:color w:val="000000"/>
              </w:rPr>
              <w:t>Filipino</w:t>
            </w:r>
          </w:p>
        </w:tc>
        <w:tc>
          <w:tcPr>
            <w:tcW w:w="1710" w:type="dxa"/>
            <w:noWrap/>
            <w:tcMar>
              <w:top w:w="43" w:type="dxa"/>
              <w:left w:w="115" w:type="dxa"/>
              <w:bottom w:w="43" w:type="dxa"/>
              <w:right w:w="115" w:type="dxa"/>
            </w:tcMar>
            <w:vAlign w:val="bottom"/>
          </w:tcPr>
          <w:p w14:paraId="3FC7BD2F" w14:textId="3DE3123A" w:rsidR="00F449EA" w:rsidRPr="008E6F07" w:rsidRDefault="00F449EA" w:rsidP="00F449EA">
            <w:pPr>
              <w:tabs>
                <w:tab w:val="decimal" w:pos="1239"/>
              </w:tabs>
              <w:rPr>
                <w:rFonts w:cs="Arial"/>
                <w:color w:val="000000"/>
              </w:rPr>
            </w:pPr>
            <w:r w:rsidRPr="00B07246">
              <w:rPr>
                <w:rFonts w:cs="Arial"/>
                <w:color w:val="000000"/>
              </w:rPr>
              <w:t>69,822</w:t>
            </w:r>
          </w:p>
        </w:tc>
        <w:tc>
          <w:tcPr>
            <w:tcW w:w="1800" w:type="dxa"/>
            <w:noWrap/>
            <w:tcMar>
              <w:top w:w="43" w:type="dxa"/>
              <w:left w:w="115" w:type="dxa"/>
              <w:bottom w:w="43" w:type="dxa"/>
              <w:right w:w="115" w:type="dxa"/>
            </w:tcMar>
            <w:vAlign w:val="bottom"/>
          </w:tcPr>
          <w:p w14:paraId="6CB19CD2" w14:textId="4B3F0F37" w:rsidR="00F449EA" w:rsidRPr="008E6F07" w:rsidRDefault="00F449EA" w:rsidP="00F449EA">
            <w:pPr>
              <w:tabs>
                <w:tab w:val="decimal" w:pos="1138"/>
              </w:tabs>
              <w:rPr>
                <w:rFonts w:cs="Arial"/>
                <w:color w:val="000000"/>
              </w:rPr>
            </w:pPr>
            <w:r w:rsidRPr="00B07246">
              <w:rPr>
                <w:rFonts w:cs="Arial"/>
                <w:color w:val="000000"/>
              </w:rPr>
              <w:t>1,057</w:t>
            </w:r>
          </w:p>
        </w:tc>
        <w:tc>
          <w:tcPr>
            <w:tcW w:w="1710" w:type="dxa"/>
            <w:noWrap/>
            <w:tcMar>
              <w:top w:w="43" w:type="dxa"/>
              <w:left w:w="115" w:type="dxa"/>
              <w:bottom w:w="43" w:type="dxa"/>
              <w:right w:w="115" w:type="dxa"/>
            </w:tcMar>
            <w:vAlign w:val="bottom"/>
          </w:tcPr>
          <w:p w14:paraId="74DA21F1" w14:textId="4D378A25" w:rsidR="00F449EA" w:rsidRPr="008E6F07" w:rsidRDefault="00F449EA" w:rsidP="00F449EA">
            <w:pPr>
              <w:tabs>
                <w:tab w:val="decimal" w:pos="603"/>
              </w:tabs>
              <w:rPr>
                <w:rFonts w:cs="Arial"/>
                <w:color w:val="000000"/>
              </w:rPr>
            </w:pPr>
            <w:r w:rsidRPr="00B07246">
              <w:rPr>
                <w:rFonts w:cs="Arial"/>
                <w:color w:val="000000"/>
              </w:rPr>
              <w:t>1.5%</w:t>
            </w:r>
          </w:p>
        </w:tc>
        <w:tc>
          <w:tcPr>
            <w:tcW w:w="2340" w:type="dxa"/>
            <w:noWrap/>
            <w:tcMar>
              <w:top w:w="43" w:type="dxa"/>
              <w:left w:w="115" w:type="dxa"/>
              <w:bottom w:w="43" w:type="dxa"/>
              <w:right w:w="115" w:type="dxa"/>
            </w:tcMar>
            <w:vAlign w:val="bottom"/>
          </w:tcPr>
          <w:p w14:paraId="6F550BEA" w14:textId="66BB8D1F" w:rsidR="00F449EA" w:rsidRPr="008E6F07" w:rsidRDefault="00F449EA" w:rsidP="00F449EA">
            <w:pPr>
              <w:tabs>
                <w:tab w:val="decimal" w:pos="1691"/>
              </w:tabs>
              <w:rPr>
                <w:rFonts w:cs="Arial"/>
                <w:color w:val="000000"/>
              </w:rPr>
            </w:pPr>
            <w:r w:rsidRPr="00B07246">
              <w:rPr>
                <w:rFonts w:cs="Arial"/>
                <w:color w:val="000000"/>
              </w:rPr>
              <w:t>69,822</w:t>
            </w:r>
          </w:p>
        </w:tc>
        <w:tc>
          <w:tcPr>
            <w:tcW w:w="2430" w:type="dxa"/>
            <w:noWrap/>
            <w:tcMar>
              <w:top w:w="43" w:type="dxa"/>
              <w:left w:w="115" w:type="dxa"/>
              <w:bottom w:w="43" w:type="dxa"/>
              <w:right w:w="115" w:type="dxa"/>
            </w:tcMar>
            <w:vAlign w:val="bottom"/>
          </w:tcPr>
          <w:p w14:paraId="2CB70978" w14:textId="4421DCBE" w:rsidR="00F449EA" w:rsidRPr="008E6F07" w:rsidRDefault="00F449EA" w:rsidP="00F449EA">
            <w:pPr>
              <w:tabs>
                <w:tab w:val="decimal" w:pos="1333"/>
              </w:tabs>
              <w:rPr>
                <w:rFonts w:cs="Arial"/>
                <w:color w:val="000000"/>
              </w:rPr>
            </w:pPr>
            <w:r w:rsidRPr="00B07246">
              <w:rPr>
                <w:rFonts w:cs="Arial"/>
                <w:color w:val="000000"/>
              </w:rPr>
              <w:t>1,208</w:t>
            </w:r>
          </w:p>
        </w:tc>
        <w:tc>
          <w:tcPr>
            <w:tcW w:w="1980" w:type="dxa"/>
            <w:noWrap/>
            <w:tcMar>
              <w:top w:w="43" w:type="dxa"/>
              <w:left w:w="115" w:type="dxa"/>
              <w:bottom w:w="43" w:type="dxa"/>
              <w:right w:w="115" w:type="dxa"/>
            </w:tcMar>
            <w:vAlign w:val="bottom"/>
          </w:tcPr>
          <w:p w14:paraId="04F30502" w14:textId="621E2FE0" w:rsidR="00F449EA" w:rsidRPr="008E6F07" w:rsidRDefault="00F449EA" w:rsidP="00F449EA">
            <w:pPr>
              <w:tabs>
                <w:tab w:val="decimal" w:pos="882"/>
              </w:tabs>
              <w:rPr>
                <w:rFonts w:cs="Arial"/>
                <w:color w:val="000000"/>
              </w:rPr>
            </w:pPr>
            <w:r w:rsidRPr="00B07246">
              <w:rPr>
                <w:rFonts w:cs="Arial"/>
                <w:color w:val="000000"/>
              </w:rPr>
              <w:t>1.7%</w:t>
            </w:r>
          </w:p>
        </w:tc>
      </w:tr>
      <w:tr w:rsidR="00F449EA" w:rsidRPr="008E6F07" w14:paraId="3DDEE038" w14:textId="77777777" w:rsidTr="00821AD8">
        <w:trPr>
          <w:cantSplit/>
          <w:trHeight w:val="320"/>
        </w:trPr>
        <w:tc>
          <w:tcPr>
            <w:tcW w:w="2250" w:type="dxa"/>
            <w:noWrap/>
            <w:tcMar>
              <w:top w:w="43" w:type="dxa"/>
              <w:left w:w="115" w:type="dxa"/>
              <w:bottom w:w="43" w:type="dxa"/>
              <w:right w:w="115" w:type="dxa"/>
            </w:tcMar>
            <w:hideMark/>
          </w:tcPr>
          <w:p w14:paraId="645EF44B" w14:textId="77777777" w:rsidR="00F449EA" w:rsidRPr="008E6F07" w:rsidRDefault="00F449EA" w:rsidP="00F449EA">
            <w:pPr>
              <w:rPr>
                <w:rFonts w:cs="Arial"/>
                <w:color w:val="000000"/>
              </w:rPr>
            </w:pPr>
            <w:r w:rsidRPr="008E6F07">
              <w:rPr>
                <w:rFonts w:cs="Arial"/>
                <w:color w:val="000000"/>
              </w:rPr>
              <w:t>Native Hawaiian or Pacific Islander</w:t>
            </w:r>
          </w:p>
        </w:tc>
        <w:tc>
          <w:tcPr>
            <w:tcW w:w="1710" w:type="dxa"/>
            <w:noWrap/>
            <w:tcMar>
              <w:top w:w="43" w:type="dxa"/>
              <w:left w:w="115" w:type="dxa"/>
              <w:bottom w:w="43" w:type="dxa"/>
              <w:right w:w="115" w:type="dxa"/>
            </w:tcMar>
            <w:vAlign w:val="bottom"/>
          </w:tcPr>
          <w:p w14:paraId="29CEDDDB" w14:textId="3B1F8FD3" w:rsidR="00F449EA" w:rsidRPr="008E6F07" w:rsidRDefault="00F449EA" w:rsidP="00F449EA">
            <w:pPr>
              <w:tabs>
                <w:tab w:val="decimal" w:pos="1239"/>
              </w:tabs>
              <w:rPr>
                <w:rFonts w:cs="Arial"/>
                <w:color w:val="000000"/>
              </w:rPr>
            </w:pPr>
            <w:r w:rsidRPr="00B07246">
              <w:rPr>
                <w:rFonts w:cs="Arial"/>
                <w:color w:val="000000"/>
              </w:rPr>
              <w:t>12,558</w:t>
            </w:r>
          </w:p>
        </w:tc>
        <w:tc>
          <w:tcPr>
            <w:tcW w:w="1800" w:type="dxa"/>
            <w:noWrap/>
            <w:tcMar>
              <w:top w:w="43" w:type="dxa"/>
              <w:left w:w="115" w:type="dxa"/>
              <w:bottom w:w="43" w:type="dxa"/>
              <w:right w:w="115" w:type="dxa"/>
            </w:tcMar>
            <w:vAlign w:val="bottom"/>
          </w:tcPr>
          <w:p w14:paraId="0021D0A9" w14:textId="44DD5743" w:rsidR="00F449EA" w:rsidRPr="008E6F07" w:rsidRDefault="00F449EA" w:rsidP="00F449EA">
            <w:pPr>
              <w:tabs>
                <w:tab w:val="decimal" w:pos="1138"/>
              </w:tabs>
              <w:rPr>
                <w:rFonts w:cs="Arial"/>
                <w:color w:val="000000"/>
              </w:rPr>
            </w:pPr>
            <w:r w:rsidRPr="00B07246">
              <w:rPr>
                <w:rFonts w:cs="Arial"/>
                <w:color w:val="000000"/>
              </w:rPr>
              <w:t>150</w:t>
            </w:r>
          </w:p>
        </w:tc>
        <w:tc>
          <w:tcPr>
            <w:tcW w:w="1710" w:type="dxa"/>
            <w:noWrap/>
            <w:tcMar>
              <w:top w:w="43" w:type="dxa"/>
              <w:left w:w="115" w:type="dxa"/>
              <w:bottom w:w="43" w:type="dxa"/>
              <w:right w:w="115" w:type="dxa"/>
            </w:tcMar>
            <w:vAlign w:val="bottom"/>
          </w:tcPr>
          <w:p w14:paraId="2C4E9C6B" w14:textId="7A69755C" w:rsidR="00F449EA" w:rsidRPr="008E6F07" w:rsidRDefault="00F449EA" w:rsidP="00F449EA">
            <w:pPr>
              <w:tabs>
                <w:tab w:val="decimal" w:pos="603"/>
              </w:tabs>
              <w:rPr>
                <w:rFonts w:cs="Arial"/>
                <w:color w:val="000000"/>
              </w:rPr>
            </w:pPr>
            <w:r w:rsidRPr="00B07246">
              <w:rPr>
                <w:rFonts w:cs="Arial"/>
                <w:color w:val="000000"/>
              </w:rPr>
              <w:t>1.2%</w:t>
            </w:r>
          </w:p>
        </w:tc>
        <w:tc>
          <w:tcPr>
            <w:tcW w:w="2340" w:type="dxa"/>
            <w:noWrap/>
            <w:tcMar>
              <w:top w:w="43" w:type="dxa"/>
              <w:left w:w="115" w:type="dxa"/>
              <w:bottom w:w="43" w:type="dxa"/>
              <w:right w:w="115" w:type="dxa"/>
            </w:tcMar>
            <w:vAlign w:val="bottom"/>
          </w:tcPr>
          <w:p w14:paraId="5ED3711D" w14:textId="3AC84A53" w:rsidR="00F449EA" w:rsidRPr="008E6F07" w:rsidRDefault="00F449EA" w:rsidP="00F449EA">
            <w:pPr>
              <w:tabs>
                <w:tab w:val="decimal" w:pos="1691"/>
              </w:tabs>
              <w:rPr>
                <w:rFonts w:cs="Arial"/>
                <w:color w:val="000000"/>
              </w:rPr>
            </w:pPr>
            <w:r w:rsidRPr="00B07246">
              <w:rPr>
                <w:rFonts w:cs="Arial"/>
                <w:color w:val="000000"/>
              </w:rPr>
              <w:t>12,558</w:t>
            </w:r>
          </w:p>
        </w:tc>
        <w:tc>
          <w:tcPr>
            <w:tcW w:w="2430" w:type="dxa"/>
            <w:noWrap/>
            <w:tcMar>
              <w:top w:w="43" w:type="dxa"/>
              <w:left w:w="115" w:type="dxa"/>
              <w:bottom w:w="43" w:type="dxa"/>
              <w:right w:w="115" w:type="dxa"/>
            </w:tcMar>
            <w:vAlign w:val="bottom"/>
          </w:tcPr>
          <w:p w14:paraId="70A74F42" w14:textId="30D82E64" w:rsidR="00F449EA" w:rsidRPr="008E6F07" w:rsidRDefault="00F449EA" w:rsidP="00F449EA">
            <w:pPr>
              <w:tabs>
                <w:tab w:val="decimal" w:pos="1333"/>
              </w:tabs>
              <w:rPr>
                <w:rFonts w:cs="Arial"/>
                <w:color w:val="000000"/>
              </w:rPr>
            </w:pPr>
            <w:r w:rsidRPr="00B07246">
              <w:rPr>
                <w:rFonts w:cs="Arial"/>
                <w:color w:val="000000"/>
              </w:rPr>
              <w:t>176</w:t>
            </w:r>
          </w:p>
        </w:tc>
        <w:tc>
          <w:tcPr>
            <w:tcW w:w="1980" w:type="dxa"/>
            <w:noWrap/>
            <w:tcMar>
              <w:top w:w="43" w:type="dxa"/>
              <w:left w:w="115" w:type="dxa"/>
              <w:bottom w:w="43" w:type="dxa"/>
              <w:right w:w="115" w:type="dxa"/>
            </w:tcMar>
            <w:vAlign w:val="bottom"/>
          </w:tcPr>
          <w:p w14:paraId="5D987C21" w14:textId="70787CCE" w:rsidR="00F449EA" w:rsidRPr="008E6F07" w:rsidRDefault="00F449EA" w:rsidP="00F449EA">
            <w:pPr>
              <w:tabs>
                <w:tab w:val="decimal" w:pos="882"/>
              </w:tabs>
              <w:rPr>
                <w:rFonts w:cs="Arial"/>
                <w:color w:val="000000"/>
              </w:rPr>
            </w:pPr>
            <w:r w:rsidRPr="00B07246">
              <w:rPr>
                <w:rFonts w:cs="Arial"/>
                <w:color w:val="000000"/>
              </w:rPr>
              <w:t>1.4%</w:t>
            </w:r>
          </w:p>
        </w:tc>
      </w:tr>
      <w:tr w:rsidR="00F449EA" w:rsidRPr="008E6F07" w14:paraId="17339DC4" w14:textId="77777777" w:rsidTr="00821AD8">
        <w:trPr>
          <w:cantSplit/>
          <w:trHeight w:val="320"/>
        </w:trPr>
        <w:tc>
          <w:tcPr>
            <w:tcW w:w="2250" w:type="dxa"/>
            <w:noWrap/>
            <w:tcMar>
              <w:top w:w="43" w:type="dxa"/>
              <w:left w:w="115" w:type="dxa"/>
              <w:bottom w:w="43" w:type="dxa"/>
              <w:right w:w="115" w:type="dxa"/>
            </w:tcMar>
            <w:hideMark/>
          </w:tcPr>
          <w:p w14:paraId="2A4CA334" w14:textId="77777777" w:rsidR="00F449EA" w:rsidRPr="008E6F07" w:rsidRDefault="00F449EA" w:rsidP="00F449EA">
            <w:pPr>
              <w:rPr>
                <w:rFonts w:cs="Arial"/>
                <w:color w:val="000000"/>
              </w:rPr>
            </w:pPr>
            <w:r w:rsidRPr="008E6F07">
              <w:rPr>
                <w:rFonts w:cs="Arial"/>
                <w:color w:val="000000"/>
              </w:rPr>
              <w:t>Two or more races</w:t>
            </w:r>
          </w:p>
        </w:tc>
        <w:tc>
          <w:tcPr>
            <w:tcW w:w="1710" w:type="dxa"/>
            <w:noWrap/>
            <w:tcMar>
              <w:top w:w="43" w:type="dxa"/>
              <w:left w:w="115" w:type="dxa"/>
              <w:bottom w:w="43" w:type="dxa"/>
              <w:right w:w="115" w:type="dxa"/>
            </w:tcMar>
            <w:vAlign w:val="bottom"/>
          </w:tcPr>
          <w:p w14:paraId="591DDA14" w14:textId="5958D9CE" w:rsidR="00F449EA" w:rsidRPr="008E6F07" w:rsidRDefault="00F449EA" w:rsidP="00F449EA">
            <w:pPr>
              <w:tabs>
                <w:tab w:val="decimal" w:pos="1239"/>
              </w:tabs>
              <w:rPr>
                <w:rFonts w:cs="Arial"/>
                <w:color w:val="000000"/>
              </w:rPr>
            </w:pPr>
            <w:r w:rsidRPr="00B07246">
              <w:rPr>
                <w:rFonts w:cs="Arial"/>
                <w:color w:val="000000"/>
              </w:rPr>
              <w:t>159,631</w:t>
            </w:r>
          </w:p>
        </w:tc>
        <w:tc>
          <w:tcPr>
            <w:tcW w:w="1800" w:type="dxa"/>
            <w:noWrap/>
            <w:tcMar>
              <w:top w:w="43" w:type="dxa"/>
              <w:left w:w="115" w:type="dxa"/>
              <w:bottom w:w="43" w:type="dxa"/>
              <w:right w:w="115" w:type="dxa"/>
            </w:tcMar>
            <w:vAlign w:val="bottom"/>
          </w:tcPr>
          <w:p w14:paraId="69442973" w14:textId="40A88E20" w:rsidR="00F449EA" w:rsidRPr="008E6F07" w:rsidRDefault="00F449EA" w:rsidP="00F449EA">
            <w:pPr>
              <w:tabs>
                <w:tab w:val="decimal" w:pos="1138"/>
              </w:tabs>
              <w:rPr>
                <w:rFonts w:cs="Arial"/>
                <w:color w:val="000000"/>
              </w:rPr>
            </w:pPr>
            <w:r w:rsidRPr="00B07246">
              <w:rPr>
                <w:rFonts w:cs="Arial"/>
                <w:color w:val="000000"/>
              </w:rPr>
              <w:t>1,641</w:t>
            </w:r>
          </w:p>
        </w:tc>
        <w:tc>
          <w:tcPr>
            <w:tcW w:w="1710" w:type="dxa"/>
            <w:noWrap/>
            <w:tcMar>
              <w:top w:w="43" w:type="dxa"/>
              <w:left w:w="115" w:type="dxa"/>
              <w:bottom w:w="43" w:type="dxa"/>
              <w:right w:w="115" w:type="dxa"/>
            </w:tcMar>
            <w:vAlign w:val="bottom"/>
          </w:tcPr>
          <w:p w14:paraId="76F7081A" w14:textId="1D6136BF" w:rsidR="00F449EA" w:rsidRPr="008E6F07" w:rsidRDefault="00F449EA" w:rsidP="00F449EA">
            <w:pPr>
              <w:tabs>
                <w:tab w:val="decimal" w:pos="603"/>
              </w:tabs>
              <w:rPr>
                <w:rFonts w:cs="Arial"/>
                <w:color w:val="000000"/>
              </w:rPr>
            </w:pPr>
            <w:r w:rsidRPr="00B07246">
              <w:rPr>
                <w:rFonts w:cs="Arial"/>
                <w:color w:val="000000"/>
              </w:rPr>
              <w:t>1.0%</w:t>
            </w:r>
          </w:p>
        </w:tc>
        <w:tc>
          <w:tcPr>
            <w:tcW w:w="2340" w:type="dxa"/>
            <w:noWrap/>
            <w:tcMar>
              <w:top w:w="43" w:type="dxa"/>
              <w:left w:w="115" w:type="dxa"/>
              <w:bottom w:w="43" w:type="dxa"/>
              <w:right w:w="115" w:type="dxa"/>
            </w:tcMar>
            <w:vAlign w:val="bottom"/>
          </w:tcPr>
          <w:p w14:paraId="7DFEB9CA" w14:textId="357DFE0D" w:rsidR="00F449EA" w:rsidRPr="008E6F07" w:rsidRDefault="00F449EA" w:rsidP="00F449EA">
            <w:pPr>
              <w:tabs>
                <w:tab w:val="decimal" w:pos="1691"/>
              </w:tabs>
              <w:rPr>
                <w:rFonts w:cs="Arial"/>
                <w:color w:val="000000"/>
              </w:rPr>
            </w:pPr>
            <w:r w:rsidRPr="00B07246">
              <w:rPr>
                <w:rFonts w:cs="Arial"/>
                <w:color w:val="000000"/>
              </w:rPr>
              <w:t>159,631</w:t>
            </w:r>
          </w:p>
        </w:tc>
        <w:tc>
          <w:tcPr>
            <w:tcW w:w="2430" w:type="dxa"/>
            <w:noWrap/>
            <w:tcMar>
              <w:top w:w="43" w:type="dxa"/>
              <w:left w:w="115" w:type="dxa"/>
              <w:bottom w:w="43" w:type="dxa"/>
              <w:right w:w="115" w:type="dxa"/>
            </w:tcMar>
            <w:vAlign w:val="bottom"/>
          </w:tcPr>
          <w:p w14:paraId="302A6D66" w14:textId="3D880932" w:rsidR="00F449EA" w:rsidRPr="008E6F07" w:rsidRDefault="00F449EA" w:rsidP="00F449EA">
            <w:pPr>
              <w:tabs>
                <w:tab w:val="decimal" w:pos="1333"/>
              </w:tabs>
              <w:rPr>
                <w:rFonts w:cs="Arial"/>
                <w:color w:val="000000"/>
              </w:rPr>
            </w:pPr>
            <w:r w:rsidRPr="00B07246">
              <w:rPr>
                <w:rFonts w:cs="Arial"/>
                <w:color w:val="000000"/>
              </w:rPr>
              <w:t>1,941</w:t>
            </w:r>
          </w:p>
        </w:tc>
        <w:tc>
          <w:tcPr>
            <w:tcW w:w="1980" w:type="dxa"/>
            <w:noWrap/>
            <w:tcMar>
              <w:top w:w="43" w:type="dxa"/>
              <w:left w:w="115" w:type="dxa"/>
              <w:bottom w:w="43" w:type="dxa"/>
              <w:right w:w="115" w:type="dxa"/>
            </w:tcMar>
            <w:vAlign w:val="bottom"/>
          </w:tcPr>
          <w:p w14:paraId="66B3B500" w14:textId="26D5A027" w:rsidR="00F449EA" w:rsidRPr="008E6F07" w:rsidRDefault="00F449EA" w:rsidP="00F449EA">
            <w:pPr>
              <w:tabs>
                <w:tab w:val="decimal" w:pos="882"/>
              </w:tabs>
              <w:rPr>
                <w:rFonts w:cs="Arial"/>
                <w:color w:val="000000"/>
              </w:rPr>
            </w:pPr>
            <w:r w:rsidRPr="00B07246">
              <w:rPr>
                <w:rFonts w:cs="Arial"/>
                <w:color w:val="000000"/>
              </w:rPr>
              <w:t>1.2%</w:t>
            </w:r>
          </w:p>
        </w:tc>
      </w:tr>
      <w:tr w:rsidR="00F449EA" w:rsidRPr="008E6F07" w14:paraId="240A8FC2" w14:textId="77777777" w:rsidTr="00821AD8">
        <w:trPr>
          <w:cantSplit/>
          <w:trHeight w:val="320"/>
        </w:trPr>
        <w:tc>
          <w:tcPr>
            <w:tcW w:w="2250" w:type="dxa"/>
            <w:noWrap/>
            <w:tcMar>
              <w:top w:w="43" w:type="dxa"/>
              <w:left w:w="115" w:type="dxa"/>
              <w:bottom w:w="43" w:type="dxa"/>
              <w:right w:w="115" w:type="dxa"/>
            </w:tcMar>
            <w:hideMark/>
          </w:tcPr>
          <w:p w14:paraId="323816BC" w14:textId="77777777" w:rsidR="00F449EA" w:rsidRPr="008E6F07" w:rsidRDefault="00F449EA" w:rsidP="00F449EA">
            <w:pPr>
              <w:rPr>
                <w:rFonts w:cs="Arial"/>
                <w:color w:val="000000"/>
              </w:rPr>
            </w:pPr>
            <w:r w:rsidRPr="008E6F07">
              <w:rPr>
                <w:rFonts w:cs="Arial"/>
                <w:color w:val="000000"/>
              </w:rPr>
              <w:t>English learners</w:t>
            </w:r>
          </w:p>
        </w:tc>
        <w:tc>
          <w:tcPr>
            <w:tcW w:w="1710" w:type="dxa"/>
            <w:noWrap/>
            <w:tcMar>
              <w:top w:w="43" w:type="dxa"/>
              <w:left w:w="115" w:type="dxa"/>
              <w:bottom w:w="43" w:type="dxa"/>
              <w:right w:w="115" w:type="dxa"/>
            </w:tcMar>
            <w:vAlign w:val="bottom"/>
          </w:tcPr>
          <w:p w14:paraId="2CCCFC6B" w14:textId="6C6DBB9A" w:rsidR="00F449EA" w:rsidRPr="008E6F07" w:rsidRDefault="00F449EA" w:rsidP="00F449EA">
            <w:pPr>
              <w:tabs>
                <w:tab w:val="decimal" w:pos="1239"/>
              </w:tabs>
              <w:rPr>
                <w:rFonts w:cs="Arial"/>
                <w:color w:val="000000"/>
              </w:rPr>
            </w:pPr>
            <w:r w:rsidRPr="00B07246">
              <w:rPr>
                <w:rFonts w:cs="Arial"/>
                <w:color w:val="000000"/>
              </w:rPr>
              <w:t>526,578</w:t>
            </w:r>
          </w:p>
        </w:tc>
        <w:tc>
          <w:tcPr>
            <w:tcW w:w="1800" w:type="dxa"/>
            <w:noWrap/>
            <w:tcMar>
              <w:top w:w="43" w:type="dxa"/>
              <w:left w:w="115" w:type="dxa"/>
              <w:bottom w:w="43" w:type="dxa"/>
              <w:right w:w="115" w:type="dxa"/>
            </w:tcMar>
            <w:vAlign w:val="bottom"/>
          </w:tcPr>
          <w:p w14:paraId="4EFC71B5" w14:textId="48C2EF11" w:rsidR="00F449EA" w:rsidRPr="008E6F07" w:rsidRDefault="00F449EA" w:rsidP="00F449EA">
            <w:pPr>
              <w:tabs>
                <w:tab w:val="decimal" w:pos="1138"/>
              </w:tabs>
              <w:rPr>
                <w:rFonts w:cs="Arial"/>
                <w:color w:val="000000"/>
              </w:rPr>
            </w:pPr>
            <w:r w:rsidRPr="00B07246">
              <w:rPr>
                <w:rFonts w:cs="Arial"/>
                <w:color w:val="000000"/>
              </w:rPr>
              <w:t>8,494</w:t>
            </w:r>
          </w:p>
        </w:tc>
        <w:tc>
          <w:tcPr>
            <w:tcW w:w="1710" w:type="dxa"/>
            <w:noWrap/>
            <w:tcMar>
              <w:top w:w="43" w:type="dxa"/>
              <w:left w:w="115" w:type="dxa"/>
              <w:bottom w:w="43" w:type="dxa"/>
              <w:right w:w="115" w:type="dxa"/>
            </w:tcMar>
            <w:vAlign w:val="bottom"/>
          </w:tcPr>
          <w:p w14:paraId="45A3089E" w14:textId="795A3D35" w:rsidR="00F449EA" w:rsidRPr="008E6F07" w:rsidRDefault="00F449EA" w:rsidP="00F449EA">
            <w:pPr>
              <w:tabs>
                <w:tab w:val="decimal" w:pos="603"/>
              </w:tabs>
              <w:rPr>
                <w:rFonts w:cs="Arial"/>
                <w:color w:val="000000"/>
              </w:rPr>
            </w:pPr>
            <w:r w:rsidRPr="00B07246">
              <w:rPr>
                <w:rFonts w:cs="Arial"/>
                <w:color w:val="000000"/>
              </w:rPr>
              <w:t>1.6%</w:t>
            </w:r>
          </w:p>
        </w:tc>
        <w:tc>
          <w:tcPr>
            <w:tcW w:w="2340" w:type="dxa"/>
            <w:noWrap/>
            <w:tcMar>
              <w:top w:w="43" w:type="dxa"/>
              <w:left w:w="115" w:type="dxa"/>
              <w:bottom w:w="43" w:type="dxa"/>
              <w:right w:w="115" w:type="dxa"/>
            </w:tcMar>
            <w:vAlign w:val="bottom"/>
          </w:tcPr>
          <w:p w14:paraId="1A8E6367" w14:textId="15EB18E3" w:rsidR="00F449EA" w:rsidRPr="008E6F07" w:rsidRDefault="00F449EA" w:rsidP="00F449EA">
            <w:pPr>
              <w:tabs>
                <w:tab w:val="decimal" w:pos="1691"/>
              </w:tabs>
              <w:rPr>
                <w:rFonts w:cs="Arial"/>
                <w:color w:val="000000"/>
              </w:rPr>
            </w:pPr>
            <w:r w:rsidRPr="00B07246">
              <w:rPr>
                <w:rFonts w:cs="Arial"/>
                <w:color w:val="000000"/>
              </w:rPr>
              <w:t>526,578</w:t>
            </w:r>
          </w:p>
        </w:tc>
        <w:tc>
          <w:tcPr>
            <w:tcW w:w="2430" w:type="dxa"/>
            <w:noWrap/>
            <w:tcMar>
              <w:top w:w="43" w:type="dxa"/>
              <w:left w:w="115" w:type="dxa"/>
              <w:bottom w:w="43" w:type="dxa"/>
              <w:right w:w="115" w:type="dxa"/>
            </w:tcMar>
            <w:vAlign w:val="bottom"/>
          </w:tcPr>
          <w:p w14:paraId="63881D43" w14:textId="77266F0A" w:rsidR="00F449EA" w:rsidRPr="008E6F07" w:rsidRDefault="00F449EA" w:rsidP="00F449EA">
            <w:pPr>
              <w:tabs>
                <w:tab w:val="decimal" w:pos="1333"/>
              </w:tabs>
              <w:rPr>
                <w:rFonts w:cs="Arial"/>
                <w:color w:val="000000"/>
              </w:rPr>
            </w:pPr>
            <w:r w:rsidRPr="00B07246">
              <w:rPr>
                <w:rFonts w:cs="Arial"/>
                <w:color w:val="000000"/>
              </w:rPr>
              <w:t>9,538</w:t>
            </w:r>
          </w:p>
        </w:tc>
        <w:tc>
          <w:tcPr>
            <w:tcW w:w="1980" w:type="dxa"/>
            <w:noWrap/>
            <w:tcMar>
              <w:top w:w="43" w:type="dxa"/>
              <w:left w:w="115" w:type="dxa"/>
              <w:bottom w:w="43" w:type="dxa"/>
              <w:right w:w="115" w:type="dxa"/>
            </w:tcMar>
            <w:vAlign w:val="bottom"/>
          </w:tcPr>
          <w:p w14:paraId="77D7920A" w14:textId="187EC3C7" w:rsidR="00F449EA" w:rsidRPr="008E6F07" w:rsidRDefault="00F449EA" w:rsidP="00F449EA">
            <w:pPr>
              <w:tabs>
                <w:tab w:val="decimal" w:pos="882"/>
              </w:tabs>
              <w:rPr>
                <w:rFonts w:cs="Arial"/>
                <w:color w:val="000000"/>
              </w:rPr>
            </w:pPr>
            <w:r w:rsidRPr="00B07246">
              <w:rPr>
                <w:rFonts w:cs="Arial"/>
                <w:color w:val="000000"/>
              </w:rPr>
              <w:t>1.8%</w:t>
            </w:r>
          </w:p>
        </w:tc>
      </w:tr>
      <w:tr w:rsidR="00F449EA" w:rsidRPr="008E6F07" w14:paraId="73C91F40" w14:textId="77777777" w:rsidTr="00821AD8">
        <w:trPr>
          <w:cantSplit/>
          <w:trHeight w:val="320"/>
        </w:trPr>
        <w:tc>
          <w:tcPr>
            <w:tcW w:w="2250" w:type="dxa"/>
            <w:noWrap/>
            <w:tcMar>
              <w:top w:w="43" w:type="dxa"/>
              <w:left w:w="115" w:type="dxa"/>
              <w:bottom w:w="43" w:type="dxa"/>
              <w:right w:w="115" w:type="dxa"/>
            </w:tcMar>
            <w:hideMark/>
          </w:tcPr>
          <w:p w14:paraId="4439BE59" w14:textId="707B3F3E" w:rsidR="00F449EA" w:rsidRPr="008E6F07" w:rsidRDefault="00F449EA" w:rsidP="00F449EA">
            <w:pPr>
              <w:rPr>
                <w:rFonts w:cs="Arial"/>
                <w:color w:val="000000"/>
              </w:rPr>
            </w:pPr>
            <w:proofErr w:type="gramStart"/>
            <w:r w:rsidRPr="008E6F07">
              <w:rPr>
                <w:rFonts w:cs="Arial"/>
                <w:color w:val="000000"/>
              </w:rPr>
              <w:t>Economically disadvantaged</w:t>
            </w:r>
            <w:proofErr w:type="gramEnd"/>
          </w:p>
        </w:tc>
        <w:tc>
          <w:tcPr>
            <w:tcW w:w="1710" w:type="dxa"/>
            <w:noWrap/>
            <w:tcMar>
              <w:top w:w="43" w:type="dxa"/>
              <w:left w:w="115" w:type="dxa"/>
              <w:bottom w:w="43" w:type="dxa"/>
              <w:right w:w="115" w:type="dxa"/>
            </w:tcMar>
            <w:vAlign w:val="bottom"/>
          </w:tcPr>
          <w:p w14:paraId="764830FF" w14:textId="5229678F" w:rsidR="00F449EA" w:rsidRPr="008E6F07" w:rsidRDefault="00F449EA" w:rsidP="00F449EA">
            <w:pPr>
              <w:tabs>
                <w:tab w:val="decimal" w:pos="1239"/>
              </w:tabs>
              <w:rPr>
                <w:rFonts w:cs="Arial"/>
                <w:color w:val="000000"/>
              </w:rPr>
            </w:pPr>
            <w:r w:rsidRPr="00B07246">
              <w:rPr>
                <w:rFonts w:cs="Arial"/>
                <w:color w:val="000000"/>
              </w:rPr>
              <w:t>1,886,290</w:t>
            </w:r>
          </w:p>
        </w:tc>
        <w:tc>
          <w:tcPr>
            <w:tcW w:w="1800" w:type="dxa"/>
            <w:noWrap/>
            <w:tcMar>
              <w:top w:w="43" w:type="dxa"/>
              <w:left w:w="115" w:type="dxa"/>
              <w:bottom w:w="43" w:type="dxa"/>
              <w:right w:w="115" w:type="dxa"/>
            </w:tcMar>
            <w:vAlign w:val="bottom"/>
          </w:tcPr>
          <w:p w14:paraId="4A8CB094" w14:textId="1976B09E" w:rsidR="00F449EA" w:rsidRPr="008E6F07" w:rsidRDefault="00F449EA" w:rsidP="00F449EA">
            <w:pPr>
              <w:tabs>
                <w:tab w:val="decimal" w:pos="1138"/>
              </w:tabs>
              <w:rPr>
                <w:rFonts w:cs="Arial"/>
                <w:color w:val="000000"/>
              </w:rPr>
            </w:pPr>
            <w:r w:rsidRPr="00B07246">
              <w:rPr>
                <w:rFonts w:cs="Arial"/>
                <w:color w:val="000000"/>
              </w:rPr>
              <w:t>23,930</w:t>
            </w:r>
          </w:p>
        </w:tc>
        <w:tc>
          <w:tcPr>
            <w:tcW w:w="1710" w:type="dxa"/>
            <w:noWrap/>
            <w:tcMar>
              <w:top w:w="43" w:type="dxa"/>
              <w:left w:w="115" w:type="dxa"/>
              <w:bottom w:w="43" w:type="dxa"/>
              <w:right w:w="115" w:type="dxa"/>
            </w:tcMar>
            <w:vAlign w:val="bottom"/>
          </w:tcPr>
          <w:p w14:paraId="125F070B" w14:textId="796264CD" w:rsidR="00F449EA" w:rsidRPr="008E6F07" w:rsidRDefault="00F449EA" w:rsidP="00F449EA">
            <w:pPr>
              <w:tabs>
                <w:tab w:val="decimal" w:pos="603"/>
              </w:tabs>
              <w:rPr>
                <w:rFonts w:cs="Arial"/>
                <w:color w:val="000000"/>
              </w:rPr>
            </w:pPr>
            <w:r w:rsidRPr="00B07246">
              <w:rPr>
                <w:rFonts w:cs="Arial"/>
                <w:color w:val="000000"/>
              </w:rPr>
              <w:t>1.3%</w:t>
            </w:r>
          </w:p>
        </w:tc>
        <w:tc>
          <w:tcPr>
            <w:tcW w:w="2340" w:type="dxa"/>
            <w:noWrap/>
            <w:tcMar>
              <w:top w:w="43" w:type="dxa"/>
              <w:left w:w="115" w:type="dxa"/>
              <w:bottom w:w="43" w:type="dxa"/>
              <w:right w:w="115" w:type="dxa"/>
            </w:tcMar>
            <w:vAlign w:val="bottom"/>
          </w:tcPr>
          <w:p w14:paraId="629DEC56" w14:textId="4EC210A5" w:rsidR="00F449EA" w:rsidRPr="008E6F07" w:rsidRDefault="00F449EA" w:rsidP="00F449EA">
            <w:pPr>
              <w:tabs>
                <w:tab w:val="decimal" w:pos="1691"/>
              </w:tabs>
              <w:rPr>
                <w:rFonts w:cs="Arial"/>
                <w:color w:val="000000"/>
              </w:rPr>
            </w:pPr>
            <w:r w:rsidRPr="00B07246">
              <w:rPr>
                <w:rFonts w:cs="Arial"/>
                <w:color w:val="000000"/>
              </w:rPr>
              <w:t>1,886,290</w:t>
            </w:r>
          </w:p>
        </w:tc>
        <w:tc>
          <w:tcPr>
            <w:tcW w:w="2430" w:type="dxa"/>
            <w:noWrap/>
            <w:tcMar>
              <w:top w:w="43" w:type="dxa"/>
              <w:left w:w="115" w:type="dxa"/>
              <w:bottom w:w="43" w:type="dxa"/>
              <w:right w:w="115" w:type="dxa"/>
            </w:tcMar>
            <w:vAlign w:val="bottom"/>
          </w:tcPr>
          <w:p w14:paraId="5F809A0C" w14:textId="060573AB" w:rsidR="00F449EA" w:rsidRPr="008E6F07" w:rsidRDefault="00F449EA" w:rsidP="00F449EA">
            <w:pPr>
              <w:tabs>
                <w:tab w:val="decimal" w:pos="1333"/>
              </w:tabs>
              <w:rPr>
                <w:rFonts w:cs="Arial"/>
                <w:color w:val="000000"/>
              </w:rPr>
            </w:pPr>
            <w:r w:rsidRPr="00B07246">
              <w:rPr>
                <w:rFonts w:cs="Arial"/>
                <w:color w:val="000000"/>
              </w:rPr>
              <w:t>26,507</w:t>
            </w:r>
          </w:p>
        </w:tc>
        <w:tc>
          <w:tcPr>
            <w:tcW w:w="1980" w:type="dxa"/>
            <w:noWrap/>
            <w:tcMar>
              <w:top w:w="43" w:type="dxa"/>
              <w:left w:w="115" w:type="dxa"/>
              <w:bottom w:w="43" w:type="dxa"/>
              <w:right w:w="115" w:type="dxa"/>
            </w:tcMar>
            <w:vAlign w:val="bottom"/>
          </w:tcPr>
          <w:p w14:paraId="63A2B365" w14:textId="1A3325EA" w:rsidR="00F449EA" w:rsidRPr="008E6F07" w:rsidRDefault="00F449EA" w:rsidP="00F449EA">
            <w:pPr>
              <w:tabs>
                <w:tab w:val="decimal" w:pos="882"/>
              </w:tabs>
              <w:rPr>
                <w:rFonts w:cs="Arial"/>
                <w:color w:val="000000"/>
              </w:rPr>
            </w:pPr>
            <w:r w:rsidRPr="00B07246">
              <w:rPr>
                <w:rFonts w:cs="Arial"/>
                <w:color w:val="000000"/>
              </w:rPr>
              <w:t>1.4%</w:t>
            </w:r>
          </w:p>
        </w:tc>
      </w:tr>
      <w:bookmarkEnd w:id="14"/>
    </w:tbl>
    <w:p w14:paraId="05C0DA3B" w14:textId="77777777" w:rsidR="008E6F07" w:rsidRPr="008E6F07" w:rsidRDefault="008E6F07" w:rsidP="008E6F07"/>
    <w:p w14:paraId="5280C633" w14:textId="77777777" w:rsidR="008E6F07" w:rsidRPr="00135F48" w:rsidRDefault="008E6F07" w:rsidP="00135F48">
      <w:pPr>
        <w:pStyle w:val="Heading4"/>
        <w:ind w:hanging="810"/>
        <w:rPr>
          <w:i w:val="0"/>
          <w:iCs w:val="0"/>
        </w:rPr>
      </w:pPr>
      <w:r w:rsidRPr="00135F48">
        <w:rPr>
          <w:i w:val="0"/>
          <w:iCs w:val="0"/>
        </w:rPr>
        <w:lastRenderedPageBreak/>
        <w:t>Table 7. CAA for Science Participation Rates by Student Group</w:t>
      </w:r>
    </w:p>
    <w:tbl>
      <w:tblPr>
        <w:tblStyle w:val="TableGrid11"/>
        <w:tblW w:w="14220" w:type="dxa"/>
        <w:tblInd w:w="-815" w:type="dxa"/>
        <w:tblLayout w:type="fixed"/>
        <w:tblLook w:val="04A0" w:firstRow="1" w:lastRow="0" w:firstColumn="1" w:lastColumn="0" w:noHBand="0" w:noVBand="1"/>
        <w:tblCaption w:val="Table 7. CAA for Science Participation Rates by Student Group"/>
        <w:tblDescription w:val="Table 7 displays the CAA for Science Participation Rates by Student Group for 2022–23 and the expected rates for 2023–24."/>
      </w:tblPr>
      <w:tblGrid>
        <w:gridCol w:w="2250"/>
        <w:gridCol w:w="1710"/>
        <w:gridCol w:w="1800"/>
        <w:gridCol w:w="1710"/>
        <w:gridCol w:w="2430"/>
        <w:gridCol w:w="2340"/>
        <w:gridCol w:w="1980"/>
      </w:tblGrid>
      <w:tr w:rsidR="00724F89" w:rsidRPr="008E6F07" w14:paraId="216679E4" w14:textId="77777777" w:rsidTr="008E6F07">
        <w:trPr>
          <w:trHeight w:val="1610"/>
          <w:tblHeader/>
        </w:trPr>
        <w:tc>
          <w:tcPr>
            <w:tcW w:w="2250" w:type="dxa"/>
            <w:shd w:val="clear" w:color="auto" w:fill="D9D9D9"/>
            <w:tcMar>
              <w:top w:w="43" w:type="dxa"/>
              <w:left w:w="115" w:type="dxa"/>
              <w:bottom w:w="43" w:type="dxa"/>
              <w:right w:w="115" w:type="dxa"/>
            </w:tcMar>
            <w:vAlign w:val="center"/>
            <w:hideMark/>
          </w:tcPr>
          <w:p w14:paraId="31407848" w14:textId="77777777" w:rsidR="008E6F07" w:rsidRPr="008E6F07" w:rsidRDefault="008E6F07" w:rsidP="008E6F07">
            <w:pPr>
              <w:jc w:val="center"/>
              <w:rPr>
                <w:rFonts w:cs="Arial"/>
                <w:b/>
                <w:bCs/>
                <w:color w:val="000000"/>
              </w:rPr>
            </w:pPr>
            <w:r w:rsidRPr="008E6F07">
              <w:rPr>
                <w:rFonts w:cs="Arial"/>
                <w:b/>
                <w:bCs/>
                <w:color w:val="000000"/>
              </w:rPr>
              <w:t>Student Group</w:t>
            </w:r>
          </w:p>
        </w:tc>
        <w:tc>
          <w:tcPr>
            <w:tcW w:w="1710" w:type="dxa"/>
            <w:shd w:val="clear" w:color="auto" w:fill="D9D9D9"/>
            <w:tcMar>
              <w:top w:w="43" w:type="dxa"/>
              <w:left w:w="115" w:type="dxa"/>
              <w:bottom w:w="43" w:type="dxa"/>
              <w:right w:w="115" w:type="dxa"/>
            </w:tcMar>
            <w:vAlign w:val="center"/>
            <w:hideMark/>
          </w:tcPr>
          <w:p w14:paraId="11532F43" w14:textId="77777777" w:rsidR="008E6F07" w:rsidRPr="008E6F07" w:rsidRDefault="008E6F07" w:rsidP="008E6F07">
            <w:pPr>
              <w:jc w:val="center"/>
              <w:rPr>
                <w:rFonts w:cs="Arial"/>
                <w:b/>
                <w:bCs/>
                <w:color w:val="000000"/>
              </w:rPr>
            </w:pPr>
            <w:r w:rsidRPr="008E6F07">
              <w:rPr>
                <w:rFonts w:cs="Arial"/>
                <w:b/>
                <w:bCs/>
                <w:color w:val="000000"/>
              </w:rPr>
              <w:t>Number of Students Assessed, 2023</w:t>
            </w:r>
          </w:p>
        </w:tc>
        <w:tc>
          <w:tcPr>
            <w:tcW w:w="1800" w:type="dxa"/>
            <w:shd w:val="clear" w:color="auto" w:fill="D9D9D9"/>
            <w:tcMar>
              <w:top w:w="43" w:type="dxa"/>
              <w:left w:w="115" w:type="dxa"/>
              <w:bottom w:w="43" w:type="dxa"/>
              <w:right w:w="115" w:type="dxa"/>
            </w:tcMar>
            <w:vAlign w:val="center"/>
            <w:hideMark/>
          </w:tcPr>
          <w:p w14:paraId="3F48CD4B" w14:textId="77777777" w:rsidR="008E6F07" w:rsidRPr="008E6F07" w:rsidRDefault="008E6F07" w:rsidP="008E6F07">
            <w:pPr>
              <w:jc w:val="center"/>
              <w:rPr>
                <w:rFonts w:cs="Arial"/>
                <w:b/>
                <w:bCs/>
                <w:color w:val="000000"/>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2023</w:t>
            </w:r>
          </w:p>
        </w:tc>
        <w:tc>
          <w:tcPr>
            <w:tcW w:w="1710" w:type="dxa"/>
            <w:shd w:val="clear" w:color="auto" w:fill="D9D9D9"/>
            <w:tcMar>
              <w:top w:w="43" w:type="dxa"/>
              <w:left w:w="115" w:type="dxa"/>
              <w:bottom w:w="43" w:type="dxa"/>
              <w:right w:w="115" w:type="dxa"/>
            </w:tcMar>
            <w:vAlign w:val="center"/>
            <w:hideMark/>
          </w:tcPr>
          <w:p w14:paraId="66F899AD"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2023</w:t>
            </w:r>
          </w:p>
        </w:tc>
        <w:tc>
          <w:tcPr>
            <w:tcW w:w="2430" w:type="dxa"/>
            <w:shd w:val="clear" w:color="auto" w:fill="D9D9D9"/>
            <w:tcMar>
              <w:top w:w="43" w:type="dxa"/>
              <w:left w:w="115" w:type="dxa"/>
              <w:bottom w:w="43" w:type="dxa"/>
              <w:right w:w="115" w:type="dxa"/>
            </w:tcMar>
            <w:vAlign w:val="center"/>
            <w:hideMark/>
          </w:tcPr>
          <w:p w14:paraId="6A2C5D1C" w14:textId="77777777" w:rsidR="008E6F07" w:rsidRPr="008E6F07" w:rsidRDefault="008E6F07" w:rsidP="008E6F07">
            <w:pPr>
              <w:jc w:val="center"/>
              <w:rPr>
                <w:rFonts w:cs="Arial"/>
                <w:b/>
                <w:bCs/>
                <w:color w:val="000000"/>
              </w:rPr>
            </w:pPr>
            <w:r w:rsidRPr="008E6F07">
              <w:rPr>
                <w:rFonts w:cs="Arial"/>
                <w:b/>
                <w:bCs/>
                <w:color w:val="000000"/>
              </w:rPr>
              <w:t>Number of Students Assessed, 2024 (estimate based on number of students assessed in 2023)</w:t>
            </w:r>
          </w:p>
        </w:tc>
        <w:tc>
          <w:tcPr>
            <w:tcW w:w="2340" w:type="dxa"/>
            <w:shd w:val="clear" w:color="auto" w:fill="D9D9D9"/>
            <w:tcMar>
              <w:top w:w="43" w:type="dxa"/>
              <w:left w:w="115" w:type="dxa"/>
              <w:bottom w:w="43" w:type="dxa"/>
              <w:right w:w="115" w:type="dxa"/>
            </w:tcMar>
            <w:vAlign w:val="center"/>
            <w:hideMark/>
          </w:tcPr>
          <w:p w14:paraId="42FCDE27" w14:textId="77777777" w:rsidR="008E6F07" w:rsidRPr="008E6F07" w:rsidRDefault="008E6F07" w:rsidP="008E6F07">
            <w:pPr>
              <w:jc w:val="center"/>
              <w:rPr>
                <w:rFonts w:eastAsia="Arial" w:cs="Arial"/>
              </w:rPr>
            </w:pPr>
            <w:r w:rsidRPr="008E6F07">
              <w:rPr>
                <w:rFonts w:cs="Arial"/>
                <w:b/>
                <w:bCs/>
                <w:color w:val="000000"/>
              </w:rPr>
              <w:t xml:space="preserve">Number of Eligible Students Assessed with </w:t>
            </w:r>
            <w:r w:rsidRPr="008E6F07">
              <w:rPr>
                <w:rFonts w:eastAsia="Calibri" w:cs="Arial"/>
                <w:b/>
                <w:bCs/>
              </w:rPr>
              <w:t>CAA,</w:t>
            </w:r>
            <w:r w:rsidRPr="008E6F07">
              <w:rPr>
                <w:rFonts w:cs="Arial"/>
                <w:b/>
                <w:bCs/>
                <w:color w:val="000000"/>
              </w:rPr>
              <w:t xml:space="preserve"> 2024 (estimate based on 2023 test registration)</w:t>
            </w:r>
          </w:p>
        </w:tc>
        <w:tc>
          <w:tcPr>
            <w:tcW w:w="1980" w:type="dxa"/>
            <w:shd w:val="clear" w:color="auto" w:fill="D9D9D9"/>
            <w:tcMar>
              <w:top w:w="43" w:type="dxa"/>
              <w:left w:w="115" w:type="dxa"/>
              <w:bottom w:w="43" w:type="dxa"/>
              <w:right w:w="115" w:type="dxa"/>
            </w:tcMar>
            <w:vAlign w:val="center"/>
            <w:hideMark/>
          </w:tcPr>
          <w:p w14:paraId="79E355FB" w14:textId="77777777" w:rsidR="008E6F07" w:rsidRPr="008E6F07" w:rsidRDefault="008E6F07" w:rsidP="008E6F07">
            <w:pPr>
              <w:jc w:val="center"/>
              <w:rPr>
                <w:rFonts w:cs="Arial"/>
                <w:b/>
                <w:bCs/>
                <w:color w:val="000000"/>
              </w:rPr>
            </w:pPr>
            <w:r w:rsidRPr="008E6F07">
              <w:rPr>
                <w:rFonts w:cs="Arial"/>
                <w:b/>
                <w:bCs/>
                <w:color w:val="000000"/>
              </w:rPr>
              <w:t xml:space="preserve">Percentage of Eligible Students Assessed with </w:t>
            </w:r>
            <w:r w:rsidRPr="008E6F07">
              <w:rPr>
                <w:rFonts w:eastAsia="Calibri" w:cs="Arial"/>
                <w:b/>
                <w:bCs/>
              </w:rPr>
              <w:t>CAA,</w:t>
            </w:r>
            <w:r w:rsidRPr="008E6F07">
              <w:rPr>
                <w:rFonts w:cs="Arial"/>
                <w:b/>
                <w:bCs/>
                <w:color w:val="000000"/>
              </w:rPr>
              <w:t xml:space="preserve"> 2024 (estimate)</w:t>
            </w:r>
          </w:p>
        </w:tc>
      </w:tr>
      <w:tr w:rsidR="00507F3B" w:rsidRPr="008E6F07" w14:paraId="7DA51F8D" w14:textId="77777777" w:rsidTr="00821AD8">
        <w:trPr>
          <w:trHeight w:val="320"/>
        </w:trPr>
        <w:tc>
          <w:tcPr>
            <w:tcW w:w="2250" w:type="dxa"/>
            <w:noWrap/>
            <w:tcMar>
              <w:top w:w="43" w:type="dxa"/>
              <w:left w:w="115" w:type="dxa"/>
              <w:bottom w:w="43" w:type="dxa"/>
              <w:right w:w="115" w:type="dxa"/>
            </w:tcMar>
            <w:hideMark/>
          </w:tcPr>
          <w:p w14:paraId="735EF578" w14:textId="77777777" w:rsidR="00507F3B" w:rsidRPr="008E6F07" w:rsidRDefault="00507F3B" w:rsidP="00507F3B">
            <w:pPr>
              <w:rPr>
                <w:rFonts w:cs="Arial"/>
                <w:color w:val="000000"/>
              </w:rPr>
            </w:pPr>
            <w:r w:rsidRPr="008E6F07">
              <w:rPr>
                <w:rFonts w:cs="Arial"/>
                <w:color w:val="000000"/>
              </w:rPr>
              <w:t>All Students</w:t>
            </w:r>
          </w:p>
        </w:tc>
        <w:tc>
          <w:tcPr>
            <w:tcW w:w="1710" w:type="dxa"/>
            <w:noWrap/>
            <w:tcMar>
              <w:top w:w="43" w:type="dxa"/>
              <w:left w:w="115" w:type="dxa"/>
              <w:bottom w:w="43" w:type="dxa"/>
              <w:right w:w="115" w:type="dxa"/>
            </w:tcMar>
            <w:vAlign w:val="bottom"/>
          </w:tcPr>
          <w:p w14:paraId="1CFBEE0A" w14:textId="49CCE892" w:rsidR="00507F3B" w:rsidRPr="008E6F07" w:rsidRDefault="00507F3B" w:rsidP="00507F3B">
            <w:pPr>
              <w:tabs>
                <w:tab w:val="decimal" w:pos="1239"/>
              </w:tabs>
              <w:rPr>
                <w:rFonts w:cs="Arial"/>
                <w:color w:val="000000"/>
              </w:rPr>
            </w:pPr>
            <w:r w:rsidRPr="00B07246">
              <w:rPr>
                <w:rFonts w:cs="Arial"/>
                <w:color w:val="000000"/>
              </w:rPr>
              <w:t>1,341,082</w:t>
            </w:r>
          </w:p>
        </w:tc>
        <w:tc>
          <w:tcPr>
            <w:tcW w:w="1800" w:type="dxa"/>
            <w:noWrap/>
            <w:tcMar>
              <w:top w:w="43" w:type="dxa"/>
              <w:left w:w="115" w:type="dxa"/>
              <w:bottom w:w="43" w:type="dxa"/>
              <w:right w:w="115" w:type="dxa"/>
            </w:tcMar>
            <w:vAlign w:val="bottom"/>
          </w:tcPr>
          <w:p w14:paraId="07E7A969" w14:textId="550312B0" w:rsidR="00507F3B" w:rsidRPr="008E6F07" w:rsidRDefault="00507F3B" w:rsidP="00507F3B">
            <w:pPr>
              <w:tabs>
                <w:tab w:val="decimal" w:pos="1228"/>
              </w:tabs>
              <w:rPr>
                <w:rFonts w:cs="Arial"/>
                <w:color w:val="000000"/>
              </w:rPr>
            </w:pPr>
            <w:r w:rsidRPr="00B07246">
              <w:rPr>
                <w:rFonts w:cs="Arial"/>
                <w:color w:val="000000"/>
              </w:rPr>
              <w:t>14,573</w:t>
            </w:r>
          </w:p>
        </w:tc>
        <w:tc>
          <w:tcPr>
            <w:tcW w:w="1710" w:type="dxa"/>
            <w:noWrap/>
            <w:tcMar>
              <w:top w:w="43" w:type="dxa"/>
              <w:left w:w="115" w:type="dxa"/>
              <w:bottom w:w="43" w:type="dxa"/>
              <w:right w:w="115" w:type="dxa"/>
            </w:tcMar>
            <w:vAlign w:val="bottom"/>
          </w:tcPr>
          <w:p w14:paraId="5D5AE853" w14:textId="71F0C81F" w:rsidR="00507F3B" w:rsidRPr="008E6F07" w:rsidRDefault="00507F3B" w:rsidP="00507F3B">
            <w:pPr>
              <w:tabs>
                <w:tab w:val="decimal" w:pos="603"/>
              </w:tabs>
              <w:rPr>
                <w:rFonts w:cs="Arial"/>
                <w:color w:val="000000"/>
              </w:rPr>
            </w:pPr>
            <w:r w:rsidRPr="00B07246">
              <w:rPr>
                <w:rFonts w:cs="Arial"/>
                <w:color w:val="000000"/>
              </w:rPr>
              <w:t>1.1%</w:t>
            </w:r>
          </w:p>
        </w:tc>
        <w:tc>
          <w:tcPr>
            <w:tcW w:w="2430" w:type="dxa"/>
            <w:noWrap/>
            <w:tcMar>
              <w:top w:w="43" w:type="dxa"/>
              <w:left w:w="115" w:type="dxa"/>
              <w:bottom w:w="43" w:type="dxa"/>
              <w:right w:w="115" w:type="dxa"/>
            </w:tcMar>
            <w:vAlign w:val="bottom"/>
          </w:tcPr>
          <w:p w14:paraId="038FA76D" w14:textId="3D3A3377" w:rsidR="00507F3B" w:rsidRPr="008E6F07" w:rsidRDefault="00507F3B" w:rsidP="00507F3B">
            <w:pPr>
              <w:tabs>
                <w:tab w:val="decimal" w:pos="1601"/>
              </w:tabs>
              <w:rPr>
                <w:rFonts w:cs="Arial"/>
                <w:color w:val="000000"/>
              </w:rPr>
            </w:pPr>
            <w:r w:rsidRPr="00B07246">
              <w:rPr>
                <w:rFonts w:cs="Arial"/>
                <w:color w:val="000000"/>
              </w:rPr>
              <w:t>1,341,082</w:t>
            </w:r>
          </w:p>
        </w:tc>
        <w:tc>
          <w:tcPr>
            <w:tcW w:w="2340" w:type="dxa"/>
            <w:noWrap/>
            <w:tcMar>
              <w:top w:w="43" w:type="dxa"/>
              <w:left w:w="115" w:type="dxa"/>
              <w:bottom w:w="43" w:type="dxa"/>
              <w:right w:w="115" w:type="dxa"/>
            </w:tcMar>
            <w:vAlign w:val="bottom"/>
          </w:tcPr>
          <w:p w14:paraId="3916A9F5" w14:textId="7CD52CC6" w:rsidR="00507F3B" w:rsidRPr="008E6F07" w:rsidRDefault="00507F3B" w:rsidP="00507F3B">
            <w:pPr>
              <w:tabs>
                <w:tab w:val="decimal" w:pos="1600"/>
              </w:tabs>
              <w:rPr>
                <w:rFonts w:cs="Arial"/>
                <w:color w:val="000000"/>
              </w:rPr>
            </w:pPr>
            <w:r w:rsidRPr="00B07246">
              <w:rPr>
                <w:rFonts w:cs="Arial"/>
                <w:color w:val="000000"/>
              </w:rPr>
              <w:t>17,073</w:t>
            </w:r>
          </w:p>
        </w:tc>
        <w:tc>
          <w:tcPr>
            <w:tcW w:w="1980" w:type="dxa"/>
            <w:noWrap/>
            <w:tcMar>
              <w:top w:w="43" w:type="dxa"/>
              <w:left w:w="115" w:type="dxa"/>
              <w:bottom w:w="43" w:type="dxa"/>
              <w:right w:w="115" w:type="dxa"/>
            </w:tcMar>
            <w:vAlign w:val="bottom"/>
          </w:tcPr>
          <w:p w14:paraId="35830009" w14:textId="1923B240" w:rsidR="00507F3B" w:rsidRPr="008E6F07" w:rsidRDefault="00507F3B" w:rsidP="00507F3B">
            <w:pPr>
              <w:tabs>
                <w:tab w:val="decimal" w:pos="882"/>
              </w:tabs>
              <w:rPr>
                <w:rFonts w:cs="Arial"/>
                <w:color w:val="000000"/>
              </w:rPr>
            </w:pPr>
            <w:r w:rsidRPr="00B07246">
              <w:rPr>
                <w:rFonts w:cs="Arial"/>
                <w:color w:val="000000"/>
              </w:rPr>
              <w:t>1.3%</w:t>
            </w:r>
          </w:p>
        </w:tc>
      </w:tr>
      <w:tr w:rsidR="00507F3B" w:rsidRPr="008E6F07" w14:paraId="26765029" w14:textId="77777777" w:rsidTr="00821AD8">
        <w:trPr>
          <w:trHeight w:val="320"/>
        </w:trPr>
        <w:tc>
          <w:tcPr>
            <w:tcW w:w="2250" w:type="dxa"/>
            <w:noWrap/>
            <w:tcMar>
              <w:top w:w="43" w:type="dxa"/>
              <w:left w:w="115" w:type="dxa"/>
              <w:bottom w:w="43" w:type="dxa"/>
              <w:right w:w="115" w:type="dxa"/>
            </w:tcMar>
            <w:hideMark/>
          </w:tcPr>
          <w:p w14:paraId="42B84C99" w14:textId="77777777" w:rsidR="00507F3B" w:rsidRPr="008E6F07" w:rsidRDefault="00507F3B" w:rsidP="00507F3B">
            <w:pPr>
              <w:rPr>
                <w:rFonts w:cs="Arial"/>
                <w:color w:val="000000"/>
              </w:rPr>
            </w:pPr>
            <w:r w:rsidRPr="008E6F07">
              <w:rPr>
                <w:rFonts w:cs="Arial"/>
                <w:color w:val="000000"/>
              </w:rPr>
              <w:t>Females</w:t>
            </w:r>
          </w:p>
        </w:tc>
        <w:tc>
          <w:tcPr>
            <w:tcW w:w="1710" w:type="dxa"/>
            <w:noWrap/>
            <w:tcMar>
              <w:top w:w="43" w:type="dxa"/>
              <w:left w:w="115" w:type="dxa"/>
              <w:bottom w:w="43" w:type="dxa"/>
              <w:right w:w="115" w:type="dxa"/>
            </w:tcMar>
            <w:vAlign w:val="bottom"/>
          </w:tcPr>
          <w:p w14:paraId="335F6479" w14:textId="652BE8A6" w:rsidR="00507F3B" w:rsidRPr="008E6F07" w:rsidRDefault="00507F3B" w:rsidP="00507F3B">
            <w:pPr>
              <w:tabs>
                <w:tab w:val="decimal" w:pos="1239"/>
              </w:tabs>
              <w:rPr>
                <w:rFonts w:cs="Arial"/>
                <w:color w:val="000000"/>
              </w:rPr>
            </w:pPr>
            <w:r w:rsidRPr="00B07246">
              <w:rPr>
                <w:rFonts w:cs="Arial"/>
                <w:color w:val="000000"/>
              </w:rPr>
              <w:t>651,592</w:t>
            </w:r>
          </w:p>
        </w:tc>
        <w:tc>
          <w:tcPr>
            <w:tcW w:w="1800" w:type="dxa"/>
            <w:noWrap/>
            <w:tcMar>
              <w:top w:w="43" w:type="dxa"/>
              <w:left w:w="115" w:type="dxa"/>
              <w:bottom w:w="43" w:type="dxa"/>
              <w:right w:w="115" w:type="dxa"/>
            </w:tcMar>
            <w:vAlign w:val="bottom"/>
          </w:tcPr>
          <w:p w14:paraId="6D9E3618" w14:textId="60892788" w:rsidR="00507F3B" w:rsidRPr="008E6F07" w:rsidRDefault="00507F3B" w:rsidP="00507F3B">
            <w:pPr>
              <w:tabs>
                <w:tab w:val="decimal" w:pos="1228"/>
              </w:tabs>
              <w:rPr>
                <w:rFonts w:cs="Arial"/>
                <w:color w:val="000000"/>
              </w:rPr>
            </w:pPr>
            <w:r w:rsidRPr="00B07246">
              <w:rPr>
                <w:rFonts w:cs="Arial"/>
                <w:color w:val="000000"/>
              </w:rPr>
              <w:t>4,688</w:t>
            </w:r>
          </w:p>
        </w:tc>
        <w:tc>
          <w:tcPr>
            <w:tcW w:w="1710" w:type="dxa"/>
            <w:noWrap/>
            <w:tcMar>
              <w:top w:w="43" w:type="dxa"/>
              <w:left w:w="115" w:type="dxa"/>
              <w:bottom w:w="43" w:type="dxa"/>
              <w:right w:w="115" w:type="dxa"/>
            </w:tcMar>
            <w:vAlign w:val="bottom"/>
          </w:tcPr>
          <w:p w14:paraId="698E2323" w14:textId="08BE7695" w:rsidR="00507F3B" w:rsidRPr="008E6F07" w:rsidRDefault="00507F3B" w:rsidP="00507F3B">
            <w:pPr>
              <w:tabs>
                <w:tab w:val="decimal" w:pos="603"/>
              </w:tabs>
              <w:rPr>
                <w:rFonts w:cs="Arial"/>
                <w:color w:val="000000"/>
              </w:rPr>
            </w:pPr>
            <w:r w:rsidRPr="00B07246">
              <w:rPr>
                <w:rFonts w:cs="Arial"/>
                <w:color w:val="000000"/>
              </w:rPr>
              <w:t>0.7%</w:t>
            </w:r>
          </w:p>
        </w:tc>
        <w:tc>
          <w:tcPr>
            <w:tcW w:w="2430" w:type="dxa"/>
            <w:noWrap/>
            <w:tcMar>
              <w:top w:w="43" w:type="dxa"/>
              <w:left w:w="115" w:type="dxa"/>
              <w:bottom w:w="43" w:type="dxa"/>
              <w:right w:w="115" w:type="dxa"/>
            </w:tcMar>
            <w:vAlign w:val="bottom"/>
          </w:tcPr>
          <w:p w14:paraId="0CE6EFA0" w14:textId="0DD7F45E" w:rsidR="00507F3B" w:rsidRPr="008E6F07" w:rsidRDefault="00507F3B" w:rsidP="00507F3B">
            <w:pPr>
              <w:tabs>
                <w:tab w:val="decimal" w:pos="1601"/>
              </w:tabs>
              <w:rPr>
                <w:rFonts w:cs="Arial"/>
                <w:color w:val="000000"/>
              </w:rPr>
            </w:pPr>
            <w:r w:rsidRPr="00B07246">
              <w:rPr>
                <w:rFonts w:cs="Arial"/>
                <w:color w:val="000000"/>
              </w:rPr>
              <w:t>651,592</w:t>
            </w:r>
          </w:p>
        </w:tc>
        <w:tc>
          <w:tcPr>
            <w:tcW w:w="2340" w:type="dxa"/>
            <w:noWrap/>
            <w:tcMar>
              <w:top w:w="43" w:type="dxa"/>
              <w:left w:w="115" w:type="dxa"/>
              <w:bottom w:w="43" w:type="dxa"/>
              <w:right w:w="115" w:type="dxa"/>
            </w:tcMar>
            <w:vAlign w:val="bottom"/>
          </w:tcPr>
          <w:p w14:paraId="128394E9" w14:textId="30C68381" w:rsidR="00507F3B" w:rsidRPr="008E6F07" w:rsidRDefault="00507F3B" w:rsidP="00507F3B">
            <w:pPr>
              <w:tabs>
                <w:tab w:val="decimal" w:pos="1600"/>
              </w:tabs>
              <w:rPr>
                <w:rFonts w:cs="Arial"/>
                <w:color w:val="000000"/>
              </w:rPr>
            </w:pPr>
            <w:r w:rsidRPr="00B07246">
              <w:rPr>
                <w:rFonts w:cs="Arial"/>
                <w:color w:val="000000"/>
              </w:rPr>
              <w:t>5,525</w:t>
            </w:r>
          </w:p>
        </w:tc>
        <w:tc>
          <w:tcPr>
            <w:tcW w:w="1980" w:type="dxa"/>
            <w:noWrap/>
            <w:tcMar>
              <w:top w:w="43" w:type="dxa"/>
              <w:left w:w="115" w:type="dxa"/>
              <w:bottom w:w="43" w:type="dxa"/>
              <w:right w:w="115" w:type="dxa"/>
            </w:tcMar>
            <w:vAlign w:val="bottom"/>
          </w:tcPr>
          <w:p w14:paraId="5CF46292" w14:textId="4AAFBF09" w:rsidR="00507F3B" w:rsidRPr="008E6F07" w:rsidRDefault="00507F3B" w:rsidP="00507F3B">
            <w:pPr>
              <w:tabs>
                <w:tab w:val="decimal" w:pos="882"/>
              </w:tabs>
              <w:rPr>
                <w:rFonts w:cs="Arial"/>
                <w:color w:val="000000"/>
              </w:rPr>
            </w:pPr>
            <w:r w:rsidRPr="00B07246">
              <w:rPr>
                <w:rFonts w:cs="Arial"/>
                <w:color w:val="000000"/>
              </w:rPr>
              <w:t>0.8%</w:t>
            </w:r>
          </w:p>
        </w:tc>
      </w:tr>
      <w:tr w:rsidR="00507F3B" w:rsidRPr="008E6F07" w14:paraId="3F114809" w14:textId="77777777" w:rsidTr="00821AD8">
        <w:trPr>
          <w:trHeight w:val="320"/>
        </w:trPr>
        <w:tc>
          <w:tcPr>
            <w:tcW w:w="2250" w:type="dxa"/>
            <w:noWrap/>
            <w:tcMar>
              <w:top w:w="43" w:type="dxa"/>
              <w:left w:w="115" w:type="dxa"/>
              <w:bottom w:w="43" w:type="dxa"/>
              <w:right w:w="115" w:type="dxa"/>
            </w:tcMar>
            <w:hideMark/>
          </w:tcPr>
          <w:p w14:paraId="23EDF58F" w14:textId="77777777" w:rsidR="00507F3B" w:rsidRPr="008E6F07" w:rsidRDefault="00507F3B" w:rsidP="00507F3B">
            <w:pPr>
              <w:rPr>
                <w:rFonts w:cs="Arial"/>
                <w:color w:val="000000"/>
              </w:rPr>
            </w:pPr>
            <w:r w:rsidRPr="008E6F07">
              <w:rPr>
                <w:rFonts w:cs="Arial"/>
                <w:color w:val="000000"/>
              </w:rPr>
              <w:t>Males</w:t>
            </w:r>
          </w:p>
        </w:tc>
        <w:tc>
          <w:tcPr>
            <w:tcW w:w="1710" w:type="dxa"/>
            <w:noWrap/>
            <w:tcMar>
              <w:top w:w="43" w:type="dxa"/>
              <w:left w:w="115" w:type="dxa"/>
              <w:bottom w:w="43" w:type="dxa"/>
              <w:right w:w="115" w:type="dxa"/>
            </w:tcMar>
            <w:vAlign w:val="bottom"/>
          </w:tcPr>
          <w:p w14:paraId="7AF23F6B" w14:textId="43DC9DD1" w:rsidR="00507F3B" w:rsidRPr="008E6F07" w:rsidRDefault="00507F3B" w:rsidP="00507F3B">
            <w:pPr>
              <w:tabs>
                <w:tab w:val="decimal" w:pos="1239"/>
              </w:tabs>
              <w:rPr>
                <w:rFonts w:cs="Arial"/>
                <w:color w:val="000000"/>
              </w:rPr>
            </w:pPr>
            <w:r w:rsidRPr="00B07246">
              <w:rPr>
                <w:rFonts w:cs="Arial"/>
                <w:color w:val="000000"/>
              </w:rPr>
              <w:t>688,110</w:t>
            </w:r>
          </w:p>
        </w:tc>
        <w:tc>
          <w:tcPr>
            <w:tcW w:w="1800" w:type="dxa"/>
            <w:noWrap/>
            <w:tcMar>
              <w:top w:w="43" w:type="dxa"/>
              <w:left w:w="115" w:type="dxa"/>
              <w:bottom w:w="43" w:type="dxa"/>
              <w:right w:w="115" w:type="dxa"/>
            </w:tcMar>
            <w:vAlign w:val="bottom"/>
          </w:tcPr>
          <w:p w14:paraId="3A77EF39" w14:textId="019F445B" w:rsidR="00507F3B" w:rsidRPr="008E6F07" w:rsidRDefault="00507F3B" w:rsidP="00507F3B">
            <w:pPr>
              <w:tabs>
                <w:tab w:val="decimal" w:pos="1228"/>
              </w:tabs>
              <w:rPr>
                <w:rFonts w:cs="Arial"/>
                <w:color w:val="000000"/>
              </w:rPr>
            </w:pPr>
            <w:r w:rsidRPr="00B07246">
              <w:rPr>
                <w:rFonts w:cs="Arial"/>
                <w:color w:val="000000"/>
              </w:rPr>
              <w:t>9,884</w:t>
            </w:r>
          </w:p>
        </w:tc>
        <w:tc>
          <w:tcPr>
            <w:tcW w:w="1710" w:type="dxa"/>
            <w:noWrap/>
            <w:tcMar>
              <w:top w:w="43" w:type="dxa"/>
              <w:left w:w="115" w:type="dxa"/>
              <w:bottom w:w="43" w:type="dxa"/>
              <w:right w:w="115" w:type="dxa"/>
            </w:tcMar>
            <w:vAlign w:val="bottom"/>
          </w:tcPr>
          <w:p w14:paraId="26212138" w14:textId="560DF9F9" w:rsidR="00507F3B" w:rsidRPr="008E6F07" w:rsidRDefault="00507F3B" w:rsidP="00507F3B">
            <w:pPr>
              <w:tabs>
                <w:tab w:val="decimal" w:pos="603"/>
              </w:tabs>
              <w:rPr>
                <w:rFonts w:cs="Arial"/>
                <w:color w:val="000000"/>
              </w:rPr>
            </w:pPr>
            <w:r w:rsidRPr="00B07246">
              <w:rPr>
                <w:rFonts w:cs="Arial"/>
                <w:color w:val="000000"/>
              </w:rPr>
              <w:t>1.4%</w:t>
            </w:r>
          </w:p>
        </w:tc>
        <w:tc>
          <w:tcPr>
            <w:tcW w:w="2430" w:type="dxa"/>
            <w:noWrap/>
            <w:tcMar>
              <w:top w:w="43" w:type="dxa"/>
              <w:left w:w="115" w:type="dxa"/>
              <w:bottom w:w="43" w:type="dxa"/>
              <w:right w:w="115" w:type="dxa"/>
            </w:tcMar>
            <w:vAlign w:val="bottom"/>
          </w:tcPr>
          <w:p w14:paraId="60042E12" w14:textId="713BB805" w:rsidR="00507F3B" w:rsidRPr="008E6F07" w:rsidRDefault="00507F3B" w:rsidP="00507F3B">
            <w:pPr>
              <w:tabs>
                <w:tab w:val="decimal" w:pos="1601"/>
              </w:tabs>
              <w:rPr>
                <w:rFonts w:cs="Arial"/>
                <w:color w:val="000000"/>
              </w:rPr>
            </w:pPr>
            <w:r w:rsidRPr="00B07246">
              <w:rPr>
                <w:rFonts w:cs="Arial"/>
                <w:color w:val="000000"/>
              </w:rPr>
              <w:t>688,110</w:t>
            </w:r>
          </w:p>
        </w:tc>
        <w:tc>
          <w:tcPr>
            <w:tcW w:w="2340" w:type="dxa"/>
            <w:noWrap/>
            <w:tcMar>
              <w:top w:w="43" w:type="dxa"/>
              <w:left w:w="115" w:type="dxa"/>
              <w:bottom w:w="43" w:type="dxa"/>
              <w:right w:w="115" w:type="dxa"/>
            </w:tcMar>
            <w:vAlign w:val="bottom"/>
          </w:tcPr>
          <w:p w14:paraId="1B684261" w14:textId="1B0F9912" w:rsidR="00507F3B" w:rsidRPr="008E6F07" w:rsidRDefault="00507F3B" w:rsidP="00507F3B">
            <w:pPr>
              <w:tabs>
                <w:tab w:val="decimal" w:pos="1600"/>
              </w:tabs>
              <w:rPr>
                <w:rFonts w:cs="Arial"/>
                <w:color w:val="000000"/>
              </w:rPr>
            </w:pPr>
            <w:r w:rsidRPr="00B07246">
              <w:rPr>
                <w:rFonts w:cs="Arial"/>
                <w:color w:val="000000"/>
              </w:rPr>
              <w:t>11,546</w:t>
            </w:r>
          </w:p>
        </w:tc>
        <w:tc>
          <w:tcPr>
            <w:tcW w:w="1980" w:type="dxa"/>
            <w:noWrap/>
            <w:tcMar>
              <w:top w:w="43" w:type="dxa"/>
              <w:left w:w="115" w:type="dxa"/>
              <w:bottom w:w="43" w:type="dxa"/>
              <w:right w:w="115" w:type="dxa"/>
            </w:tcMar>
            <w:vAlign w:val="bottom"/>
          </w:tcPr>
          <w:p w14:paraId="09C754EA" w14:textId="407007C1" w:rsidR="00507F3B" w:rsidRPr="008E6F07" w:rsidRDefault="00507F3B" w:rsidP="00507F3B">
            <w:pPr>
              <w:tabs>
                <w:tab w:val="decimal" w:pos="882"/>
              </w:tabs>
              <w:rPr>
                <w:rFonts w:cs="Arial"/>
                <w:color w:val="000000"/>
              </w:rPr>
            </w:pPr>
            <w:r w:rsidRPr="00B07246">
              <w:rPr>
                <w:rFonts w:cs="Arial"/>
                <w:color w:val="000000"/>
              </w:rPr>
              <w:t>1.7%</w:t>
            </w:r>
          </w:p>
        </w:tc>
      </w:tr>
      <w:tr w:rsidR="00507F3B" w:rsidRPr="008E6F07" w14:paraId="52037791" w14:textId="77777777" w:rsidTr="00821AD8">
        <w:trPr>
          <w:trHeight w:val="320"/>
        </w:trPr>
        <w:tc>
          <w:tcPr>
            <w:tcW w:w="2250" w:type="dxa"/>
            <w:noWrap/>
            <w:tcMar>
              <w:top w:w="43" w:type="dxa"/>
              <w:left w:w="115" w:type="dxa"/>
              <w:bottom w:w="43" w:type="dxa"/>
              <w:right w:w="115" w:type="dxa"/>
            </w:tcMar>
            <w:hideMark/>
          </w:tcPr>
          <w:p w14:paraId="15054F7F" w14:textId="77777777" w:rsidR="00507F3B" w:rsidRPr="008E6F07" w:rsidRDefault="00507F3B" w:rsidP="00507F3B">
            <w:pPr>
              <w:rPr>
                <w:rFonts w:cs="Arial"/>
                <w:color w:val="000000"/>
              </w:rPr>
            </w:pPr>
            <w:r w:rsidRPr="008E6F07">
              <w:rPr>
                <w:rFonts w:cs="Arial"/>
                <w:color w:val="000000"/>
              </w:rPr>
              <w:t>Black</w:t>
            </w:r>
          </w:p>
        </w:tc>
        <w:tc>
          <w:tcPr>
            <w:tcW w:w="1710" w:type="dxa"/>
            <w:noWrap/>
            <w:tcMar>
              <w:top w:w="43" w:type="dxa"/>
              <w:left w:w="115" w:type="dxa"/>
              <w:bottom w:w="43" w:type="dxa"/>
              <w:right w:w="115" w:type="dxa"/>
            </w:tcMar>
            <w:vAlign w:val="bottom"/>
          </w:tcPr>
          <w:p w14:paraId="07C786E5" w14:textId="45D6852B" w:rsidR="00507F3B" w:rsidRPr="008E6F07" w:rsidRDefault="00507F3B" w:rsidP="00507F3B">
            <w:pPr>
              <w:tabs>
                <w:tab w:val="decimal" w:pos="1239"/>
              </w:tabs>
              <w:rPr>
                <w:rFonts w:cs="Arial"/>
                <w:color w:val="000000"/>
              </w:rPr>
            </w:pPr>
            <w:r w:rsidRPr="00B07246">
              <w:rPr>
                <w:rFonts w:cs="Arial"/>
                <w:color w:val="000000"/>
              </w:rPr>
              <w:t>66,017</w:t>
            </w:r>
          </w:p>
        </w:tc>
        <w:tc>
          <w:tcPr>
            <w:tcW w:w="1800" w:type="dxa"/>
            <w:noWrap/>
            <w:tcMar>
              <w:top w:w="43" w:type="dxa"/>
              <w:left w:w="115" w:type="dxa"/>
              <w:bottom w:w="43" w:type="dxa"/>
              <w:right w:w="115" w:type="dxa"/>
            </w:tcMar>
            <w:vAlign w:val="bottom"/>
          </w:tcPr>
          <w:p w14:paraId="0C8EA4CF" w14:textId="51BFAB25" w:rsidR="00507F3B" w:rsidRPr="008E6F07" w:rsidRDefault="00507F3B" w:rsidP="00507F3B">
            <w:pPr>
              <w:tabs>
                <w:tab w:val="decimal" w:pos="1228"/>
              </w:tabs>
              <w:rPr>
                <w:rFonts w:cs="Arial"/>
                <w:color w:val="000000"/>
              </w:rPr>
            </w:pPr>
            <w:r w:rsidRPr="00B07246">
              <w:rPr>
                <w:rFonts w:cs="Arial"/>
                <w:color w:val="000000"/>
              </w:rPr>
              <w:t>1,132</w:t>
            </w:r>
          </w:p>
        </w:tc>
        <w:tc>
          <w:tcPr>
            <w:tcW w:w="1710" w:type="dxa"/>
            <w:noWrap/>
            <w:tcMar>
              <w:top w:w="43" w:type="dxa"/>
              <w:left w:w="115" w:type="dxa"/>
              <w:bottom w:w="43" w:type="dxa"/>
              <w:right w:w="115" w:type="dxa"/>
            </w:tcMar>
            <w:vAlign w:val="bottom"/>
          </w:tcPr>
          <w:p w14:paraId="575553B8" w14:textId="41159331" w:rsidR="00507F3B" w:rsidRPr="008E6F07" w:rsidRDefault="00507F3B" w:rsidP="00507F3B">
            <w:pPr>
              <w:tabs>
                <w:tab w:val="decimal" w:pos="603"/>
              </w:tabs>
              <w:rPr>
                <w:rFonts w:cs="Arial"/>
                <w:color w:val="000000"/>
              </w:rPr>
            </w:pPr>
            <w:r w:rsidRPr="00B07246">
              <w:rPr>
                <w:rFonts w:cs="Arial"/>
                <w:color w:val="000000"/>
              </w:rPr>
              <w:t>1.7%</w:t>
            </w:r>
          </w:p>
        </w:tc>
        <w:tc>
          <w:tcPr>
            <w:tcW w:w="2430" w:type="dxa"/>
            <w:noWrap/>
            <w:tcMar>
              <w:top w:w="43" w:type="dxa"/>
              <w:left w:w="115" w:type="dxa"/>
              <w:bottom w:w="43" w:type="dxa"/>
              <w:right w:w="115" w:type="dxa"/>
            </w:tcMar>
            <w:vAlign w:val="bottom"/>
          </w:tcPr>
          <w:p w14:paraId="7F798E5C" w14:textId="73BC9617" w:rsidR="00507F3B" w:rsidRPr="008E6F07" w:rsidRDefault="00507F3B" w:rsidP="00507F3B">
            <w:pPr>
              <w:tabs>
                <w:tab w:val="decimal" w:pos="1601"/>
              </w:tabs>
              <w:rPr>
                <w:rFonts w:cs="Arial"/>
                <w:color w:val="000000"/>
              </w:rPr>
            </w:pPr>
            <w:r w:rsidRPr="00B07246">
              <w:rPr>
                <w:rFonts w:cs="Arial"/>
                <w:color w:val="000000"/>
              </w:rPr>
              <w:t>66,017</w:t>
            </w:r>
          </w:p>
        </w:tc>
        <w:tc>
          <w:tcPr>
            <w:tcW w:w="2340" w:type="dxa"/>
            <w:noWrap/>
            <w:tcMar>
              <w:top w:w="43" w:type="dxa"/>
              <w:left w:w="115" w:type="dxa"/>
              <w:bottom w:w="43" w:type="dxa"/>
              <w:right w:w="115" w:type="dxa"/>
            </w:tcMar>
            <w:vAlign w:val="bottom"/>
          </w:tcPr>
          <w:p w14:paraId="75575B6D" w14:textId="24D6E1A6" w:rsidR="00507F3B" w:rsidRPr="008E6F07" w:rsidRDefault="00507F3B" w:rsidP="00507F3B">
            <w:pPr>
              <w:tabs>
                <w:tab w:val="decimal" w:pos="1600"/>
              </w:tabs>
              <w:rPr>
                <w:rFonts w:cs="Arial"/>
                <w:color w:val="000000"/>
              </w:rPr>
            </w:pPr>
            <w:r w:rsidRPr="00B07246">
              <w:rPr>
                <w:rFonts w:cs="Arial"/>
                <w:color w:val="000000"/>
              </w:rPr>
              <w:t>1,347</w:t>
            </w:r>
          </w:p>
        </w:tc>
        <w:tc>
          <w:tcPr>
            <w:tcW w:w="1980" w:type="dxa"/>
            <w:noWrap/>
            <w:tcMar>
              <w:top w:w="43" w:type="dxa"/>
              <w:left w:w="115" w:type="dxa"/>
              <w:bottom w:w="43" w:type="dxa"/>
              <w:right w:w="115" w:type="dxa"/>
            </w:tcMar>
            <w:vAlign w:val="bottom"/>
          </w:tcPr>
          <w:p w14:paraId="335B561D" w14:textId="629B695B" w:rsidR="00507F3B" w:rsidRPr="008E6F07" w:rsidRDefault="00507F3B" w:rsidP="00507F3B">
            <w:pPr>
              <w:tabs>
                <w:tab w:val="decimal" w:pos="882"/>
              </w:tabs>
              <w:rPr>
                <w:rFonts w:cs="Arial"/>
                <w:color w:val="000000"/>
              </w:rPr>
            </w:pPr>
            <w:r w:rsidRPr="00B07246">
              <w:rPr>
                <w:rFonts w:cs="Arial"/>
                <w:color w:val="000000"/>
              </w:rPr>
              <w:t>2.0%</w:t>
            </w:r>
          </w:p>
        </w:tc>
      </w:tr>
      <w:tr w:rsidR="00507F3B" w:rsidRPr="008E6F07" w14:paraId="4087ED99" w14:textId="77777777" w:rsidTr="00821AD8">
        <w:trPr>
          <w:trHeight w:val="320"/>
        </w:trPr>
        <w:tc>
          <w:tcPr>
            <w:tcW w:w="2250" w:type="dxa"/>
            <w:noWrap/>
            <w:tcMar>
              <w:top w:w="43" w:type="dxa"/>
              <w:left w:w="115" w:type="dxa"/>
              <w:bottom w:w="43" w:type="dxa"/>
              <w:right w:w="115" w:type="dxa"/>
            </w:tcMar>
            <w:hideMark/>
          </w:tcPr>
          <w:p w14:paraId="6A0ED821" w14:textId="77777777" w:rsidR="00507F3B" w:rsidRPr="008E6F07" w:rsidRDefault="00507F3B" w:rsidP="00507F3B">
            <w:pPr>
              <w:rPr>
                <w:rFonts w:cs="Arial"/>
                <w:color w:val="000000"/>
              </w:rPr>
            </w:pPr>
            <w:r w:rsidRPr="008E6F07">
              <w:rPr>
                <w:rFonts w:cs="Arial"/>
                <w:color w:val="000000"/>
              </w:rPr>
              <w:t>Hispanic</w:t>
            </w:r>
          </w:p>
        </w:tc>
        <w:tc>
          <w:tcPr>
            <w:tcW w:w="1710" w:type="dxa"/>
            <w:noWrap/>
            <w:tcMar>
              <w:top w:w="43" w:type="dxa"/>
              <w:left w:w="115" w:type="dxa"/>
              <w:bottom w:w="43" w:type="dxa"/>
              <w:right w:w="115" w:type="dxa"/>
            </w:tcMar>
            <w:vAlign w:val="bottom"/>
          </w:tcPr>
          <w:p w14:paraId="56865DC0" w14:textId="10B64D78" w:rsidR="00507F3B" w:rsidRPr="008E6F07" w:rsidRDefault="00507F3B" w:rsidP="00507F3B">
            <w:pPr>
              <w:tabs>
                <w:tab w:val="decimal" w:pos="1239"/>
              </w:tabs>
              <w:rPr>
                <w:rFonts w:cs="Arial"/>
                <w:color w:val="000000"/>
              </w:rPr>
            </w:pPr>
            <w:r w:rsidRPr="00B07246">
              <w:rPr>
                <w:rFonts w:cs="Arial"/>
                <w:color w:val="000000"/>
              </w:rPr>
              <w:t>759,131</w:t>
            </w:r>
          </w:p>
        </w:tc>
        <w:tc>
          <w:tcPr>
            <w:tcW w:w="1800" w:type="dxa"/>
            <w:noWrap/>
            <w:tcMar>
              <w:top w:w="43" w:type="dxa"/>
              <w:left w:w="115" w:type="dxa"/>
              <w:bottom w:w="43" w:type="dxa"/>
              <w:right w:w="115" w:type="dxa"/>
            </w:tcMar>
            <w:vAlign w:val="bottom"/>
          </w:tcPr>
          <w:p w14:paraId="7BC780F0" w14:textId="3CC6A4B3" w:rsidR="00507F3B" w:rsidRPr="008E6F07" w:rsidRDefault="00507F3B" w:rsidP="00507F3B">
            <w:pPr>
              <w:tabs>
                <w:tab w:val="decimal" w:pos="1228"/>
              </w:tabs>
              <w:rPr>
                <w:rFonts w:cs="Arial"/>
                <w:color w:val="000000"/>
              </w:rPr>
            </w:pPr>
            <w:r w:rsidRPr="00B07246">
              <w:rPr>
                <w:rFonts w:cs="Arial"/>
                <w:color w:val="000000"/>
              </w:rPr>
              <w:t>8,672</w:t>
            </w:r>
          </w:p>
        </w:tc>
        <w:tc>
          <w:tcPr>
            <w:tcW w:w="1710" w:type="dxa"/>
            <w:noWrap/>
            <w:tcMar>
              <w:top w:w="43" w:type="dxa"/>
              <w:left w:w="115" w:type="dxa"/>
              <w:bottom w:w="43" w:type="dxa"/>
              <w:right w:w="115" w:type="dxa"/>
            </w:tcMar>
            <w:vAlign w:val="bottom"/>
          </w:tcPr>
          <w:p w14:paraId="2FAA707F" w14:textId="2BA93208" w:rsidR="00507F3B" w:rsidRPr="008E6F07" w:rsidRDefault="00507F3B" w:rsidP="00507F3B">
            <w:pPr>
              <w:tabs>
                <w:tab w:val="decimal" w:pos="603"/>
              </w:tabs>
              <w:rPr>
                <w:rFonts w:cs="Arial"/>
                <w:color w:val="000000"/>
              </w:rPr>
            </w:pPr>
            <w:r w:rsidRPr="00B07246">
              <w:rPr>
                <w:rFonts w:cs="Arial"/>
                <w:color w:val="000000"/>
              </w:rPr>
              <w:t>1.1%</w:t>
            </w:r>
          </w:p>
        </w:tc>
        <w:tc>
          <w:tcPr>
            <w:tcW w:w="2430" w:type="dxa"/>
            <w:noWrap/>
            <w:tcMar>
              <w:top w:w="43" w:type="dxa"/>
              <w:left w:w="115" w:type="dxa"/>
              <w:bottom w:w="43" w:type="dxa"/>
              <w:right w:w="115" w:type="dxa"/>
            </w:tcMar>
            <w:vAlign w:val="bottom"/>
          </w:tcPr>
          <w:p w14:paraId="38AA94F9" w14:textId="14F12FEE" w:rsidR="00507F3B" w:rsidRPr="008E6F07" w:rsidRDefault="00507F3B" w:rsidP="00507F3B">
            <w:pPr>
              <w:tabs>
                <w:tab w:val="decimal" w:pos="1601"/>
              </w:tabs>
              <w:rPr>
                <w:rFonts w:cs="Arial"/>
                <w:color w:val="000000"/>
              </w:rPr>
            </w:pPr>
            <w:r w:rsidRPr="00B07246">
              <w:rPr>
                <w:rFonts w:cs="Arial"/>
                <w:color w:val="000000"/>
              </w:rPr>
              <w:t>759,131</w:t>
            </w:r>
          </w:p>
        </w:tc>
        <w:tc>
          <w:tcPr>
            <w:tcW w:w="2340" w:type="dxa"/>
            <w:noWrap/>
            <w:tcMar>
              <w:top w:w="43" w:type="dxa"/>
              <w:left w:w="115" w:type="dxa"/>
              <w:bottom w:w="43" w:type="dxa"/>
              <w:right w:w="115" w:type="dxa"/>
            </w:tcMar>
            <w:vAlign w:val="bottom"/>
          </w:tcPr>
          <w:p w14:paraId="0321F053" w14:textId="03C87AD5" w:rsidR="00507F3B" w:rsidRPr="008E6F07" w:rsidRDefault="00507F3B" w:rsidP="00507F3B">
            <w:pPr>
              <w:tabs>
                <w:tab w:val="decimal" w:pos="1600"/>
              </w:tabs>
              <w:rPr>
                <w:rFonts w:cs="Arial"/>
                <w:color w:val="000000"/>
              </w:rPr>
            </w:pPr>
            <w:r w:rsidRPr="00B07246">
              <w:rPr>
                <w:rFonts w:cs="Arial"/>
                <w:color w:val="000000"/>
              </w:rPr>
              <w:t>9,877</w:t>
            </w:r>
          </w:p>
        </w:tc>
        <w:tc>
          <w:tcPr>
            <w:tcW w:w="1980" w:type="dxa"/>
            <w:noWrap/>
            <w:tcMar>
              <w:top w:w="43" w:type="dxa"/>
              <w:left w:w="115" w:type="dxa"/>
              <w:bottom w:w="43" w:type="dxa"/>
              <w:right w:w="115" w:type="dxa"/>
            </w:tcMar>
            <w:vAlign w:val="bottom"/>
          </w:tcPr>
          <w:p w14:paraId="480D47CA" w14:textId="3D1CE7CA" w:rsidR="00507F3B" w:rsidRPr="008E6F07" w:rsidRDefault="00507F3B" w:rsidP="00507F3B">
            <w:pPr>
              <w:tabs>
                <w:tab w:val="decimal" w:pos="882"/>
              </w:tabs>
              <w:rPr>
                <w:rFonts w:cs="Arial"/>
                <w:color w:val="000000"/>
              </w:rPr>
            </w:pPr>
            <w:r w:rsidRPr="00B07246">
              <w:rPr>
                <w:rFonts w:cs="Arial"/>
                <w:color w:val="000000"/>
              </w:rPr>
              <w:t>1.3%</w:t>
            </w:r>
          </w:p>
        </w:tc>
      </w:tr>
      <w:tr w:rsidR="00507F3B" w:rsidRPr="008E6F07" w14:paraId="5216EE91" w14:textId="77777777" w:rsidTr="00821AD8">
        <w:trPr>
          <w:trHeight w:val="320"/>
        </w:trPr>
        <w:tc>
          <w:tcPr>
            <w:tcW w:w="2250" w:type="dxa"/>
            <w:noWrap/>
            <w:tcMar>
              <w:top w:w="43" w:type="dxa"/>
              <w:left w:w="115" w:type="dxa"/>
              <w:bottom w:w="43" w:type="dxa"/>
              <w:right w:w="115" w:type="dxa"/>
            </w:tcMar>
            <w:hideMark/>
          </w:tcPr>
          <w:p w14:paraId="39B2CF90" w14:textId="77777777" w:rsidR="00507F3B" w:rsidRPr="008E6F07" w:rsidRDefault="00507F3B" w:rsidP="00507F3B">
            <w:pPr>
              <w:rPr>
                <w:rFonts w:cs="Arial"/>
                <w:color w:val="000000"/>
              </w:rPr>
            </w:pPr>
            <w:r w:rsidRPr="008E6F07">
              <w:rPr>
                <w:rFonts w:cs="Arial"/>
                <w:color w:val="000000"/>
              </w:rPr>
              <w:t>Asian</w:t>
            </w:r>
          </w:p>
        </w:tc>
        <w:tc>
          <w:tcPr>
            <w:tcW w:w="1710" w:type="dxa"/>
            <w:noWrap/>
            <w:tcMar>
              <w:top w:w="43" w:type="dxa"/>
              <w:left w:w="115" w:type="dxa"/>
              <w:bottom w:w="43" w:type="dxa"/>
              <w:right w:w="115" w:type="dxa"/>
            </w:tcMar>
            <w:vAlign w:val="bottom"/>
          </w:tcPr>
          <w:p w14:paraId="1BD19E02" w14:textId="1E56BBE5" w:rsidR="00507F3B" w:rsidRPr="008E6F07" w:rsidRDefault="00507F3B" w:rsidP="00507F3B">
            <w:pPr>
              <w:tabs>
                <w:tab w:val="decimal" w:pos="1239"/>
              </w:tabs>
              <w:rPr>
                <w:rFonts w:cs="Arial"/>
                <w:color w:val="000000"/>
              </w:rPr>
            </w:pPr>
            <w:r w:rsidRPr="00B07246">
              <w:rPr>
                <w:rFonts w:cs="Arial"/>
                <w:color w:val="000000"/>
              </w:rPr>
              <w:t>131,720</w:t>
            </w:r>
          </w:p>
        </w:tc>
        <w:tc>
          <w:tcPr>
            <w:tcW w:w="1800" w:type="dxa"/>
            <w:noWrap/>
            <w:tcMar>
              <w:top w:w="43" w:type="dxa"/>
              <w:left w:w="115" w:type="dxa"/>
              <w:bottom w:w="43" w:type="dxa"/>
              <w:right w:w="115" w:type="dxa"/>
            </w:tcMar>
            <w:vAlign w:val="bottom"/>
          </w:tcPr>
          <w:p w14:paraId="53A76C45" w14:textId="007304C1" w:rsidR="00507F3B" w:rsidRPr="008E6F07" w:rsidRDefault="00507F3B" w:rsidP="00507F3B">
            <w:pPr>
              <w:tabs>
                <w:tab w:val="decimal" w:pos="1228"/>
              </w:tabs>
              <w:rPr>
                <w:rFonts w:cs="Arial"/>
                <w:color w:val="000000"/>
              </w:rPr>
            </w:pPr>
            <w:r w:rsidRPr="00B07246">
              <w:rPr>
                <w:rFonts w:cs="Arial"/>
                <w:color w:val="000000"/>
              </w:rPr>
              <w:t>1,228</w:t>
            </w:r>
          </w:p>
        </w:tc>
        <w:tc>
          <w:tcPr>
            <w:tcW w:w="1710" w:type="dxa"/>
            <w:noWrap/>
            <w:tcMar>
              <w:top w:w="43" w:type="dxa"/>
              <w:left w:w="115" w:type="dxa"/>
              <w:bottom w:w="43" w:type="dxa"/>
              <w:right w:w="115" w:type="dxa"/>
            </w:tcMar>
            <w:vAlign w:val="bottom"/>
          </w:tcPr>
          <w:p w14:paraId="58F18016" w14:textId="578A1B4E" w:rsidR="00507F3B" w:rsidRPr="008E6F07" w:rsidRDefault="00507F3B" w:rsidP="00507F3B">
            <w:pPr>
              <w:tabs>
                <w:tab w:val="decimal" w:pos="603"/>
              </w:tabs>
              <w:rPr>
                <w:rFonts w:cs="Arial"/>
                <w:color w:val="000000"/>
              </w:rPr>
            </w:pPr>
            <w:r w:rsidRPr="00B07246">
              <w:rPr>
                <w:rFonts w:cs="Arial"/>
                <w:color w:val="000000"/>
              </w:rPr>
              <w:t>0.9%</w:t>
            </w:r>
          </w:p>
        </w:tc>
        <w:tc>
          <w:tcPr>
            <w:tcW w:w="2430" w:type="dxa"/>
            <w:noWrap/>
            <w:tcMar>
              <w:top w:w="43" w:type="dxa"/>
              <w:left w:w="115" w:type="dxa"/>
              <w:bottom w:w="43" w:type="dxa"/>
              <w:right w:w="115" w:type="dxa"/>
            </w:tcMar>
            <w:vAlign w:val="bottom"/>
          </w:tcPr>
          <w:p w14:paraId="43CBB0D9" w14:textId="68466C35" w:rsidR="00507F3B" w:rsidRPr="008E6F07" w:rsidRDefault="00507F3B" w:rsidP="00507F3B">
            <w:pPr>
              <w:tabs>
                <w:tab w:val="decimal" w:pos="1601"/>
              </w:tabs>
              <w:rPr>
                <w:rFonts w:cs="Arial"/>
                <w:color w:val="000000"/>
              </w:rPr>
            </w:pPr>
            <w:r w:rsidRPr="00B07246">
              <w:rPr>
                <w:rFonts w:cs="Arial"/>
                <w:color w:val="000000"/>
              </w:rPr>
              <w:t>131,720</w:t>
            </w:r>
          </w:p>
        </w:tc>
        <w:tc>
          <w:tcPr>
            <w:tcW w:w="2340" w:type="dxa"/>
            <w:noWrap/>
            <w:tcMar>
              <w:top w:w="43" w:type="dxa"/>
              <w:left w:w="115" w:type="dxa"/>
              <w:bottom w:w="43" w:type="dxa"/>
              <w:right w:w="115" w:type="dxa"/>
            </w:tcMar>
            <w:vAlign w:val="bottom"/>
          </w:tcPr>
          <w:p w14:paraId="784C3B09" w14:textId="70B20FA2" w:rsidR="00507F3B" w:rsidRPr="008E6F07" w:rsidRDefault="00507F3B" w:rsidP="00507F3B">
            <w:pPr>
              <w:tabs>
                <w:tab w:val="decimal" w:pos="1600"/>
              </w:tabs>
              <w:rPr>
                <w:rFonts w:cs="Arial"/>
                <w:color w:val="000000"/>
              </w:rPr>
            </w:pPr>
            <w:r w:rsidRPr="00B07246">
              <w:rPr>
                <w:rFonts w:cs="Arial"/>
                <w:color w:val="000000"/>
              </w:rPr>
              <w:t>1,478</w:t>
            </w:r>
          </w:p>
        </w:tc>
        <w:tc>
          <w:tcPr>
            <w:tcW w:w="1980" w:type="dxa"/>
            <w:noWrap/>
            <w:tcMar>
              <w:top w:w="43" w:type="dxa"/>
              <w:left w:w="115" w:type="dxa"/>
              <w:bottom w:w="43" w:type="dxa"/>
              <w:right w:w="115" w:type="dxa"/>
            </w:tcMar>
            <w:vAlign w:val="bottom"/>
          </w:tcPr>
          <w:p w14:paraId="1F81D00B" w14:textId="7A0EA6A5" w:rsidR="00507F3B" w:rsidRPr="008E6F07" w:rsidRDefault="00507F3B" w:rsidP="00507F3B">
            <w:pPr>
              <w:tabs>
                <w:tab w:val="decimal" w:pos="882"/>
              </w:tabs>
              <w:rPr>
                <w:rFonts w:cs="Arial"/>
                <w:color w:val="000000"/>
              </w:rPr>
            </w:pPr>
            <w:r w:rsidRPr="00B07246">
              <w:rPr>
                <w:rFonts w:cs="Arial"/>
                <w:color w:val="000000"/>
              </w:rPr>
              <w:t>1.1%</w:t>
            </w:r>
          </w:p>
        </w:tc>
      </w:tr>
      <w:tr w:rsidR="00507F3B" w:rsidRPr="008E6F07" w14:paraId="2E2FBBC7" w14:textId="77777777" w:rsidTr="00821AD8">
        <w:trPr>
          <w:trHeight w:val="320"/>
        </w:trPr>
        <w:tc>
          <w:tcPr>
            <w:tcW w:w="2250" w:type="dxa"/>
            <w:noWrap/>
            <w:tcMar>
              <w:top w:w="43" w:type="dxa"/>
              <w:left w:w="115" w:type="dxa"/>
              <w:bottom w:w="43" w:type="dxa"/>
              <w:right w:w="115" w:type="dxa"/>
            </w:tcMar>
            <w:hideMark/>
          </w:tcPr>
          <w:p w14:paraId="54CB0FD5" w14:textId="77777777" w:rsidR="00507F3B" w:rsidRPr="008E6F07" w:rsidRDefault="00507F3B" w:rsidP="00507F3B">
            <w:pPr>
              <w:rPr>
                <w:rFonts w:cs="Arial"/>
                <w:color w:val="000000"/>
              </w:rPr>
            </w:pPr>
            <w:r w:rsidRPr="008E6F07">
              <w:rPr>
                <w:rFonts w:cs="Arial"/>
                <w:color w:val="000000"/>
              </w:rPr>
              <w:t>White</w:t>
            </w:r>
          </w:p>
        </w:tc>
        <w:tc>
          <w:tcPr>
            <w:tcW w:w="1710" w:type="dxa"/>
            <w:noWrap/>
            <w:tcMar>
              <w:top w:w="43" w:type="dxa"/>
              <w:left w:w="115" w:type="dxa"/>
              <w:bottom w:w="43" w:type="dxa"/>
              <w:right w:w="115" w:type="dxa"/>
            </w:tcMar>
            <w:vAlign w:val="bottom"/>
          </w:tcPr>
          <w:p w14:paraId="0D2B5272" w14:textId="2E2B7EE2" w:rsidR="00507F3B" w:rsidRPr="008E6F07" w:rsidRDefault="00507F3B" w:rsidP="00507F3B">
            <w:pPr>
              <w:tabs>
                <w:tab w:val="decimal" w:pos="1239"/>
              </w:tabs>
              <w:rPr>
                <w:rFonts w:cs="Arial"/>
                <w:color w:val="000000"/>
              </w:rPr>
            </w:pPr>
            <w:r w:rsidRPr="00B07246">
              <w:rPr>
                <w:rFonts w:cs="Arial"/>
                <w:color w:val="000000"/>
              </w:rPr>
              <w:t>273,583</w:t>
            </w:r>
          </w:p>
        </w:tc>
        <w:tc>
          <w:tcPr>
            <w:tcW w:w="1800" w:type="dxa"/>
            <w:noWrap/>
            <w:tcMar>
              <w:top w:w="43" w:type="dxa"/>
              <w:left w:w="115" w:type="dxa"/>
              <w:bottom w:w="43" w:type="dxa"/>
              <w:right w:w="115" w:type="dxa"/>
            </w:tcMar>
            <w:vAlign w:val="bottom"/>
          </w:tcPr>
          <w:p w14:paraId="5206A0C0" w14:textId="55AF7D1E" w:rsidR="00507F3B" w:rsidRPr="008E6F07" w:rsidRDefault="00507F3B" w:rsidP="00507F3B">
            <w:pPr>
              <w:tabs>
                <w:tab w:val="decimal" w:pos="1228"/>
              </w:tabs>
              <w:rPr>
                <w:rFonts w:cs="Arial"/>
                <w:color w:val="000000"/>
              </w:rPr>
            </w:pPr>
            <w:r w:rsidRPr="00B07246">
              <w:rPr>
                <w:rFonts w:cs="Arial"/>
                <w:color w:val="000000"/>
              </w:rPr>
              <w:t>2,380</w:t>
            </w:r>
          </w:p>
        </w:tc>
        <w:tc>
          <w:tcPr>
            <w:tcW w:w="1710" w:type="dxa"/>
            <w:noWrap/>
            <w:tcMar>
              <w:top w:w="43" w:type="dxa"/>
              <w:left w:w="115" w:type="dxa"/>
              <w:bottom w:w="43" w:type="dxa"/>
              <w:right w:w="115" w:type="dxa"/>
            </w:tcMar>
            <w:vAlign w:val="bottom"/>
          </w:tcPr>
          <w:p w14:paraId="6351CE93" w14:textId="485FB9A5" w:rsidR="00507F3B" w:rsidRPr="008E6F07" w:rsidRDefault="00507F3B" w:rsidP="00507F3B">
            <w:pPr>
              <w:tabs>
                <w:tab w:val="decimal" w:pos="603"/>
              </w:tabs>
              <w:rPr>
                <w:rFonts w:cs="Arial"/>
                <w:color w:val="000000"/>
              </w:rPr>
            </w:pPr>
            <w:r w:rsidRPr="00B07246">
              <w:rPr>
                <w:rFonts w:cs="Arial"/>
                <w:color w:val="000000"/>
              </w:rPr>
              <w:t>0.9%</w:t>
            </w:r>
          </w:p>
        </w:tc>
        <w:tc>
          <w:tcPr>
            <w:tcW w:w="2430" w:type="dxa"/>
            <w:noWrap/>
            <w:tcMar>
              <w:top w:w="43" w:type="dxa"/>
              <w:left w:w="115" w:type="dxa"/>
              <w:bottom w:w="43" w:type="dxa"/>
              <w:right w:w="115" w:type="dxa"/>
            </w:tcMar>
            <w:vAlign w:val="bottom"/>
          </w:tcPr>
          <w:p w14:paraId="546EBBA9" w14:textId="1B61CF4D" w:rsidR="00507F3B" w:rsidRPr="008E6F07" w:rsidRDefault="00507F3B" w:rsidP="00507F3B">
            <w:pPr>
              <w:tabs>
                <w:tab w:val="decimal" w:pos="1601"/>
              </w:tabs>
              <w:rPr>
                <w:rFonts w:cs="Arial"/>
                <w:color w:val="000000"/>
              </w:rPr>
            </w:pPr>
            <w:r w:rsidRPr="00B07246">
              <w:rPr>
                <w:rFonts w:cs="Arial"/>
                <w:color w:val="000000"/>
              </w:rPr>
              <w:t>273,583</w:t>
            </w:r>
          </w:p>
        </w:tc>
        <w:tc>
          <w:tcPr>
            <w:tcW w:w="2340" w:type="dxa"/>
            <w:noWrap/>
            <w:tcMar>
              <w:top w:w="43" w:type="dxa"/>
              <w:left w:w="115" w:type="dxa"/>
              <w:bottom w:w="43" w:type="dxa"/>
              <w:right w:w="115" w:type="dxa"/>
            </w:tcMar>
            <w:vAlign w:val="bottom"/>
          </w:tcPr>
          <w:p w14:paraId="37222F91" w14:textId="125A8714" w:rsidR="00507F3B" w:rsidRPr="008E6F07" w:rsidRDefault="00507F3B" w:rsidP="00507F3B">
            <w:pPr>
              <w:tabs>
                <w:tab w:val="decimal" w:pos="1600"/>
              </w:tabs>
              <w:rPr>
                <w:rFonts w:cs="Arial"/>
                <w:color w:val="000000"/>
              </w:rPr>
            </w:pPr>
            <w:r w:rsidRPr="00B07246">
              <w:rPr>
                <w:rFonts w:cs="Arial"/>
                <w:color w:val="000000"/>
              </w:rPr>
              <w:t>2,966</w:t>
            </w:r>
          </w:p>
        </w:tc>
        <w:tc>
          <w:tcPr>
            <w:tcW w:w="1980" w:type="dxa"/>
            <w:noWrap/>
            <w:tcMar>
              <w:top w:w="43" w:type="dxa"/>
              <w:left w:w="115" w:type="dxa"/>
              <w:bottom w:w="43" w:type="dxa"/>
              <w:right w:w="115" w:type="dxa"/>
            </w:tcMar>
            <w:vAlign w:val="bottom"/>
          </w:tcPr>
          <w:p w14:paraId="35879A1B" w14:textId="35FCD665" w:rsidR="00507F3B" w:rsidRPr="008E6F07" w:rsidRDefault="00507F3B" w:rsidP="00507F3B">
            <w:pPr>
              <w:tabs>
                <w:tab w:val="decimal" w:pos="882"/>
              </w:tabs>
              <w:rPr>
                <w:rFonts w:cs="Arial"/>
                <w:color w:val="000000"/>
              </w:rPr>
            </w:pPr>
            <w:r w:rsidRPr="00B07246">
              <w:rPr>
                <w:rFonts w:cs="Arial"/>
                <w:color w:val="000000"/>
              </w:rPr>
              <w:t>1.1%</w:t>
            </w:r>
          </w:p>
        </w:tc>
      </w:tr>
      <w:tr w:rsidR="00507F3B" w:rsidRPr="008E6F07" w14:paraId="4C33C9F0" w14:textId="77777777" w:rsidTr="00821AD8">
        <w:trPr>
          <w:trHeight w:val="320"/>
        </w:trPr>
        <w:tc>
          <w:tcPr>
            <w:tcW w:w="2250" w:type="dxa"/>
            <w:noWrap/>
            <w:tcMar>
              <w:top w:w="43" w:type="dxa"/>
              <w:left w:w="115" w:type="dxa"/>
              <w:bottom w:w="43" w:type="dxa"/>
              <w:right w:w="115" w:type="dxa"/>
            </w:tcMar>
            <w:hideMark/>
          </w:tcPr>
          <w:p w14:paraId="78437D15" w14:textId="77777777" w:rsidR="00507F3B" w:rsidRPr="008E6F07" w:rsidRDefault="00507F3B" w:rsidP="00507F3B">
            <w:pPr>
              <w:rPr>
                <w:rFonts w:cs="Arial"/>
                <w:color w:val="000000"/>
              </w:rPr>
            </w:pPr>
            <w:r w:rsidRPr="008E6F07">
              <w:rPr>
                <w:rFonts w:cs="Arial"/>
                <w:color w:val="000000"/>
              </w:rPr>
              <w:t>American Indian or Alaska Native</w:t>
            </w:r>
          </w:p>
        </w:tc>
        <w:tc>
          <w:tcPr>
            <w:tcW w:w="1710" w:type="dxa"/>
            <w:noWrap/>
            <w:tcMar>
              <w:top w:w="43" w:type="dxa"/>
              <w:left w:w="115" w:type="dxa"/>
              <w:bottom w:w="43" w:type="dxa"/>
              <w:right w:w="115" w:type="dxa"/>
            </w:tcMar>
            <w:vAlign w:val="bottom"/>
          </w:tcPr>
          <w:p w14:paraId="50228CE2" w14:textId="5FD5447D" w:rsidR="00507F3B" w:rsidRPr="008E6F07" w:rsidRDefault="00507F3B" w:rsidP="00507F3B">
            <w:pPr>
              <w:tabs>
                <w:tab w:val="decimal" w:pos="1239"/>
              </w:tabs>
              <w:rPr>
                <w:rFonts w:cs="Arial"/>
                <w:color w:val="000000"/>
              </w:rPr>
            </w:pPr>
            <w:r w:rsidRPr="00B07246">
              <w:rPr>
                <w:rFonts w:cs="Arial"/>
                <w:color w:val="000000"/>
              </w:rPr>
              <w:t>5,637</w:t>
            </w:r>
          </w:p>
        </w:tc>
        <w:tc>
          <w:tcPr>
            <w:tcW w:w="1800" w:type="dxa"/>
            <w:noWrap/>
            <w:tcMar>
              <w:top w:w="43" w:type="dxa"/>
              <w:left w:w="115" w:type="dxa"/>
              <w:bottom w:w="43" w:type="dxa"/>
              <w:right w:w="115" w:type="dxa"/>
            </w:tcMar>
            <w:vAlign w:val="bottom"/>
          </w:tcPr>
          <w:p w14:paraId="5883967D" w14:textId="13B158C3" w:rsidR="00507F3B" w:rsidRPr="008E6F07" w:rsidRDefault="00507F3B" w:rsidP="00507F3B">
            <w:pPr>
              <w:tabs>
                <w:tab w:val="decimal" w:pos="1228"/>
              </w:tabs>
              <w:rPr>
                <w:rFonts w:cs="Arial"/>
                <w:color w:val="000000"/>
              </w:rPr>
            </w:pPr>
            <w:r w:rsidRPr="00B07246">
              <w:rPr>
                <w:rFonts w:cs="Arial"/>
                <w:color w:val="000000"/>
              </w:rPr>
              <w:t>79</w:t>
            </w:r>
          </w:p>
        </w:tc>
        <w:tc>
          <w:tcPr>
            <w:tcW w:w="1710" w:type="dxa"/>
            <w:noWrap/>
            <w:tcMar>
              <w:top w:w="43" w:type="dxa"/>
              <w:left w:w="115" w:type="dxa"/>
              <w:bottom w:w="43" w:type="dxa"/>
              <w:right w:w="115" w:type="dxa"/>
            </w:tcMar>
            <w:vAlign w:val="bottom"/>
          </w:tcPr>
          <w:p w14:paraId="4B3111D3" w14:textId="15A6F327" w:rsidR="00507F3B" w:rsidRPr="008E6F07" w:rsidRDefault="00507F3B" w:rsidP="00507F3B">
            <w:pPr>
              <w:tabs>
                <w:tab w:val="decimal" w:pos="603"/>
              </w:tabs>
              <w:rPr>
                <w:rFonts w:cs="Arial"/>
                <w:color w:val="000000"/>
              </w:rPr>
            </w:pPr>
            <w:r w:rsidRPr="00B07246">
              <w:rPr>
                <w:rFonts w:cs="Arial"/>
                <w:color w:val="000000"/>
              </w:rPr>
              <w:t>1.4%</w:t>
            </w:r>
          </w:p>
        </w:tc>
        <w:tc>
          <w:tcPr>
            <w:tcW w:w="2430" w:type="dxa"/>
            <w:noWrap/>
            <w:tcMar>
              <w:top w:w="43" w:type="dxa"/>
              <w:left w:w="115" w:type="dxa"/>
              <w:bottom w:w="43" w:type="dxa"/>
              <w:right w:w="115" w:type="dxa"/>
            </w:tcMar>
            <w:vAlign w:val="bottom"/>
          </w:tcPr>
          <w:p w14:paraId="3485B261" w14:textId="40CAEF7E" w:rsidR="00507F3B" w:rsidRPr="008E6F07" w:rsidRDefault="00507F3B" w:rsidP="00507F3B">
            <w:pPr>
              <w:tabs>
                <w:tab w:val="decimal" w:pos="1601"/>
              </w:tabs>
              <w:rPr>
                <w:rFonts w:cs="Arial"/>
                <w:color w:val="000000"/>
              </w:rPr>
            </w:pPr>
            <w:r w:rsidRPr="00B07246">
              <w:rPr>
                <w:rFonts w:cs="Arial"/>
                <w:color w:val="000000"/>
              </w:rPr>
              <w:t>5,637</w:t>
            </w:r>
          </w:p>
        </w:tc>
        <w:tc>
          <w:tcPr>
            <w:tcW w:w="2340" w:type="dxa"/>
            <w:noWrap/>
            <w:tcMar>
              <w:top w:w="43" w:type="dxa"/>
              <w:left w:w="115" w:type="dxa"/>
              <w:bottom w:w="43" w:type="dxa"/>
              <w:right w:w="115" w:type="dxa"/>
            </w:tcMar>
            <w:vAlign w:val="bottom"/>
          </w:tcPr>
          <w:p w14:paraId="08190E34" w14:textId="445283D3" w:rsidR="00507F3B" w:rsidRPr="008E6F07" w:rsidRDefault="00507F3B" w:rsidP="00507F3B">
            <w:pPr>
              <w:tabs>
                <w:tab w:val="decimal" w:pos="1600"/>
              </w:tabs>
              <w:rPr>
                <w:rFonts w:cs="Arial"/>
                <w:color w:val="000000"/>
              </w:rPr>
            </w:pPr>
            <w:r w:rsidRPr="00B07246">
              <w:rPr>
                <w:rFonts w:cs="Arial"/>
                <w:color w:val="000000"/>
              </w:rPr>
              <w:t>90</w:t>
            </w:r>
          </w:p>
        </w:tc>
        <w:tc>
          <w:tcPr>
            <w:tcW w:w="1980" w:type="dxa"/>
            <w:noWrap/>
            <w:tcMar>
              <w:top w:w="43" w:type="dxa"/>
              <w:left w:w="115" w:type="dxa"/>
              <w:bottom w:w="43" w:type="dxa"/>
              <w:right w:w="115" w:type="dxa"/>
            </w:tcMar>
            <w:vAlign w:val="bottom"/>
          </w:tcPr>
          <w:p w14:paraId="4442A7FF" w14:textId="2C980155" w:rsidR="00507F3B" w:rsidRPr="008E6F07" w:rsidRDefault="00507F3B" w:rsidP="00507F3B">
            <w:pPr>
              <w:tabs>
                <w:tab w:val="decimal" w:pos="882"/>
              </w:tabs>
              <w:rPr>
                <w:rFonts w:cs="Arial"/>
                <w:color w:val="000000"/>
              </w:rPr>
            </w:pPr>
            <w:r w:rsidRPr="00B07246">
              <w:rPr>
                <w:rFonts w:cs="Arial"/>
                <w:color w:val="000000"/>
              </w:rPr>
              <w:t>1.6%</w:t>
            </w:r>
          </w:p>
        </w:tc>
      </w:tr>
      <w:tr w:rsidR="00507F3B" w:rsidRPr="008E6F07" w14:paraId="699B0159" w14:textId="77777777" w:rsidTr="00821AD8">
        <w:trPr>
          <w:trHeight w:val="320"/>
        </w:trPr>
        <w:tc>
          <w:tcPr>
            <w:tcW w:w="2250" w:type="dxa"/>
            <w:noWrap/>
            <w:tcMar>
              <w:top w:w="43" w:type="dxa"/>
              <w:left w:w="115" w:type="dxa"/>
              <w:bottom w:w="43" w:type="dxa"/>
              <w:right w:w="115" w:type="dxa"/>
            </w:tcMar>
            <w:hideMark/>
          </w:tcPr>
          <w:p w14:paraId="79D6D007" w14:textId="77777777" w:rsidR="00507F3B" w:rsidRPr="008E6F07" w:rsidRDefault="00507F3B" w:rsidP="00507F3B">
            <w:pPr>
              <w:rPr>
                <w:rFonts w:cs="Arial"/>
                <w:color w:val="000000"/>
              </w:rPr>
            </w:pPr>
            <w:r w:rsidRPr="008E6F07">
              <w:rPr>
                <w:rFonts w:cs="Arial"/>
                <w:color w:val="000000"/>
              </w:rPr>
              <w:t>Filipino</w:t>
            </w:r>
          </w:p>
        </w:tc>
        <w:tc>
          <w:tcPr>
            <w:tcW w:w="1710" w:type="dxa"/>
            <w:noWrap/>
            <w:tcMar>
              <w:top w:w="43" w:type="dxa"/>
              <w:left w:w="115" w:type="dxa"/>
              <w:bottom w:w="43" w:type="dxa"/>
              <w:right w:w="115" w:type="dxa"/>
            </w:tcMar>
            <w:vAlign w:val="bottom"/>
          </w:tcPr>
          <w:p w14:paraId="40F7A690" w14:textId="6A5A7EA6" w:rsidR="00507F3B" w:rsidRPr="008E6F07" w:rsidRDefault="00507F3B" w:rsidP="00507F3B">
            <w:pPr>
              <w:tabs>
                <w:tab w:val="decimal" w:pos="1239"/>
              </w:tabs>
              <w:rPr>
                <w:rFonts w:cs="Arial"/>
                <w:color w:val="000000"/>
              </w:rPr>
            </w:pPr>
            <w:r w:rsidRPr="00B07246">
              <w:rPr>
                <w:rFonts w:cs="Arial"/>
                <w:color w:val="000000"/>
              </w:rPr>
              <w:t>33,272</w:t>
            </w:r>
          </w:p>
        </w:tc>
        <w:tc>
          <w:tcPr>
            <w:tcW w:w="1800" w:type="dxa"/>
            <w:noWrap/>
            <w:tcMar>
              <w:top w:w="43" w:type="dxa"/>
              <w:left w:w="115" w:type="dxa"/>
              <w:bottom w:w="43" w:type="dxa"/>
              <w:right w:w="115" w:type="dxa"/>
            </w:tcMar>
            <w:vAlign w:val="bottom"/>
          </w:tcPr>
          <w:p w14:paraId="77BDAC43" w14:textId="2CB99E44" w:rsidR="00507F3B" w:rsidRPr="008E6F07" w:rsidRDefault="00507F3B" w:rsidP="00507F3B">
            <w:pPr>
              <w:tabs>
                <w:tab w:val="decimal" w:pos="1228"/>
              </w:tabs>
              <w:rPr>
                <w:rFonts w:cs="Arial"/>
                <w:color w:val="000000"/>
              </w:rPr>
            </w:pPr>
            <w:r w:rsidRPr="00B07246">
              <w:rPr>
                <w:rFonts w:cs="Arial"/>
                <w:color w:val="000000"/>
              </w:rPr>
              <w:t>422</w:t>
            </w:r>
          </w:p>
        </w:tc>
        <w:tc>
          <w:tcPr>
            <w:tcW w:w="1710" w:type="dxa"/>
            <w:noWrap/>
            <w:tcMar>
              <w:top w:w="43" w:type="dxa"/>
              <w:left w:w="115" w:type="dxa"/>
              <w:bottom w:w="43" w:type="dxa"/>
              <w:right w:w="115" w:type="dxa"/>
            </w:tcMar>
            <w:vAlign w:val="bottom"/>
          </w:tcPr>
          <w:p w14:paraId="42869142" w14:textId="67F9691F" w:rsidR="00507F3B" w:rsidRPr="008E6F07" w:rsidRDefault="00507F3B" w:rsidP="00507F3B">
            <w:pPr>
              <w:tabs>
                <w:tab w:val="decimal" w:pos="603"/>
              </w:tabs>
              <w:rPr>
                <w:rFonts w:cs="Arial"/>
                <w:color w:val="000000"/>
              </w:rPr>
            </w:pPr>
            <w:r w:rsidRPr="00B07246">
              <w:rPr>
                <w:rFonts w:cs="Arial"/>
                <w:color w:val="000000"/>
              </w:rPr>
              <w:t>1.3%</w:t>
            </w:r>
          </w:p>
        </w:tc>
        <w:tc>
          <w:tcPr>
            <w:tcW w:w="2430" w:type="dxa"/>
            <w:noWrap/>
            <w:tcMar>
              <w:top w:w="43" w:type="dxa"/>
              <w:left w:w="115" w:type="dxa"/>
              <w:bottom w:w="43" w:type="dxa"/>
              <w:right w:w="115" w:type="dxa"/>
            </w:tcMar>
            <w:vAlign w:val="bottom"/>
          </w:tcPr>
          <w:p w14:paraId="3F7F61D3" w14:textId="6642C2F8" w:rsidR="00507F3B" w:rsidRPr="008E6F07" w:rsidRDefault="00507F3B" w:rsidP="00507F3B">
            <w:pPr>
              <w:tabs>
                <w:tab w:val="decimal" w:pos="1601"/>
              </w:tabs>
              <w:rPr>
                <w:rFonts w:cs="Arial"/>
                <w:color w:val="000000"/>
              </w:rPr>
            </w:pPr>
            <w:r w:rsidRPr="00B07246">
              <w:rPr>
                <w:rFonts w:cs="Arial"/>
                <w:color w:val="000000"/>
              </w:rPr>
              <w:t>33,272</w:t>
            </w:r>
          </w:p>
        </w:tc>
        <w:tc>
          <w:tcPr>
            <w:tcW w:w="2340" w:type="dxa"/>
            <w:noWrap/>
            <w:tcMar>
              <w:top w:w="43" w:type="dxa"/>
              <w:left w:w="115" w:type="dxa"/>
              <w:bottom w:w="43" w:type="dxa"/>
              <w:right w:w="115" w:type="dxa"/>
            </w:tcMar>
            <w:vAlign w:val="bottom"/>
          </w:tcPr>
          <w:p w14:paraId="14D8B51F" w14:textId="2A3E95D6" w:rsidR="00507F3B" w:rsidRPr="008E6F07" w:rsidRDefault="00507F3B" w:rsidP="00507F3B">
            <w:pPr>
              <w:tabs>
                <w:tab w:val="decimal" w:pos="1600"/>
              </w:tabs>
              <w:rPr>
                <w:rFonts w:cs="Arial"/>
                <w:color w:val="000000"/>
              </w:rPr>
            </w:pPr>
            <w:r w:rsidRPr="00B07246">
              <w:rPr>
                <w:rFonts w:cs="Arial"/>
                <w:color w:val="000000"/>
              </w:rPr>
              <w:t>502</w:t>
            </w:r>
          </w:p>
        </w:tc>
        <w:tc>
          <w:tcPr>
            <w:tcW w:w="1980" w:type="dxa"/>
            <w:noWrap/>
            <w:tcMar>
              <w:top w:w="43" w:type="dxa"/>
              <w:left w:w="115" w:type="dxa"/>
              <w:bottom w:w="43" w:type="dxa"/>
              <w:right w:w="115" w:type="dxa"/>
            </w:tcMar>
            <w:vAlign w:val="bottom"/>
          </w:tcPr>
          <w:p w14:paraId="58A91517" w14:textId="3E07023E" w:rsidR="00507F3B" w:rsidRPr="008E6F07" w:rsidRDefault="00507F3B" w:rsidP="00507F3B">
            <w:pPr>
              <w:tabs>
                <w:tab w:val="decimal" w:pos="882"/>
              </w:tabs>
              <w:rPr>
                <w:rFonts w:cs="Arial"/>
                <w:color w:val="000000"/>
              </w:rPr>
            </w:pPr>
            <w:r w:rsidRPr="00B07246">
              <w:rPr>
                <w:rFonts w:cs="Arial"/>
                <w:color w:val="000000"/>
              </w:rPr>
              <w:t>1.5%</w:t>
            </w:r>
          </w:p>
        </w:tc>
      </w:tr>
      <w:tr w:rsidR="00507F3B" w:rsidRPr="008E6F07" w14:paraId="4608F5AB" w14:textId="77777777" w:rsidTr="00821AD8">
        <w:trPr>
          <w:trHeight w:val="320"/>
        </w:trPr>
        <w:tc>
          <w:tcPr>
            <w:tcW w:w="2250" w:type="dxa"/>
            <w:noWrap/>
            <w:tcMar>
              <w:top w:w="43" w:type="dxa"/>
              <w:left w:w="115" w:type="dxa"/>
              <w:bottom w:w="43" w:type="dxa"/>
              <w:right w:w="115" w:type="dxa"/>
            </w:tcMar>
            <w:hideMark/>
          </w:tcPr>
          <w:p w14:paraId="7A8FA60B" w14:textId="77777777" w:rsidR="00507F3B" w:rsidRPr="008E6F07" w:rsidRDefault="00507F3B" w:rsidP="00507F3B">
            <w:pPr>
              <w:rPr>
                <w:rFonts w:cs="Arial"/>
                <w:color w:val="000000"/>
              </w:rPr>
            </w:pPr>
            <w:r w:rsidRPr="008E6F07">
              <w:rPr>
                <w:rFonts w:cs="Arial"/>
                <w:color w:val="000000"/>
              </w:rPr>
              <w:t>Native Hawaiian or Pacific Islander</w:t>
            </w:r>
          </w:p>
        </w:tc>
        <w:tc>
          <w:tcPr>
            <w:tcW w:w="1710" w:type="dxa"/>
            <w:noWrap/>
            <w:tcMar>
              <w:top w:w="43" w:type="dxa"/>
              <w:left w:w="115" w:type="dxa"/>
              <w:bottom w:w="43" w:type="dxa"/>
              <w:right w:w="115" w:type="dxa"/>
            </w:tcMar>
            <w:vAlign w:val="bottom"/>
          </w:tcPr>
          <w:p w14:paraId="73E1F7B8" w14:textId="39FA23F9" w:rsidR="00507F3B" w:rsidRPr="008E6F07" w:rsidRDefault="00507F3B" w:rsidP="00507F3B">
            <w:pPr>
              <w:tabs>
                <w:tab w:val="decimal" w:pos="1239"/>
              </w:tabs>
              <w:rPr>
                <w:rFonts w:cs="Arial"/>
                <w:color w:val="000000"/>
              </w:rPr>
            </w:pPr>
            <w:r w:rsidRPr="00B07246">
              <w:rPr>
                <w:rFonts w:cs="Arial"/>
                <w:color w:val="000000"/>
              </w:rPr>
              <w:t>5,722</w:t>
            </w:r>
          </w:p>
        </w:tc>
        <w:tc>
          <w:tcPr>
            <w:tcW w:w="1800" w:type="dxa"/>
            <w:noWrap/>
            <w:tcMar>
              <w:top w:w="43" w:type="dxa"/>
              <w:left w:w="115" w:type="dxa"/>
              <w:bottom w:w="43" w:type="dxa"/>
              <w:right w:w="115" w:type="dxa"/>
            </w:tcMar>
            <w:vAlign w:val="bottom"/>
          </w:tcPr>
          <w:p w14:paraId="3EE93445" w14:textId="4C42E411" w:rsidR="00507F3B" w:rsidRPr="008E6F07" w:rsidRDefault="00507F3B" w:rsidP="00507F3B">
            <w:pPr>
              <w:tabs>
                <w:tab w:val="decimal" w:pos="1228"/>
              </w:tabs>
              <w:rPr>
                <w:rFonts w:cs="Arial"/>
                <w:color w:val="000000"/>
              </w:rPr>
            </w:pPr>
            <w:r w:rsidRPr="00B07246">
              <w:rPr>
                <w:rFonts w:cs="Arial"/>
                <w:color w:val="000000"/>
              </w:rPr>
              <w:t>52</w:t>
            </w:r>
          </w:p>
        </w:tc>
        <w:tc>
          <w:tcPr>
            <w:tcW w:w="1710" w:type="dxa"/>
            <w:noWrap/>
            <w:tcMar>
              <w:top w:w="43" w:type="dxa"/>
              <w:left w:w="115" w:type="dxa"/>
              <w:bottom w:w="43" w:type="dxa"/>
              <w:right w:w="115" w:type="dxa"/>
            </w:tcMar>
            <w:vAlign w:val="bottom"/>
          </w:tcPr>
          <w:p w14:paraId="13872099" w14:textId="3D344D7F" w:rsidR="00507F3B" w:rsidRPr="008E6F07" w:rsidRDefault="00507F3B" w:rsidP="00507F3B">
            <w:pPr>
              <w:tabs>
                <w:tab w:val="decimal" w:pos="603"/>
              </w:tabs>
              <w:rPr>
                <w:rFonts w:cs="Arial"/>
                <w:color w:val="000000"/>
              </w:rPr>
            </w:pPr>
            <w:r w:rsidRPr="00B07246">
              <w:rPr>
                <w:rFonts w:cs="Arial"/>
                <w:color w:val="000000"/>
              </w:rPr>
              <w:t>0.9%</w:t>
            </w:r>
          </w:p>
        </w:tc>
        <w:tc>
          <w:tcPr>
            <w:tcW w:w="2430" w:type="dxa"/>
            <w:noWrap/>
            <w:tcMar>
              <w:top w:w="43" w:type="dxa"/>
              <w:left w:w="115" w:type="dxa"/>
              <w:bottom w:w="43" w:type="dxa"/>
              <w:right w:w="115" w:type="dxa"/>
            </w:tcMar>
            <w:vAlign w:val="bottom"/>
          </w:tcPr>
          <w:p w14:paraId="41FA45C7" w14:textId="1A8DDB81" w:rsidR="00507F3B" w:rsidRPr="008E6F07" w:rsidRDefault="00507F3B" w:rsidP="00507F3B">
            <w:pPr>
              <w:tabs>
                <w:tab w:val="decimal" w:pos="1601"/>
              </w:tabs>
              <w:rPr>
                <w:rFonts w:cs="Arial"/>
                <w:color w:val="000000"/>
              </w:rPr>
            </w:pPr>
            <w:r w:rsidRPr="00B07246">
              <w:rPr>
                <w:rFonts w:cs="Arial"/>
                <w:color w:val="000000"/>
              </w:rPr>
              <w:t>5,722</w:t>
            </w:r>
          </w:p>
        </w:tc>
        <w:tc>
          <w:tcPr>
            <w:tcW w:w="2340" w:type="dxa"/>
            <w:noWrap/>
            <w:tcMar>
              <w:top w:w="43" w:type="dxa"/>
              <w:left w:w="115" w:type="dxa"/>
              <w:bottom w:w="43" w:type="dxa"/>
              <w:right w:w="115" w:type="dxa"/>
            </w:tcMar>
            <w:vAlign w:val="bottom"/>
          </w:tcPr>
          <w:p w14:paraId="3953C5F9" w14:textId="4F2A9996" w:rsidR="00507F3B" w:rsidRPr="008E6F07" w:rsidRDefault="00507F3B" w:rsidP="00507F3B">
            <w:pPr>
              <w:tabs>
                <w:tab w:val="decimal" w:pos="1600"/>
              </w:tabs>
              <w:rPr>
                <w:rFonts w:cs="Arial"/>
                <w:color w:val="000000"/>
              </w:rPr>
            </w:pPr>
            <w:r w:rsidRPr="00B07246">
              <w:rPr>
                <w:rFonts w:cs="Arial"/>
                <w:color w:val="000000"/>
              </w:rPr>
              <w:t>66</w:t>
            </w:r>
          </w:p>
        </w:tc>
        <w:tc>
          <w:tcPr>
            <w:tcW w:w="1980" w:type="dxa"/>
            <w:noWrap/>
            <w:tcMar>
              <w:top w:w="43" w:type="dxa"/>
              <w:left w:w="115" w:type="dxa"/>
              <w:bottom w:w="43" w:type="dxa"/>
              <w:right w:w="115" w:type="dxa"/>
            </w:tcMar>
            <w:vAlign w:val="bottom"/>
          </w:tcPr>
          <w:p w14:paraId="5DDEC3C3" w14:textId="3052F266" w:rsidR="00507F3B" w:rsidRPr="008E6F07" w:rsidRDefault="00507F3B" w:rsidP="00507F3B">
            <w:pPr>
              <w:tabs>
                <w:tab w:val="decimal" w:pos="882"/>
              </w:tabs>
              <w:rPr>
                <w:rFonts w:cs="Arial"/>
                <w:color w:val="000000"/>
              </w:rPr>
            </w:pPr>
            <w:r w:rsidRPr="00B07246">
              <w:rPr>
                <w:rFonts w:cs="Arial"/>
                <w:color w:val="000000"/>
              </w:rPr>
              <w:t>1.2%</w:t>
            </w:r>
          </w:p>
        </w:tc>
      </w:tr>
      <w:tr w:rsidR="00507F3B" w:rsidRPr="008E6F07" w14:paraId="0BAA862D" w14:textId="77777777" w:rsidTr="00821AD8">
        <w:trPr>
          <w:trHeight w:val="320"/>
        </w:trPr>
        <w:tc>
          <w:tcPr>
            <w:tcW w:w="2250" w:type="dxa"/>
            <w:noWrap/>
            <w:tcMar>
              <w:top w:w="43" w:type="dxa"/>
              <w:left w:w="115" w:type="dxa"/>
              <w:bottom w:w="43" w:type="dxa"/>
              <w:right w:w="115" w:type="dxa"/>
            </w:tcMar>
            <w:hideMark/>
          </w:tcPr>
          <w:p w14:paraId="60C57530" w14:textId="77777777" w:rsidR="00507F3B" w:rsidRPr="008E6F07" w:rsidRDefault="00507F3B" w:rsidP="00507F3B">
            <w:pPr>
              <w:rPr>
                <w:rFonts w:cs="Arial"/>
                <w:color w:val="000000"/>
              </w:rPr>
            </w:pPr>
            <w:r w:rsidRPr="008E6F07">
              <w:rPr>
                <w:rFonts w:cs="Arial"/>
                <w:color w:val="000000"/>
              </w:rPr>
              <w:t>Two or more races</w:t>
            </w:r>
          </w:p>
        </w:tc>
        <w:tc>
          <w:tcPr>
            <w:tcW w:w="1710" w:type="dxa"/>
            <w:noWrap/>
            <w:tcMar>
              <w:top w:w="43" w:type="dxa"/>
              <w:left w:w="115" w:type="dxa"/>
              <w:bottom w:w="43" w:type="dxa"/>
              <w:right w:w="115" w:type="dxa"/>
            </w:tcMar>
            <w:vAlign w:val="bottom"/>
          </w:tcPr>
          <w:p w14:paraId="122DAB00" w14:textId="7067C3F3" w:rsidR="00507F3B" w:rsidRPr="008E6F07" w:rsidRDefault="00507F3B" w:rsidP="00507F3B">
            <w:pPr>
              <w:tabs>
                <w:tab w:val="decimal" w:pos="1239"/>
              </w:tabs>
              <w:rPr>
                <w:rFonts w:cs="Arial"/>
                <w:color w:val="000000"/>
              </w:rPr>
            </w:pPr>
            <w:r w:rsidRPr="00B07246">
              <w:rPr>
                <w:rFonts w:cs="Arial"/>
                <w:color w:val="000000"/>
              </w:rPr>
              <w:t>66,000</w:t>
            </w:r>
          </w:p>
        </w:tc>
        <w:tc>
          <w:tcPr>
            <w:tcW w:w="1800" w:type="dxa"/>
            <w:noWrap/>
            <w:tcMar>
              <w:top w:w="43" w:type="dxa"/>
              <w:left w:w="115" w:type="dxa"/>
              <w:bottom w:w="43" w:type="dxa"/>
              <w:right w:w="115" w:type="dxa"/>
            </w:tcMar>
            <w:vAlign w:val="bottom"/>
          </w:tcPr>
          <w:p w14:paraId="7D05DC70" w14:textId="57D54779" w:rsidR="00507F3B" w:rsidRPr="008E6F07" w:rsidRDefault="00507F3B" w:rsidP="00507F3B">
            <w:pPr>
              <w:tabs>
                <w:tab w:val="decimal" w:pos="1228"/>
              </w:tabs>
              <w:rPr>
                <w:rFonts w:cs="Arial"/>
                <w:color w:val="000000"/>
              </w:rPr>
            </w:pPr>
            <w:r w:rsidRPr="00B07246">
              <w:rPr>
                <w:rFonts w:cs="Arial"/>
                <w:color w:val="000000"/>
              </w:rPr>
              <w:t>608</w:t>
            </w:r>
          </w:p>
        </w:tc>
        <w:tc>
          <w:tcPr>
            <w:tcW w:w="1710" w:type="dxa"/>
            <w:noWrap/>
            <w:tcMar>
              <w:top w:w="43" w:type="dxa"/>
              <w:left w:w="115" w:type="dxa"/>
              <w:bottom w:w="43" w:type="dxa"/>
              <w:right w:w="115" w:type="dxa"/>
            </w:tcMar>
            <w:vAlign w:val="bottom"/>
          </w:tcPr>
          <w:p w14:paraId="64E6B2CA" w14:textId="2C23D316" w:rsidR="00507F3B" w:rsidRPr="008E6F07" w:rsidRDefault="00507F3B" w:rsidP="00507F3B">
            <w:pPr>
              <w:tabs>
                <w:tab w:val="decimal" w:pos="603"/>
              </w:tabs>
              <w:rPr>
                <w:rFonts w:cs="Arial"/>
                <w:color w:val="000000"/>
              </w:rPr>
            </w:pPr>
            <w:r w:rsidRPr="00B07246">
              <w:rPr>
                <w:rFonts w:cs="Arial"/>
                <w:color w:val="000000"/>
              </w:rPr>
              <w:t>0.9%</w:t>
            </w:r>
          </w:p>
        </w:tc>
        <w:tc>
          <w:tcPr>
            <w:tcW w:w="2430" w:type="dxa"/>
            <w:noWrap/>
            <w:tcMar>
              <w:top w:w="43" w:type="dxa"/>
              <w:left w:w="115" w:type="dxa"/>
              <w:bottom w:w="43" w:type="dxa"/>
              <w:right w:w="115" w:type="dxa"/>
            </w:tcMar>
            <w:vAlign w:val="bottom"/>
          </w:tcPr>
          <w:p w14:paraId="0165E433" w14:textId="7565BC92" w:rsidR="00507F3B" w:rsidRPr="008E6F07" w:rsidRDefault="00507F3B" w:rsidP="00507F3B">
            <w:pPr>
              <w:tabs>
                <w:tab w:val="decimal" w:pos="1601"/>
              </w:tabs>
              <w:rPr>
                <w:rFonts w:cs="Arial"/>
                <w:color w:val="000000"/>
              </w:rPr>
            </w:pPr>
            <w:r w:rsidRPr="00B07246">
              <w:rPr>
                <w:rFonts w:cs="Arial"/>
                <w:color w:val="000000"/>
              </w:rPr>
              <w:t>66,000</w:t>
            </w:r>
          </w:p>
        </w:tc>
        <w:tc>
          <w:tcPr>
            <w:tcW w:w="2340" w:type="dxa"/>
            <w:noWrap/>
            <w:tcMar>
              <w:top w:w="43" w:type="dxa"/>
              <w:left w:w="115" w:type="dxa"/>
              <w:bottom w:w="43" w:type="dxa"/>
              <w:right w:w="115" w:type="dxa"/>
            </w:tcMar>
            <w:vAlign w:val="bottom"/>
          </w:tcPr>
          <w:p w14:paraId="3CF032D2" w14:textId="5B00151D" w:rsidR="00507F3B" w:rsidRPr="008E6F07" w:rsidRDefault="00507F3B" w:rsidP="00507F3B">
            <w:pPr>
              <w:tabs>
                <w:tab w:val="decimal" w:pos="1600"/>
              </w:tabs>
              <w:rPr>
                <w:rFonts w:cs="Arial"/>
                <w:color w:val="000000"/>
              </w:rPr>
            </w:pPr>
            <w:r w:rsidRPr="00B07246">
              <w:rPr>
                <w:rFonts w:cs="Arial"/>
                <w:color w:val="000000"/>
              </w:rPr>
              <w:t>747</w:t>
            </w:r>
          </w:p>
        </w:tc>
        <w:tc>
          <w:tcPr>
            <w:tcW w:w="1980" w:type="dxa"/>
            <w:noWrap/>
            <w:tcMar>
              <w:top w:w="43" w:type="dxa"/>
              <w:left w:w="115" w:type="dxa"/>
              <w:bottom w:w="43" w:type="dxa"/>
              <w:right w:w="115" w:type="dxa"/>
            </w:tcMar>
            <w:vAlign w:val="bottom"/>
          </w:tcPr>
          <w:p w14:paraId="65DA8844" w14:textId="2D36DEEA" w:rsidR="00507F3B" w:rsidRPr="008E6F07" w:rsidRDefault="00507F3B" w:rsidP="00507F3B">
            <w:pPr>
              <w:tabs>
                <w:tab w:val="decimal" w:pos="882"/>
              </w:tabs>
              <w:rPr>
                <w:rFonts w:cs="Arial"/>
                <w:color w:val="000000"/>
              </w:rPr>
            </w:pPr>
            <w:r w:rsidRPr="00B07246">
              <w:rPr>
                <w:rFonts w:cs="Arial"/>
                <w:color w:val="000000"/>
              </w:rPr>
              <w:t>1.1%</w:t>
            </w:r>
          </w:p>
        </w:tc>
      </w:tr>
      <w:tr w:rsidR="00507F3B" w:rsidRPr="008E6F07" w14:paraId="2B4844E0" w14:textId="77777777" w:rsidTr="00821AD8">
        <w:trPr>
          <w:trHeight w:val="320"/>
        </w:trPr>
        <w:tc>
          <w:tcPr>
            <w:tcW w:w="2250" w:type="dxa"/>
            <w:noWrap/>
            <w:tcMar>
              <w:top w:w="43" w:type="dxa"/>
              <w:left w:w="115" w:type="dxa"/>
              <w:bottom w:w="43" w:type="dxa"/>
              <w:right w:w="115" w:type="dxa"/>
            </w:tcMar>
            <w:hideMark/>
          </w:tcPr>
          <w:p w14:paraId="27EA2E49" w14:textId="77777777" w:rsidR="00507F3B" w:rsidRPr="008E6F07" w:rsidRDefault="00507F3B" w:rsidP="00507F3B">
            <w:pPr>
              <w:rPr>
                <w:rFonts w:cs="Arial"/>
                <w:color w:val="000000"/>
              </w:rPr>
            </w:pPr>
            <w:r w:rsidRPr="008E6F07">
              <w:rPr>
                <w:rFonts w:cs="Arial"/>
                <w:color w:val="000000"/>
              </w:rPr>
              <w:t>English learners</w:t>
            </w:r>
          </w:p>
        </w:tc>
        <w:tc>
          <w:tcPr>
            <w:tcW w:w="1710" w:type="dxa"/>
            <w:noWrap/>
            <w:tcMar>
              <w:top w:w="43" w:type="dxa"/>
              <w:left w:w="115" w:type="dxa"/>
              <w:bottom w:w="43" w:type="dxa"/>
              <w:right w:w="115" w:type="dxa"/>
            </w:tcMar>
            <w:vAlign w:val="bottom"/>
          </w:tcPr>
          <w:p w14:paraId="5DFE7A5D" w14:textId="17818684" w:rsidR="00507F3B" w:rsidRPr="008E6F07" w:rsidRDefault="00507F3B" w:rsidP="00507F3B">
            <w:pPr>
              <w:tabs>
                <w:tab w:val="decimal" w:pos="1239"/>
              </w:tabs>
              <w:rPr>
                <w:rFonts w:cs="Arial"/>
                <w:color w:val="000000"/>
              </w:rPr>
            </w:pPr>
            <w:r w:rsidRPr="00B07246">
              <w:rPr>
                <w:rFonts w:cs="Arial"/>
                <w:color w:val="000000"/>
              </w:rPr>
              <w:t>197,969</w:t>
            </w:r>
          </w:p>
        </w:tc>
        <w:tc>
          <w:tcPr>
            <w:tcW w:w="1800" w:type="dxa"/>
            <w:noWrap/>
            <w:tcMar>
              <w:top w:w="43" w:type="dxa"/>
              <w:left w:w="115" w:type="dxa"/>
              <w:bottom w:w="43" w:type="dxa"/>
              <w:right w:w="115" w:type="dxa"/>
            </w:tcMar>
            <w:vAlign w:val="bottom"/>
          </w:tcPr>
          <w:p w14:paraId="06A92572" w14:textId="5F122D53" w:rsidR="00507F3B" w:rsidRPr="008E6F07" w:rsidRDefault="00507F3B" w:rsidP="00507F3B">
            <w:pPr>
              <w:tabs>
                <w:tab w:val="decimal" w:pos="1228"/>
              </w:tabs>
              <w:rPr>
                <w:rFonts w:cs="Arial"/>
                <w:color w:val="000000"/>
              </w:rPr>
            </w:pPr>
            <w:r w:rsidRPr="00B07246">
              <w:rPr>
                <w:rFonts w:cs="Arial"/>
                <w:color w:val="000000"/>
              </w:rPr>
              <w:t>3,264</w:t>
            </w:r>
          </w:p>
        </w:tc>
        <w:tc>
          <w:tcPr>
            <w:tcW w:w="1710" w:type="dxa"/>
            <w:noWrap/>
            <w:tcMar>
              <w:top w:w="43" w:type="dxa"/>
              <w:left w:w="115" w:type="dxa"/>
              <w:bottom w:w="43" w:type="dxa"/>
              <w:right w:w="115" w:type="dxa"/>
            </w:tcMar>
            <w:vAlign w:val="bottom"/>
          </w:tcPr>
          <w:p w14:paraId="220E29DB" w14:textId="5761ABE8" w:rsidR="00507F3B" w:rsidRPr="008E6F07" w:rsidRDefault="00507F3B" w:rsidP="00507F3B">
            <w:pPr>
              <w:tabs>
                <w:tab w:val="decimal" w:pos="603"/>
              </w:tabs>
              <w:rPr>
                <w:rFonts w:cs="Arial"/>
                <w:color w:val="000000"/>
              </w:rPr>
            </w:pPr>
            <w:r w:rsidRPr="00B07246">
              <w:rPr>
                <w:rFonts w:cs="Arial"/>
                <w:color w:val="000000"/>
              </w:rPr>
              <w:t>1.6%</w:t>
            </w:r>
          </w:p>
        </w:tc>
        <w:tc>
          <w:tcPr>
            <w:tcW w:w="2430" w:type="dxa"/>
            <w:noWrap/>
            <w:tcMar>
              <w:top w:w="43" w:type="dxa"/>
              <w:left w:w="115" w:type="dxa"/>
              <w:bottom w:w="43" w:type="dxa"/>
              <w:right w:w="115" w:type="dxa"/>
            </w:tcMar>
            <w:vAlign w:val="bottom"/>
          </w:tcPr>
          <w:p w14:paraId="14688D2E" w14:textId="590CCC8E" w:rsidR="00507F3B" w:rsidRPr="008E6F07" w:rsidRDefault="00507F3B" w:rsidP="00507F3B">
            <w:pPr>
              <w:tabs>
                <w:tab w:val="decimal" w:pos="1601"/>
              </w:tabs>
              <w:rPr>
                <w:rFonts w:cs="Arial"/>
                <w:color w:val="000000"/>
              </w:rPr>
            </w:pPr>
            <w:r w:rsidRPr="00B07246">
              <w:rPr>
                <w:rFonts w:cs="Arial"/>
                <w:color w:val="000000"/>
              </w:rPr>
              <w:t>197,969</w:t>
            </w:r>
          </w:p>
        </w:tc>
        <w:tc>
          <w:tcPr>
            <w:tcW w:w="2340" w:type="dxa"/>
            <w:noWrap/>
            <w:tcMar>
              <w:top w:w="43" w:type="dxa"/>
              <w:left w:w="115" w:type="dxa"/>
              <w:bottom w:w="43" w:type="dxa"/>
              <w:right w:w="115" w:type="dxa"/>
            </w:tcMar>
            <w:vAlign w:val="bottom"/>
          </w:tcPr>
          <w:p w14:paraId="09FCD04B" w14:textId="5B10454B" w:rsidR="00507F3B" w:rsidRPr="008E6F07" w:rsidRDefault="00507F3B" w:rsidP="00507F3B">
            <w:pPr>
              <w:tabs>
                <w:tab w:val="decimal" w:pos="1600"/>
              </w:tabs>
              <w:rPr>
                <w:rFonts w:cs="Arial"/>
                <w:color w:val="000000"/>
              </w:rPr>
            </w:pPr>
            <w:r w:rsidRPr="00B07246">
              <w:rPr>
                <w:rFonts w:cs="Arial"/>
                <w:color w:val="000000"/>
              </w:rPr>
              <w:t>3,812</w:t>
            </w:r>
          </w:p>
        </w:tc>
        <w:tc>
          <w:tcPr>
            <w:tcW w:w="1980" w:type="dxa"/>
            <w:noWrap/>
            <w:tcMar>
              <w:top w:w="43" w:type="dxa"/>
              <w:left w:w="115" w:type="dxa"/>
              <w:bottom w:w="43" w:type="dxa"/>
              <w:right w:w="115" w:type="dxa"/>
            </w:tcMar>
            <w:vAlign w:val="bottom"/>
          </w:tcPr>
          <w:p w14:paraId="42CF71A9" w14:textId="1A3F22B1" w:rsidR="00507F3B" w:rsidRPr="008E6F07" w:rsidRDefault="00507F3B" w:rsidP="00507F3B">
            <w:pPr>
              <w:tabs>
                <w:tab w:val="decimal" w:pos="882"/>
              </w:tabs>
              <w:rPr>
                <w:rFonts w:cs="Arial"/>
                <w:color w:val="000000"/>
              </w:rPr>
            </w:pPr>
            <w:r w:rsidRPr="00B07246">
              <w:rPr>
                <w:rFonts w:cs="Arial"/>
                <w:color w:val="000000"/>
              </w:rPr>
              <w:t>1.9%</w:t>
            </w:r>
          </w:p>
        </w:tc>
      </w:tr>
      <w:tr w:rsidR="00507F3B" w:rsidRPr="008E6F07" w14:paraId="2B420A10" w14:textId="77777777" w:rsidTr="00821AD8">
        <w:trPr>
          <w:trHeight w:val="320"/>
        </w:trPr>
        <w:tc>
          <w:tcPr>
            <w:tcW w:w="2250" w:type="dxa"/>
            <w:noWrap/>
            <w:tcMar>
              <w:top w:w="43" w:type="dxa"/>
              <w:left w:w="115" w:type="dxa"/>
              <w:bottom w:w="43" w:type="dxa"/>
              <w:right w:w="115" w:type="dxa"/>
            </w:tcMar>
            <w:hideMark/>
          </w:tcPr>
          <w:p w14:paraId="0E870F1C" w14:textId="77777777" w:rsidR="00507F3B" w:rsidRPr="008E6F07" w:rsidRDefault="00507F3B" w:rsidP="00507F3B">
            <w:pPr>
              <w:rPr>
                <w:rFonts w:cs="Arial"/>
                <w:color w:val="000000"/>
              </w:rPr>
            </w:pPr>
            <w:proofErr w:type="gramStart"/>
            <w:r w:rsidRPr="008E6F07">
              <w:rPr>
                <w:rFonts w:cs="Arial"/>
                <w:color w:val="000000"/>
              </w:rPr>
              <w:t>Economically disadvantaged</w:t>
            </w:r>
            <w:proofErr w:type="gramEnd"/>
          </w:p>
        </w:tc>
        <w:tc>
          <w:tcPr>
            <w:tcW w:w="1710" w:type="dxa"/>
            <w:noWrap/>
            <w:tcMar>
              <w:top w:w="43" w:type="dxa"/>
              <w:left w:w="115" w:type="dxa"/>
              <w:bottom w:w="43" w:type="dxa"/>
              <w:right w:w="115" w:type="dxa"/>
            </w:tcMar>
            <w:vAlign w:val="bottom"/>
          </w:tcPr>
          <w:p w14:paraId="6E5B4E74" w14:textId="1366F158" w:rsidR="00507F3B" w:rsidRPr="008E6F07" w:rsidRDefault="00507F3B" w:rsidP="00507F3B">
            <w:pPr>
              <w:tabs>
                <w:tab w:val="decimal" w:pos="1239"/>
              </w:tabs>
              <w:rPr>
                <w:rFonts w:cs="Arial"/>
                <w:color w:val="000000"/>
              </w:rPr>
            </w:pPr>
            <w:r w:rsidRPr="00B07246">
              <w:rPr>
                <w:rFonts w:cs="Arial"/>
                <w:color w:val="000000"/>
              </w:rPr>
              <w:t>833,774</w:t>
            </w:r>
          </w:p>
        </w:tc>
        <w:tc>
          <w:tcPr>
            <w:tcW w:w="1800" w:type="dxa"/>
            <w:noWrap/>
            <w:tcMar>
              <w:top w:w="43" w:type="dxa"/>
              <w:left w:w="115" w:type="dxa"/>
              <w:bottom w:w="43" w:type="dxa"/>
              <w:right w:w="115" w:type="dxa"/>
            </w:tcMar>
            <w:vAlign w:val="bottom"/>
          </w:tcPr>
          <w:p w14:paraId="3FDDBB91" w14:textId="6F4587E5" w:rsidR="00507F3B" w:rsidRPr="008E6F07" w:rsidRDefault="00507F3B" w:rsidP="00507F3B">
            <w:pPr>
              <w:tabs>
                <w:tab w:val="decimal" w:pos="1228"/>
              </w:tabs>
              <w:rPr>
                <w:rFonts w:cs="Arial"/>
                <w:color w:val="000000"/>
              </w:rPr>
            </w:pPr>
            <w:r w:rsidRPr="00B07246">
              <w:rPr>
                <w:rFonts w:cs="Arial"/>
                <w:color w:val="000000"/>
              </w:rPr>
              <w:t>9,797</w:t>
            </w:r>
          </w:p>
        </w:tc>
        <w:tc>
          <w:tcPr>
            <w:tcW w:w="1710" w:type="dxa"/>
            <w:noWrap/>
            <w:tcMar>
              <w:top w:w="43" w:type="dxa"/>
              <w:left w:w="115" w:type="dxa"/>
              <w:bottom w:w="43" w:type="dxa"/>
              <w:right w:w="115" w:type="dxa"/>
            </w:tcMar>
            <w:vAlign w:val="bottom"/>
          </w:tcPr>
          <w:p w14:paraId="3871743B" w14:textId="597B4E9B" w:rsidR="00507F3B" w:rsidRPr="008E6F07" w:rsidRDefault="00507F3B" w:rsidP="00507F3B">
            <w:pPr>
              <w:tabs>
                <w:tab w:val="decimal" w:pos="603"/>
              </w:tabs>
              <w:rPr>
                <w:rFonts w:cs="Arial"/>
                <w:color w:val="000000"/>
              </w:rPr>
            </w:pPr>
            <w:r w:rsidRPr="00B07246">
              <w:rPr>
                <w:rFonts w:cs="Arial"/>
                <w:color w:val="000000"/>
              </w:rPr>
              <w:t>1.2%</w:t>
            </w:r>
          </w:p>
        </w:tc>
        <w:tc>
          <w:tcPr>
            <w:tcW w:w="2430" w:type="dxa"/>
            <w:noWrap/>
            <w:tcMar>
              <w:top w:w="43" w:type="dxa"/>
              <w:left w:w="115" w:type="dxa"/>
              <w:bottom w:w="43" w:type="dxa"/>
              <w:right w:w="115" w:type="dxa"/>
            </w:tcMar>
            <w:vAlign w:val="bottom"/>
          </w:tcPr>
          <w:p w14:paraId="7384CB01" w14:textId="6A83783B" w:rsidR="00507F3B" w:rsidRPr="008E6F07" w:rsidRDefault="00507F3B" w:rsidP="00507F3B">
            <w:pPr>
              <w:tabs>
                <w:tab w:val="decimal" w:pos="1601"/>
              </w:tabs>
              <w:rPr>
                <w:rFonts w:cs="Arial"/>
                <w:color w:val="000000"/>
              </w:rPr>
            </w:pPr>
            <w:r w:rsidRPr="00B07246">
              <w:rPr>
                <w:rFonts w:cs="Arial"/>
                <w:color w:val="000000"/>
              </w:rPr>
              <w:t>833,774</w:t>
            </w:r>
          </w:p>
        </w:tc>
        <w:tc>
          <w:tcPr>
            <w:tcW w:w="2340" w:type="dxa"/>
            <w:noWrap/>
            <w:tcMar>
              <w:top w:w="43" w:type="dxa"/>
              <w:left w:w="115" w:type="dxa"/>
              <w:bottom w:w="43" w:type="dxa"/>
              <w:right w:w="115" w:type="dxa"/>
            </w:tcMar>
            <w:vAlign w:val="bottom"/>
          </w:tcPr>
          <w:p w14:paraId="486CE1D2" w14:textId="50A86D2A" w:rsidR="00507F3B" w:rsidRPr="008E6F07" w:rsidRDefault="00507F3B" w:rsidP="00507F3B">
            <w:pPr>
              <w:tabs>
                <w:tab w:val="decimal" w:pos="1600"/>
              </w:tabs>
              <w:rPr>
                <w:rFonts w:cs="Arial"/>
                <w:color w:val="000000"/>
              </w:rPr>
            </w:pPr>
            <w:r w:rsidRPr="00B07246">
              <w:rPr>
                <w:rFonts w:cs="Arial"/>
                <w:color w:val="000000"/>
              </w:rPr>
              <w:t>11,164</w:t>
            </w:r>
          </w:p>
        </w:tc>
        <w:tc>
          <w:tcPr>
            <w:tcW w:w="1980" w:type="dxa"/>
            <w:noWrap/>
            <w:tcMar>
              <w:top w:w="43" w:type="dxa"/>
              <w:left w:w="115" w:type="dxa"/>
              <w:bottom w:w="43" w:type="dxa"/>
              <w:right w:w="115" w:type="dxa"/>
            </w:tcMar>
            <w:vAlign w:val="bottom"/>
          </w:tcPr>
          <w:p w14:paraId="142003E4" w14:textId="6870B627" w:rsidR="00507F3B" w:rsidRPr="008E6F07" w:rsidRDefault="00507F3B" w:rsidP="00507F3B">
            <w:pPr>
              <w:tabs>
                <w:tab w:val="decimal" w:pos="882"/>
              </w:tabs>
              <w:rPr>
                <w:rFonts w:cs="Arial"/>
                <w:color w:val="000000"/>
              </w:rPr>
            </w:pPr>
            <w:r w:rsidRPr="00B07246">
              <w:rPr>
                <w:rFonts w:cs="Arial"/>
                <w:color w:val="000000"/>
              </w:rPr>
              <w:t>1.3%</w:t>
            </w:r>
          </w:p>
        </w:tc>
      </w:tr>
    </w:tbl>
    <w:p w14:paraId="1F88BF30" w14:textId="77777777" w:rsidR="008E6F07" w:rsidRPr="008E6F07" w:rsidRDefault="008E6F07" w:rsidP="008E6F07">
      <w:pPr>
        <w:spacing w:after="160"/>
        <w:rPr>
          <w:rFonts w:eastAsia="Arial" w:cs="Arial"/>
          <w:color w:val="000000"/>
        </w:rPr>
        <w:sectPr w:rsidR="008E6F07" w:rsidRPr="008E6F07">
          <w:pgSz w:w="15840" w:h="12240" w:orient="landscape" w:code="1"/>
          <w:pgMar w:top="1440" w:right="1080" w:bottom="1440" w:left="1440" w:header="720" w:footer="720" w:gutter="0"/>
          <w:cols w:space="720"/>
          <w:docGrid w:linePitch="360"/>
        </w:sectPr>
      </w:pPr>
    </w:p>
    <w:p w14:paraId="5C1B50D4" w14:textId="77777777" w:rsidR="008E6F07" w:rsidRPr="008E6F07" w:rsidRDefault="008E6F07" w:rsidP="008E6F07">
      <w:pPr>
        <w:spacing w:after="240"/>
        <w:rPr>
          <w:rFonts w:eastAsia="Arial" w:cs="Arial"/>
          <w:color w:val="000000"/>
        </w:rPr>
      </w:pPr>
      <w:r w:rsidRPr="008E6F07">
        <w:rPr>
          <w:rFonts w:eastAsia="Arial" w:cs="Arial"/>
          <w:b/>
          <w:bCs/>
        </w:rPr>
        <w:lastRenderedPageBreak/>
        <w:t>Requirement 3—</w:t>
      </w:r>
      <w:r w:rsidRPr="008E6F07">
        <w:rPr>
          <w:rFonts w:eastAsia="Arial" w:cs="Arial"/>
          <w:b/>
          <w:bCs/>
          <w:color w:val="000000"/>
        </w:rPr>
        <w:t>34</w:t>
      </w:r>
      <w:r w:rsidRPr="008E6F07">
        <w:rPr>
          <w:rFonts w:eastAsia="Arial" w:cs="Arial"/>
          <w:b/>
          <w:color w:val="000000"/>
        </w:rPr>
        <w:t xml:space="preserve"> </w:t>
      </w:r>
      <w:r w:rsidRPr="008E6F07">
        <w:rPr>
          <w:rFonts w:eastAsia="Arial" w:cs="Arial"/>
          <w:b/>
          <w:i/>
          <w:color w:val="000000"/>
        </w:rPr>
        <w:t>CFR</w:t>
      </w:r>
      <w:r w:rsidRPr="008E6F07">
        <w:rPr>
          <w:rFonts w:eastAsia="Arial" w:cs="Arial"/>
          <w:b/>
          <w:iCs/>
          <w:color w:val="000000"/>
        </w:rPr>
        <w:t>,</w:t>
      </w:r>
      <w:r w:rsidRPr="008E6F07">
        <w:rPr>
          <w:rFonts w:eastAsia="Arial" w:cs="Arial"/>
          <w:b/>
          <w:color w:val="000000"/>
        </w:rPr>
        <w:t xml:space="preserve"> Section 200.6(c)(4)(iii):</w:t>
      </w:r>
      <w:r w:rsidRPr="008E6F07">
        <w:rPr>
          <w:rFonts w:eastAsia="Arial" w:cs="Arial"/>
          <w:b/>
          <w:bCs/>
          <w:color w:val="000000"/>
        </w:rPr>
        <w:t xml:space="preserve"> </w:t>
      </w:r>
      <w:r w:rsidRPr="008E6F07">
        <w:rPr>
          <w:rFonts w:eastAsia="Arial" w:cs="Arial"/>
          <w:color w:val="000000"/>
        </w:rPr>
        <w:t>Provide assurances that the state has verified that each local educational agency (LEA) that the state anticipates will assess more than 1.0 percent of its assessed students in a subject using the AA-AAAS followed the state's guidelines for students with the most significant cognitive disability.</w:t>
      </w:r>
    </w:p>
    <w:p w14:paraId="1EF8BE4B" w14:textId="3CECA73A" w:rsidR="008E6F07" w:rsidRPr="008E6F07" w:rsidRDefault="008E6F07" w:rsidP="008E6F07">
      <w:pPr>
        <w:spacing w:after="240"/>
        <w:rPr>
          <w:rFonts w:eastAsia="Arial"/>
          <w:color w:val="000000"/>
        </w:rPr>
      </w:pPr>
      <w:r w:rsidRPr="6AE781A7">
        <w:rPr>
          <w:rFonts w:eastAsia="Arial" w:cs="Arial"/>
          <w:color w:val="000000" w:themeColor="text1"/>
        </w:rPr>
        <w:t xml:space="preserve">California has all LEAs in the state </w:t>
      </w:r>
      <w:r w:rsidR="005F4B49" w:rsidRPr="58B931CD">
        <w:rPr>
          <w:rFonts w:eastAsia="Arial" w:cs="Arial"/>
          <w:color w:val="000000" w:themeColor="text1"/>
        </w:rPr>
        <w:t>complete</w:t>
      </w:r>
      <w:r w:rsidR="006C003A" w:rsidRPr="58B931CD">
        <w:rPr>
          <w:rFonts w:eastAsia="Arial" w:cs="Arial"/>
          <w:color w:val="000000" w:themeColor="text1"/>
        </w:rPr>
        <w:t xml:space="preserve"> the</w:t>
      </w:r>
      <w:r w:rsidRPr="58B931CD">
        <w:rPr>
          <w:rFonts w:eastAsia="Arial" w:cs="Arial"/>
          <w:color w:val="000000" w:themeColor="text1"/>
        </w:rPr>
        <w:t xml:space="preserve"> </w:t>
      </w:r>
      <w:r w:rsidRPr="6AE781A7">
        <w:rPr>
          <w:rFonts w:eastAsia="Arial" w:cs="Arial"/>
          <w:color w:val="000000" w:themeColor="text1"/>
        </w:rPr>
        <w:t>1.0 Percent Justification Survey. If the LEA anticipat</w:t>
      </w:r>
      <w:r w:rsidR="005701AC" w:rsidRPr="6AE781A7">
        <w:rPr>
          <w:rFonts w:eastAsia="Arial" w:cs="Arial"/>
          <w:color w:val="000000" w:themeColor="text1"/>
        </w:rPr>
        <w:t>es</w:t>
      </w:r>
      <w:r w:rsidRPr="6AE781A7">
        <w:rPr>
          <w:rFonts w:eastAsia="Arial" w:cs="Arial"/>
          <w:color w:val="000000" w:themeColor="text1"/>
        </w:rPr>
        <w:t xml:space="preserve"> exceed</w:t>
      </w:r>
      <w:r w:rsidR="005701AC" w:rsidRPr="6AE781A7">
        <w:rPr>
          <w:rFonts w:eastAsia="Arial" w:cs="Arial"/>
          <w:color w:val="000000" w:themeColor="text1"/>
        </w:rPr>
        <w:t>ing</w:t>
      </w:r>
      <w:r w:rsidRPr="6AE781A7">
        <w:rPr>
          <w:rFonts w:eastAsia="Arial" w:cs="Arial"/>
          <w:color w:val="000000" w:themeColor="text1"/>
        </w:rPr>
        <w:t xml:space="preserve"> the 1.0 percent threshold of students who would be assessed using the AA-AAAS, the LEA is required to provide a justification. The </w:t>
      </w:r>
      <w:r w:rsidRPr="58B931CD">
        <w:rPr>
          <w:rFonts w:eastAsia="Arial" w:cs="Arial"/>
          <w:color w:val="000000" w:themeColor="text1"/>
        </w:rPr>
        <w:t>CDE</w:t>
      </w:r>
      <w:r w:rsidRPr="6AE781A7">
        <w:rPr>
          <w:rFonts w:eastAsia="Arial" w:cs="Arial"/>
          <w:color w:val="000000" w:themeColor="text1"/>
        </w:rPr>
        <w:t xml:space="preserve"> </w:t>
      </w:r>
      <w:r w:rsidRPr="008E6F07">
        <w:rPr>
          <w:rFonts w:eastAsia="Arial" w:cs="Arial"/>
        </w:rPr>
        <w:t>1.0 Percent Threshold on Alternate Assessments</w:t>
      </w:r>
      <w:r w:rsidRPr="6AE781A7">
        <w:rPr>
          <w:rFonts w:eastAsia="Arial" w:cs="Arial"/>
          <w:color w:val="000000" w:themeColor="text1"/>
        </w:rPr>
        <w:t xml:space="preserve"> web page at </w:t>
      </w:r>
      <w:hyperlink r:id="rId29">
        <w:r w:rsidR="2E1834B8" w:rsidRPr="6AE781A7">
          <w:rPr>
            <w:rFonts w:eastAsia="Arial" w:cs="Arial"/>
            <w:color w:val="0000FF"/>
            <w:u w:val="single"/>
          </w:rPr>
          <w:t>https://www.cde.ca.gov/ta/tg/ca/caaonepercent.asp</w:t>
        </w:r>
      </w:hyperlink>
      <w:r w:rsidRPr="6AE781A7">
        <w:rPr>
          <w:rFonts w:eastAsia="Arial" w:cs="Arial"/>
          <w:color w:val="000000" w:themeColor="text1"/>
        </w:rPr>
        <w:t xml:space="preserve"> provides information on this requirement.</w:t>
      </w:r>
    </w:p>
    <w:p w14:paraId="47A8FE97" w14:textId="17C4111E" w:rsidR="008E6F07" w:rsidRPr="008E6F07" w:rsidRDefault="008E6F07" w:rsidP="008E6F07">
      <w:pPr>
        <w:spacing w:after="240"/>
        <w:rPr>
          <w:rFonts w:eastAsia="Arial" w:cs="Arial"/>
          <w:color w:val="000000"/>
        </w:rPr>
      </w:pPr>
      <w:r w:rsidRPr="58B931CD">
        <w:rPr>
          <w:rFonts w:eastAsia="Arial" w:cs="Arial"/>
          <w:color w:val="000000" w:themeColor="text1"/>
        </w:rPr>
        <w:t xml:space="preserve">The justification </w:t>
      </w:r>
      <w:r w:rsidR="00E805AD" w:rsidRPr="58B931CD">
        <w:rPr>
          <w:rFonts w:eastAsia="Arial" w:cs="Arial"/>
          <w:color w:val="000000" w:themeColor="text1"/>
        </w:rPr>
        <w:t>survey</w:t>
      </w:r>
      <w:r w:rsidRPr="58B931CD">
        <w:rPr>
          <w:rFonts w:eastAsia="Arial" w:cs="Arial"/>
          <w:color w:val="000000" w:themeColor="text1"/>
        </w:rPr>
        <w:t xml:space="preserve"> includes assurances that the LEA has ensured that its educators have been trained on the state guidelines and that individualized education program (IEP) teams are adhering to the state’s identified criteria of eligibility in making participation decisions for students who participate in the AA-AAAS. Allowance is made for the LEA to provide the reason for exceeding the 1.0 percent cap.</w:t>
      </w:r>
    </w:p>
    <w:p w14:paraId="393BBB4D" w14:textId="648ABB29" w:rsidR="008E6F07" w:rsidRPr="008E6F07" w:rsidRDefault="008E6F07" w:rsidP="008E6F07">
      <w:pPr>
        <w:spacing w:after="240"/>
        <w:ind w:right="360"/>
        <w:rPr>
          <w:rFonts w:eastAsia="Arial" w:cs="Arial"/>
          <w:color w:val="000000"/>
        </w:rPr>
      </w:pPr>
      <w:r w:rsidRPr="008E6F07">
        <w:rPr>
          <w:rFonts w:eastAsia="Arial" w:cs="Arial"/>
          <w:color w:val="000000"/>
        </w:rPr>
        <w:t xml:space="preserve">By submitting the justification </w:t>
      </w:r>
      <w:r w:rsidR="00E805AD">
        <w:rPr>
          <w:rFonts w:eastAsia="Arial" w:cs="Arial"/>
          <w:color w:val="000000"/>
        </w:rPr>
        <w:t>survey</w:t>
      </w:r>
      <w:r w:rsidRPr="008E6F07">
        <w:rPr>
          <w:rFonts w:eastAsia="Arial" w:cs="Arial"/>
          <w:color w:val="000000"/>
        </w:rPr>
        <w:t>, the LEA certifies that eligible students identified to take the CAAs have met the criteria below (34</w:t>
      </w:r>
      <w:r w:rsidRPr="008E6F07">
        <w:rPr>
          <w:rFonts w:eastAsia="Arial" w:cs="Arial"/>
          <w:i/>
          <w:iCs/>
          <w:color w:val="000000"/>
        </w:rPr>
        <w:t xml:space="preserve"> CFR</w:t>
      </w:r>
      <w:r w:rsidRPr="008E6F07">
        <w:rPr>
          <w:rFonts w:eastAsia="Arial" w:cs="Arial"/>
          <w:color w:val="000000"/>
        </w:rPr>
        <w:t>, Section 200.6) for students with the most significant cognitive disabilities enrolled in the LEA.</w:t>
      </w:r>
    </w:p>
    <w:p w14:paraId="438D47A6" w14:textId="77777777" w:rsidR="008E6F07" w:rsidRPr="008E6F07" w:rsidRDefault="008E6F07" w:rsidP="006B3335">
      <w:pPr>
        <w:numPr>
          <w:ilvl w:val="0"/>
          <w:numId w:val="12"/>
        </w:numPr>
        <w:spacing w:after="240" w:line="259" w:lineRule="auto"/>
        <w:ind w:left="720" w:right="360"/>
        <w:rPr>
          <w:rFonts w:eastAsia="Arial" w:cs="Arial"/>
          <w:color w:val="000000"/>
        </w:rPr>
      </w:pPr>
      <w:r w:rsidRPr="008E6F07">
        <w:rPr>
          <w:rFonts w:eastAsia="Arial" w:cs="Arial"/>
          <w:color w:val="000000"/>
        </w:rPr>
        <w:t>All students identified for alternate assessment have been determined to be the most significantly cognitively impaired, including factors related to cognitive functioning and adaptive behavior, within the LEA.</w:t>
      </w:r>
    </w:p>
    <w:p w14:paraId="1E027A82" w14:textId="77777777" w:rsidR="008E6F07" w:rsidRPr="008E6F07" w:rsidRDefault="008E6F07" w:rsidP="006B3335">
      <w:pPr>
        <w:numPr>
          <w:ilvl w:val="0"/>
          <w:numId w:val="12"/>
        </w:numPr>
        <w:spacing w:after="240" w:line="259" w:lineRule="auto"/>
        <w:ind w:left="720" w:right="1440"/>
        <w:rPr>
          <w:rFonts w:eastAsia="Arial" w:cs="Arial"/>
          <w:color w:val="000000"/>
        </w:rPr>
      </w:pPr>
      <w:r w:rsidRPr="008E6F07">
        <w:rPr>
          <w:rFonts w:eastAsia="Arial" w:cs="Arial"/>
          <w:color w:val="000000"/>
        </w:rPr>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6022807A" w14:textId="77777777" w:rsidR="008E6F07" w:rsidRPr="008E6F07" w:rsidRDefault="008E6F07" w:rsidP="006B3335">
      <w:pPr>
        <w:numPr>
          <w:ilvl w:val="0"/>
          <w:numId w:val="12"/>
        </w:numPr>
        <w:spacing w:after="240" w:line="259" w:lineRule="auto"/>
        <w:ind w:left="720" w:right="1440"/>
        <w:rPr>
          <w:rFonts w:eastAsia="Arial" w:cs="Arial"/>
          <w:color w:val="000000"/>
        </w:rPr>
      </w:pPr>
      <w:r w:rsidRPr="008E6F07">
        <w:rPr>
          <w:rFonts w:eastAsia="Arial" w:cs="Arial"/>
          <w:color w:val="000000"/>
        </w:rPr>
        <w:t xml:space="preserve">Students with the most significant cognitive disabilities are not identified solely </w:t>
      </w:r>
      <w:proofErr w:type="gramStart"/>
      <w:r w:rsidRPr="008E6F07">
        <w:rPr>
          <w:rFonts w:eastAsia="Arial" w:cs="Arial"/>
          <w:color w:val="000000"/>
        </w:rPr>
        <w:t>on the basis of</w:t>
      </w:r>
      <w:proofErr w:type="gramEnd"/>
      <w:r w:rsidRPr="008E6F07">
        <w:rPr>
          <w:rFonts w:eastAsia="Arial" w:cs="Arial"/>
          <w:color w:val="000000"/>
        </w:rPr>
        <w:t xml:space="preserve"> the student’s previous low academic achievement or the student’s previous need for accommodations to participate in general state or districtwide assessments.</w:t>
      </w:r>
    </w:p>
    <w:p w14:paraId="26A7AB74" w14:textId="77777777" w:rsidR="008E6F07" w:rsidRPr="008E6F07" w:rsidRDefault="008E6F07" w:rsidP="008E6F07">
      <w:pPr>
        <w:spacing w:after="240"/>
        <w:rPr>
          <w:color w:val="000000"/>
        </w:rPr>
      </w:pPr>
      <w:r w:rsidRPr="008E6F07">
        <w:rPr>
          <w:rFonts w:eastAsia="Arial" w:cs="Arial"/>
          <w:b/>
          <w:bCs/>
        </w:rPr>
        <w:t xml:space="preserve">Requirement 4—(34 </w:t>
      </w:r>
      <w:r w:rsidRPr="008E6F07">
        <w:rPr>
          <w:rFonts w:eastAsia="Arial" w:cs="Arial"/>
          <w:b/>
          <w:bCs/>
          <w:i/>
          <w:iCs/>
        </w:rPr>
        <w:t>CFR</w:t>
      </w:r>
      <w:r w:rsidRPr="008E6F07">
        <w:rPr>
          <w:rFonts w:eastAsia="Arial" w:cs="Arial"/>
          <w:b/>
          <w:bCs/>
        </w:rPr>
        <w:t>, Section 200.6[c][4][iv]):</w:t>
      </w:r>
      <w:r w:rsidRPr="008E6F07">
        <w:rPr>
          <w:color w:val="000000"/>
        </w:rPr>
        <w:t xml:space="preserve"> Submit a plan and timeline by which the following will be accomplished: (A) State will improve the implementation of its participation guidelines, including if necessary, revising its definition of “students with the most significant cognitive disabilities,” (B) State will take additional steps to support and provide appropriate oversight to each LEA that the state anticipates will assess more than 1.0 percent with the AA-AAAS to ensure that only students with the most significant cognitive disabilities take the AA-AAAS (this must include a description of how the state will monitor and regularly evaluate each of these LEAs to ensure that the </w:t>
      </w:r>
      <w:r w:rsidRPr="008E6F07">
        <w:rPr>
          <w:color w:val="000000"/>
        </w:rPr>
        <w:lastRenderedPageBreak/>
        <w:t>LEA provides sufficient training for IEP team members); and (C) State will address any disproportionality in the percentage of students taking the AA-AAAS.</w:t>
      </w:r>
    </w:p>
    <w:p w14:paraId="09694089" w14:textId="77777777" w:rsidR="008E6F07" w:rsidRPr="008E6F07" w:rsidRDefault="008E6F07" w:rsidP="009F6320">
      <w:pPr>
        <w:pStyle w:val="Heading3"/>
      </w:pPr>
      <w:r w:rsidRPr="008E6F07">
        <w:t>California’s Waiver Plan for 2023–24</w:t>
      </w:r>
    </w:p>
    <w:p w14:paraId="25DD6E82" w14:textId="77777777" w:rsidR="008E6F07" w:rsidRPr="008E6F07" w:rsidRDefault="008E6F07" w:rsidP="008E6F07">
      <w:pPr>
        <w:spacing w:after="240"/>
        <w:rPr>
          <w:rFonts w:eastAsia="Arial" w:cs="Arial"/>
          <w:color w:val="000000"/>
        </w:rPr>
      </w:pPr>
      <w:r w:rsidRPr="008E6F07">
        <w:rPr>
          <w:rFonts w:eastAsia="Arial" w:cs="Arial"/>
          <w:color w:val="000000"/>
        </w:rPr>
        <w:t>California will continue to meet all other requirements of Section 1111 of the ESEA as well as implement regulations with respect to all state-determined academic standards and assessments, including reporting student achievement and school performance disaggregated by student groups to parents and the public.</w:t>
      </w:r>
    </w:p>
    <w:p w14:paraId="3AE5478B" w14:textId="77777777" w:rsidR="008E6F07" w:rsidRPr="008E6F07" w:rsidRDefault="008E6F07" w:rsidP="008E6F07">
      <w:pPr>
        <w:spacing w:after="240"/>
        <w:rPr>
          <w:rFonts w:eastAsia="Arial" w:cs="Arial"/>
          <w:color w:val="000000"/>
        </w:rPr>
      </w:pPr>
      <w:r w:rsidRPr="008E6F07">
        <w:rPr>
          <w:rFonts w:eastAsia="Arial" w:cs="Arial"/>
          <w:color w:val="000000"/>
        </w:rPr>
        <w:t xml:space="preserve">California’s plan and timeline in table 8 intended to address the reduction of percentages exceeding the 1.0 percent cap of alternate assessment participation will be included, pursuant to the additional federal requirements detailed in 34 </w:t>
      </w:r>
      <w:r w:rsidRPr="008E6F07">
        <w:rPr>
          <w:rFonts w:eastAsia="Arial" w:cs="Arial"/>
          <w:i/>
          <w:iCs/>
          <w:color w:val="000000"/>
        </w:rPr>
        <w:t>CFR</w:t>
      </w:r>
      <w:r w:rsidRPr="008E6F07">
        <w:rPr>
          <w:rFonts w:eastAsia="Arial" w:cs="Arial"/>
          <w:color w:val="000000"/>
        </w:rPr>
        <w:t>, Section 200.6(c)(4). This plan will also include clarification of state guidelines, professional development, oversight, and support for identified areas of need. Consistent with the plan submitted in this waiver request, the CDE will implement system improvements and monitor future administrations to avoid exceeding the 1.0 percent cap.</w:t>
      </w:r>
    </w:p>
    <w:p w14:paraId="08F682EE" w14:textId="77777777" w:rsidR="008E6F07" w:rsidRPr="008E6F07" w:rsidRDefault="008E6F07" w:rsidP="00FB0E15">
      <w:pPr>
        <w:numPr>
          <w:ilvl w:val="0"/>
          <w:numId w:val="13"/>
        </w:numPr>
        <w:spacing w:after="240" w:line="259" w:lineRule="auto"/>
        <w:ind w:left="720"/>
        <w:rPr>
          <w:rFonts w:eastAsia="MS Mincho" w:cs="Arial"/>
          <w:color w:val="000000"/>
        </w:rPr>
      </w:pPr>
      <w:r w:rsidRPr="008E6F07">
        <w:rPr>
          <w:rFonts w:eastAsia="Arial" w:cs="Arial"/>
        </w:rPr>
        <w:t xml:space="preserve">A clear description of how the state will improve the implementation of its guidelines for participation in the AA-AAAS, including reviewing the definition of students with the most significant cognitive disabilities (see 34 </w:t>
      </w:r>
      <w:r w:rsidRPr="008E6F07">
        <w:rPr>
          <w:rFonts w:eastAsia="Arial" w:cs="Arial"/>
          <w:i/>
          <w:iCs/>
        </w:rPr>
        <w:t>CFR</w:t>
      </w:r>
      <w:r w:rsidRPr="008E6F07">
        <w:rPr>
          <w:rFonts w:eastAsia="Arial" w:cs="Arial"/>
        </w:rPr>
        <w:t>, Section 200.6[c][4][iv][A]), so that the state meets the 1.0 percent cap in each subject for which assessments are administered in future school years.</w:t>
      </w:r>
    </w:p>
    <w:p w14:paraId="7409995C" w14:textId="2CD0ECEE" w:rsidR="008E6F07" w:rsidRPr="008E6F07" w:rsidRDefault="008E6F07" w:rsidP="008E6F07">
      <w:pPr>
        <w:spacing w:after="240"/>
        <w:ind w:left="720"/>
        <w:rPr>
          <w:rFonts w:eastAsia="Arial" w:cs="Arial"/>
          <w:color w:val="000000"/>
        </w:rPr>
      </w:pPr>
      <w:r w:rsidRPr="6AE781A7">
        <w:rPr>
          <w:rFonts w:eastAsia="Arial" w:cs="Arial"/>
          <w:color w:val="000000" w:themeColor="text1"/>
        </w:rPr>
        <w:t xml:space="preserve">The CDE revised its guidelines to clarify that students identified with a specific learning disability (SLD) do not meet the criteria for identification as significantly cognitively impaired. The guidelines also clarify that a student who is registered for the alternate assessment in one subject must take the alternate assessment for all eligible subjects. This revised guidance has been added to the state decision-making tool. </w:t>
      </w:r>
      <w:r w:rsidR="26839C89" w:rsidRPr="6AE781A7">
        <w:rPr>
          <w:rFonts w:eastAsia="Arial" w:cs="Arial"/>
          <w:color w:val="000000" w:themeColor="text1"/>
        </w:rPr>
        <w:t>Data from the 2022–23 administration</w:t>
      </w:r>
      <w:r w:rsidRPr="6AE781A7">
        <w:rPr>
          <w:rFonts w:eastAsia="Arial" w:cs="Arial"/>
          <w:color w:val="000000" w:themeColor="text1"/>
        </w:rPr>
        <w:t xml:space="preserve"> indicate that the numbers of SLD students inappropriately identified for alternate assessment have decreased from prior year’s numbers.</w:t>
      </w:r>
    </w:p>
    <w:p w14:paraId="2F4D4167" w14:textId="77777777" w:rsidR="008E6F07" w:rsidRPr="008E6F07" w:rsidRDefault="008E6F07" w:rsidP="008E6F07">
      <w:pPr>
        <w:spacing w:after="240"/>
        <w:ind w:left="720"/>
        <w:rPr>
          <w:rFonts w:eastAsia="Arial" w:cs="Arial"/>
          <w:color w:val="000000"/>
        </w:rPr>
      </w:pPr>
      <w:r w:rsidRPr="008E6F07">
        <w:rPr>
          <w:rFonts w:eastAsia="Arial" w:cs="Arial"/>
          <w:color w:val="000000"/>
        </w:rPr>
        <w:t xml:space="preserve">The </w:t>
      </w:r>
      <w:r w:rsidRPr="008E6F07">
        <w:rPr>
          <w:rFonts w:eastAsia="Arial" w:cs="Arial"/>
        </w:rPr>
        <w:t>Alternate Assessment Decision Confirmation Workshee</w:t>
      </w:r>
      <w:r w:rsidRPr="008E6F07">
        <w:rPr>
          <w:rFonts w:eastAsia="Arial" w:cs="Arial"/>
          <w:color w:val="000000"/>
        </w:rPr>
        <w:t xml:space="preserve">t is posted on the CDE </w:t>
      </w:r>
      <w:r w:rsidRPr="008E6F07">
        <w:rPr>
          <w:rFonts w:eastAsia="Arial" w:cs="Arial"/>
        </w:rPr>
        <w:t xml:space="preserve">CAAs for ELA and Math web page at </w:t>
      </w:r>
      <w:hyperlink r:id="rId30" w:tooltip="This link opens the CDE California Alternate Assessments for ELA and Math web page.">
        <w:r w:rsidRPr="008E6F07">
          <w:rPr>
            <w:rFonts w:eastAsia="Arial" w:cs="Arial"/>
            <w:color w:val="0000FF"/>
            <w:u w:val="single"/>
          </w:rPr>
          <w:t>https://www.cde.ca.gov/ta/tg/ca/altassessment.asp</w:t>
        </w:r>
      </w:hyperlink>
      <w:r w:rsidRPr="008E6F07">
        <w:rPr>
          <w:rFonts w:eastAsia="Arial" w:cs="Arial"/>
          <w:color w:val="000000"/>
        </w:rPr>
        <w:t xml:space="preserve"> and on the CDE </w:t>
      </w:r>
      <w:r w:rsidRPr="008E6F07">
        <w:rPr>
          <w:rFonts w:eastAsia="Arial" w:cs="Arial"/>
        </w:rPr>
        <w:t>CAA for Science</w:t>
      </w:r>
      <w:r w:rsidRPr="008E6F07">
        <w:rPr>
          <w:rFonts w:eastAsia="Arial" w:cs="Arial"/>
          <w:color w:val="000000"/>
        </w:rPr>
        <w:t xml:space="preserve"> web page at </w:t>
      </w:r>
      <w:hyperlink r:id="rId31" w:tooltip="This link opens the CAA for Science web page.">
        <w:r w:rsidRPr="008E6F07">
          <w:rPr>
            <w:rFonts w:eastAsia="Arial" w:cs="Arial"/>
            <w:color w:val="0000FF"/>
            <w:u w:val="single"/>
          </w:rPr>
          <w:t>https://www.cde.ca.gov/ta/tg/ca/caascience.asp</w:t>
        </w:r>
      </w:hyperlink>
      <w:r w:rsidRPr="008E6F07">
        <w:rPr>
          <w:rFonts w:eastAsia="Arial" w:cs="Arial"/>
          <w:color w:val="000000"/>
        </w:rPr>
        <w:t xml:space="preserve">. The decision to participate in the CAAs is made by students’ IEP team and documented accordingly in each student's IEP. </w:t>
      </w:r>
    </w:p>
    <w:p w14:paraId="41D2E44F" w14:textId="77777777" w:rsidR="008E6F07" w:rsidRPr="008E6F07" w:rsidRDefault="008E6F07" w:rsidP="005341F9">
      <w:pPr>
        <w:numPr>
          <w:ilvl w:val="0"/>
          <w:numId w:val="13"/>
        </w:numPr>
        <w:spacing w:after="240" w:line="259" w:lineRule="auto"/>
        <w:ind w:left="720"/>
        <w:rPr>
          <w:rFonts w:eastAsia="Arial" w:cs="Arial"/>
          <w:color w:val="000000"/>
        </w:rPr>
      </w:pPr>
      <w:r w:rsidRPr="008E6F07">
        <w:rPr>
          <w:rFonts w:eastAsia="Arial" w:cs="Arial"/>
        </w:rPr>
        <w:t>A clear description of how it will monitor and regularly evaluate each LEA to ensure that the LEA provides sufficient training such that school staff who participate as members of an IEP team or other placement team understand and implement the guidelines established by the state for participation in an AA-</w:t>
      </w:r>
      <w:r w:rsidRPr="008E6F07">
        <w:rPr>
          <w:rFonts w:eastAsia="Arial" w:cs="Arial"/>
        </w:rPr>
        <w:lastRenderedPageBreak/>
        <w:t xml:space="preserve">AAAS so that all students are appropriately assessed (see 34 </w:t>
      </w:r>
      <w:r w:rsidRPr="008E6F07">
        <w:rPr>
          <w:rFonts w:eastAsia="Arial" w:cs="Arial"/>
          <w:i/>
          <w:iCs/>
        </w:rPr>
        <w:t>CFR</w:t>
      </w:r>
      <w:r w:rsidRPr="008E6F07">
        <w:rPr>
          <w:rFonts w:eastAsia="Arial" w:cs="Arial"/>
        </w:rPr>
        <w:t>, Section 200.6[c][4][iv][B]).</w:t>
      </w:r>
    </w:p>
    <w:p w14:paraId="528D8703" w14:textId="77777777" w:rsidR="008E6F07" w:rsidRPr="008E6F07" w:rsidRDefault="008E6F07" w:rsidP="005341F9">
      <w:pPr>
        <w:spacing w:after="240"/>
        <w:ind w:left="720"/>
        <w:rPr>
          <w:rFonts w:eastAsia="Arial" w:cs="Arial"/>
          <w:color w:val="000000"/>
        </w:rPr>
      </w:pPr>
      <w:r w:rsidRPr="008E6F07">
        <w:rPr>
          <w:rFonts w:eastAsia="Arial" w:cs="Arial"/>
          <w:color w:val="000000"/>
        </w:rPr>
        <w:t>The CDE will annually monitor and address all LEAs that have exceeded the 1.0 percent threshold on participation in the AA-AAAS. Current CDE procedures require all LEAs to submit a response to the 1.0 Percent Justification Survey</w:t>
      </w:r>
      <w:r w:rsidRPr="008E6F07" w:rsidDel="0020330E">
        <w:rPr>
          <w:rFonts w:eastAsia="Arial" w:cs="Arial"/>
          <w:color w:val="000000"/>
        </w:rPr>
        <w:t xml:space="preserve"> </w:t>
      </w:r>
      <w:r w:rsidRPr="008E6F07">
        <w:rPr>
          <w:rFonts w:eastAsia="Arial" w:cs="Arial"/>
          <w:color w:val="000000"/>
        </w:rPr>
        <w:t xml:space="preserve">regardless of whether they have exceeded the threshold. The CDE will engage with LEAs that exceeded the 1.0 percent threshold. That engagement may include the dissemination of information on the appropriate identification of students, the dissemination of general IEP team guidance, the use of targeted strategies for confirming and reducing participation rates in the alternate assessment, and the use of potential findings of noncompliance. </w:t>
      </w:r>
    </w:p>
    <w:p w14:paraId="1A814F8A" w14:textId="77777777" w:rsidR="008E6F07" w:rsidRPr="008E6F07" w:rsidRDefault="008E6F07" w:rsidP="005341F9">
      <w:pPr>
        <w:numPr>
          <w:ilvl w:val="0"/>
          <w:numId w:val="13"/>
        </w:numPr>
        <w:spacing w:after="240" w:line="259" w:lineRule="auto"/>
        <w:ind w:left="720"/>
        <w:rPr>
          <w:rFonts w:eastAsia="MS Mincho" w:cs="Arial"/>
        </w:rPr>
      </w:pPr>
      <w:r w:rsidRPr="008E6F07">
        <w:rPr>
          <w:rFonts w:eastAsia="Arial" w:cs="Arial"/>
        </w:rPr>
        <w:t xml:space="preserve">A clear description of how the state will address any disproportionality in the percentage of students taking an AA-AAAS as identified through the data provided (see 34 </w:t>
      </w:r>
      <w:r w:rsidRPr="008E6F07">
        <w:rPr>
          <w:rFonts w:eastAsia="Arial" w:cs="Arial"/>
          <w:i/>
          <w:iCs/>
        </w:rPr>
        <w:t>CFR</w:t>
      </w:r>
      <w:r w:rsidRPr="008E6F07">
        <w:rPr>
          <w:rFonts w:eastAsia="Arial" w:cs="Arial"/>
        </w:rPr>
        <w:t>, Section 200.6[c][4][iv][C]).</w:t>
      </w:r>
    </w:p>
    <w:p w14:paraId="6DD5259D" w14:textId="77777777" w:rsidR="008E6F07" w:rsidRPr="008E6F07" w:rsidRDefault="008E6F07" w:rsidP="005341F9">
      <w:pPr>
        <w:spacing w:after="240"/>
        <w:ind w:left="720"/>
        <w:rPr>
          <w:rFonts w:eastAsia="MS Mincho" w:cs="Arial"/>
        </w:rPr>
      </w:pPr>
      <w:r w:rsidRPr="008E6F07">
        <w:rPr>
          <w:rFonts w:eastAsia="Arial" w:cs="Arial"/>
          <w:color w:val="000000"/>
        </w:rPr>
        <w:t xml:space="preserve">To determine a risk for disproportionality, the CDE will examine the participation in the CAAs of each subgroup compared to the participation in the CAAs of students not in the subgroup. The analysis of this risk will identify whether any of the subgroups are more likely than others not in the subgroup to participate in the CAAs. Information from this analysis will provide the CDE with anticipated participation and potential risk of disproportionality of student subgroups taking the CAAs. In turn, the information will be used to provide the basis for engaging affected LEAs to provide oversight and monitoring through the implementation of the CDE’s monitoring requirements under 34 </w:t>
      </w:r>
      <w:r w:rsidRPr="008E6F07">
        <w:rPr>
          <w:rFonts w:eastAsia="Arial" w:cs="Arial"/>
          <w:i/>
          <w:iCs/>
          <w:color w:val="000000"/>
        </w:rPr>
        <w:t>CFR</w:t>
      </w:r>
      <w:r w:rsidRPr="008E6F07">
        <w:rPr>
          <w:rFonts w:eastAsia="Arial" w:cs="Arial"/>
          <w:color w:val="000000"/>
        </w:rPr>
        <w:t>, Section 300.600.</w:t>
      </w:r>
    </w:p>
    <w:p w14:paraId="2510F8FD" w14:textId="77777777" w:rsidR="008E6F07" w:rsidRPr="008E6F07" w:rsidRDefault="008E6F07" w:rsidP="008E6F07">
      <w:pPr>
        <w:rPr>
          <w:rFonts w:eastAsia="Arial" w:cs="Arial"/>
        </w:rPr>
      </w:pPr>
      <w:r w:rsidRPr="008E6F07">
        <w:rPr>
          <w:rFonts w:eastAsia="Arial" w:cs="Arial"/>
        </w:rPr>
        <w:br w:type="page"/>
      </w:r>
    </w:p>
    <w:p w14:paraId="172CCC9E" w14:textId="77777777" w:rsidR="008E6F07" w:rsidRPr="00135F48" w:rsidRDefault="008E6F07" w:rsidP="00135F48">
      <w:pPr>
        <w:pStyle w:val="Heading4"/>
        <w:rPr>
          <w:i w:val="0"/>
          <w:iCs w:val="0"/>
        </w:rPr>
      </w:pPr>
      <w:r w:rsidRPr="00135F48">
        <w:rPr>
          <w:i w:val="0"/>
          <w:iCs w:val="0"/>
        </w:rPr>
        <w:lastRenderedPageBreak/>
        <w:t>Table 8. California’s Plan and Timeline</w:t>
      </w:r>
    </w:p>
    <w:tbl>
      <w:tblPr>
        <w:tblStyle w:val="TableGrid1"/>
        <w:tblW w:w="5000" w:type="pct"/>
        <w:tblLayout w:type="fixed"/>
        <w:tblLook w:val="04A0" w:firstRow="1" w:lastRow="0" w:firstColumn="1" w:lastColumn="0" w:noHBand="0" w:noVBand="1"/>
        <w:tblCaption w:val="California’s Timeline "/>
        <w:tblDescription w:val="This table display California’s Timeline."/>
      </w:tblPr>
      <w:tblGrid>
        <w:gridCol w:w="5036"/>
        <w:gridCol w:w="2162"/>
        <w:gridCol w:w="2152"/>
      </w:tblGrid>
      <w:tr w:rsidR="008E6F07" w:rsidRPr="008E6F07" w14:paraId="357405E9" w14:textId="77777777" w:rsidTr="48D0E00D">
        <w:trPr>
          <w:cantSplit/>
          <w:tblHeader/>
        </w:trPr>
        <w:tc>
          <w:tcPr>
            <w:tcW w:w="2693" w:type="pct"/>
            <w:shd w:val="clear" w:color="auto" w:fill="D9D9D9" w:themeFill="background1" w:themeFillShade="D9"/>
            <w:tcMar>
              <w:top w:w="58" w:type="dxa"/>
              <w:left w:w="115" w:type="dxa"/>
              <w:bottom w:w="58" w:type="dxa"/>
              <w:right w:w="115" w:type="dxa"/>
            </w:tcMar>
            <w:vAlign w:val="center"/>
          </w:tcPr>
          <w:p w14:paraId="2CB2808C" w14:textId="77777777" w:rsidR="008E6F07" w:rsidRPr="008E6F07" w:rsidRDefault="008E6F07" w:rsidP="008E6F07">
            <w:pPr>
              <w:ind w:right="-15"/>
              <w:jc w:val="center"/>
              <w:rPr>
                <w:rFonts w:eastAsia="Arial" w:cs="Arial"/>
                <w:color w:val="000000"/>
              </w:rPr>
            </w:pPr>
            <w:r w:rsidRPr="008E6F07">
              <w:rPr>
                <w:rFonts w:eastAsia="Arial" w:cs="Arial"/>
                <w:b/>
                <w:bCs/>
                <w:color w:val="000000"/>
              </w:rPr>
              <w:t>Description of Activity</w:t>
            </w:r>
          </w:p>
        </w:tc>
        <w:tc>
          <w:tcPr>
            <w:tcW w:w="1156" w:type="pct"/>
            <w:shd w:val="clear" w:color="auto" w:fill="D9D9D9" w:themeFill="background1" w:themeFillShade="D9"/>
            <w:tcMar>
              <w:top w:w="58" w:type="dxa"/>
              <w:left w:w="115" w:type="dxa"/>
              <w:bottom w:w="58" w:type="dxa"/>
              <w:right w:w="115" w:type="dxa"/>
            </w:tcMar>
            <w:vAlign w:val="center"/>
          </w:tcPr>
          <w:p w14:paraId="56FA48B5" w14:textId="77777777" w:rsidR="008E6F07" w:rsidRPr="008E6F07" w:rsidRDefault="008E6F07" w:rsidP="008E6F07">
            <w:pPr>
              <w:ind w:right="-18"/>
              <w:jc w:val="center"/>
              <w:rPr>
                <w:rFonts w:eastAsia="Arial" w:cs="Arial"/>
                <w:color w:val="000000"/>
              </w:rPr>
            </w:pPr>
            <w:r w:rsidRPr="008E6F07">
              <w:rPr>
                <w:rFonts w:eastAsia="Arial" w:cs="Arial"/>
                <w:b/>
                <w:bCs/>
                <w:color w:val="000000"/>
              </w:rPr>
              <w:t>2023 Completion Date</w:t>
            </w:r>
          </w:p>
        </w:tc>
        <w:tc>
          <w:tcPr>
            <w:tcW w:w="1151" w:type="pct"/>
            <w:shd w:val="clear" w:color="auto" w:fill="D9D9D9" w:themeFill="background1" w:themeFillShade="D9"/>
            <w:tcMar>
              <w:top w:w="58" w:type="dxa"/>
              <w:left w:w="115" w:type="dxa"/>
              <w:bottom w:w="58" w:type="dxa"/>
              <w:right w:w="115" w:type="dxa"/>
            </w:tcMar>
            <w:vAlign w:val="center"/>
          </w:tcPr>
          <w:p w14:paraId="5AC43D64" w14:textId="333305AC" w:rsidR="008E6F07" w:rsidRPr="008E6F07" w:rsidRDefault="008E6F07" w:rsidP="008E6F07">
            <w:pPr>
              <w:ind w:right="-5"/>
              <w:jc w:val="center"/>
              <w:rPr>
                <w:rFonts w:eastAsia="Arial" w:cs="Arial"/>
                <w:b/>
                <w:bCs/>
                <w:color w:val="000000"/>
              </w:rPr>
            </w:pPr>
            <w:r w:rsidRPr="48D0E00D">
              <w:rPr>
                <w:rFonts w:eastAsia="Arial" w:cs="Arial"/>
                <w:b/>
                <w:color w:val="000000" w:themeColor="text1"/>
              </w:rPr>
              <w:t>2024 Completion Date</w:t>
            </w:r>
          </w:p>
        </w:tc>
      </w:tr>
      <w:tr w:rsidR="008E6F07" w:rsidRPr="008E6F07" w14:paraId="471DA52A" w14:textId="77777777">
        <w:trPr>
          <w:cantSplit/>
        </w:trPr>
        <w:tc>
          <w:tcPr>
            <w:tcW w:w="2693" w:type="pct"/>
            <w:tcMar>
              <w:top w:w="58" w:type="dxa"/>
              <w:left w:w="115" w:type="dxa"/>
              <w:bottom w:w="58" w:type="dxa"/>
              <w:right w:w="115" w:type="dxa"/>
            </w:tcMar>
          </w:tcPr>
          <w:p w14:paraId="3F139AA7" w14:textId="00EED6E3" w:rsidR="008E6F07" w:rsidRPr="008E6F07" w:rsidRDefault="008E6F07" w:rsidP="008E6F07">
            <w:pPr>
              <w:numPr>
                <w:ilvl w:val="0"/>
                <w:numId w:val="14"/>
              </w:numPr>
              <w:ind w:left="516"/>
              <w:rPr>
                <w:rFonts w:eastAsia="MS Mincho" w:cs="Arial"/>
                <w:color w:val="000000"/>
              </w:rPr>
            </w:pPr>
            <w:r w:rsidRPr="008E6F07">
              <w:rPr>
                <w:rFonts w:eastAsia="Arial" w:cs="Arial"/>
                <w:color w:val="000000"/>
              </w:rPr>
              <w:t xml:space="preserve">Notification to LEA superintendents about the requirement to test all students and the importance of reporting and providing justification for potentially exceeding the 1.0 percent threshold; Administration of the 1.0 Percent Threshold Survey to LEAs </w:t>
            </w:r>
            <w:hyperlink r:id="rId32" w:tooltip="This link opens the CDE 1.0 Percent Threshold on Alternate Assessments web page.">
              <w:r w:rsidRPr="008E6F07">
                <w:rPr>
                  <w:rFonts w:eastAsia="Arial" w:cs="Arial"/>
                  <w:color w:val="0000FF"/>
                  <w:u w:val="single"/>
                </w:rPr>
                <w:t>https://www.cde.ca.gov/ta/tg/ca/caaonepercent.asp</w:t>
              </w:r>
            </w:hyperlink>
          </w:p>
        </w:tc>
        <w:tc>
          <w:tcPr>
            <w:tcW w:w="1156" w:type="pct"/>
            <w:tcMar>
              <w:top w:w="58" w:type="dxa"/>
              <w:left w:w="115" w:type="dxa"/>
              <w:bottom w:w="58" w:type="dxa"/>
              <w:right w:w="115" w:type="dxa"/>
            </w:tcMar>
          </w:tcPr>
          <w:p w14:paraId="6E20DECB" w14:textId="77777777" w:rsidR="008E6F07" w:rsidRPr="008E6F07" w:rsidRDefault="008E6F07" w:rsidP="008E6F07">
            <w:pPr>
              <w:ind w:right="-18"/>
              <w:jc w:val="center"/>
              <w:rPr>
                <w:rFonts w:eastAsia="Arial" w:cs="Arial"/>
                <w:color w:val="000000"/>
              </w:rPr>
            </w:pPr>
            <w:r w:rsidRPr="008E6F07">
              <w:rPr>
                <w:rFonts w:eastAsia="Arial" w:cs="Arial"/>
                <w:color w:val="000000"/>
              </w:rPr>
              <w:t>October 2022–January 2023</w:t>
            </w:r>
          </w:p>
        </w:tc>
        <w:tc>
          <w:tcPr>
            <w:tcW w:w="1151" w:type="pct"/>
            <w:tcMar>
              <w:top w:w="58" w:type="dxa"/>
              <w:left w:w="115" w:type="dxa"/>
              <w:bottom w:w="58" w:type="dxa"/>
              <w:right w:w="115" w:type="dxa"/>
            </w:tcMar>
          </w:tcPr>
          <w:p w14:paraId="7E1001AF" w14:textId="77777777" w:rsidR="008E6F07" w:rsidRPr="008E6F07" w:rsidRDefault="008E6F07" w:rsidP="008E6F07">
            <w:pPr>
              <w:ind w:right="-18"/>
              <w:jc w:val="center"/>
              <w:rPr>
                <w:rFonts w:eastAsia="Arial" w:cs="Arial"/>
                <w:color w:val="000000"/>
              </w:rPr>
            </w:pPr>
            <w:r w:rsidRPr="008E6F07">
              <w:rPr>
                <w:rFonts w:eastAsia="Arial" w:cs="Arial"/>
                <w:color w:val="000000"/>
              </w:rPr>
              <w:t>August 2023–October 2023</w:t>
            </w:r>
          </w:p>
        </w:tc>
      </w:tr>
      <w:tr w:rsidR="008E6F07" w:rsidRPr="008E6F07" w14:paraId="77744F36" w14:textId="77777777">
        <w:trPr>
          <w:cantSplit/>
        </w:trPr>
        <w:tc>
          <w:tcPr>
            <w:tcW w:w="2693" w:type="pct"/>
            <w:tcMar>
              <w:top w:w="58" w:type="dxa"/>
              <w:left w:w="115" w:type="dxa"/>
              <w:bottom w:w="58" w:type="dxa"/>
              <w:right w:w="115" w:type="dxa"/>
            </w:tcMar>
          </w:tcPr>
          <w:p w14:paraId="57560935" w14:textId="77777777" w:rsidR="008E6F07" w:rsidRPr="008E6F07" w:rsidRDefault="008E6F07" w:rsidP="008E6F07">
            <w:pPr>
              <w:numPr>
                <w:ilvl w:val="0"/>
                <w:numId w:val="14"/>
              </w:numPr>
              <w:ind w:left="516"/>
              <w:contextualSpacing/>
              <w:rPr>
                <w:rFonts w:eastAsia="MS Mincho" w:cs="Arial"/>
                <w:color w:val="000000"/>
              </w:rPr>
            </w:pPr>
            <w:r w:rsidRPr="008E6F07">
              <w:rPr>
                <w:rFonts w:eastAsia="Arial" w:cs="Arial"/>
                <w:color w:val="000000"/>
              </w:rPr>
              <w:t>Analysis of assessment data to identify LEAs that exceeded the 1.0 percent cap and did not complete the 1.0 Percent Threshold Survey</w:t>
            </w:r>
          </w:p>
        </w:tc>
        <w:tc>
          <w:tcPr>
            <w:tcW w:w="1156" w:type="pct"/>
            <w:tcMar>
              <w:top w:w="58" w:type="dxa"/>
              <w:left w:w="115" w:type="dxa"/>
              <w:bottom w:w="58" w:type="dxa"/>
              <w:right w:w="115" w:type="dxa"/>
            </w:tcMar>
          </w:tcPr>
          <w:p w14:paraId="1AAC2500" w14:textId="77777777" w:rsidR="008E6F07" w:rsidRPr="008E6F07" w:rsidRDefault="008E6F07" w:rsidP="008E6F07">
            <w:pPr>
              <w:ind w:right="-18"/>
              <w:jc w:val="center"/>
              <w:rPr>
                <w:rFonts w:eastAsia="Arial" w:cs="Arial"/>
                <w:color w:val="000000"/>
              </w:rPr>
            </w:pPr>
            <w:r w:rsidRPr="008E6F07">
              <w:rPr>
                <w:rFonts w:eastAsia="Arial" w:cs="Arial"/>
                <w:color w:val="000000"/>
              </w:rPr>
              <w:t>Fall 2023</w:t>
            </w:r>
          </w:p>
        </w:tc>
        <w:tc>
          <w:tcPr>
            <w:tcW w:w="1151" w:type="pct"/>
            <w:tcMar>
              <w:top w:w="58" w:type="dxa"/>
              <w:left w:w="115" w:type="dxa"/>
              <w:bottom w:w="58" w:type="dxa"/>
              <w:right w:w="115" w:type="dxa"/>
            </w:tcMar>
          </w:tcPr>
          <w:p w14:paraId="5914364F" w14:textId="77777777" w:rsidR="008E6F07" w:rsidRPr="008E6F07" w:rsidRDefault="008E6F07" w:rsidP="008E6F07">
            <w:pPr>
              <w:ind w:right="-18"/>
              <w:jc w:val="center"/>
              <w:rPr>
                <w:rFonts w:eastAsia="Arial" w:cs="Arial"/>
                <w:color w:val="000000"/>
              </w:rPr>
            </w:pPr>
            <w:r w:rsidRPr="008E6F07">
              <w:rPr>
                <w:rFonts w:eastAsia="Arial" w:cs="Arial"/>
                <w:color w:val="000000"/>
              </w:rPr>
              <w:t>Fall 2024</w:t>
            </w:r>
          </w:p>
        </w:tc>
      </w:tr>
      <w:tr w:rsidR="008E6F07" w:rsidRPr="008E6F07" w14:paraId="220FEF93" w14:textId="77777777">
        <w:trPr>
          <w:cantSplit/>
          <w:trHeight w:val="300"/>
        </w:trPr>
        <w:tc>
          <w:tcPr>
            <w:tcW w:w="2693" w:type="pct"/>
            <w:tcMar>
              <w:top w:w="58" w:type="dxa"/>
              <w:left w:w="115" w:type="dxa"/>
              <w:bottom w:w="58" w:type="dxa"/>
              <w:right w:w="115" w:type="dxa"/>
            </w:tcMar>
          </w:tcPr>
          <w:p w14:paraId="440FB4A4" w14:textId="77777777" w:rsidR="008E6F07" w:rsidRPr="008E6F07" w:rsidRDefault="008E6F07" w:rsidP="008E6F07">
            <w:pPr>
              <w:numPr>
                <w:ilvl w:val="0"/>
                <w:numId w:val="14"/>
              </w:numPr>
              <w:spacing w:line="259" w:lineRule="auto"/>
              <w:ind w:left="516"/>
              <w:rPr>
                <w:rFonts w:eastAsia="Arial" w:cs="Arial"/>
                <w:color w:val="000000"/>
              </w:rPr>
            </w:pPr>
            <w:r w:rsidRPr="008E6F07">
              <w:rPr>
                <w:rFonts w:eastAsia="Arial" w:cs="Arial"/>
                <w:color w:val="000000"/>
              </w:rPr>
              <w:t>Presentation of the 1.0 percent threshold requirements and Alternative Assessment Decision-Making worksheet to the California Special Education Local Planning Area administrators.</w:t>
            </w:r>
          </w:p>
        </w:tc>
        <w:tc>
          <w:tcPr>
            <w:tcW w:w="1156" w:type="pct"/>
            <w:tcMar>
              <w:top w:w="58" w:type="dxa"/>
              <w:left w:w="115" w:type="dxa"/>
              <w:bottom w:w="58" w:type="dxa"/>
              <w:right w:w="115" w:type="dxa"/>
            </w:tcMar>
          </w:tcPr>
          <w:p w14:paraId="2991D251" w14:textId="77777777" w:rsidR="008E6F07" w:rsidRPr="008E6F07" w:rsidRDefault="008E6F07" w:rsidP="008E6F07">
            <w:pPr>
              <w:jc w:val="center"/>
              <w:rPr>
                <w:rFonts w:eastAsia="Arial" w:cs="Arial"/>
                <w:color w:val="000000"/>
              </w:rPr>
            </w:pPr>
            <w:r w:rsidRPr="008E6F07">
              <w:rPr>
                <w:rFonts w:eastAsia="Arial" w:cs="Arial"/>
                <w:color w:val="000000"/>
              </w:rPr>
              <w:t>July 2023</w:t>
            </w:r>
          </w:p>
        </w:tc>
        <w:tc>
          <w:tcPr>
            <w:tcW w:w="1151" w:type="pct"/>
            <w:tcMar>
              <w:top w:w="58" w:type="dxa"/>
              <w:left w:w="115" w:type="dxa"/>
              <w:bottom w:w="58" w:type="dxa"/>
              <w:right w:w="115" w:type="dxa"/>
            </w:tcMar>
          </w:tcPr>
          <w:p w14:paraId="5A3E45FD" w14:textId="77777777" w:rsidR="008E6F07" w:rsidRPr="008E6F07" w:rsidRDefault="008E6F07" w:rsidP="008E6F07">
            <w:pPr>
              <w:jc w:val="center"/>
              <w:rPr>
                <w:rFonts w:eastAsia="Arial" w:cs="Arial"/>
                <w:color w:val="000000"/>
              </w:rPr>
            </w:pPr>
            <w:r w:rsidRPr="008E6F07">
              <w:rPr>
                <w:rFonts w:eastAsia="Arial" w:cs="Arial"/>
                <w:color w:val="000000"/>
              </w:rPr>
              <w:t>July 2024</w:t>
            </w:r>
          </w:p>
        </w:tc>
      </w:tr>
      <w:tr w:rsidR="008E6F07" w:rsidRPr="008E6F07" w14:paraId="0AC76DB4" w14:textId="77777777">
        <w:trPr>
          <w:cantSplit/>
          <w:trHeight w:val="300"/>
        </w:trPr>
        <w:tc>
          <w:tcPr>
            <w:tcW w:w="2693" w:type="pct"/>
            <w:tcMar>
              <w:top w:w="58" w:type="dxa"/>
              <w:left w:w="115" w:type="dxa"/>
              <w:bottom w:w="58" w:type="dxa"/>
              <w:right w:w="115" w:type="dxa"/>
            </w:tcMar>
          </w:tcPr>
          <w:p w14:paraId="5866AD1F" w14:textId="77777777" w:rsidR="008E6F07" w:rsidRPr="008E6F07" w:rsidRDefault="008E6F07" w:rsidP="008E6F07">
            <w:pPr>
              <w:numPr>
                <w:ilvl w:val="0"/>
                <w:numId w:val="14"/>
              </w:numPr>
              <w:spacing w:line="259" w:lineRule="auto"/>
              <w:ind w:left="516"/>
              <w:rPr>
                <w:rFonts w:eastAsia="Arial" w:cs="Arial"/>
                <w:color w:val="000000"/>
              </w:rPr>
            </w:pPr>
            <w:r w:rsidRPr="008E6F07">
              <w:rPr>
                <w:rFonts w:eastAsia="Arial" w:cs="Arial"/>
                <w:color w:val="000000"/>
              </w:rPr>
              <w:t>Presentation of 1.0 percent threshold requirements to LEA coordinators at the annual statewide Assessment Information Meeting</w:t>
            </w:r>
          </w:p>
        </w:tc>
        <w:tc>
          <w:tcPr>
            <w:tcW w:w="1156" w:type="pct"/>
            <w:tcMar>
              <w:top w:w="58" w:type="dxa"/>
              <w:left w:w="115" w:type="dxa"/>
              <w:bottom w:w="58" w:type="dxa"/>
              <w:right w:w="115" w:type="dxa"/>
            </w:tcMar>
          </w:tcPr>
          <w:p w14:paraId="760C6C7A" w14:textId="77777777" w:rsidR="008E6F07" w:rsidRPr="008E6F07" w:rsidRDefault="008E6F07" w:rsidP="008E6F07">
            <w:pPr>
              <w:jc w:val="center"/>
              <w:rPr>
                <w:rFonts w:eastAsia="Arial" w:cs="Arial"/>
                <w:color w:val="000000"/>
              </w:rPr>
            </w:pPr>
            <w:r w:rsidRPr="008E6F07">
              <w:rPr>
                <w:rFonts w:eastAsia="Arial" w:cs="Arial"/>
                <w:color w:val="000000"/>
              </w:rPr>
              <w:t>August 2023</w:t>
            </w:r>
          </w:p>
        </w:tc>
        <w:tc>
          <w:tcPr>
            <w:tcW w:w="1151" w:type="pct"/>
            <w:tcMar>
              <w:top w:w="58" w:type="dxa"/>
              <w:left w:w="115" w:type="dxa"/>
              <w:bottom w:w="58" w:type="dxa"/>
              <w:right w:w="115" w:type="dxa"/>
            </w:tcMar>
          </w:tcPr>
          <w:p w14:paraId="55AA8BF1" w14:textId="77777777" w:rsidR="008E6F07" w:rsidRPr="008E6F07" w:rsidRDefault="008E6F07" w:rsidP="008E6F07">
            <w:pPr>
              <w:jc w:val="center"/>
              <w:rPr>
                <w:rFonts w:eastAsia="Arial" w:cs="Arial"/>
                <w:color w:val="000000"/>
              </w:rPr>
            </w:pPr>
            <w:r w:rsidRPr="008E6F07">
              <w:rPr>
                <w:rFonts w:eastAsia="Arial" w:cs="Arial"/>
                <w:color w:val="000000"/>
              </w:rPr>
              <w:t>August 2024</w:t>
            </w:r>
          </w:p>
        </w:tc>
      </w:tr>
      <w:tr w:rsidR="008E6F07" w:rsidRPr="008E6F07" w14:paraId="0B6C9B8A" w14:textId="77777777">
        <w:trPr>
          <w:cantSplit/>
        </w:trPr>
        <w:tc>
          <w:tcPr>
            <w:tcW w:w="2693" w:type="pct"/>
            <w:tcMar>
              <w:top w:w="58" w:type="dxa"/>
              <w:left w:w="115" w:type="dxa"/>
              <w:bottom w:w="58" w:type="dxa"/>
              <w:right w:w="115" w:type="dxa"/>
            </w:tcMar>
          </w:tcPr>
          <w:p w14:paraId="1FC83B01" w14:textId="1808077B" w:rsidR="008E6F07" w:rsidRPr="008E6F07" w:rsidRDefault="008E6F07" w:rsidP="008E6F07">
            <w:pPr>
              <w:numPr>
                <w:ilvl w:val="0"/>
                <w:numId w:val="14"/>
              </w:numPr>
              <w:ind w:left="516"/>
              <w:rPr>
                <w:rFonts w:eastAsia="MS Mincho" w:cs="Arial"/>
                <w:color w:val="000000"/>
              </w:rPr>
            </w:pPr>
            <w:r w:rsidRPr="47B22BB9">
              <w:rPr>
                <w:rFonts w:eastAsia="Arial" w:cs="Arial"/>
                <w:color w:val="000000" w:themeColor="text1"/>
              </w:rPr>
              <w:t xml:space="preserve">Submission of the request for a waiver of the 1.0 percent cap if a review of the spring </w:t>
            </w:r>
            <w:r w:rsidR="00F55D75">
              <w:rPr>
                <w:rFonts w:eastAsia="Arial" w:cs="Arial"/>
                <w:color w:val="000000" w:themeColor="text1"/>
              </w:rPr>
              <w:t>prior</w:t>
            </w:r>
            <w:r w:rsidR="00F55D75" w:rsidRPr="47B22BB9">
              <w:rPr>
                <w:rFonts w:eastAsia="Arial" w:cs="Arial"/>
                <w:color w:val="000000" w:themeColor="text1"/>
              </w:rPr>
              <w:t xml:space="preserve"> </w:t>
            </w:r>
            <w:r w:rsidRPr="47B22BB9">
              <w:rPr>
                <w:rFonts w:eastAsia="Arial" w:cs="Arial"/>
                <w:color w:val="000000" w:themeColor="text1"/>
              </w:rPr>
              <w:t>administration data indicates a need for such a request</w:t>
            </w:r>
          </w:p>
        </w:tc>
        <w:tc>
          <w:tcPr>
            <w:tcW w:w="1156" w:type="pct"/>
            <w:tcMar>
              <w:top w:w="58" w:type="dxa"/>
              <w:left w:w="115" w:type="dxa"/>
              <w:bottom w:w="58" w:type="dxa"/>
              <w:right w:w="115" w:type="dxa"/>
            </w:tcMar>
          </w:tcPr>
          <w:p w14:paraId="5F8C5A12" w14:textId="77777777" w:rsidR="008E6F07" w:rsidRPr="008E6F07" w:rsidRDefault="008E6F07" w:rsidP="008E6F07">
            <w:pPr>
              <w:ind w:right="-18"/>
              <w:jc w:val="center"/>
            </w:pPr>
            <w:r w:rsidRPr="008E6F07">
              <w:rPr>
                <w:rFonts w:eastAsia="Arial" w:cs="Arial"/>
                <w:color w:val="000000"/>
              </w:rPr>
              <w:t>Fall 2023</w:t>
            </w:r>
          </w:p>
        </w:tc>
        <w:tc>
          <w:tcPr>
            <w:tcW w:w="1151" w:type="pct"/>
            <w:tcMar>
              <w:top w:w="58" w:type="dxa"/>
              <w:left w:w="115" w:type="dxa"/>
              <w:bottom w:w="58" w:type="dxa"/>
              <w:right w:w="115" w:type="dxa"/>
            </w:tcMar>
          </w:tcPr>
          <w:p w14:paraId="26685409" w14:textId="77777777" w:rsidR="008E6F07" w:rsidRPr="008E6F07" w:rsidRDefault="008E6F07" w:rsidP="008E6F07">
            <w:pPr>
              <w:ind w:right="-18"/>
              <w:jc w:val="center"/>
              <w:rPr>
                <w:rFonts w:eastAsia="Arial" w:cs="Arial"/>
                <w:color w:val="000000"/>
              </w:rPr>
            </w:pPr>
            <w:r w:rsidRPr="008E6F07">
              <w:rPr>
                <w:rFonts w:eastAsia="Arial" w:cs="Arial"/>
                <w:color w:val="000000"/>
              </w:rPr>
              <w:t>Fall 2024</w:t>
            </w:r>
          </w:p>
        </w:tc>
      </w:tr>
      <w:tr w:rsidR="008E6F07" w:rsidRPr="008E6F07" w14:paraId="3C0C78C4" w14:textId="77777777">
        <w:trPr>
          <w:cantSplit/>
        </w:trPr>
        <w:tc>
          <w:tcPr>
            <w:tcW w:w="2693" w:type="pct"/>
            <w:tcMar>
              <w:top w:w="58" w:type="dxa"/>
              <w:left w:w="115" w:type="dxa"/>
              <w:bottom w:w="58" w:type="dxa"/>
              <w:right w:w="115" w:type="dxa"/>
            </w:tcMar>
          </w:tcPr>
          <w:p w14:paraId="6097AE6F" w14:textId="41AC8501" w:rsidR="008E6F07" w:rsidRPr="008E6F07" w:rsidRDefault="008E6F07" w:rsidP="008E6F07">
            <w:pPr>
              <w:numPr>
                <w:ilvl w:val="0"/>
                <w:numId w:val="14"/>
              </w:numPr>
              <w:ind w:left="516"/>
              <w:rPr>
                <w:rFonts w:eastAsia="Arial" w:cs="Arial"/>
                <w:color w:val="000000"/>
              </w:rPr>
            </w:pPr>
            <w:r w:rsidRPr="008E6F07">
              <w:rPr>
                <w:rFonts w:eastAsia="Arial" w:cs="Arial"/>
                <w:color w:val="000000"/>
              </w:rPr>
              <w:t>P</w:t>
            </w:r>
            <w:r w:rsidRPr="008E6F07">
              <w:rPr>
                <w:rFonts w:eastAsia="MS Mincho" w:cs="Arial"/>
                <w:color w:val="000000"/>
              </w:rPr>
              <w:t>resentation of the 1.0</w:t>
            </w:r>
            <w:r w:rsidRPr="008E6F07">
              <w:rPr>
                <w:rFonts w:eastAsia="Arial" w:cs="Arial"/>
                <w:color w:val="000000"/>
              </w:rPr>
              <w:t xml:space="preserve"> percent </w:t>
            </w:r>
            <w:r w:rsidRPr="008E6F07">
              <w:rPr>
                <w:rFonts w:eastAsia="MS Mincho" w:cs="Arial"/>
                <w:color w:val="000000"/>
              </w:rPr>
              <w:t>threshold requirements and Alternative Assessment Decision-Making worksheet</w:t>
            </w:r>
            <w:r w:rsidRPr="008E6F07">
              <w:rPr>
                <w:rFonts w:eastAsia="Arial" w:cs="Arial"/>
                <w:color w:val="000000"/>
              </w:rPr>
              <w:t xml:space="preserve"> at </w:t>
            </w:r>
            <w:proofErr w:type="spellStart"/>
            <w:r w:rsidRPr="008E6F07">
              <w:rPr>
                <w:rFonts w:eastAsia="Arial" w:cs="Arial"/>
                <w:color w:val="000000"/>
              </w:rPr>
              <w:t>CodeStack</w:t>
            </w:r>
            <w:proofErr w:type="spellEnd"/>
            <w:r w:rsidRPr="008E6F07">
              <w:rPr>
                <w:rFonts w:eastAsia="Arial" w:cs="Arial"/>
                <w:color w:val="000000"/>
              </w:rPr>
              <w:t xml:space="preserve"> Conference</w:t>
            </w:r>
          </w:p>
        </w:tc>
        <w:tc>
          <w:tcPr>
            <w:tcW w:w="1156" w:type="pct"/>
            <w:tcMar>
              <w:top w:w="58" w:type="dxa"/>
              <w:left w:w="115" w:type="dxa"/>
              <w:bottom w:w="58" w:type="dxa"/>
              <w:right w:w="115" w:type="dxa"/>
            </w:tcMar>
          </w:tcPr>
          <w:p w14:paraId="360BC618" w14:textId="77777777" w:rsidR="008E6F07" w:rsidRPr="008E6F07" w:rsidRDefault="008E6F07" w:rsidP="008E6F07">
            <w:pPr>
              <w:ind w:right="-18"/>
              <w:jc w:val="center"/>
              <w:rPr>
                <w:rFonts w:eastAsia="Arial" w:cs="Arial"/>
                <w:color w:val="000000"/>
              </w:rPr>
            </w:pPr>
            <w:r w:rsidRPr="008E6F07">
              <w:rPr>
                <w:rFonts w:eastAsia="Arial" w:cs="Arial"/>
                <w:color w:val="000000"/>
              </w:rPr>
              <w:t>October 2023</w:t>
            </w:r>
          </w:p>
        </w:tc>
        <w:tc>
          <w:tcPr>
            <w:tcW w:w="1151" w:type="pct"/>
            <w:tcMar>
              <w:top w:w="58" w:type="dxa"/>
              <w:left w:w="115" w:type="dxa"/>
              <w:bottom w:w="58" w:type="dxa"/>
              <w:right w:w="115" w:type="dxa"/>
            </w:tcMar>
          </w:tcPr>
          <w:p w14:paraId="7CBB6487" w14:textId="77777777" w:rsidR="008E6F07" w:rsidRPr="008E6F07" w:rsidRDefault="008E6F07" w:rsidP="008E6F07">
            <w:pPr>
              <w:ind w:right="-18"/>
              <w:jc w:val="center"/>
              <w:rPr>
                <w:rFonts w:eastAsia="Arial" w:cs="Arial"/>
                <w:color w:val="000000"/>
              </w:rPr>
            </w:pPr>
            <w:r w:rsidRPr="008E6F07">
              <w:rPr>
                <w:rFonts w:eastAsia="Arial" w:cs="Arial"/>
                <w:color w:val="000000"/>
              </w:rPr>
              <w:t>October 2024</w:t>
            </w:r>
          </w:p>
        </w:tc>
      </w:tr>
      <w:tr w:rsidR="008E6F07" w:rsidRPr="008E6F07" w14:paraId="626787A2" w14:textId="77777777">
        <w:trPr>
          <w:cantSplit/>
        </w:trPr>
        <w:tc>
          <w:tcPr>
            <w:tcW w:w="2693" w:type="pct"/>
            <w:tcMar>
              <w:top w:w="58" w:type="dxa"/>
              <w:left w:w="115" w:type="dxa"/>
              <w:bottom w:w="58" w:type="dxa"/>
              <w:right w:w="115" w:type="dxa"/>
            </w:tcMar>
          </w:tcPr>
          <w:p w14:paraId="4581DC6E" w14:textId="77777777" w:rsidR="008E6F07" w:rsidRPr="008E6F07" w:rsidRDefault="008E6F07" w:rsidP="008E6F07">
            <w:pPr>
              <w:numPr>
                <w:ilvl w:val="0"/>
                <w:numId w:val="14"/>
              </w:numPr>
              <w:ind w:left="516"/>
              <w:rPr>
                <w:rFonts w:eastAsia="MS Mincho" w:cs="Arial"/>
                <w:color w:val="000000"/>
              </w:rPr>
            </w:pPr>
            <w:r w:rsidRPr="008E6F07">
              <w:rPr>
                <w:rFonts w:eastAsia="Arial" w:cs="Arial"/>
                <w:color w:val="000000"/>
              </w:rPr>
              <w:t>Review of guidelines and provision of guidance on eligibility for participation in the AA-AAAS included as part of pretest workshops throughout the state to ensure the appropriate identification of students for alternate assessments</w:t>
            </w:r>
          </w:p>
        </w:tc>
        <w:tc>
          <w:tcPr>
            <w:tcW w:w="1156" w:type="pct"/>
            <w:tcMar>
              <w:top w:w="58" w:type="dxa"/>
              <w:left w:w="115" w:type="dxa"/>
              <w:bottom w:w="58" w:type="dxa"/>
              <w:right w:w="115" w:type="dxa"/>
            </w:tcMar>
          </w:tcPr>
          <w:p w14:paraId="21F25103" w14:textId="77777777" w:rsidR="008E6F07" w:rsidRPr="008E6F07" w:rsidRDefault="008E6F07" w:rsidP="008E6F07">
            <w:pPr>
              <w:ind w:right="-18"/>
              <w:jc w:val="center"/>
              <w:rPr>
                <w:rFonts w:eastAsia="Arial" w:cs="Arial"/>
                <w:color w:val="000000"/>
              </w:rPr>
            </w:pPr>
            <w:r w:rsidRPr="008E6F07">
              <w:rPr>
                <w:rFonts w:eastAsia="Arial" w:cs="Arial"/>
                <w:color w:val="000000"/>
              </w:rPr>
              <w:t>September 2022–February 2023</w:t>
            </w:r>
          </w:p>
        </w:tc>
        <w:tc>
          <w:tcPr>
            <w:tcW w:w="1151" w:type="pct"/>
            <w:tcMar>
              <w:top w:w="58" w:type="dxa"/>
              <w:left w:w="115" w:type="dxa"/>
              <w:bottom w:w="58" w:type="dxa"/>
              <w:right w:w="115" w:type="dxa"/>
            </w:tcMar>
          </w:tcPr>
          <w:p w14:paraId="681AACE4" w14:textId="77777777" w:rsidR="008E6F07" w:rsidRPr="008E6F07" w:rsidRDefault="008E6F07" w:rsidP="008E6F07">
            <w:pPr>
              <w:ind w:right="-18"/>
              <w:jc w:val="center"/>
              <w:rPr>
                <w:rFonts w:eastAsia="Arial" w:cs="Arial"/>
                <w:color w:val="000000"/>
              </w:rPr>
            </w:pPr>
            <w:r w:rsidRPr="008E6F07">
              <w:rPr>
                <w:rFonts w:eastAsia="Arial" w:cs="Arial"/>
                <w:color w:val="000000"/>
              </w:rPr>
              <w:t>September 2023–February 2024</w:t>
            </w:r>
          </w:p>
        </w:tc>
      </w:tr>
      <w:tr w:rsidR="008E6F07" w:rsidRPr="008E6F07" w14:paraId="76E7649E" w14:textId="77777777">
        <w:trPr>
          <w:cantSplit/>
        </w:trPr>
        <w:tc>
          <w:tcPr>
            <w:tcW w:w="2693" w:type="pct"/>
            <w:tcMar>
              <w:top w:w="58" w:type="dxa"/>
              <w:left w:w="115" w:type="dxa"/>
              <w:bottom w:w="58" w:type="dxa"/>
              <w:right w:w="115" w:type="dxa"/>
            </w:tcMar>
          </w:tcPr>
          <w:p w14:paraId="38CB45C4" w14:textId="77777777" w:rsidR="008E6F07" w:rsidRPr="008E6F07" w:rsidRDefault="008E6F07" w:rsidP="008E6F07">
            <w:pPr>
              <w:numPr>
                <w:ilvl w:val="0"/>
                <w:numId w:val="14"/>
              </w:numPr>
              <w:ind w:left="516"/>
              <w:rPr>
                <w:rFonts w:eastAsia="MS Mincho" w:cs="Arial"/>
                <w:color w:val="000000"/>
              </w:rPr>
            </w:pPr>
            <w:r w:rsidRPr="008E6F07">
              <w:rPr>
                <w:rFonts w:eastAsia="Arial" w:cs="Arial"/>
                <w:color w:val="000000"/>
              </w:rPr>
              <w:lastRenderedPageBreak/>
              <w:t>Review of data to determine LEAs exceeding the 1.0 percent cap and potential disproportionality; engage with LEAs that exceed the 1.0 percent cap and/or indicate potential disproportionality</w:t>
            </w:r>
          </w:p>
        </w:tc>
        <w:tc>
          <w:tcPr>
            <w:tcW w:w="1156" w:type="pct"/>
            <w:tcMar>
              <w:top w:w="58" w:type="dxa"/>
              <w:left w:w="115" w:type="dxa"/>
              <w:bottom w:w="58" w:type="dxa"/>
              <w:right w:w="115" w:type="dxa"/>
            </w:tcMar>
          </w:tcPr>
          <w:p w14:paraId="694049F7" w14:textId="673A5B2F" w:rsidR="008E6F07" w:rsidRPr="008E6F07" w:rsidRDefault="008E6F07" w:rsidP="008E6F07">
            <w:pPr>
              <w:ind w:right="-18"/>
              <w:jc w:val="center"/>
              <w:rPr>
                <w:rFonts w:eastAsia="Arial" w:cs="Arial"/>
                <w:color w:val="000000"/>
              </w:rPr>
            </w:pPr>
            <w:r w:rsidRPr="5CDFBB76">
              <w:rPr>
                <w:rFonts w:eastAsia="Arial" w:cs="Arial"/>
                <w:color w:val="000000" w:themeColor="text1"/>
              </w:rPr>
              <w:t xml:space="preserve">January 2023–July </w:t>
            </w:r>
            <w:r w:rsidR="006C64FC" w:rsidRPr="5CDFBB76">
              <w:rPr>
                <w:rFonts w:eastAsia="Arial" w:cs="Arial"/>
                <w:color w:val="000000" w:themeColor="text1"/>
              </w:rPr>
              <w:t>202</w:t>
            </w:r>
            <w:r w:rsidR="006C64FC">
              <w:rPr>
                <w:rFonts w:eastAsia="Arial" w:cs="Arial"/>
                <w:color w:val="000000" w:themeColor="text1"/>
              </w:rPr>
              <w:t>3</w:t>
            </w:r>
          </w:p>
        </w:tc>
        <w:tc>
          <w:tcPr>
            <w:tcW w:w="1151" w:type="pct"/>
            <w:tcMar>
              <w:top w:w="58" w:type="dxa"/>
              <w:left w:w="115" w:type="dxa"/>
              <w:bottom w:w="58" w:type="dxa"/>
              <w:right w:w="115" w:type="dxa"/>
            </w:tcMar>
          </w:tcPr>
          <w:p w14:paraId="626279CC" w14:textId="598F8AE4" w:rsidR="008E6F07" w:rsidRPr="008E6F07" w:rsidRDefault="008E6F07" w:rsidP="008E6F07">
            <w:pPr>
              <w:ind w:right="-18"/>
              <w:jc w:val="center"/>
              <w:rPr>
                <w:rFonts w:eastAsia="Arial" w:cs="Arial"/>
                <w:color w:val="000000"/>
              </w:rPr>
            </w:pPr>
            <w:r w:rsidRPr="008E6F07">
              <w:rPr>
                <w:rFonts w:eastAsia="Arial" w:cs="Arial"/>
                <w:color w:val="000000"/>
              </w:rPr>
              <w:t>January 2024–July 2024</w:t>
            </w:r>
          </w:p>
        </w:tc>
      </w:tr>
    </w:tbl>
    <w:p w14:paraId="12A6C021" w14:textId="65E3FE48" w:rsidR="009B04E1" w:rsidRPr="00255736" w:rsidRDefault="008E6F07" w:rsidP="005341F9">
      <w:pPr>
        <w:keepNext/>
        <w:numPr>
          <w:ilvl w:val="0"/>
          <w:numId w:val="13"/>
        </w:numPr>
        <w:spacing w:before="240" w:after="240" w:line="259" w:lineRule="auto"/>
        <w:ind w:left="720"/>
      </w:pPr>
      <w:r w:rsidRPr="006350D7">
        <w:rPr>
          <w:rFonts w:eastAsia="Arial" w:cs="Arial"/>
        </w:rPr>
        <w:t>Fulfillment of requirements in Section 8401 of the ESEA related to public comment</w:t>
      </w:r>
      <w:r w:rsidR="006350D7" w:rsidRPr="006350D7">
        <w:rPr>
          <w:rFonts w:eastAsia="Arial" w:cs="Arial"/>
        </w:rPr>
        <w:t xml:space="preserve"> </w:t>
      </w:r>
      <w:r w:rsidRPr="006350D7">
        <w:rPr>
          <w:rFonts w:cs="Arial"/>
        </w:rPr>
        <w:t xml:space="preserve">California provided to the public and to LEAs notice and reasonable time for comment in the </w:t>
      </w:r>
      <w:proofErr w:type="gramStart"/>
      <w:r w:rsidRPr="006350D7">
        <w:rPr>
          <w:rFonts w:cs="Arial"/>
        </w:rPr>
        <w:t>manner in which</w:t>
      </w:r>
      <w:proofErr w:type="gramEnd"/>
      <w:r w:rsidRPr="006350D7">
        <w:rPr>
          <w:rFonts w:cs="Arial"/>
        </w:rPr>
        <w:t xml:space="preserve"> California customarily provides similar notice and opportunity for comment. </w:t>
      </w:r>
      <w:r w:rsidRPr="006350D7">
        <w:rPr>
          <w:rFonts w:eastAsia="Arial" w:cs="Arial"/>
        </w:rPr>
        <w:t xml:space="preserve">The agenda for the </w:t>
      </w:r>
      <w:r w:rsidR="003F0DA3">
        <w:rPr>
          <w:rFonts w:eastAsia="Arial" w:cs="Arial"/>
        </w:rPr>
        <w:t>November</w:t>
      </w:r>
      <w:r w:rsidR="003F0DA3" w:rsidRPr="006350D7">
        <w:rPr>
          <w:rFonts w:eastAsia="Arial" w:cs="Arial"/>
        </w:rPr>
        <w:t xml:space="preserve"> </w:t>
      </w:r>
      <w:r w:rsidRPr="006350D7">
        <w:rPr>
          <w:rFonts w:eastAsia="Arial" w:cs="Arial"/>
        </w:rPr>
        <w:t>2023 SBE meeting was uploaded 10 days prior to the SBE's monthly meeting along with any supporting materials that were electronically available. All supporting materials for the agenda items were available for public inspection at the SBE, 1430 N Street, Suite 5111, Sacramento, California, 95814. Public comments that impact this waiver will be included before submission to the ED.</w:t>
      </w:r>
    </w:p>
    <w:sectPr w:rsidR="009B04E1" w:rsidRPr="00255736">
      <w:head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C3B3" w14:textId="77777777" w:rsidR="00EC492D" w:rsidRDefault="00EC492D" w:rsidP="000E09DC">
      <w:r>
        <w:separator/>
      </w:r>
    </w:p>
  </w:endnote>
  <w:endnote w:type="continuationSeparator" w:id="0">
    <w:p w14:paraId="01363209" w14:textId="77777777" w:rsidR="00EC492D" w:rsidRDefault="00EC492D" w:rsidP="000E09DC">
      <w:r>
        <w:continuationSeparator/>
      </w:r>
    </w:p>
  </w:endnote>
  <w:endnote w:type="continuationNotice" w:id="1">
    <w:p w14:paraId="4B603997" w14:textId="77777777" w:rsidR="00EC492D" w:rsidRDefault="00EC4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1"/>
      <w:tblW w:w="0" w:type="auto"/>
      <w:tblLayout w:type="fixed"/>
      <w:tblLook w:val="06A0" w:firstRow="1" w:lastRow="0" w:firstColumn="1" w:lastColumn="0" w:noHBand="1" w:noVBand="1"/>
      <w:tblPrChange w:id="0" w:author="Linda Hooper" w:date="2023-06-19T13:46:00Z">
        <w:tblPr>
          <w:tblW w:w="0" w:type="auto"/>
          <w:tblLayout w:type="fixed"/>
          <w:tblLook w:val="06A0" w:firstRow="1" w:lastRow="0" w:firstColumn="1" w:lastColumn="0" w:noHBand="1" w:noVBand="1"/>
        </w:tblPr>
      </w:tblPrChange>
    </w:tblPr>
    <w:tblGrid>
      <w:gridCol w:w="236"/>
      <w:gridCol w:w="236"/>
      <w:gridCol w:w="236"/>
      <w:tblGridChange w:id="1">
        <w:tblGrid>
          <w:gridCol w:w="1440"/>
          <w:gridCol w:w="1440"/>
          <w:gridCol w:w="1440"/>
        </w:tblGrid>
      </w:tblGridChange>
    </w:tblGrid>
    <w:tr w:rsidR="7725D5C7" w14:paraId="170E8306" w14:textId="77777777" w:rsidTr="00D019D5">
      <w:trPr>
        <w:cnfStyle w:val="100000000000" w:firstRow="1" w:lastRow="0" w:firstColumn="0" w:lastColumn="0" w:oddVBand="0" w:evenVBand="0" w:oddHBand="0" w:evenHBand="0" w:firstRowFirstColumn="0" w:firstRowLastColumn="0" w:lastRowFirstColumn="0" w:lastRowLastColumn="0"/>
        <w:trHeight w:val="300"/>
        <w:trPrChange w:id="2" w:author="Linda Hooper" w:date="2023-06-19T13:46: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tcPrChange w:id="3" w:author="Linda Hooper" w:date="2023-06-19T13:46:00Z">
            <w:tcPr>
              <w:tcW w:w="1440" w:type="dxa"/>
            </w:tcPr>
          </w:tcPrChange>
        </w:tcPr>
        <w:p w14:paraId="11B9BA19" w14:textId="4EA3FE90" w:rsidR="7725D5C7" w:rsidRDefault="7725D5C7" w:rsidP="00C66D15">
          <w:pPr>
            <w:pStyle w:val="Header"/>
            <w:ind w:left="-115"/>
            <w:cnfStyle w:val="101000000000" w:firstRow="1" w:lastRow="0" w:firstColumn="1" w:lastColumn="0" w:oddVBand="0" w:evenVBand="0" w:oddHBand="0" w:evenHBand="0" w:firstRowFirstColumn="0" w:firstRowLastColumn="0" w:lastRowFirstColumn="0" w:lastRowLastColumn="0"/>
          </w:pPr>
        </w:p>
      </w:tc>
      <w:tc>
        <w:tcPr>
          <w:tcW w:w="0" w:type="dxa"/>
          <w:tcPrChange w:id="4" w:author="Linda Hooper" w:date="2023-06-19T13:46:00Z">
            <w:tcPr>
              <w:tcW w:w="1440" w:type="dxa"/>
            </w:tcPr>
          </w:tcPrChange>
        </w:tcPr>
        <w:p w14:paraId="5E915AE3" w14:textId="1309E35A" w:rsidR="7725D5C7" w:rsidRDefault="7725D5C7" w:rsidP="00AA4ECB">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Change w:id="5" w:author="Linda Hooper" w:date="2023-06-19T13:46:00Z">
            <w:tcPr>
              <w:tcW w:w="1440" w:type="dxa"/>
            </w:tcPr>
          </w:tcPrChange>
        </w:tcPr>
        <w:p w14:paraId="6A38D259" w14:textId="036AC279" w:rsidR="7725D5C7" w:rsidRDefault="7725D5C7" w:rsidP="00AA4ECB">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BFA5691" w14:textId="120A3BB3" w:rsidR="00ED34CA" w:rsidRDefault="00ED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1"/>
      <w:tblW w:w="0" w:type="auto"/>
      <w:tblLayout w:type="fixed"/>
      <w:tblLook w:val="06A0" w:firstRow="1" w:lastRow="0" w:firstColumn="1" w:lastColumn="0" w:noHBand="1" w:noVBand="1"/>
      <w:tblPrChange w:id="6" w:author="Linda Hooper" w:date="2023-06-19T13:46:00Z">
        <w:tblPr>
          <w:tblW w:w="0" w:type="auto"/>
          <w:tblLayout w:type="fixed"/>
          <w:tblLook w:val="06A0" w:firstRow="1" w:lastRow="0" w:firstColumn="1" w:lastColumn="0" w:noHBand="1" w:noVBand="1"/>
        </w:tblPr>
      </w:tblPrChange>
    </w:tblPr>
    <w:tblGrid>
      <w:gridCol w:w="236"/>
      <w:gridCol w:w="236"/>
      <w:gridCol w:w="236"/>
      <w:tblGridChange w:id="7">
        <w:tblGrid>
          <w:gridCol w:w="3120"/>
          <w:gridCol w:w="3120"/>
          <w:gridCol w:w="3120"/>
        </w:tblGrid>
      </w:tblGridChange>
    </w:tblGrid>
    <w:tr w:rsidR="7725D5C7" w14:paraId="7A715524" w14:textId="77777777" w:rsidTr="00D019D5">
      <w:trPr>
        <w:cnfStyle w:val="100000000000" w:firstRow="1" w:lastRow="0" w:firstColumn="0" w:lastColumn="0" w:oddVBand="0" w:evenVBand="0" w:oddHBand="0" w:evenHBand="0" w:firstRowFirstColumn="0" w:firstRowLastColumn="0" w:lastRowFirstColumn="0" w:lastRowLastColumn="0"/>
        <w:trHeight w:val="300"/>
        <w:trPrChange w:id="8" w:author="Linda Hooper" w:date="2023-06-19T13:46: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tcPrChange w:id="9" w:author="Linda Hooper" w:date="2023-06-19T13:46:00Z">
            <w:tcPr>
              <w:tcW w:w="3120" w:type="dxa"/>
            </w:tcPr>
          </w:tcPrChange>
        </w:tcPr>
        <w:p w14:paraId="6DE493DB" w14:textId="5F5B0891" w:rsidR="7725D5C7" w:rsidRDefault="7725D5C7" w:rsidP="00AA4ECB">
          <w:pPr>
            <w:pStyle w:val="Header"/>
            <w:ind w:left="-115"/>
            <w:cnfStyle w:val="101000000000" w:firstRow="1" w:lastRow="0" w:firstColumn="1" w:lastColumn="0" w:oddVBand="0" w:evenVBand="0" w:oddHBand="0" w:evenHBand="0" w:firstRowFirstColumn="0" w:firstRowLastColumn="0" w:lastRowFirstColumn="0" w:lastRowLastColumn="0"/>
          </w:pPr>
        </w:p>
      </w:tc>
      <w:tc>
        <w:tcPr>
          <w:tcW w:w="0" w:type="dxa"/>
          <w:tcPrChange w:id="10" w:author="Linda Hooper" w:date="2023-06-19T13:46:00Z">
            <w:tcPr>
              <w:tcW w:w="3120" w:type="dxa"/>
            </w:tcPr>
          </w:tcPrChange>
        </w:tcPr>
        <w:p w14:paraId="4873B332" w14:textId="1D5DA7B6" w:rsidR="7725D5C7" w:rsidRDefault="7725D5C7" w:rsidP="00C66D15">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Change w:id="11" w:author="Linda Hooper" w:date="2023-06-19T13:46:00Z">
            <w:tcPr>
              <w:tcW w:w="3120" w:type="dxa"/>
            </w:tcPr>
          </w:tcPrChange>
        </w:tcPr>
        <w:p w14:paraId="2BB5EF96" w14:textId="3CCCECD5" w:rsidR="7725D5C7" w:rsidRDefault="7725D5C7" w:rsidP="00C66D1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AE90150" w14:textId="1682BA1C" w:rsidR="00ED34CA" w:rsidRDefault="00ED3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034B" w14:textId="594224E5" w:rsidR="00ED34CA" w:rsidRDefault="00ED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F4E8" w14:textId="77777777" w:rsidR="00EC492D" w:rsidRDefault="00EC492D" w:rsidP="000E09DC">
      <w:r>
        <w:separator/>
      </w:r>
    </w:p>
  </w:footnote>
  <w:footnote w:type="continuationSeparator" w:id="0">
    <w:p w14:paraId="5A37F5CB" w14:textId="77777777" w:rsidR="00EC492D" w:rsidRDefault="00EC492D" w:rsidP="000E09DC">
      <w:r>
        <w:continuationSeparator/>
      </w:r>
    </w:p>
  </w:footnote>
  <w:footnote w:type="continuationNotice" w:id="1">
    <w:p w14:paraId="5ADAACC5" w14:textId="77777777" w:rsidR="00EC492D" w:rsidRDefault="00EC492D"/>
  </w:footnote>
  <w:footnote w:id="2">
    <w:p w14:paraId="35B3817F" w14:textId="2DFA8481" w:rsidR="008E6F07" w:rsidRDefault="008E6F07" w:rsidP="00195653">
      <w:pPr>
        <w:pStyle w:val="FootnoteText"/>
        <w:tabs>
          <w:tab w:val="left" w:pos="180"/>
        </w:tabs>
        <w:spacing w:after="120"/>
        <w:ind w:left="180" w:hanging="180"/>
      </w:pPr>
      <w:r w:rsidRPr="008B65F3">
        <w:rPr>
          <w:rStyle w:val="FootnoteReference"/>
          <w:rFonts w:ascii="Symbol" w:eastAsia="Symbol" w:hAnsi="Symbol" w:cs="Symbol"/>
        </w:rPr>
        <w:t></w:t>
      </w:r>
      <w:r w:rsidR="00DA2BB2">
        <w:tab/>
      </w:r>
      <w:r w:rsidRPr="0023614A">
        <w:rPr>
          <w:rFonts w:ascii="Arial" w:eastAsia="Times New Roman" w:hAnsi="Arial" w:cs="Arial"/>
          <w:color w:val="000000"/>
          <w:sz w:val="24"/>
          <w:szCs w:val="24"/>
        </w:rPr>
        <w:t>Includes students with an Individuals with Disabilities Education Act indicator who are eligible for general and alternate assessments.</w:t>
      </w:r>
    </w:p>
  </w:footnote>
  <w:footnote w:id="3">
    <w:p w14:paraId="2109A69B" w14:textId="1E46F9BF" w:rsidR="008E6F07" w:rsidRDefault="00DA2BB2" w:rsidP="00195653">
      <w:pPr>
        <w:tabs>
          <w:tab w:val="left" w:pos="180"/>
        </w:tabs>
        <w:spacing w:after="120"/>
        <w:ind w:left="180" w:hanging="180"/>
      </w:pPr>
      <w:r>
        <w:rPr>
          <w:rStyle w:val="FootnoteReference"/>
        </w:rPr>
        <w:t>†</w:t>
      </w:r>
      <w:r>
        <w:tab/>
      </w:r>
      <w:r w:rsidR="008E6F07" w:rsidRPr="0023614A">
        <w:rPr>
          <w:rFonts w:cs="Arial"/>
          <w:color w:val="000000"/>
        </w:rPr>
        <w:t>Includes both general and alternate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AF7E"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A14C37"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8F5B2D8"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21C5C1A" w14:textId="7EC2D10F" w:rsidR="00103BC6" w:rsidRDefault="00103BC6">
        <w:pPr>
          <w:pStyle w:val="Header"/>
          <w:jc w:val="right"/>
        </w:pPr>
        <w:r>
          <w:t>im</w:t>
        </w:r>
        <w:r w:rsidR="00D90A04">
          <w:t>a</w:t>
        </w:r>
        <w:r>
          <w:t>b-adad-</w:t>
        </w:r>
        <w:r w:rsidR="00CB1C9B">
          <w:t>nov</w:t>
        </w:r>
        <w:r w:rsidR="00AB5BFD">
          <w:t>2</w:t>
        </w:r>
        <w:r w:rsidR="001B65B7">
          <w:t>3</w:t>
        </w:r>
        <w:r>
          <w:t>item</w:t>
        </w:r>
        <w:r w:rsidR="00616E13">
          <w:t>0</w:t>
        </w:r>
        <w:r w:rsidR="00FA09B5">
          <w:t>3</w:t>
        </w:r>
      </w:p>
      <w:p w14:paraId="650600CC" w14:textId="5CA8FE86" w:rsidR="00223112" w:rsidRPr="00103BC6" w:rsidRDefault="00103BC6"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sidR="00780503">
          <w:rPr>
            <w:bCs/>
          </w:rPr>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4C7F" w14:textId="1E360FD7" w:rsidR="008E6F07" w:rsidRPr="00D84060" w:rsidRDefault="008E6F07">
    <w:pPr>
      <w:pStyle w:val="Header"/>
      <w:jc w:val="right"/>
    </w:pPr>
    <w:r w:rsidRPr="00D84060">
      <w:t>imab-adad-</w:t>
    </w:r>
    <w:r>
      <w:t>nov</w:t>
    </w:r>
    <w:r w:rsidRPr="00D84060">
      <w:t>23item0</w:t>
    </w:r>
    <w:r w:rsidR="00FA09B5">
      <w:t>3</w:t>
    </w:r>
  </w:p>
  <w:p w14:paraId="390862DA" w14:textId="77777777" w:rsidR="008E6F07" w:rsidRPr="00D84060" w:rsidRDefault="008E6F07">
    <w:pPr>
      <w:pStyle w:val="Header"/>
      <w:jc w:val="right"/>
    </w:pPr>
    <w:r w:rsidRPr="00D84060">
      <w:t>Attachment 1</w:t>
    </w:r>
  </w:p>
  <w:sdt>
    <w:sdtPr>
      <w:id w:val="1641453934"/>
      <w:docPartObj>
        <w:docPartGallery w:val="Page Numbers (Top of Page)"/>
        <w:docPartUnique/>
      </w:docPartObj>
    </w:sdtPr>
    <w:sdtContent>
      <w:p w14:paraId="11C52050" w14:textId="4978A781" w:rsidR="008E6F07" w:rsidRPr="00D84060" w:rsidRDefault="008E6F07">
        <w:pPr>
          <w:pStyle w:val="Header"/>
          <w:spacing w:after="360"/>
          <w:jc w:val="right"/>
        </w:pPr>
        <w:r w:rsidRPr="00D84060">
          <w:t xml:space="preserve">Page </w:t>
        </w:r>
        <w:r w:rsidRPr="00D84060">
          <w:fldChar w:fldCharType="begin"/>
        </w:r>
        <w:r w:rsidRPr="00D84060">
          <w:instrText xml:space="preserve"> PAGE </w:instrText>
        </w:r>
        <w:r w:rsidRPr="00D84060">
          <w:fldChar w:fldCharType="separate"/>
        </w:r>
        <w:r w:rsidRPr="00D84060">
          <w:rPr>
            <w:noProof/>
          </w:rPr>
          <w:t>2</w:t>
        </w:r>
        <w:r w:rsidRPr="00D84060">
          <w:fldChar w:fldCharType="end"/>
        </w:r>
        <w:r w:rsidRPr="00D84060">
          <w:t xml:space="preserve"> of </w:t>
        </w:r>
        <w:r w:rsidR="00780503">
          <w:t>13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9814" w14:textId="77777777" w:rsidR="008E6F07" w:rsidRDefault="008E6F07">
    <w:pPr>
      <w:pStyle w:val="Header"/>
      <w:jc w:val="right"/>
    </w:pPr>
    <w:r>
      <w:t>Attachment 1: Waiver Requests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165" w14:textId="0A500E6F" w:rsidR="008E6F07" w:rsidRPr="00D84060" w:rsidRDefault="008E6F07">
    <w:pPr>
      <w:pStyle w:val="Header"/>
      <w:jc w:val="right"/>
    </w:pPr>
    <w:r>
      <w:t>i</w:t>
    </w:r>
    <w:r w:rsidRPr="00D84060">
      <w:t>mab-adad-</w:t>
    </w:r>
    <w:r>
      <w:t>nov</w:t>
    </w:r>
    <w:r w:rsidRPr="00D84060">
      <w:t>23item0</w:t>
    </w:r>
    <w:r w:rsidR="00FA09B5">
      <w:t>3</w:t>
    </w:r>
  </w:p>
  <w:p w14:paraId="438F9D9E" w14:textId="77777777" w:rsidR="008E6F07" w:rsidRPr="00D84060" w:rsidRDefault="008E6F07">
    <w:pPr>
      <w:pStyle w:val="Header"/>
      <w:jc w:val="right"/>
    </w:pPr>
    <w:r w:rsidRPr="00D84060">
      <w:t>Attachment 1</w:t>
    </w:r>
  </w:p>
  <w:sdt>
    <w:sdtPr>
      <w:id w:val="330032129"/>
      <w:docPartObj>
        <w:docPartGallery w:val="Page Numbers (Top of Page)"/>
        <w:docPartUnique/>
      </w:docPartObj>
    </w:sdtPr>
    <w:sdtContent>
      <w:p w14:paraId="779E8CA3" w14:textId="4F901951" w:rsidR="008E6F07" w:rsidRPr="00D84060" w:rsidRDefault="008E6F07">
        <w:pPr>
          <w:pStyle w:val="Header"/>
          <w:spacing w:after="360"/>
          <w:jc w:val="right"/>
        </w:pPr>
        <w:r w:rsidRPr="00D84060">
          <w:t xml:space="preserve">Page </w:t>
        </w:r>
        <w:r w:rsidRPr="00D84060">
          <w:fldChar w:fldCharType="begin"/>
        </w:r>
        <w:r w:rsidRPr="00D84060">
          <w:instrText xml:space="preserve"> PAGE </w:instrText>
        </w:r>
        <w:r w:rsidRPr="00D84060">
          <w:fldChar w:fldCharType="separate"/>
        </w:r>
        <w:r w:rsidRPr="00D84060">
          <w:rPr>
            <w:noProof/>
          </w:rPr>
          <w:t>2</w:t>
        </w:r>
        <w:r w:rsidRPr="00D84060">
          <w:fldChar w:fldCharType="end"/>
        </w:r>
        <w:r w:rsidRPr="00D84060">
          <w:t xml:space="preserve"> of </w:t>
        </w:r>
        <w:r>
          <w:t>13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FB2A" w14:textId="407E3361" w:rsidR="008E6F07" w:rsidRDefault="008E6F07">
    <w:pPr>
      <w:pStyle w:val="Header"/>
      <w:jc w:val="right"/>
    </w:pPr>
    <w:r>
      <w:t>imab-adad-nov23item0</w:t>
    </w:r>
    <w:r w:rsidR="00FA09B5">
      <w:t>3</w:t>
    </w:r>
  </w:p>
  <w:p w14:paraId="2CF36ACD" w14:textId="77777777" w:rsidR="008E6F07" w:rsidRPr="00847BB0" w:rsidRDefault="008E6F07">
    <w:pPr>
      <w:pStyle w:val="Header"/>
      <w:jc w:val="right"/>
    </w:pPr>
    <w:r w:rsidRPr="00847BB0">
      <w:t xml:space="preserve">Attachment </w:t>
    </w:r>
    <w:r>
      <w:t>1</w:t>
    </w:r>
  </w:p>
  <w:sdt>
    <w:sdtPr>
      <w:id w:val="98381352"/>
      <w:docPartObj>
        <w:docPartGallery w:val="Page Numbers (Top of Page)"/>
        <w:docPartUnique/>
      </w:docPartObj>
    </w:sdtPr>
    <w:sdtContent>
      <w:p w14:paraId="11550DB9" w14:textId="77777777" w:rsidR="008E6F07" w:rsidRPr="00847BB0" w:rsidRDefault="008E6F07">
        <w:pPr>
          <w:pStyle w:val="Header"/>
          <w:spacing w:after="240"/>
          <w:jc w:val="right"/>
        </w:pPr>
        <w:r w:rsidRPr="00847BB0">
          <w:t xml:space="preserve">Page </w:t>
        </w:r>
        <w:r w:rsidRPr="00847BB0">
          <w:rPr>
            <w:bCs/>
          </w:rPr>
          <w:fldChar w:fldCharType="begin"/>
        </w:r>
        <w:r w:rsidRPr="00847BB0">
          <w:rPr>
            <w:bCs/>
          </w:rPr>
          <w:instrText xml:space="preserve"> PAGE </w:instrText>
        </w:r>
        <w:r w:rsidRPr="00847BB0">
          <w:rPr>
            <w:bCs/>
          </w:rPr>
          <w:fldChar w:fldCharType="separate"/>
        </w:r>
        <w:r w:rsidRPr="00847BB0">
          <w:rPr>
            <w:bCs/>
            <w:noProof/>
          </w:rPr>
          <w:t>2</w:t>
        </w:r>
        <w:r w:rsidRPr="00847BB0">
          <w:rPr>
            <w:bCs/>
          </w:rPr>
          <w:fldChar w:fldCharType="end"/>
        </w:r>
        <w:r w:rsidRPr="00847BB0">
          <w:t xml:space="preserve"> of </w:t>
        </w:r>
        <w:r>
          <w:rPr>
            <w:bCs/>
          </w:rPr>
          <w:t>13</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950" w14:textId="77777777" w:rsidR="00235071" w:rsidRDefault="00235071">
    <w:pPr>
      <w:pStyle w:val="Header"/>
      <w:jc w:val="right"/>
    </w:pPr>
    <w:r>
      <w:t>Attachment 2: Extension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69AC"/>
    <w:multiLevelType w:val="hybridMultilevel"/>
    <w:tmpl w:val="84368F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6ADA"/>
    <w:multiLevelType w:val="hybridMultilevel"/>
    <w:tmpl w:val="F4A298F8"/>
    <w:lvl w:ilvl="0" w:tplc="D654DF0C">
      <w:start w:val="1"/>
      <w:numFmt w:val="upperLetter"/>
      <w:lvlText w:val="%1."/>
      <w:lvlJc w:val="left"/>
      <w:pPr>
        <w:ind w:left="360" w:hanging="360"/>
      </w:pPr>
      <w:rPr>
        <w:rFonts w:ascii="Arial" w:hAnsi="Arial" w:cs="Arial" w:hint="default"/>
      </w:rPr>
    </w:lvl>
    <w:lvl w:ilvl="1" w:tplc="837252F8">
      <w:start w:val="1"/>
      <w:numFmt w:val="lowerLetter"/>
      <w:lvlText w:val="%2."/>
      <w:lvlJc w:val="left"/>
      <w:pPr>
        <w:ind w:left="1080" w:hanging="360"/>
      </w:pPr>
    </w:lvl>
    <w:lvl w:ilvl="2" w:tplc="8A6CD1DE">
      <w:start w:val="1"/>
      <w:numFmt w:val="lowerRoman"/>
      <w:lvlText w:val="%3."/>
      <w:lvlJc w:val="right"/>
      <w:pPr>
        <w:ind w:left="1800" w:hanging="180"/>
      </w:pPr>
    </w:lvl>
    <w:lvl w:ilvl="3" w:tplc="B2B09AB2">
      <w:start w:val="1"/>
      <w:numFmt w:val="decimal"/>
      <w:lvlText w:val="%4."/>
      <w:lvlJc w:val="left"/>
      <w:pPr>
        <w:ind w:left="2520" w:hanging="360"/>
      </w:pPr>
    </w:lvl>
    <w:lvl w:ilvl="4" w:tplc="0A92023C">
      <w:start w:val="1"/>
      <w:numFmt w:val="lowerLetter"/>
      <w:lvlText w:val="%5."/>
      <w:lvlJc w:val="left"/>
      <w:pPr>
        <w:ind w:left="3240" w:hanging="360"/>
      </w:pPr>
    </w:lvl>
    <w:lvl w:ilvl="5" w:tplc="20D28C28">
      <w:start w:val="1"/>
      <w:numFmt w:val="lowerRoman"/>
      <w:lvlText w:val="%6."/>
      <w:lvlJc w:val="right"/>
      <w:pPr>
        <w:ind w:left="3960" w:hanging="180"/>
      </w:pPr>
    </w:lvl>
    <w:lvl w:ilvl="6" w:tplc="3BAA42FA">
      <w:start w:val="1"/>
      <w:numFmt w:val="decimal"/>
      <w:lvlText w:val="%7."/>
      <w:lvlJc w:val="left"/>
      <w:pPr>
        <w:ind w:left="4680" w:hanging="360"/>
      </w:pPr>
    </w:lvl>
    <w:lvl w:ilvl="7" w:tplc="C9DCA060">
      <w:start w:val="1"/>
      <w:numFmt w:val="lowerLetter"/>
      <w:lvlText w:val="%8."/>
      <w:lvlJc w:val="left"/>
      <w:pPr>
        <w:ind w:left="5400" w:hanging="360"/>
      </w:pPr>
    </w:lvl>
    <w:lvl w:ilvl="8" w:tplc="2C30A7C8">
      <w:start w:val="1"/>
      <w:numFmt w:val="lowerRoman"/>
      <w:lvlText w:val="%9."/>
      <w:lvlJc w:val="right"/>
      <w:pPr>
        <w:ind w:left="612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16E93"/>
    <w:multiLevelType w:val="hybridMultilevel"/>
    <w:tmpl w:val="88F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36972"/>
    <w:multiLevelType w:val="hybridMultilevel"/>
    <w:tmpl w:val="21B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7914D7"/>
    <w:multiLevelType w:val="hybridMultilevel"/>
    <w:tmpl w:val="65C014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25B6A"/>
    <w:multiLevelType w:val="hybridMultilevel"/>
    <w:tmpl w:val="81E46C9E"/>
    <w:lvl w:ilvl="0" w:tplc="B1A0D604">
      <w:start w:val="1"/>
      <w:numFmt w:val="bullet"/>
      <w:lvlText w:val=""/>
      <w:lvlJc w:val="left"/>
      <w:pPr>
        <w:ind w:left="1080" w:hanging="360"/>
      </w:pPr>
      <w:rPr>
        <w:rFonts w:ascii="Symbol" w:hAnsi="Symbol" w:hint="default"/>
      </w:rPr>
    </w:lvl>
    <w:lvl w:ilvl="1" w:tplc="FB42DF4C">
      <w:start w:val="1"/>
      <w:numFmt w:val="bullet"/>
      <w:lvlText w:val="o"/>
      <w:lvlJc w:val="left"/>
      <w:pPr>
        <w:ind w:left="1800" w:hanging="360"/>
      </w:pPr>
      <w:rPr>
        <w:rFonts w:ascii="Courier New" w:hAnsi="Courier New" w:hint="default"/>
      </w:rPr>
    </w:lvl>
    <w:lvl w:ilvl="2" w:tplc="F768044E">
      <w:start w:val="1"/>
      <w:numFmt w:val="bullet"/>
      <w:lvlText w:val=""/>
      <w:lvlJc w:val="left"/>
      <w:pPr>
        <w:ind w:left="2520" w:hanging="360"/>
      </w:pPr>
      <w:rPr>
        <w:rFonts w:ascii="Symbol" w:hAnsi="Symbol" w:hint="default"/>
      </w:rPr>
    </w:lvl>
    <w:lvl w:ilvl="3" w:tplc="911082DE">
      <w:start w:val="1"/>
      <w:numFmt w:val="bullet"/>
      <w:lvlText w:val=""/>
      <w:lvlJc w:val="left"/>
      <w:pPr>
        <w:ind w:left="3240" w:hanging="360"/>
      </w:pPr>
      <w:rPr>
        <w:rFonts w:ascii="Symbol" w:hAnsi="Symbol" w:hint="default"/>
      </w:rPr>
    </w:lvl>
    <w:lvl w:ilvl="4" w:tplc="0CF6B548">
      <w:start w:val="1"/>
      <w:numFmt w:val="bullet"/>
      <w:lvlText w:val="o"/>
      <w:lvlJc w:val="left"/>
      <w:pPr>
        <w:ind w:left="3960" w:hanging="360"/>
      </w:pPr>
      <w:rPr>
        <w:rFonts w:ascii="Courier New" w:hAnsi="Courier New" w:hint="default"/>
      </w:rPr>
    </w:lvl>
    <w:lvl w:ilvl="5" w:tplc="1DA47C24">
      <w:start w:val="1"/>
      <w:numFmt w:val="bullet"/>
      <w:lvlText w:val=""/>
      <w:lvlJc w:val="left"/>
      <w:pPr>
        <w:ind w:left="4680" w:hanging="360"/>
      </w:pPr>
      <w:rPr>
        <w:rFonts w:ascii="Wingdings" w:hAnsi="Wingdings" w:hint="default"/>
      </w:rPr>
    </w:lvl>
    <w:lvl w:ilvl="6" w:tplc="ED06A352">
      <w:start w:val="1"/>
      <w:numFmt w:val="bullet"/>
      <w:lvlText w:val=""/>
      <w:lvlJc w:val="left"/>
      <w:pPr>
        <w:ind w:left="5400" w:hanging="360"/>
      </w:pPr>
      <w:rPr>
        <w:rFonts w:ascii="Symbol" w:hAnsi="Symbol" w:hint="default"/>
      </w:rPr>
    </w:lvl>
    <w:lvl w:ilvl="7" w:tplc="32BA9A72">
      <w:start w:val="1"/>
      <w:numFmt w:val="bullet"/>
      <w:lvlText w:val="o"/>
      <w:lvlJc w:val="left"/>
      <w:pPr>
        <w:ind w:left="6120" w:hanging="360"/>
      </w:pPr>
      <w:rPr>
        <w:rFonts w:ascii="Courier New" w:hAnsi="Courier New" w:hint="default"/>
      </w:rPr>
    </w:lvl>
    <w:lvl w:ilvl="8" w:tplc="A2B45F90">
      <w:start w:val="1"/>
      <w:numFmt w:val="bullet"/>
      <w:lvlText w:val=""/>
      <w:lvlJc w:val="left"/>
      <w:pPr>
        <w:ind w:left="6840" w:hanging="360"/>
      </w:pPr>
      <w:rPr>
        <w:rFonts w:ascii="Wingdings" w:hAnsi="Wingdings" w:hint="default"/>
      </w:rPr>
    </w:lvl>
  </w:abstractNum>
  <w:abstractNum w:abstractNumId="13" w15:restartNumberingAfterBreak="0">
    <w:nsid w:val="7FC458B4"/>
    <w:multiLevelType w:val="hybridMultilevel"/>
    <w:tmpl w:val="5C46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153005">
    <w:abstractNumId w:val="5"/>
  </w:num>
  <w:num w:numId="2" w16cid:durableId="191457205">
    <w:abstractNumId w:val="10"/>
  </w:num>
  <w:num w:numId="3" w16cid:durableId="1244097502">
    <w:abstractNumId w:val="2"/>
  </w:num>
  <w:num w:numId="4" w16cid:durableId="1748457384">
    <w:abstractNumId w:val="7"/>
  </w:num>
  <w:num w:numId="5" w16cid:durableId="95710852">
    <w:abstractNumId w:val="8"/>
  </w:num>
  <w:num w:numId="6" w16cid:durableId="525339039">
    <w:abstractNumId w:val="0"/>
  </w:num>
  <w:num w:numId="7" w16cid:durableId="1001658580">
    <w:abstractNumId w:val="4"/>
  </w:num>
  <w:num w:numId="8" w16cid:durableId="896091884">
    <w:abstractNumId w:val="6"/>
  </w:num>
  <w:num w:numId="9" w16cid:durableId="354813847">
    <w:abstractNumId w:val="9"/>
  </w:num>
  <w:num w:numId="10" w16cid:durableId="1666787991">
    <w:abstractNumId w:val="1"/>
  </w:num>
  <w:num w:numId="11" w16cid:durableId="310600956">
    <w:abstractNumId w:val="12"/>
  </w:num>
  <w:num w:numId="12" w16cid:durableId="1651523106">
    <w:abstractNumId w:val="13"/>
  </w:num>
  <w:num w:numId="13" w16cid:durableId="1494570278">
    <w:abstractNumId w:val="3"/>
  </w:num>
  <w:num w:numId="14" w16cid:durableId="1451628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72C5"/>
    <w:rsid w:val="00010615"/>
    <w:rsid w:val="0001312B"/>
    <w:rsid w:val="000169B5"/>
    <w:rsid w:val="00024DAE"/>
    <w:rsid w:val="00027A7E"/>
    <w:rsid w:val="000324AD"/>
    <w:rsid w:val="00033401"/>
    <w:rsid w:val="00042DDA"/>
    <w:rsid w:val="0004664D"/>
    <w:rsid w:val="000560D2"/>
    <w:rsid w:val="000633B6"/>
    <w:rsid w:val="000711C8"/>
    <w:rsid w:val="00074C59"/>
    <w:rsid w:val="000806B7"/>
    <w:rsid w:val="00082C2A"/>
    <w:rsid w:val="0009663C"/>
    <w:rsid w:val="000A46BB"/>
    <w:rsid w:val="000A6ED3"/>
    <w:rsid w:val="000A6F7D"/>
    <w:rsid w:val="000B081C"/>
    <w:rsid w:val="000C3792"/>
    <w:rsid w:val="000C3B7E"/>
    <w:rsid w:val="000C5253"/>
    <w:rsid w:val="000C62DE"/>
    <w:rsid w:val="000C63E8"/>
    <w:rsid w:val="000E09DC"/>
    <w:rsid w:val="000E305A"/>
    <w:rsid w:val="000F27DC"/>
    <w:rsid w:val="000F513B"/>
    <w:rsid w:val="000F6984"/>
    <w:rsid w:val="000F7CE4"/>
    <w:rsid w:val="00100926"/>
    <w:rsid w:val="00103BC6"/>
    <w:rsid w:val="001048F3"/>
    <w:rsid w:val="00105C09"/>
    <w:rsid w:val="00111B2C"/>
    <w:rsid w:val="00112133"/>
    <w:rsid w:val="00114EEA"/>
    <w:rsid w:val="001158CA"/>
    <w:rsid w:val="00130059"/>
    <w:rsid w:val="00130887"/>
    <w:rsid w:val="00130B6E"/>
    <w:rsid w:val="00131B8D"/>
    <w:rsid w:val="001325DB"/>
    <w:rsid w:val="00135F48"/>
    <w:rsid w:val="00137538"/>
    <w:rsid w:val="00143C63"/>
    <w:rsid w:val="00143E2E"/>
    <w:rsid w:val="0015432A"/>
    <w:rsid w:val="00156C10"/>
    <w:rsid w:val="00156DF9"/>
    <w:rsid w:val="00157743"/>
    <w:rsid w:val="001719A8"/>
    <w:rsid w:val="00176963"/>
    <w:rsid w:val="0018148D"/>
    <w:rsid w:val="001821C1"/>
    <w:rsid w:val="001839E5"/>
    <w:rsid w:val="00190A80"/>
    <w:rsid w:val="00191BCC"/>
    <w:rsid w:val="00195653"/>
    <w:rsid w:val="001A0CA5"/>
    <w:rsid w:val="001A2BEB"/>
    <w:rsid w:val="001A6392"/>
    <w:rsid w:val="001A6862"/>
    <w:rsid w:val="001B16DE"/>
    <w:rsid w:val="001B2384"/>
    <w:rsid w:val="001B3958"/>
    <w:rsid w:val="001B4940"/>
    <w:rsid w:val="001B4F55"/>
    <w:rsid w:val="001B65B7"/>
    <w:rsid w:val="001C20E8"/>
    <w:rsid w:val="001D032F"/>
    <w:rsid w:val="001D5B57"/>
    <w:rsid w:val="001E1929"/>
    <w:rsid w:val="001E2E79"/>
    <w:rsid w:val="001E7F14"/>
    <w:rsid w:val="001F19DF"/>
    <w:rsid w:val="001F1C4A"/>
    <w:rsid w:val="002050A8"/>
    <w:rsid w:val="0020576C"/>
    <w:rsid w:val="00207DA6"/>
    <w:rsid w:val="00217404"/>
    <w:rsid w:val="002174CB"/>
    <w:rsid w:val="00222A91"/>
    <w:rsid w:val="00222CEC"/>
    <w:rsid w:val="00223112"/>
    <w:rsid w:val="002252BE"/>
    <w:rsid w:val="00227842"/>
    <w:rsid w:val="002300CD"/>
    <w:rsid w:val="00231A3F"/>
    <w:rsid w:val="00235071"/>
    <w:rsid w:val="00240B26"/>
    <w:rsid w:val="0024647F"/>
    <w:rsid w:val="00247988"/>
    <w:rsid w:val="00247E5A"/>
    <w:rsid w:val="002513EE"/>
    <w:rsid w:val="00251E61"/>
    <w:rsid w:val="00255736"/>
    <w:rsid w:val="00267471"/>
    <w:rsid w:val="002702BB"/>
    <w:rsid w:val="00274935"/>
    <w:rsid w:val="002976A7"/>
    <w:rsid w:val="0029EAEC"/>
    <w:rsid w:val="002A1237"/>
    <w:rsid w:val="002A370E"/>
    <w:rsid w:val="002B4B14"/>
    <w:rsid w:val="002B6B7B"/>
    <w:rsid w:val="002C030A"/>
    <w:rsid w:val="002C274A"/>
    <w:rsid w:val="002D1A82"/>
    <w:rsid w:val="002D42D4"/>
    <w:rsid w:val="002D4F5E"/>
    <w:rsid w:val="002D61F9"/>
    <w:rsid w:val="002E37E5"/>
    <w:rsid w:val="002E4CB5"/>
    <w:rsid w:val="002E6FCA"/>
    <w:rsid w:val="002F2131"/>
    <w:rsid w:val="002F279B"/>
    <w:rsid w:val="002F7302"/>
    <w:rsid w:val="003003A4"/>
    <w:rsid w:val="00305554"/>
    <w:rsid w:val="00305D18"/>
    <w:rsid w:val="003132E1"/>
    <w:rsid w:val="00315131"/>
    <w:rsid w:val="00315897"/>
    <w:rsid w:val="00316DB5"/>
    <w:rsid w:val="00317239"/>
    <w:rsid w:val="003176C8"/>
    <w:rsid w:val="003201EF"/>
    <w:rsid w:val="0032303E"/>
    <w:rsid w:val="0034326F"/>
    <w:rsid w:val="00360BEB"/>
    <w:rsid w:val="00363520"/>
    <w:rsid w:val="00365324"/>
    <w:rsid w:val="003705FC"/>
    <w:rsid w:val="003745DF"/>
    <w:rsid w:val="003777F4"/>
    <w:rsid w:val="00384ACF"/>
    <w:rsid w:val="003962C2"/>
    <w:rsid w:val="00397653"/>
    <w:rsid w:val="003A39CF"/>
    <w:rsid w:val="003A656C"/>
    <w:rsid w:val="003A6E08"/>
    <w:rsid w:val="003B2E6A"/>
    <w:rsid w:val="003B667A"/>
    <w:rsid w:val="003C12FB"/>
    <w:rsid w:val="003C1D5A"/>
    <w:rsid w:val="003C1DB9"/>
    <w:rsid w:val="003D14DD"/>
    <w:rsid w:val="003D1ECD"/>
    <w:rsid w:val="003E0FB8"/>
    <w:rsid w:val="003E1E8D"/>
    <w:rsid w:val="003E4DF7"/>
    <w:rsid w:val="003E6D44"/>
    <w:rsid w:val="003E7EFA"/>
    <w:rsid w:val="003F0DA3"/>
    <w:rsid w:val="003F0E37"/>
    <w:rsid w:val="003F3899"/>
    <w:rsid w:val="003F4352"/>
    <w:rsid w:val="003F619C"/>
    <w:rsid w:val="003F782D"/>
    <w:rsid w:val="00402BE7"/>
    <w:rsid w:val="00406AE7"/>
    <w:rsid w:val="00406F50"/>
    <w:rsid w:val="00407E9B"/>
    <w:rsid w:val="004104CE"/>
    <w:rsid w:val="004203BC"/>
    <w:rsid w:val="00424107"/>
    <w:rsid w:val="004243F5"/>
    <w:rsid w:val="00426CCE"/>
    <w:rsid w:val="004339B1"/>
    <w:rsid w:val="00435BF4"/>
    <w:rsid w:val="004416AF"/>
    <w:rsid w:val="0044670C"/>
    <w:rsid w:val="00457C98"/>
    <w:rsid w:val="00471B23"/>
    <w:rsid w:val="004742B2"/>
    <w:rsid w:val="00474F0E"/>
    <w:rsid w:val="0047534A"/>
    <w:rsid w:val="00482405"/>
    <w:rsid w:val="0048656E"/>
    <w:rsid w:val="004960F6"/>
    <w:rsid w:val="00496A7B"/>
    <w:rsid w:val="004B25C8"/>
    <w:rsid w:val="004B655B"/>
    <w:rsid w:val="004B7879"/>
    <w:rsid w:val="004C0D20"/>
    <w:rsid w:val="004C288B"/>
    <w:rsid w:val="004C7D7D"/>
    <w:rsid w:val="004C7DA1"/>
    <w:rsid w:val="004D7EEC"/>
    <w:rsid w:val="004E029B"/>
    <w:rsid w:val="004F1312"/>
    <w:rsid w:val="004F323B"/>
    <w:rsid w:val="004F46FB"/>
    <w:rsid w:val="004F5E4B"/>
    <w:rsid w:val="004F6DC9"/>
    <w:rsid w:val="00500175"/>
    <w:rsid w:val="00500C6A"/>
    <w:rsid w:val="00502933"/>
    <w:rsid w:val="00507F3B"/>
    <w:rsid w:val="005114CE"/>
    <w:rsid w:val="00514792"/>
    <w:rsid w:val="00516F56"/>
    <w:rsid w:val="00517C00"/>
    <w:rsid w:val="005220AA"/>
    <w:rsid w:val="00527B0E"/>
    <w:rsid w:val="00531F43"/>
    <w:rsid w:val="00533EB7"/>
    <w:rsid w:val="005341F9"/>
    <w:rsid w:val="005361E7"/>
    <w:rsid w:val="00545734"/>
    <w:rsid w:val="00546B9F"/>
    <w:rsid w:val="005478E0"/>
    <w:rsid w:val="00561E04"/>
    <w:rsid w:val="005639A4"/>
    <w:rsid w:val="0056439B"/>
    <w:rsid w:val="00564A25"/>
    <w:rsid w:val="005656E1"/>
    <w:rsid w:val="0056638B"/>
    <w:rsid w:val="005701AC"/>
    <w:rsid w:val="0057484B"/>
    <w:rsid w:val="00576AC1"/>
    <w:rsid w:val="00577375"/>
    <w:rsid w:val="00583E48"/>
    <w:rsid w:val="00591572"/>
    <w:rsid w:val="005A0D78"/>
    <w:rsid w:val="005A419A"/>
    <w:rsid w:val="005A486C"/>
    <w:rsid w:val="005B21EB"/>
    <w:rsid w:val="005B3DC5"/>
    <w:rsid w:val="005D1716"/>
    <w:rsid w:val="005D7A7B"/>
    <w:rsid w:val="005D7F59"/>
    <w:rsid w:val="005E0DA4"/>
    <w:rsid w:val="005E1876"/>
    <w:rsid w:val="005E79F3"/>
    <w:rsid w:val="005F45C5"/>
    <w:rsid w:val="005F4B49"/>
    <w:rsid w:val="005F71ED"/>
    <w:rsid w:val="0060036E"/>
    <w:rsid w:val="00602686"/>
    <w:rsid w:val="006044DF"/>
    <w:rsid w:val="00604740"/>
    <w:rsid w:val="00605FFD"/>
    <w:rsid w:val="0061155A"/>
    <w:rsid w:val="006156EB"/>
    <w:rsid w:val="00616E13"/>
    <w:rsid w:val="00622D12"/>
    <w:rsid w:val="00627BA7"/>
    <w:rsid w:val="00632ADC"/>
    <w:rsid w:val="006346CF"/>
    <w:rsid w:val="006350D7"/>
    <w:rsid w:val="006363F3"/>
    <w:rsid w:val="00636DEB"/>
    <w:rsid w:val="00637351"/>
    <w:rsid w:val="00654921"/>
    <w:rsid w:val="006622D4"/>
    <w:rsid w:val="00662AE2"/>
    <w:rsid w:val="00662B21"/>
    <w:rsid w:val="0066461F"/>
    <w:rsid w:val="0066467B"/>
    <w:rsid w:val="00670A5B"/>
    <w:rsid w:val="00683FD7"/>
    <w:rsid w:val="0068624D"/>
    <w:rsid w:val="00687232"/>
    <w:rsid w:val="00690722"/>
    <w:rsid w:val="00692300"/>
    <w:rsid w:val="00693951"/>
    <w:rsid w:val="00696537"/>
    <w:rsid w:val="006A6842"/>
    <w:rsid w:val="006B2111"/>
    <w:rsid w:val="006B3335"/>
    <w:rsid w:val="006B458E"/>
    <w:rsid w:val="006B61B2"/>
    <w:rsid w:val="006C003A"/>
    <w:rsid w:val="006C179C"/>
    <w:rsid w:val="006C256D"/>
    <w:rsid w:val="006C64FC"/>
    <w:rsid w:val="006C7A43"/>
    <w:rsid w:val="006D0223"/>
    <w:rsid w:val="006D37BE"/>
    <w:rsid w:val="006D3EED"/>
    <w:rsid w:val="006D5197"/>
    <w:rsid w:val="006D65F4"/>
    <w:rsid w:val="006E00E2"/>
    <w:rsid w:val="006E06C6"/>
    <w:rsid w:val="006E2F35"/>
    <w:rsid w:val="006F29C7"/>
    <w:rsid w:val="006F6163"/>
    <w:rsid w:val="00701C20"/>
    <w:rsid w:val="00707460"/>
    <w:rsid w:val="00707A55"/>
    <w:rsid w:val="00711BB1"/>
    <w:rsid w:val="00713AF5"/>
    <w:rsid w:val="00714647"/>
    <w:rsid w:val="00715C6F"/>
    <w:rsid w:val="00716CE3"/>
    <w:rsid w:val="00724CFF"/>
    <w:rsid w:val="00724D57"/>
    <w:rsid w:val="00724F89"/>
    <w:rsid w:val="00726EDA"/>
    <w:rsid w:val="007313A3"/>
    <w:rsid w:val="00736520"/>
    <w:rsid w:val="00740E2E"/>
    <w:rsid w:val="007428B8"/>
    <w:rsid w:val="00743FC4"/>
    <w:rsid w:val="00744188"/>
    <w:rsid w:val="00746164"/>
    <w:rsid w:val="007468D2"/>
    <w:rsid w:val="007501AC"/>
    <w:rsid w:val="007568FE"/>
    <w:rsid w:val="00756A7E"/>
    <w:rsid w:val="0076349C"/>
    <w:rsid w:val="00763F00"/>
    <w:rsid w:val="00772124"/>
    <w:rsid w:val="00772D60"/>
    <w:rsid w:val="007748F9"/>
    <w:rsid w:val="00780503"/>
    <w:rsid w:val="00780BB6"/>
    <w:rsid w:val="00785AEF"/>
    <w:rsid w:val="007873E9"/>
    <w:rsid w:val="00792056"/>
    <w:rsid w:val="00796666"/>
    <w:rsid w:val="007A4655"/>
    <w:rsid w:val="007A50C0"/>
    <w:rsid w:val="007A7357"/>
    <w:rsid w:val="007B0F14"/>
    <w:rsid w:val="007B35D7"/>
    <w:rsid w:val="007B504E"/>
    <w:rsid w:val="007B50FA"/>
    <w:rsid w:val="007C4031"/>
    <w:rsid w:val="007C5697"/>
    <w:rsid w:val="007D2350"/>
    <w:rsid w:val="007D446A"/>
    <w:rsid w:val="007D60D4"/>
    <w:rsid w:val="007D6A8F"/>
    <w:rsid w:val="007E00A1"/>
    <w:rsid w:val="007E1781"/>
    <w:rsid w:val="007E2C65"/>
    <w:rsid w:val="007E6534"/>
    <w:rsid w:val="007F0F3F"/>
    <w:rsid w:val="00806DEF"/>
    <w:rsid w:val="00812C0A"/>
    <w:rsid w:val="00821AD8"/>
    <w:rsid w:val="00822F65"/>
    <w:rsid w:val="00826E81"/>
    <w:rsid w:val="00827916"/>
    <w:rsid w:val="00831BD8"/>
    <w:rsid w:val="00832797"/>
    <w:rsid w:val="00840D32"/>
    <w:rsid w:val="00842B85"/>
    <w:rsid w:val="008440FF"/>
    <w:rsid w:val="00847F3A"/>
    <w:rsid w:val="00851113"/>
    <w:rsid w:val="008536EE"/>
    <w:rsid w:val="008553D4"/>
    <w:rsid w:val="00865543"/>
    <w:rsid w:val="00870229"/>
    <w:rsid w:val="00871F33"/>
    <w:rsid w:val="00874715"/>
    <w:rsid w:val="00877288"/>
    <w:rsid w:val="00883563"/>
    <w:rsid w:val="00886A6F"/>
    <w:rsid w:val="008873D9"/>
    <w:rsid w:val="0088773D"/>
    <w:rsid w:val="008909EE"/>
    <w:rsid w:val="00895455"/>
    <w:rsid w:val="0089647A"/>
    <w:rsid w:val="00896C64"/>
    <w:rsid w:val="008A37FE"/>
    <w:rsid w:val="008A5897"/>
    <w:rsid w:val="008B05A8"/>
    <w:rsid w:val="008B2D3E"/>
    <w:rsid w:val="008B72F6"/>
    <w:rsid w:val="008C1A55"/>
    <w:rsid w:val="008D1CB7"/>
    <w:rsid w:val="008D2C43"/>
    <w:rsid w:val="008D3881"/>
    <w:rsid w:val="008D3F69"/>
    <w:rsid w:val="008D476A"/>
    <w:rsid w:val="008D495B"/>
    <w:rsid w:val="008D6B05"/>
    <w:rsid w:val="008E2444"/>
    <w:rsid w:val="008E555B"/>
    <w:rsid w:val="008E6F07"/>
    <w:rsid w:val="008F1772"/>
    <w:rsid w:val="008F38E0"/>
    <w:rsid w:val="008F59EA"/>
    <w:rsid w:val="00904D58"/>
    <w:rsid w:val="0091117B"/>
    <w:rsid w:val="00914D41"/>
    <w:rsid w:val="00914DF3"/>
    <w:rsid w:val="009166C7"/>
    <w:rsid w:val="009172EE"/>
    <w:rsid w:val="00920E82"/>
    <w:rsid w:val="00921E5A"/>
    <w:rsid w:val="00922CB9"/>
    <w:rsid w:val="009265DB"/>
    <w:rsid w:val="009315BC"/>
    <w:rsid w:val="00933091"/>
    <w:rsid w:val="00942513"/>
    <w:rsid w:val="00955189"/>
    <w:rsid w:val="00956E2D"/>
    <w:rsid w:val="00970147"/>
    <w:rsid w:val="00970B44"/>
    <w:rsid w:val="0097431E"/>
    <w:rsid w:val="00974855"/>
    <w:rsid w:val="00975AAC"/>
    <w:rsid w:val="00992F11"/>
    <w:rsid w:val="00995807"/>
    <w:rsid w:val="009979DD"/>
    <w:rsid w:val="009A0817"/>
    <w:rsid w:val="009A2DD0"/>
    <w:rsid w:val="009A3BF0"/>
    <w:rsid w:val="009A448B"/>
    <w:rsid w:val="009A510E"/>
    <w:rsid w:val="009A6227"/>
    <w:rsid w:val="009A757E"/>
    <w:rsid w:val="009B04E1"/>
    <w:rsid w:val="009B3BDD"/>
    <w:rsid w:val="009C2AE4"/>
    <w:rsid w:val="009D5028"/>
    <w:rsid w:val="009E074E"/>
    <w:rsid w:val="009E5A79"/>
    <w:rsid w:val="009F10DC"/>
    <w:rsid w:val="009F5A99"/>
    <w:rsid w:val="009F6320"/>
    <w:rsid w:val="009F6FF8"/>
    <w:rsid w:val="009F7D6C"/>
    <w:rsid w:val="00A07F42"/>
    <w:rsid w:val="00A1166C"/>
    <w:rsid w:val="00A15793"/>
    <w:rsid w:val="00A16315"/>
    <w:rsid w:val="00A21737"/>
    <w:rsid w:val="00A2292D"/>
    <w:rsid w:val="00A275BA"/>
    <w:rsid w:val="00A30B3C"/>
    <w:rsid w:val="00A3254D"/>
    <w:rsid w:val="00A3535B"/>
    <w:rsid w:val="00A429A8"/>
    <w:rsid w:val="00A459BC"/>
    <w:rsid w:val="00A46734"/>
    <w:rsid w:val="00A47571"/>
    <w:rsid w:val="00A502D5"/>
    <w:rsid w:val="00A5199C"/>
    <w:rsid w:val="00A5200E"/>
    <w:rsid w:val="00A55FEF"/>
    <w:rsid w:val="00A609C1"/>
    <w:rsid w:val="00A60CFA"/>
    <w:rsid w:val="00A62B7F"/>
    <w:rsid w:val="00A64518"/>
    <w:rsid w:val="00A65464"/>
    <w:rsid w:val="00A777C3"/>
    <w:rsid w:val="00A779A4"/>
    <w:rsid w:val="00A87982"/>
    <w:rsid w:val="00A91EA1"/>
    <w:rsid w:val="00A92A3E"/>
    <w:rsid w:val="00AA05D0"/>
    <w:rsid w:val="00AA0A85"/>
    <w:rsid w:val="00AA0B16"/>
    <w:rsid w:val="00AA4ECB"/>
    <w:rsid w:val="00AB49C2"/>
    <w:rsid w:val="00AB5BFD"/>
    <w:rsid w:val="00AB620E"/>
    <w:rsid w:val="00AB6EC0"/>
    <w:rsid w:val="00AC4744"/>
    <w:rsid w:val="00AC5383"/>
    <w:rsid w:val="00AC5B92"/>
    <w:rsid w:val="00AC62F8"/>
    <w:rsid w:val="00AD52F3"/>
    <w:rsid w:val="00AD5AC3"/>
    <w:rsid w:val="00AD6C15"/>
    <w:rsid w:val="00AF0F50"/>
    <w:rsid w:val="00AF1086"/>
    <w:rsid w:val="00AF15A1"/>
    <w:rsid w:val="00AF3709"/>
    <w:rsid w:val="00B247C8"/>
    <w:rsid w:val="00B32E87"/>
    <w:rsid w:val="00B332CD"/>
    <w:rsid w:val="00B5015D"/>
    <w:rsid w:val="00B526B7"/>
    <w:rsid w:val="00B5692A"/>
    <w:rsid w:val="00B61750"/>
    <w:rsid w:val="00B64743"/>
    <w:rsid w:val="00B65DD0"/>
    <w:rsid w:val="00B723BE"/>
    <w:rsid w:val="00B756E2"/>
    <w:rsid w:val="00B82705"/>
    <w:rsid w:val="00B82C0D"/>
    <w:rsid w:val="00B85441"/>
    <w:rsid w:val="00B85F3D"/>
    <w:rsid w:val="00B93D11"/>
    <w:rsid w:val="00BA5733"/>
    <w:rsid w:val="00BB240E"/>
    <w:rsid w:val="00BC37B5"/>
    <w:rsid w:val="00BE2A29"/>
    <w:rsid w:val="00BE3619"/>
    <w:rsid w:val="00BE5ACB"/>
    <w:rsid w:val="00BE6F38"/>
    <w:rsid w:val="00BF479B"/>
    <w:rsid w:val="00BF485F"/>
    <w:rsid w:val="00BF5A63"/>
    <w:rsid w:val="00BF6123"/>
    <w:rsid w:val="00C0182C"/>
    <w:rsid w:val="00C20139"/>
    <w:rsid w:val="00C20900"/>
    <w:rsid w:val="00C269B6"/>
    <w:rsid w:val="00C27D57"/>
    <w:rsid w:val="00C32059"/>
    <w:rsid w:val="00C336B8"/>
    <w:rsid w:val="00C444D0"/>
    <w:rsid w:val="00C44C0F"/>
    <w:rsid w:val="00C47D95"/>
    <w:rsid w:val="00C522C0"/>
    <w:rsid w:val="00C52501"/>
    <w:rsid w:val="00C5263B"/>
    <w:rsid w:val="00C60705"/>
    <w:rsid w:val="00C63E94"/>
    <w:rsid w:val="00C66D15"/>
    <w:rsid w:val="00C71630"/>
    <w:rsid w:val="00C76304"/>
    <w:rsid w:val="00C770F2"/>
    <w:rsid w:val="00C81589"/>
    <w:rsid w:val="00C82424"/>
    <w:rsid w:val="00C824AD"/>
    <w:rsid w:val="00C82CBA"/>
    <w:rsid w:val="00C83D1D"/>
    <w:rsid w:val="00C848CE"/>
    <w:rsid w:val="00C87585"/>
    <w:rsid w:val="00C87901"/>
    <w:rsid w:val="00C92801"/>
    <w:rsid w:val="00C937FA"/>
    <w:rsid w:val="00CA2AF7"/>
    <w:rsid w:val="00CA68D2"/>
    <w:rsid w:val="00CB0CD6"/>
    <w:rsid w:val="00CB1C9B"/>
    <w:rsid w:val="00CB4596"/>
    <w:rsid w:val="00CB492B"/>
    <w:rsid w:val="00CC0F6E"/>
    <w:rsid w:val="00CC2DB7"/>
    <w:rsid w:val="00CC4205"/>
    <w:rsid w:val="00CC7CE0"/>
    <w:rsid w:val="00CD1B92"/>
    <w:rsid w:val="00CD50AF"/>
    <w:rsid w:val="00CE046A"/>
    <w:rsid w:val="00CE1C84"/>
    <w:rsid w:val="00CE334A"/>
    <w:rsid w:val="00CF033C"/>
    <w:rsid w:val="00D00A09"/>
    <w:rsid w:val="00D019D5"/>
    <w:rsid w:val="00D01C2C"/>
    <w:rsid w:val="00D11805"/>
    <w:rsid w:val="00D1539A"/>
    <w:rsid w:val="00D169B9"/>
    <w:rsid w:val="00D26F2C"/>
    <w:rsid w:val="00D323C7"/>
    <w:rsid w:val="00D47080"/>
    <w:rsid w:val="00D47DAB"/>
    <w:rsid w:val="00D51109"/>
    <w:rsid w:val="00D5115F"/>
    <w:rsid w:val="00D54840"/>
    <w:rsid w:val="00D54B53"/>
    <w:rsid w:val="00D732F1"/>
    <w:rsid w:val="00D74351"/>
    <w:rsid w:val="00D76E77"/>
    <w:rsid w:val="00D77CA4"/>
    <w:rsid w:val="00D81346"/>
    <w:rsid w:val="00D861AF"/>
    <w:rsid w:val="00D8667C"/>
    <w:rsid w:val="00D86AB9"/>
    <w:rsid w:val="00D90A04"/>
    <w:rsid w:val="00D93F3B"/>
    <w:rsid w:val="00D93F7E"/>
    <w:rsid w:val="00DA25D0"/>
    <w:rsid w:val="00DA2BB2"/>
    <w:rsid w:val="00DA3C3A"/>
    <w:rsid w:val="00DB7B08"/>
    <w:rsid w:val="00DC01E1"/>
    <w:rsid w:val="00DD082F"/>
    <w:rsid w:val="00DD3AAB"/>
    <w:rsid w:val="00DD4CD7"/>
    <w:rsid w:val="00DD6731"/>
    <w:rsid w:val="00DE0C44"/>
    <w:rsid w:val="00DF6A79"/>
    <w:rsid w:val="00DF6DEC"/>
    <w:rsid w:val="00E04BA9"/>
    <w:rsid w:val="00E22034"/>
    <w:rsid w:val="00E22A72"/>
    <w:rsid w:val="00E242B0"/>
    <w:rsid w:val="00E25724"/>
    <w:rsid w:val="00E276D5"/>
    <w:rsid w:val="00E27A57"/>
    <w:rsid w:val="00E32E89"/>
    <w:rsid w:val="00E3449B"/>
    <w:rsid w:val="00E42444"/>
    <w:rsid w:val="00E44052"/>
    <w:rsid w:val="00E4584F"/>
    <w:rsid w:val="00E4768B"/>
    <w:rsid w:val="00E500C3"/>
    <w:rsid w:val="00E53A6D"/>
    <w:rsid w:val="00E60838"/>
    <w:rsid w:val="00E62FBE"/>
    <w:rsid w:val="00E63119"/>
    <w:rsid w:val="00E6378D"/>
    <w:rsid w:val="00E64BE6"/>
    <w:rsid w:val="00E73D21"/>
    <w:rsid w:val="00E757F2"/>
    <w:rsid w:val="00E805AD"/>
    <w:rsid w:val="00E80717"/>
    <w:rsid w:val="00E80F0D"/>
    <w:rsid w:val="00EA3C7D"/>
    <w:rsid w:val="00EA7D4F"/>
    <w:rsid w:val="00EB042B"/>
    <w:rsid w:val="00EB16F7"/>
    <w:rsid w:val="00EB7EFD"/>
    <w:rsid w:val="00EC04A9"/>
    <w:rsid w:val="00EC236F"/>
    <w:rsid w:val="00EC374F"/>
    <w:rsid w:val="00EC492D"/>
    <w:rsid w:val="00EC504C"/>
    <w:rsid w:val="00EC7226"/>
    <w:rsid w:val="00ED0389"/>
    <w:rsid w:val="00ED34CA"/>
    <w:rsid w:val="00ED4E8F"/>
    <w:rsid w:val="00EE0DFA"/>
    <w:rsid w:val="00EE1AA1"/>
    <w:rsid w:val="00EE3358"/>
    <w:rsid w:val="00EF3167"/>
    <w:rsid w:val="00EF497F"/>
    <w:rsid w:val="00EF740B"/>
    <w:rsid w:val="00F00483"/>
    <w:rsid w:val="00F006E0"/>
    <w:rsid w:val="00F0406A"/>
    <w:rsid w:val="00F10D0E"/>
    <w:rsid w:val="00F10D6D"/>
    <w:rsid w:val="00F13337"/>
    <w:rsid w:val="00F15D1E"/>
    <w:rsid w:val="00F15D9F"/>
    <w:rsid w:val="00F227A8"/>
    <w:rsid w:val="00F244C2"/>
    <w:rsid w:val="00F31384"/>
    <w:rsid w:val="00F34B1F"/>
    <w:rsid w:val="00F40510"/>
    <w:rsid w:val="00F4132B"/>
    <w:rsid w:val="00F449EA"/>
    <w:rsid w:val="00F475C9"/>
    <w:rsid w:val="00F47F6F"/>
    <w:rsid w:val="00F55D75"/>
    <w:rsid w:val="00F65356"/>
    <w:rsid w:val="00F73778"/>
    <w:rsid w:val="00F74004"/>
    <w:rsid w:val="00F84269"/>
    <w:rsid w:val="00F911AE"/>
    <w:rsid w:val="00F919D8"/>
    <w:rsid w:val="00FA09B5"/>
    <w:rsid w:val="00FB0E15"/>
    <w:rsid w:val="00FB1A8F"/>
    <w:rsid w:val="00FB4BB5"/>
    <w:rsid w:val="00FB500A"/>
    <w:rsid w:val="00FC0A07"/>
    <w:rsid w:val="00FC1FCE"/>
    <w:rsid w:val="00FC21B0"/>
    <w:rsid w:val="00FC31E5"/>
    <w:rsid w:val="00FC387A"/>
    <w:rsid w:val="00FC64F6"/>
    <w:rsid w:val="00FD0656"/>
    <w:rsid w:val="00FD1C00"/>
    <w:rsid w:val="00FD2C5A"/>
    <w:rsid w:val="00FE223E"/>
    <w:rsid w:val="00FE3007"/>
    <w:rsid w:val="00FE4BD6"/>
    <w:rsid w:val="00FE765A"/>
    <w:rsid w:val="00FF277C"/>
    <w:rsid w:val="00FF36B4"/>
    <w:rsid w:val="00FF390A"/>
    <w:rsid w:val="013674A0"/>
    <w:rsid w:val="01A60C42"/>
    <w:rsid w:val="0232047E"/>
    <w:rsid w:val="026764E3"/>
    <w:rsid w:val="02ED8F94"/>
    <w:rsid w:val="030FDD75"/>
    <w:rsid w:val="0395A5E5"/>
    <w:rsid w:val="03D84016"/>
    <w:rsid w:val="03DBDA24"/>
    <w:rsid w:val="048D28A4"/>
    <w:rsid w:val="049DCC98"/>
    <w:rsid w:val="049EFBBB"/>
    <w:rsid w:val="04F384E5"/>
    <w:rsid w:val="052006FB"/>
    <w:rsid w:val="059E51E3"/>
    <w:rsid w:val="05DD8B8D"/>
    <w:rsid w:val="05F4A5CA"/>
    <w:rsid w:val="06E73EFB"/>
    <w:rsid w:val="0755964D"/>
    <w:rsid w:val="075F4E32"/>
    <w:rsid w:val="077F001C"/>
    <w:rsid w:val="0789EC75"/>
    <w:rsid w:val="0864F3E3"/>
    <w:rsid w:val="086CD254"/>
    <w:rsid w:val="08A75C7C"/>
    <w:rsid w:val="0938E6F3"/>
    <w:rsid w:val="093D8390"/>
    <w:rsid w:val="098D360E"/>
    <w:rsid w:val="09BB858A"/>
    <w:rsid w:val="0A024A19"/>
    <w:rsid w:val="0A8030DA"/>
    <w:rsid w:val="0A80D7A1"/>
    <w:rsid w:val="0B1385A6"/>
    <w:rsid w:val="0C187BA0"/>
    <w:rsid w:val="0D4FE4B8"/>
    <w:rsid w:val="0D994F8B"/>
    <w:rsid w:val="0DF98755"/>
    <w:rsid w:val="0E35F42B"/>
    <w:rsid w:val="0E39BF8C"/>
    <w:rsid w:val="0E74FF1F"/>
    <w:rsid w:val="0E8B574E"/>
    <w:rsid w:val="0EF75241"/>
    <w:rsid w:val="0F4CF7BC"/>
    <w:rsid w:val="0F57DC3B"/>
    <w:rsid w:val="0FA419F4"/>
    <w:rsid w:val="0FA9406E"/>
    <w:rsid w:val="0FF8E311"/>
    <w:rsid w:val="104EE435"/>
    <w:rsid w:val="10903194"/>
    <w:rsid w:val="10AC3832"/>
    <w:rsid w:val="1114F496"/>
    <w:rsid w:val="11AF7C17"/>
    <w:rsid w:val="11B26979"/>
    <w:rsid w:val="12084EB3"/>
    <w:rsid w:val="122F05BB"/>
    <w:rsid w:val="12EAC8F0"/>
    <w:rsid w:val="1331941B"/>
    <w:rsid w:val="1363BE30"/>
    <w:rsid w:val="144B268B"/>
    <w:rsid w:val="14A71A00"/>
    <w:rsid w:val="14E01FBF"/>
    <w:rsid w:val="17396B62"/>
    <w:rsid w:val="17A315EF"/>
    <w:rsid w:val="1808FA5E"/>
    <w:rsid w:val="180CEDE4"/>
    <w:rsid w:val="18959C1F"/>
    <w:rsid w:val="1900232E"/>
    <w:rsid w:val="194ED50F"/>
    <w:rsid w:val="19547F30"/>
    <w:rsid w:val="19AAB891"/>
    <w:rsid w:val="1A2EBC68"/>
    <w:rsid w:val="1A83A5A4"/>
    <w:rsid w:val="1A9A9657"/>
    <w:rsid w:val="1AD5CC10"/>
    <w:rsid w:val="1ADCC2C6"/>
    <w:rsid w:val="1B011329"/>
    <w:rsid w:val="1BB3D3BF"/>
    <w:rsid w:val="1BF3195A"/>
    <w:rsid w:val="1C31C369"/>
    <w:rsid w:val="1C48912B"/>
    <w:rsid w:val="1C5E7360"/>
    <w:rsid w:val="1CABBA0A"/>
    <w:rsid w:val="1CD1116A"/>
    <w:rsid w:val="1D13895E"/>
    <w:rsid w:val="1D6966B2"/>
    <w:rsid w:val="1DA6B730"/>
    <w:rsid w:val="1DBB1341"/>
    <w:rsid w:val="1DE57E50"/>
    <w:rsid w:val="1E296CCE"/>
    <w:rsid w:val="1E9B1732"/>
    <w:rsid w:val="1EEF0DF5"/>
    <w:rsid w:val="1F04D7E5"/>
    <w:rsid w:val="1F06006D"/>
    <w:rsid w:val="1F6FC64D"/>
    <w:rsid w:val="211830DF"/>
    <w:rsid w:val="211B0D9B"/>
    <w:rsid w:val="211D1F12"/>
    <w:rsid w:val="213E4F13"/>
    <w:rsid w:val="21A6E34B"/>
    <w:rsid w:val="21B9D09D"/>
    <w:rsid w:val="21EA2B67"/>
    <w:rsid w:val="21EA2C78"/>
    <w:rsid w:val="2205B070"/>
    <w:rsid w:val="2245A822"/>
    <w:rsid w:val="225C1A76"/>
    <w:rsid w:val="225CDE6D"/>
    <w:rsid w:val="227123E8"/>
    <w:rsid w:val="22BF28B5"/>
    <w:rsid w:val="22E0891F"/>
    <w:rsid w:val="2312B5BD"/>
    <w:rsid w:val="235C3F40"/>
    <w:rsid w:val="2377581F"/>
    <w:rsid w:val="2385FCD9"/>
    <w:rsid w:val="23EDB3F3"/>
    <w:rsid w:val="23F87379"/>
    <w:rsid w:val="24156D1F"/>
    <w:rsid w:val="246F6E10"/>
    <w:rsid w:val="24976E3E"/>
    <w:rsid w:val="24F1C622"/>
    <w:rsid w:val="261356F5"/>
    <w:rsid w:val="26839C89"/>
    <w:rsid w:val="27A8CD6F"/>
    <w:rsid w:val="2861BC1E"/>
    <w:rsid w:val="28669DEE"/>
    <w:rsid w:val="289E7F02"/>
    <w:rsid w:val="29250D36"/>
    <w:rsid w:val="29504E90"/>
    <w:rsid w:val="295AA084"/>
    <w:rsid w:val="2979F604"/>
    <w:rsid w:val="29F27793"/>
    <w:rsid w:val="2A314CB0"/>
    <w:rsid w:val="2AB0BC1D"/>
    <w:rsid w:val="2ABCD975"/>
    <w:rsid w:val="2ACE1C03"/>
    <w:rsid w:val="2AD84A24"/>
    <w:rsid w:val="2B4C57F2"/>
    <w:rsid w:val="2C40F5E7"/>
    <w:rsid w:val="2C58A9D6"/>
    <w:rsid w:val="2C69EC64"/>
    <w:rsid w:val="2DA2F4C0"/>
    <w:rsid w:val="2DBF1893"/>
    <w:rsid w:val="2DF965B1"/>
    <w:rsid w:val="2E13C9E8"/>
    <w:rsid w:val="2E1834B8"/>
    <w:rsid w:val="2E2549EC"/>
    <w:rsid w:val="2EADE16D"/>
    <w:rsid w:val="2F29FAF6"/>
    <w:rsid w:val="3036A36D"/>
    <w:rsid w:val="3081DB02"/>
    <w:rsid w:val="30A28664"/>
    <w:rsid w:val="30C349BA"/>
    <w:rsid w:val="314DCF83"/>
    <w:rsid w:val="3161B034"/>
    <w:rsid w:val="317440CD"/>
    <w:rsid w:val="3198D494"/>
    <w:rsid w:val="32693D09"/>
    <w:rsid w:val="33880D56"/>
    <w:rsid w:val="3391C34D"/>
    <w:rsid w:val="33C1270E"/>
    <w:rsid w:val="33C3FF80"/>
    <w:rsid w:val="34758829"/>
    <w:rsid w:val="34BA54A7"/>
    <w:rsid w:val="34C6214B"/>
    <w:rsid w:val="34CD5304"/>
    <w:rsid w:val="34EF4971"/>
    <w:rsid w:val="34F0E4C1"/>
    <w:rsid w:val="351B464A"/>
    <w:rsid w:val="35457E34"/>
    <w:rsid w:val="354C16CA"/>
    <w:rsid w:val="3568D4AA"/>
    <w:rsid w:val="35AE9843"/>
    <w:rsid w:val="35BA4D29"/>
    <w:rsid w:val="36835B40"/>
    <w:rsid w:val="36E1C1F6"/>
    <w:rsid w:val="3743BE4A"/>
    <w:rsid w:val="37A62D62"/>
    <w:rsid w:val="38620FE2"/>
    <w:rsid w:val="387F529F"/>
    <w:rsid w:val="38BAAD37"/>
    <w:rsid w:val="39118221"/>
    <w:rsid w:val="39242DEA"/>
    <w:rsid w:val="396CAD14"/>
    <w:rsid w:val="3971D6E0"/>
    <w:rsid w:val="3A050DDA"/>
    <w:rsid w:val="3A1120AB"/>
    <w:rsid w:val="3B1295AC"/>
    <w:rsid w:val="3B5A9BD6"/>
    <w:rsid w:val="3B6D1F3C"/>
    <w:rsid w:val="3BB2CA13"/>
    <w:rsid w:val="3BF8BB1D"/>
    <w:rsid w:val="3BFD8407"/>
    <w:rsid w:val="3C687AB4"/>
    <w:rsid w:val="3C6E7BE7"/>
    <w:rsid w:val="3C99BFF3"/>
    <w:rsid w:val="3E0D9EEA"/>
    <w:rsid w:val="3E1A6366"/>
    <w:rsid w:val="3E2CF209"/>
    <w:rsid w:val="3E34C224"/>
    <w:rsid w:val="3E3C1D15"/>
    <w:rsid w:val="3F8952A8"/>
    <w:rsid w:val="3F9C2EEB"/>
    <w:rsid w:val="4000E816"/>
    <w:rsid w:val="40EC0CFD"/>
    <w:rsid w:val="412529F4"/>
    <w:rsid w:val="414AA252"/>
    <w:rsid w:val="41D318B0"/>
    <w:rsid w:val="41DC7F53"/>
    <w:rsid w:val="41FC86D9"/>
    <w:rsid w:val="421C1AC3"/>
    <w:rsid w:val="423635D7"/>
    <w:rsid w:val="4254A00A"/>
    <w:rsid w:val="4274B87A"/>
    <w:rsid w:val="42933233"/>
    <w:rsid w:val="42BEAC54"/>
    <w:rsid w:val="4337D713"/>
    <w:rsid w:val="452AC4B3"/>
    <w:rsid w:val="45951198"/>
    <w:rsid w:val="4609570E"/>
    <w:rsid w:val="461E54C1"/>
    <w:rsid w:val="4634A80A"/>
    <w:rsid w:val="46541930"/>
    <w:rsid w:val="466EBC8F"/>
    <w:rsid w:val="4688A8A9"/>
    <w:rsid w:val="46A18EA5"/>
    <w:rsid w:val="4736E34D"/>
    <w:rsid w:val="4784C4FF"/>
    <w:rsid w:val="47B22BB9"/>
    <w:rsid w:val="48AA7396"/>
    <w:rsid w:val="48AD9D1E"/>
    <w:rsid w:val="48D0E00D"/>
    <w:rsid w:val="49102576"/>
    <w:rsid w:val="49CD15B6"/>
    <w:rsid w:val="4A496D7F"/>
    <w:rsid w:val="4A79C6E6"/>
    <w:rsid w:val="4AC29431"/>
    <w:rsid w:val="4B42610A"/>
    <w:rsid w:val="4B9B2785"/>
    <w:rsid w:val="4BFA3CF7"/>
    <w:rsid w:val="4C314B61"/>
    <w:rsid w:val="4C8587DE"/>
    <w:rsid w:val="4CA53854"/>
    <w:rsid w:val="4CDB27D6"/>
    <w:rsid w:val="4CF8310E"/>
    <w:rsid w:val="4D434145"/>
    <w:rsid w:val="4D6EA169"/>
    <w:rsid w:val="4DC0216D"/>
    <w:rsid w:val="4DCC033D"/>
    <w:rsid w:val="4DF370D1"/>
    <w:rsid w:val="4E2F9310"/>
    <w:rsid w:val="4EFCFDFA"/>
    <w:rsid w:val="4F2F00CF"/>
    <w:rsid w:val="4F4D3809"/>
    <w:rsid w:val="4F8C45F4"/>
    <w:rsid w:val="501B2BAB"/>
    <w:rsid w:val="50500FE4"/>
    <w:rsid w:val="518FEF9A"/>
    <w:rsid w:val="51BC31F2"/>
    <w:rsid w:val="51E0D1E3"/>
    <w:rsid w:val="51FD7943"/>
    <w:rsid w:val="52E41AE2"/>
    <w:rsid w:val="52F79222"/>
    <w:rsid w:val="53F5C237"/>
    <w:rsid w:val="53F9DDBC"/>
    <w:rsid w:val="5405BDFE"/>
    <w:rsid w:val="54231176"/>
    <w:rsid w:val="545443A2"/>
    <w:rsid w:val="54B0C4D2"/>
    <w:rsid w:val="54B48629"/>
    <w:rsid w:val="54D5D6D6"/>
    <w:rsid w:val="553BAF7D"/>
    <w:rsid w:val="554A1854"/>
    <w:rsid w:val="557DF1B0"/>
    <w:rsid w:val="559CD6D8"/>
    <w:rsid w:val="55D82EA2"/>
    <w:rsid w:val="569746BC"/>
    <w:rsid w:val="56B57889"/>
    <w:rsid w:val="57530044"/>
    <w:rsid w:val="575835E2"/>
    <w:rsid w:val="5764CF8F"/>
    <w:rsid w:val="57B0873C"/>
    <w:rsid w:val="5877CF5A"/>
    <w:rsid w:val="589E7976"/>
    <w:rsid w:val="58B931CD"/>
    <w:rsid w:val="58FCAA41"/>
    <w:rsid w:val="590957CC"/>
    <w:rsid w:val="59D2E2A6"/>
    <w:rsid w:val="59F0B6ED"/>
    <w:rsid w:val="5A5702D3"/>
    <w:rsid w:val="5AE08A36"/>
    <w:rsid w:val="5BA1F799"/>
    <w:rsid w:val="5BCDF7C8"/>
    <w:rsid w:val="5BD39C59"/>
    <w:rsid w:val="5C15EBED"/>
    <w:rsid w:val="5CDFBB76"/>
    <w:rsid w:val="5D0D6222"/>
    <w:rsid w:val="5D1E9BCC"/>
    <w:rsid w:val="5D46A8A8"/>
    <w:rsid w:val="5D95371A"/>
    <w:rsid w:val="5D977A4F"/>
    <w:rsid w:val="5DC6B5CB"/>
    <w:rsid w:val="5DE15355"/>
    <w:rsid w:val="5E6C5BF6"/>
    <w:rsid w:val="5E756DA6"/>
    <w:rsid w:val="5EC4E4A1"/>
    <w:rsid w:val="5EDB00C5"/>
    <w:rsid w:val="5F2FE22E"/>
    <w:rsid w:val="5F642B44"/>
    <w:rsid w:val="609E61A0"/>
    <w:rsid w:val="60A301DB"/>
    <w:rsid w:val="60B1BA8D"/>
    <w:rsid w:val="615F51C6"/>
    <w:rsid w:val="619B31DD"/>
    <w:rsid w:val="61C4E442"/>
    <w:rsid w:val="61E2993C"/>
    <w:rsid w:val="62E85AF1"/>
    <w:rsid w:val="6319C303"/>
    <w:rsid w:val="632DB3F2"/>
    <w:rsid w:val="637B2F95"/>
    <w:rsid w:val="63840D95"/>
    <w:rsid w:val="63B476C5"/>
    <w:rsid w:val="63FC0C22"/>
    <w:rsid w:val="6597DC83"/>
    <w:rsid w:val="6632C82B"/>
    <w:rsid w:val="66447FD3"/>
    <w:rsid w:val="66A674CD"/>
    <w:rsid w:val="66FC2D1A"/>
    <w:rsid w:val="670C71B6"/>
    <w:rsid w:val="6750AC0B"/>
    <w:rsid w:val="676A3876"/>
    <w:rsid w:val="677F982F"/>
    <w:rsid w:val="6897C75D"/>
    <w:rsid w:val="68D386C2"/>
    <w:rsid w:val="69021A17"/>
    <w:rsid w:val="690781A2"/>
    <w:rsid w:val="69317024"/>
    <w:rsid w:val="6962720B"/>
    <w:rsid w:val="6966282E"/>
    <w:rsid w:val="69D3D8C9"/>
    <w:rsid w:val="6AE781A7"/>
    <w:rsid w:val="6B06394E"/>
    <w:rsid w:val="6B7CE5C4"/>
    <w:rsid w:val="6BBD0D71"/>
    <w:rsid w:val="6C697B23"/>
    <w:rsid w:val="6D4ED444"/>
    <w:rsid w:val="6E1C891E"/>
    <w:rsid w:val="6E312DE5"/>
    <w:rsid w:val="6E9F6A54"/>
    <w:rsid w:val="6EA0FE38"/>
    <w:rsid w:val="6EC1713C"/>
    <w:rsid w:val="6EC642E0"/>
    <w:rsid w:val="701B6E9F"/>
    <w:rsid w:val="702A1F0D"/>
    <w:rsid w:val="709C824F"/>
    <w:rsid w:val="70C52CCD"/>
    <w:rsid w:val="711C67DD"/>
    <w:rsid w:val="71713969"/>
    <w:rsid w:val="7188246B"/>
    <w:rsid w:val="719B4A87"/>
    <w:rsid w:val="71CF44F9"/>
    <w:rsid w:val="72231896"/>
    <w:rsid w:val="72869FED"/>
    <w:rsid w:val="72B2AC81"/>
    <w:rsid w:val="734042CB"/>
    <w:rsid w:val="7365C9EB"/>
    <w:rsid w:val="74B05B3D"/>
    <w:rsid w:val="7505F2DF"/>
    <w:rsid w:val="7580D36E"/>
    <w:rsid w:val="75AF0A14"/>
    <w:rsid w:val="766957EF"/>
    <w:rsid w:val="76AF5E88"/>
    <w:rsid w:val="76CB493D"/>
    <w:rsid w:val="7725D5C7"/>
    <w:rsid w:val="773CAEE8"/>
    <w:rsid w:val="7780821E"/>
    <w:rsid w:val="780EB366"/>
    <w:rsid w:val="78227306"/>
    <w:rsid w:val="78D89EEC"/>
    <w:rsid w:val="79241A27"/>
    <w:rsid w:val="79F3ECBD"/>
    <w:rsid w:val="7A06B6F0"/>
    <w:rsid w:val="7A1B21E4"/>
    <w:rsid w:val="7A370315"/>
    <w:rsid w:val="7A62EC44"/>
    <w:rsid w:val="7A6F073C"/>
    <w:rsid w:val="7A7CC7F5"/>
    <w:rsid w:val="7ABFEA88"/>
    <w:rsid w:val="7AE40D79"/>
    <w:rsid w:val="7B03F512"/>
    <w:rsid w:val="7B77474F"/>
    <w:rsid w:val="7B88031C"/>
    <w:rsid w:val="7B9EBA60"/>
    <w:rsid w:val="7BA28751"/>
    <w:rsid w:val="7C36EFE3"/>
    <w:rsid w:val="7C4CF7D3"/>
    <w:rsid w:val="7C4EB554"/>
    <w:rsid w:val="7C6BD56A"/>
    <w:rsid w:val="7CDAB966"/>
    <w:rsid w:val="7D21437C"/>
    <w:rsid w:val="7D46B573"/>
    <w:rsid w:val="7DA0B80E"/>
    <w:rsid w:val="7DCD273E"/>
    <w:rsid w:val="7DFF4EF2"/>
    <w:rsid w:val="7ECE9647"/>
    <w:rsid w:val="7EDB8E34"/>
    <w:rsid w:val="7F5A9A72"/>
    <w:rsid w:val="7F64FF9E"/>
    <w:rsid w:val="7F6FA2BD"/>
    <w:rsid w:val="7FBBF6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DEFA"/>
  <w15:chartTrackingRefBased/>
  <w15:docId w15:val="{560B058F-9404-4CB7-A9ED-6FCADF3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4E8F"/>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6439B"/>
    <w:pPr>
      <w:keepNext/>
      <w:keepLines/>
      <w:spacing w:before="240" w:after="240"/>
      <w:outlineLvl w:val="2"/>
    </w:pPr>
    <w:rPr>
      <w:rFonts w:eastAsiaTheme="majorEastAsia" w:cstheme="majorBidi"/>
      <w:b/>
      <w:sz w:val="32"/>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1B16DE"/>
    <w:rPr>
      <w:sz w:val="20"/>
      <w:szCs w:val="20"/>
    </w:rPr>
  </w:style>
  <w:style w:type="character" w:customStyle="1" w:styleId="CommentTextChar">
    <w:name w:val="Comment Text Char"/>
    <w:basedOn w:val="DefaultParagraphFont"/>
    <w:link w:val="CommentText"/>
    <w:uiPriority w:val="99"/>
    <w:rsid w:val="001B16DE"/>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B16DE"/>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1B16DE"/>
    <w:rPr>
      <w:rFonts w:ascii="Arial" w:eastAsia="Times New Roman" w:hAnsi="Arial" w:cs="Times New Roman"/>
      <w:sz w:val="24"/>
      <w:szCs w:val="24"/>
    </w:rPr>
  </w:style>
  <w:style w:type="character" w:customStyle="1" w:styleId="normaltextrun">
    <w:name w:val="normaltextrun"/>
    <w:basedOn w:val="DefaultParagraphFont"/>
    <w:rsid w:val="001B16DE"/>
  </w:style>
  <w:style w:type="character" w:styleId="Mention">
    <w:name w:val="Mention"/>
    <w:basedOn w:val="DefaultParagraphFont"/>
    <w:uiPriority w:val="99"/>
    <w:unhideWhenUsed/>
    <w:rsid w:val="001B16DE"/>
    <w:rPr>
      <w:color w:val="2B579A"/>
      <w:shd w:val="clear" w:color="auto" w:fill="E1DFDD"/>
    </w:rPr>
  </w:style>
  <w:style w:type="character" w:styleId="UnresolvedMention">
    <w:name w:val="Unresolved Mention"/>
    <w:basedOn w:val="DefaultParagraphFont"/>
    <w:uiPriority w:val="99"/>
    <w:unhideWhenUsed/>
    <w:rsid w:val="00EF316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132B"/>
    <w:rPr>
      <w:b/>
      <w:bCs/>
    </w:rPr>
  </w:style>
  <w:style w:type="character" w:customStyle="1" w:styleId="CommentSubjectChar">
    <w:name w:val="Comment Subject Char"/>
    <w:basedOn w:val="CommentTextChar"/>
    <w:link w:val="CommentSubject"/>
    <w:uiPriority w:val="99"/>
    <w:semiHidden/>
    <w:rsid w:val="00F4132B"/>
    <w:rPr>
      <w:rFonts w:ascii="Arial" w:eastAsia="Times New Roman" w:hAnsi="Arial" w:cs="Times New Roman"/>
      <w:b/>
      <w:bCs/>
      <w:sz w:val="20"/>
      <w:szCs w:val="20"/>
    </w:rPr>
  </w:style>
  <w:style w:type="table" w:styleId="TableGrid">
    <w:name w:val="Table Grid"/>
    <w:basedOn w:val="TableNormal"/>
    <w:uiPriority w:val="59"/>
    <w:rsid w:val="00ED34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D34CA"/>
    <w:pPr>
      <w:spacing w:after="0" w:line="240" w:lineRule="auto"/>
    </w:pPr>
    <w:rPr>
      <w:rFonts w:ascii="Arial" w:eastAsia="Times New Roman" w:hAnsi="Arial" w:cs="Times New Roman"/>
      <w:sz w:val="24"/>
      <w:szCs w:val="24"/>
    </w:rPr>
  </w:style>
  <w:style w:type="table" w:styleId="GridTable5Dark-Accent1">
    <w:name w:val="Grid Table 5 Dark Accent 1"/>
    <w:basedOn w:val="TableNormal"/>
    <w:uiPriority w:val="50"/>
    <w:rsid w:val="003976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3976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8E6F07"/>
  </w:style>
  <w:style w:type="table" w:customStyle="1" w:styleId="TableGrid1">
    <w:name w:val="Table Grid1"/>
    <w:basedOn w:val="TableNormal"/>
    <w:next w:val="TableGrid"/>
    <w:uiPriority w:val="39"/>
    <w:rsid w:val="008E6F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8E6F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F0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8E6F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6F07"/>
    <w:rPr>
      <w:vertAlign w:val="superscript"/>
    </w:rPr>
  </w:style>
  <w:style w:type="character" w:customStyle="1" w:styleId="ui-provider">
    <w:name w:val="ui-provider"/>
    <w:basedOn w:val="DefaultParagraphFont"/>
    <w:rsid w:val="00C4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7720">
      <w:bodyDiv w:val="1"/>
      <w:marLeft w:val="0"/>
      <w:marRight w:val="0"/>
      <w:marTop w:val="0"/>
      <w:marBottom w:val="0"/>
      <w:divBdr>
        <w:top w:val="none" w:sz="0" w:space="0" w:color="auto"/>
        <w:left w:val="none" w:sz="0" w:space="0" w:color="auto"/>
        <w:bottom w:val="none" w:sz="0" w:space="0" w:color="auto"/>
        <w:right w:val="none" w:sz="0" w:space="0" w:color="auto"/>
      </w:divBdr>
    </w:div>
    <w:div w:id="1212113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20/documents/sep20item07.docx" TargetMode="External"/><Relationship Id="rId26" Type="http://schemas.openxmlformats.org/officeDocument/2006/relationships/hyperlink" Target="mailto:CCotton@cde.ca.gov"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2/documents/mar22item03rev.docx"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de.ca.gov/be/ag/ag/yr22/documents/jul22item06.docx" TargetMode="External"/><Relationship Id="rId20" Type="http://schemas.openxmlformats.org/officeDocument/2006/relationships/header" Target="header2.xml"/><Relationship Id="rId29" Type="http://schemas.openxmlformats.org/officeDocument/2006/relationships/hyperlink" Target="https://www.cde.ca.gov/ta/tg/ca/caaonepercen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www.cde.ca.gov/ta/tg/ca/caaonepercent.asp" TargetMode="External"/><Relationship Id="rId5" Type="http://schemas.openxmlformats.org/officeDocument/2006/relationships/numbering" Target="numbering.xml"/><Relationship Id="rId15" Type="http://schemas.openxmlformats.org/officeDocument/2006/relationships/hyperlink" Target="https://www.cde.ca.gov/ta/tg/ca/caaonepercent.asp" TargetMode="External"/><Relationship Id="rId23" Type="http://schemas.openxmlformats.org/officeDocument/2006/relationships/image" Target="media/image3.png"/><Relationship Id="rId28" Type="http://schemas.openxmlformats.org/officeDocument/2006/relationships/header" Target="header6.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cde.ca.gov/be/pn/im/documents/apr20memoadad02.docx" TargetMode="External"/><Relationship Id="rId31" Type="http://schemas.openxmlformats.org/officeDocument/2006/relationships/hyperlink" Target="https://www.cde.ca.gov/ta/tg/ca/caascienc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hyperlink" Target="https://www.cde.ca.gov/ta/tg/ca/altassessment.asp"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C676D9E-4D8A-426A-8B3A-E6AA7DB7A0AC}">
    <t:Anchor>
      <t:Comment id="67114227"/>
    </t:Anchor>
    <t:History>
      <t:Event id="{FB418019-4BF9-47EE-864F-F06ABB87886E}" time="2023-10-04T17:53:35.073Z">
        <t:Attribution userId="S::MVang@cde.ca.gov::50974563-3717-403e-90db-13ab02c4271e" userProvider="AD" userName="Mao Vang"/>
        <t:Anchor>
          <t:Comment id="67114227"/>
        </t:Anchor>
        <t:Create/>
      </t:Event>
      <t:Event id="{815BDFD5-94A5-40DC-A700-4FEAB89E1DAD}" time="2023-10-04T17:53:35.073Z">
        <t:Attribution userId="S::MVang@cde.ca.gov::50974563-3717-403e-90db-13ab02c4271e" userProvider="AD" userName="Mao Vang"/>
        <t:Anchor>
          <t:Comment id="67114227"/>
        </t:Anchor>
        <t:Assign userId="S::DTriplett@cde.ca.gov::5d249411-ceac-47d2-87f9-1e557a4ea237" userProvider="AD" userName="Devin Triplett"/>
      </t:Event>
      <t:Event id="{02F9B0E5-09BC-45AC-8EA9-14FB6FD4F11C}" time="2023-10-04T17:53:35.073Z">
        <t:Attribution userId="S::MVang@cde.ca.gov::50974563-3717-403e-90db-13ab02c4271e" userProvider="AD" userName="Mao Vang"/>
        <t:Anchor>
          <t:Comment id="67114227"/>
        </t:Anchor>
        <t:SetTitle title="@Devin Triplett , @Brandon Doan please review and accept/reject my edits in this section. Thanks."/>
      </t:Event>
    </t:History>
  </t:Task>
</t:Task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0987211A-0FDF-4B51-8A3E-DE133CB5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4.xml><?xml version="1.0" encoding="utf-8"?>
<ds:datastoreItem xmlns:ds="http://schemas.openxmlformats.org/officeDocument/2006/customXml" ds:itemID="{33AF8A66-3EEC-4ED4-80B8-218EF8E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4893</Words>
  <Characters>27895</Characters>
  <DocSecurity>0</DocSecurity>
  <Lines>232</Lines>
  <Paragraphs>65</Paragraphs>
  <ScaleCrop>false</ScaleCrop>
  <HeadingPairs>
    <vt:vector size="2" baseType="variant">
      <vt:variant>
        <vt:lpstr>Title</vt:lpstr>
      </vt:variant>
      <vt:variant>
        <vt:i4>1</vt:i4>
      </vt:variant>
    </vt:vector>
  </HeadingPairs>
  <TitlesOfParts>
    <vt:vector size="1" baseType="lpstr">
      <vt:lpstr>November 2023 Agenda Item 00 - Meeting Agendas (CA State Board of Education)</vt:lpstr>
    </vt:vector>
  </TitlesOfParts>
  <Company>California State Board of Education</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11 - Meeting Agendas (CA State Board of Education)</dc:title>
  <dc:subject>The Federal Every Student Succeeds Act: Authorization to Pursue a Waiver for the 2023-24 School Year of the 1.0 Percent Cap on the Percentage of Eligible Students.</dc:subject>
  <cp:keywords/>
  <dc:description/>
  <cp:lastPrinted>2017-10-30T17:36:00Z</cp:lastPrinted>
  <dcterms:created xsi:type="dcterms:W3CDTF">2023-10-26T18:50:00Z</dcterms:created>
  <dcterms:modified xsi:type="dcterms:W3CDTF">2023-10-27T22:26:00Z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06b8d8c562b41ca93158c1b26d7cb2cc01329a30984a6601197a3942c025cc1d</vt:lpwstr>
  </property>
  <property fmtid="{D5CDD505-2E9C-101B-9397-08002B2CF9AE}" pid="4" name="MediaServiceImageTags">
    <vt:lpwstr/>
  </property>
</Properties>
</file>