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0A7F" w14:textId="77777777" w:rsidR="006E06C6" w:rsidRDefault="00D5115F" w:rsidP="00B723BE">
      <w:r w:rsidRPr="00D5115F">
        <w:rPr>
          <w:noProof/>
        </w:rPr>
        <w:drawing>
          <wp:inline distT="0" distB="0" distL="0" distR="0" wp14:anchorId="5486E049" wp14:editId="5557335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49998A8" w14:textId="77777777" w:rsidR="00B723BE" w:rsidRDefault="00FC1FCE" w:rsidP="00B723BE">
      <w:pPr>
        <w:jc w:val="right"/>
      </w:pPr>
      <w:r w:rsidRPr="00B723BE">
        <w:t>California Department of Education</w:t>
      </w:r>
    </w:p>
    <w:p w14:paraId="23823BCD" w14:textId="77777777" w:rsidR="00B723BE" w:rsidRDefault="00FC1FCE" w:rsidP="00B723BE">
      <w:pPr>
        <w:jc w:val="right"/>
      </w:pPr>
      <w:r w:rsidRPr="00B723BE">
        <w:t>Executive Office</w:t>
      </w:r>
    </w:p>
    <w:p w14:paraId="563CE7FC"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799C9771" w14:textId="2E699C3F" w:rsidR="00B723BE" w:rsidRDefault="00EC0174" w:rsidP="00B723BE">
      <w:pPr>
        <w:jc w:val="right"/>
      </w:pPr>
      <w:r>
        <w:t>la</w:t>
      </w:r>
      <w:r w:rsidR="00597AA1" w:rsidRPr="00597AA1">
        <w:t>b</w:t>
      </w:r>
      <w:r w:rsidR="009247FB">
        <w:t>-csd-</w:t>
      </w:r>
      <w:r w:rsidR="00A96F02">
        <w:t>nov</w:t>
      </w:r>
      <w:r w:rsidR="009F7743" w:rsidRPr="009F7743">
        <w:t>2</w:t>
      </w:r>
      <w:r>
        <w:t>3</w:t>
      </w:r>
      <w:r w:rsidR="009247FB">
        <w:t>item</w:t>
      </w:r>
      <w:r w:rsidR="004619D6" w:rsidRPr="004619D6">
        <w:t>0</w:t>
      </w:r>
      <w:r w:rsidR="00A96F02">
        <w:t>1</w:t>
      </w:r>
    </w:p>
    <w:p w14:paraId="076AD5A5" w14:textId="77777777"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14:paraId="2892DDB4"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2550162A" w14:textId="74314D16"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A96F02">
        <w:rPr>
          <w:sz w:val="40"/>
          <w:szCs w:val="40"/>
        </w:rPr>
        <w:t>November</w:t>
      </w:r>
      <w:r w:rsidR="00C67F68" w:rsidRPr="00C67F68">
        <w:rPr>
          <w:sz w:val="40"/>
          <w:szCs w:val="40"/>
        </w:rPr>
        <w:t xml:space="preserve"> 202</w:t>
      </w:r>
      <w:r w:rsidR="00A43E79">
        <w:rPr>
          <w:sz w:val="40"/>
          <w:szCs w:val="40"/>
        </w:rPr>
        <w:t>3</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9247FB">
        <w:rPr>
          <w:sz w:val="40"/>
          <w:szCs w:val="40"/>
        </w:rPr>
        <w:t>#</w:t>
      </w:r>
      <w:r w:rsidR="00984068">
        <w:rPr>
          <w:sz w:val="40"/>
          <w:szCs w:val="40"/>
        </w:rPr>
        <w:t>17</w:t>
      </w:r>
    </w:p>
    <w:p w14:paraId="0C6EFF96" w14:textId="77777777" w:rsidR="00FC1FCE" w:rsidRPr="001B3958" w:rsidRDefault="00FC1FCE" w:rsidP="0031007A">
      <w:pPr>
        <w:pStyle w:val="Heading2"/>
      </w:pPr>
      <w:r w:rsidRPr="001B3958">
        <w:t>Subject</w:t>
      </w:r>
    </w:p>
    <w:p w14:paraId="194FC50F" w14:textId="1E4DD6C2" w:rsidR="00692300" w:rsidRDefault="00FF74DC" w:rsidP="004619D6">
      <w:pPr>
        <w:spacing w:after="240"/>
      </w:pPr>
      <w:r w:rsidRPr="00FF74DC">
        <w:t xml:space="preserve">Appeal of the Denial of a Petition for the Establishment of a Classroom-Based Charter School Pursuant to California </w:t>
      </w:r>
      <w:r w:rsidRPr="00101149">
        <w:rPr>
          <w:i/>
        </w:rPr>
        <w:t>Education Code</w:t>
      </w:r>
      <w:r w:rsidRPr="00FF74DC">
        <w:t xml:space="preserve"> Section 47605(k)(2): Consideration of Evidence to Hear or Summarily Deny the Appeal of </w:t>
      </w:r>
      <w:r w:rsidR="008F2010">
        <w:t>New Pacific School - Yuba City</w:t>
      </w:r>
      <w:r w:rsidRPr="00FF74DC">
        <w:t xml:space="preserve">, which was denied by the </w:t>
      </w:r>
      <w:r w:rsidR="00402084">
        <w:t>Yuba City Unified School District</w:t>
      </w:r>
      <w:r w:rsidRPr="00FF74DC">
        <w:t xml:space="preserve"> and the </w:t>
      </w:r>
      <w:r w:rsidR="00660CD9">
        <w:t>Sutter County Board of Education</w:t>
      </w:r>
      <w:r w:rsidR="000C05E7">
        <w:t>.</w:t>
      </w:r>
    </w:p>
    <w:p w14:paraId="24478055" w14:textId="77777777" w:rsidR="00FC1FCE" w:rsidRPr="001B3958" w:rsidRDefault="00FC1FCE" w:rsidP="0031007A">
      <w:pPr>
        <w:pStyle w:val="Heading2"/>
      </w:pPr>
      <w:r w:rsidRPr="001B3958">
        <w:t>Type of Action</w:t>
      </w:r>
    </w:p>
    <w:p w14:paraId="6612F2FA" w14:textId="77777777" w:rsidR="0091117B" w:rsidRPr="00FF74DC" w:rsidRDefault="00FF74DC" w:rsidP="008158F0">
      <w:pPr>
        <w:spacing w:after="240"/>
      </w:pPr>
      <w:r w:rsidRPr="00E6110D">
        <w:t>Action, Information</w:t>
      </w:r>
    </w:p>
    <w:p w14:paraId="00004035" w14:textId="77777777" w:rsidR="00FC1FCE" w:rsidRPr="001B3958" w:rsidRDefault="00FF74DC" w:rsidP="0031007A">
      <w:pPr>
        <w:pStyle w:val="Heading2"/>
      </w:pPr>
      <w:r w:rsidRPr="00FF74DC">
        <w:t>Background</w:t>
      </w:r>
    </w:p>
    <w:p w14:paraId="37BBF85A" w14:textId="77777777" w:rsidR="004619D6" w:rsidRDefault="00382A52" w:rsidP="004619D6">
      <w:pPr>
        <w:spacing w:after="240"/>
      </w:pPr>
      <w:r w:rsidRPr="00960EA9">
        <w:rPr>
          <w:rFonts w:eastAsia="Calibri"/>
        </w:rPr>
        <w:t xml:space="preserve">Pursuant to California </w:t>
      </w:r>
      <w:r w:rsidRPr="00960EA9">
        <w:rPr>
          <w:rFonts w:eastAsia="Calibri"/>
          <w:i/>
          <w:iCs/>
        </w:rPr>
        <w:t xml:space="preserve">Education </w:t>
      </w:r>
      <w:r w:rsidRPr="00960EA9">
        <w:rPr>
          <w:rFonts w:eastAsia="Calibri"/>
        </w:rPr>
        <w:t>Code (</w:t>
      </w:r>
      <w:r w:rsidRPr="00960EA9">
        <w:rPr>
          <w:rFonts w:eastAsia="Calibri"/>
          <w:i/>
          <w:iCs/>
        </w:rPr>
        <w:t>EC</w:t>
      </w:r>
      <w:r w:rsidRPr="00960EA9">
        <w:rPr>
          <w:rFonts w:eastAsia="Calibri"/>
        </w:rPr>
        <w:t xml:space="preserve">) Section 47605(a), </w:t>
      </w:r>
      <w:r>
        <w:rPr>
          <w:rFonts w:eastAsia="Calibri"/>
        </w:rPr>
        <w:t>New Pacific School - Yuba City</w:t>
      </w:r>
      <w:r w:rsidRPr="00960EA9">
        <w:rPr>
          <w:rFonts w:eastAsia="Calibri"/>
        </w:rPr>
        <w:t xml:space="preserve"> (</w:t>
      </w:r>
      <w:r>
        <w:rPr>
          <w:rFonts w:eastAsia="Calibri"/>
        </w:rPr>
        <w:t>NPSYC</w:t>
      </w:r>
      <w:r w:rsidRPr="00960EA9">
        <w:rPr>
          <w:rFonts w:eastAsia="Calibri"/>
        </w:rPr>
        <w:t xml:space="preserve">) submitted its petition, which proposes a new </w:t>
      </w:r>
      <w:r>
        <w:rPr>
          <w:rFonts w:eastAsia="Calibri"/>
        </w:rPr>
        <w:t>transitional kindergarten</w:t>
      </w:r>
      <w:r w:rsidRPr="00960EA9">
        <w:rPr>
          <w:rFonts w:eastAsia="Calibri"/>
        </w:rPr>
        <w:t xml:space="preserve"> through </w:t>
      </w:r>
      <w:r>
        <w:rPr>
          <w:rFonts w:eastAsia="Calibri"/>
        </w:rPr>
        <w:t xml:space="preserve">grade twelve </w:t>
      </w:r>
      <w:r w:rsidRPr="00960EA9">
        <w:rPr>
          <w:rFonts w:eastAsia="Calibri"/>
        </w:rPr>
        <w:t xml:space="preserve">charter school, to the </w:t>
      </w:r>
      <w:r>
        <w:rPr>
          <w:rFonts w:eastAsia="Calibri"/>
        </w:rPr>
        <w:t xml:space="preserve">Yuba City </w:t>
      </w:r>
      <w:r w:rsidRPr="00960EA9">
        <w:rPr>
          <w:rFonts w:eastAsia="Calibri"/>
        </w:rPr>
        <w:t>Unified School District (</w:t>
      </w:r>
      <w:r>
        <w:rPr>
          <w:rFonts w:eastAsia="Calibri"/>
        </w:rPr>
        <w:t>YCUSD</w:t>
      </w:r>
      <w:r w:rsidRPr="00960EA9">
        <w:rPr>
          <w:rFonts w:eastAsia="Calibri"/>
        </w:rPr>
        <w:t xml:space="preserve"> or District). </w:t>
      </w:r>
      <w:r>
        <w:rPr>
          <w:rFonts w:eastAsia="Calibri"/>
        </w:rPr>
        <w:t>YCUSD</w:t>
      </w:r>
      <w:r w:rsidRPr="00960EA9">
        <w:rPr>
          <w:rFonts w:eastAsia="Calibri"/>
        </w:rPr>
        <w:t xml:space="preserve"> denied the petition on </w:t>
      </w:r>
      <w:r w:rsidRPr="006A75B8">
        <w:rPr>
          <w:rFonts w:eastAsia="Calibri"/>
        </w:rPr>
        <w:t>Aug</w:t>
      </w:r>
      <w:r>
        <w:rPr>
          <w:rFonts w:eastAsia="Calibri"/>
        </w:rPr>
        <w:t>ust</w:t>
      </w:r>
      <w:r w:rsidRPr="006A75B8">
        <w:rPr>
          <w:rFonts w:eastAsia="Calibri"/>
        </w:rPr>
        <w:t xml:space="preserve"> 23, 20</w:t>
      </w:r>
      <w:r>
        <w:rPr>
          <w:rFonts w:eastAsia="Calibri"/>
        </w:rPr>
        <w:t>22,</w:t>
      </w:r>
      <w:r w:rsidRPr="00960EA9">
        <w:rPr>
          <w:rFonts w:eastAsia="Calibri"/>
        </w:rPr>
        <w:t xml:space="preserve"> by a vote of </w:t>
      </w:r>
      <w:r>
        <w:rPr>
          <w:rFonts w:eastAsia="Calibri"/>
        </w:rPr>
        <w:t>five</w:t>
      </w:r>
      <w:r w:rsidRPr="00960EA9">
        <w:rPr>
          <w:rFonts w:eastAsia="Calibri"/>
        </w:rPr>
        <w:t xml:space="preserve"> to zero</w:t>
      </w:r>
      <w:r w:rsidR="004619D6">
        <w:t>, citing the following findings:</w:t>
      </w:r>
    </w:p>
    <w:p w14:paraId="413354E9" w14:textId="77777777" w:rsidR="004619D6" w:rsidRPr="00C24C7E" w:rsidRDefault="004619D6" w:rsidP="004619D6">
      <w:pPr>
        <w:pStyle w:val="ListParagraph"/>
        <w:numPr>
          <w:ilvl w:val="0"/>
          <w:numId w:val="13"/>
        </w:numPr>
        <w:spacing w:after="240"/>
        <w:contextualSpacing w:val="0"/>
        <w:rPr>
          <w:rFonts w:cs="Arial"/>
        </w:rPr>
      </w:pPr>
      <w:r w:rsidRPr="00C24C7E">
        <w:rPr>
          <w:rFonts w:cs="Arial"/>
        </w:rPr>
        <w:t>The petition presents an unsound educational program (</w:t>
      </w:r>
      <w:r w:rsidRPr="00C24C7E">
        <w:rPr>
          <w:rFonts w:cs="Arial"/>
          <w:i/>
        </w:rPr>
        <w:t>EC</w:t>
      </w:r>
      <w:r w:rsidRPr="00C24C7E">
        <w:rPr>
          <w:rFonts w:cs="Arial"/>
        </w:rPr>
        <w:t xml:space="preserve"> Section 47605[c][1]).</w:t>
      </w:r>
    </w:p>
    <w:p w14:paraId="694D3BAB" w14:textId="77777777" w:rsidR="004619D6" w:rsidRPr="00C24C7E" w:rsidRDefault="004619D6" w:rsidP="004619D6">
      <w:pPr>
        <w:pStyle w:val="ListParagraph"/>
        <w:numPr>
          <w:ilvl w:val="0"/>
          <w:numId w:val="13"/>
        </w:numPr>
        <w:spacing w:after="240"/>
        <w:contextualSpacing w:val="0"/>
        <w:rPr>
          <w:rFonts w:cs="Arial"/>
        </w:rPr>
      </w:pPr>
      <w:r w:rsidRPr="00C24C7E">
        <w:rPr>
          <w:rFonts w:cs="Arial"/>
        </w:rPr>
        <w:t>The petitioners are demonstrably unlikely to successfully implement the program set forth in the petition (</w:t>
      </w:r>
      <w:r w:rsidRPr="00C24C7E">
        <w:rPr>
          <w:rFonts w:cs="Arial"/>
          <w:i/>
        </w:rPr>
        <w:t>EC</w:t>
      </w:r>
      <w:r w:rsidRPr="00C24C7E">
        <w:rPr>
          <w:rFonts w:cs="Arial"/>
        </w:rPr>
        <w:t xml:space="preserve"> Section 47605[c][2]).</w:t>
      </w:r>
    </w:p>
    <w:p w14:paraId="52F704D5" w14:textId="77777777" w:rsidR="004619D6" w:rsidRPr="00C24C7E" w:rsidRDefault="004619D6" w:rsidP="004619D6">
      <w:pPr>
        <w:pStyle w:val="ListParagraph"/>
        <w:numPr>
          <w:ilvl w:val="0"/>
          <w:numId w:val="13"/>
        </w:numPr>
        <w:spacing w:after="240"/>
        <w:contextualSpacing w:val="0"/>
        <w:rPr>
          <w:rFonts w:cs="Arial"/>
        </w:rPr>
      </w:pPr>
      <w:r w:rsidRPr="00C24C7E">
        <w:rPr>
          <w:rFonts w:cs="Arial"/>
        </w:rPr>
        <w:t xml:space="preserve">The petition does not contain the number of signatures required by </w:t>
      </w:r>
      <w:r w:rsidRPr="00C24C7E">
        <w:rPr>
          <w:rFonts w:cs="Arial"/>
          <w:i/>
          <w:iCs/>
        </w:rPr>
        <w:t>EC</w:t>
      </w:r>
      <w:r w:rsidRPr="00C24C7E">
        <w:rPr>
          <w:rFonts w:cs="Arial"/>
        </w:rPr>
        <w:t xml:space="preserve"> </w:t>
      </w:r>
      <w:r>
        <w:rPr>
          <w:rFonts w:cs="Arial"/>
        </w:rPr>
        <w:t xml:space="preserve">Section </w:t>
      </w:r>
      <w:r w:rsidRPr="00C24C7E">
        <w:rPr>
          <w:rFonts w:cs="Arial"/>
        </w:rPr>
        <w:t>47605(a) (</w:t>
      </w:r>
      <w:r w:rsidRPr="00C24C7E">
        <w:rPr>
          <w:rFonts w:cs="Arial"/>
          <w:i/>
          <w:iCs/>
        </w:rPr>
        <w:t xml:space="preserve">EC </w:t>
      </w:r>
      <w:r w:rsidRPr="00C24C7E">
        <w:rPr>
          <w:rFonts w:cs="Arial"/>
          <w:iCs/>
        </w:rPr>
        <w:t xml:space="preserve">Section </w:t>
      </w:r>
      <w:r w:rsidRPr="00C24C7E">
        <w:rPr>
          <w:rFonts w:cs="Arial"/>
        </w:rPr>
        <w:t>47605[c][3]).</w:t>
      </w:r>
    </w:p>
    <w:p w14:paraId="698146ED" w14:textId="77777777" w:rsidR="004619D6" w:rsidRPr="00C24C7E" w:rsidRDefault="004619D6" w:rsidP="004619D6">
      <w:pPr>
        <w:pStyle w:val="ListParagraph"/>
        <w:numPr>
          <w:ilvl w:val="0"/>
          <w:numId w:val="13"/>
        </w:numPr>
        <w:spacing w:after="240"/>
        <w:contextualSpacing w:val="0"/>
        <w:rPr>
          <w:rFonts w:cs="Arial"/>
        </w:rPr>
      </w:pPr>
      <w:r w:rsidRPr="00C24C7E">
        <w:rPr>
          <w:rFonts w:cs="Arial"/>
        </w:rPr>
        <w:t xml:space="preserve">The petition does not contain reasonably comprehensive descriptions of Elements (A) through (O) of </w:t>
      </w:r>
      <w:r w:rsidRPr="00C24C7E">
        <w:rPr>
          <w:rFonts w:cs="Arial"/>
          <w:i/>
        </w:rPr>
        <w:t>EC</w:t>
      </w:r>
      <w:r w:rsidRPr="00C24C7E">
        <w:rPr>
          <w:rFonts w:cs="Arial"/>
        </w:rPr>
        <w:t xml:space="preserve"> Section 47605(c)(5</w:t>
      </w:r>
      <w:r>
        <w:rPr>
          <w:rFonts w:cs="Arial"/>
        </w:rPr>
        <w:t>)</w:t>
      </w:r>
      <w:r w:rsidRPr="00C24C7E">
        <w:rPr>
          <w:rFonts w:cs="Arial"/>
        </w:rPr>
        <w:t>.</w:t>
      </w:r>
    </w:p>
    <w:p w14:paraId="0E006368" w14:textId="77777777" w:rsidR="00382A52" w:rsidRPr="00226093" w:rsidRDefault="00382A52" w:rsidP="00382A52">
      <w:pPr>
        <w:spacing w:before="240"/>
        <w:rPr>
          <w:rFonts w:eastAsia="Calibri"/>
        </w:rPr>
      </w:pPr>
      <w:r w:rsidRPr="00226093">
        <w:rPr>
          <w:rFonts w:eastAsia="Calibri"/>
        </w:rPr>
        <w:t xml:space="preserve">NPSYC appealed the District’s denial to the Sutter County Board of Education (SCBOE or County), pursuant to </w:t>
      </w:r>
      <w:r w:rsidRPr="00226093">
        <w:rPr>
          <w:rFonts w:eastAsia="Calibri"/>
          <w:i/>
          <w:iCs/>
        </w:rPr>
        <w:t>EC</w:t>
      </w:r>
      <w:r w:rsidRPr="00226093">
        <w:rPr>
          <w:rFonts w:eastAsia="Calibri"/>
        </w:rPr>
        <w:t xml:space="preserve"> Section 47605(k)(1)(A)(i), which states that if</w:t>
      </w:r>
      <w:r w:rsidRPr="00226093">
        <w:rPr>
          <w:rFonts w:eastAsia="Calibri"/>
          <w:lang w:val="en"/>
        </w:rPr>
        <w:t xml:space="preserve"> the governing board of a school district denies a petition, the petitioner may elect to submit the petition for the establishment of a charter school to the county board of education</w:t>
      </w:r>
      <w:r w:rsidRPr="00226093">
        <w:rPr>
          <w:rFonts w:eastAsia="Calibri"/>
        </w:rPr>
        <w:t xml:space="preserve">. SCBOE </w:t>
      </w:r>
      <w:r w:rsidRPr="00226093">
        <w:rPr>
          <w:rFonts w:eastAsia="Calibri"/>
        </w:rPr>
        <w:lastRenderedPageBreak/>
        <w:t xml:space="preserve">voted to deny the petition on </w:t>
      </w:r>
      <w:r w:rsidRPr="00226093">
        <w:t>January 18, 2023</w:t>
      </w:r>
      <w:r w:rsidRPr="00226093">
        <w:rPr>
          <w:rFonts w:eastAsia="Calibri"/>
        </w:rPr>
        <w:t>, which passed by a vote of three to zero. </w:t>
      </w:r>
    </w:p>
    <w:p w14:paraId="3FF2425B" w14:textId="2F93ABC7" w:rsidR="00382A52" w:rsidRPr="00226093" w:rsidRDefault="00382A52" w:rsidP="004619D6">
      <w:pPr>
        <w:spacing w:before="240" w:after="240"/>
        <w:rPr>
          <w:rFonts w:eastAsia="Calibri"/>
        </w:rPr>
      </w:pPr>
      <w:r w:rsidRPr="00226093">
        <w:rPr>
          <w:rFonts w:eastAsia="Calibri"/>
          <w:lang w:val="en"/>
        </w:rPr>
        <w:t xml:space="preserve">Pursuant to </w:t>
      </w:r>
      <w:r w:rsidRPr="00226093">
        <w:rPr>
          <w:rFonts w:eastAsia="Calibri"/>
          <w:i/>
          <w:iCs/>
          <w:lang w:val="en"/>
        </w:rPr>
        <w:t xml:space="preserve">EC </w:t>
      </w:r>
      <w:r w:rsidRPr="00226093">
        <w:rPr>
          <w:rFonts w:eastAsia="Calibri"/>
          <w:lang w:val="en"/>
        </w:rPr>
        <w:t>Section 47605(k)(2), if the county board of education denies a petition to establish a charter school, the petitioner may appeal that denial to the California State Board of Education (SBE).</w:t>
      </w:r>
      <w:r w:rsidRPr="00226093">
        <w:rPr>
          <w:rFonts w:eastAsia="Calibri"/>
        </w:rPr>
        <w:t xml:space="preserve"> NPSYC submitted its petition to the SBE on </w:t>
      </w:r>
      <w:r>
        <w:rPr>
          <w:rFonts w:eastAsia="Calibri"/>
        </w:rPr>
        <w:br/>
        <w:t>February</w:t>
      </w:r>
      <w:r w:rsidRPr="00226093">
        <w:rPr>
          <w:rFonts w:eastAsia="Calibri"/>
        </w:rPr>
        <w:t xml:space="preserve"> </w:t>
      </w:r>
      <w:r w:rsidR="004C7613">
        <w:rPr>
          <w:rFonts w:eastAsia="Calibri"/>
        </w:rPr>
        <w:t>1</w:t>
      </w:r>
      <w:r>
        <w:rPr>
          <w:rFonts w:eastAsia="Calibri"/>
        </w:rPr>
        <w:t>7</w:t>
      </w:r>
      <w:r w:rsidRPr="00226093">
        <w:rPr>
          <w:rFonts w:eastAsia="Calibri"/>
        </w:rPr>
        <w:t>, 202</w:t>
      </w:r>
      <w:r>
        <w:rPr>
          <w:rFonts w:eastAsia="Calibri"/>
        </w:rPr>
        <w:t>3</w:t>
      </w:r>
      <w:r w:rsidRPr="00226093">
        <w:rPr>
          <w:rFonts w:eastAsia="Calibri"/>
          <w:lang w:val="en"/>
        </w:rPr>
        <w:t>.</w:t>
      </w:r>
    </w:p>
    <w:p w14:paraId="264D5B55" w14:textId="77777777" w:rsidR="003E4DF7" w:rsidRPr="00F40510" w:rsidRDefault="003E4DF7" w:rsidP="0031007A">
      <w:pPr>
        <w:pStyle w:val="Heading2"/>
      </w:pPr>
      <w:r>
        <w:t>Recommendation</w:t>
      </w:r>
    </w:p>
    <w:p w14:paraId="00B5922A" w14:textId="36159F99" w:rsidR="003E4DF7" w:rsidRPr="00FF74DC" w:rsidRDefault="00FF74DC" w:rsidP="00FF74DC">
      <w:pPr>
        <w:spacing w:after="240"/>
      </w:pPr>
      <w:r w:rsidRPr="00FF74DC">
        <w:t xml:space="preserve">The California Department of Education (CDE) recommends that the SBE hear the </w:t>
      </w:r>
      <w:r w:rsidR="00713669">
        <w:t>NPSYC</w:t>
      </w:r>
      <w:r w:rsidRPr="00FF74DC">
        <w:t xml:space="preserve"> appeal.</w:t>
      </w:r>
      <w:r>
        <w:t xml:space="preserve"> </w:t>
      </w:r>
      <w:r w:rsidRPr="00FF74DC">
        <w:t xml:space="preserve">This recommendation is based upon the CDE’s review of </w:t>
      </w:r>
      <w:r w:rsidR="006B6F6D">
        <w:rPr>
          <w:rFonts w:cs="Arial"/>
          <w:color w:val="333333"/>
        </w:rPr>
        <w:t xml:space="preserve">NPSYC’s </w:t>
      </w:r>
      <w:r w:rsidR="00DA5EBF">
        <w:t>written submission</w:t>
      </w:r>
      <w:r w:rsidR="00DA5EBF" w:rsidRPr="00FF74DC">
        <w:t xml:space="preserve"> </w:t>
      </w:r>
      <w:r w:rsidRPr="00FF74DC">
        <w:t>and the documentary record, which set out sufficient evidence to hear t</w:t>
      </w:r>
      <w:r w:rsidR="003B7257">
        <w:t>he</w:t>
      </w:r>
      <w:r w:rsidRPr="00FF74DC">
        <w:t xml:space="preserve"> appeal.</w:t>
      </w:r>
    </w:p>
    <w:p w14:paraId="50B51745" w14:textId="77777777" w:rsidR="00C15C41" w:rsidRPr="00040FE1" w:rsidRDefault="00C15C41" w:rsidP="0031007A">
      <w:pPr>
        <w:pStyle w:val="Heading2"/>
      </w:pPr>
      <w:r w:rsidRPr="00040FE1">
        <w:t>Advisory Commission on Charter Schools</w:t>
      </w:r>
      <w:r w:rsidR="00040FE1" w:rsidRPr="00040FE1">
        <w:t xml:space="preserve"> Recommendation</w:t>
      </w:r>
    </w:p>
    <w:p w14:paraId="4E4A8CE1" w14:textId="6AE8750F" w:rsidR="00FF74DC" w:rsidRPr="00E72574" w:rsidRDefault="00FF74DC" w:rsidP="005E47F1">
      <w:pPr>
        <w:pStyle w:val="NoSpacing"/>
        <w:spacing w:after="240"/>
      </w:pPr>
      <w:r w:rsidRPr="00E72574">
        <w:t xml:space="preserve">At its </w:t>
      </w:r>
      <w:r w:rsidR="006F3AD5" w:rsidRPr="00E72574">
        <w:t>June</w:t>
      </w:r>
      <w:r w:rsidRPr="00E72574">
        <w:t xml:space="preserve"> 1</w:t>
      </w:r>
      <w:r w:rsidR="006F3AD5" w:rsidRPr="00E72574">
        <w:t>3</w:t>
      </w:r>
      <w:r w:rsidRPr="00E72574">
        <w:t>, 202</w:t>
      </w:r>
      <w:r w:rsidR="006B0A46" w:rsidRPr="00E72574">
        <w:t>3</w:t>
      </w:r>
      <w:r w:rsidRPr="00E72574">
        <w:t xml:space="preserve">, meeting, the Advisory Commission on Charter Schools (ACCS) accepted the CDE recommendation and moved to recommend that the SBE hear the </w:t>
      </w:r>
      <w:r w:rsidR="00713669" w:rsidRPr="00E72574">
        <w:t>NPSYC</w:t>
      </w:r>
      <w:r w:rsidRPr="00E72574">
        <w:t xml:space="preserve"> appeal. The motion passed </w:t>
      </w:r>
      <w:r w:rsidR="00E72574" w:rsidRPr="00E72574">
        <w:t>unanimously.</w:t>
      </w:r>
    </w:p>
    <w:p w14:paraId="1D0B7EBD" w14:textId="17F6532A" w:rsidR="00A75A26" w:rsidRDefault="00FF74DC" w:rsidP="00824E1E">
      <w:pPr>
        <w:pStyle w:val="NoSpacing"/>
        <w:spacing w:after="240"/>
      </w:pPr>
      <w:r w:rsidRPr="00E72574">
        <w:t xml:space="preserve">The notice for the </w:t>
      </w:r>
      <w:r w:rsidR="00D83986" w:rsidRPr="00E72574">
        <w:t>June</w:t>
      </w:r>
      <w:r w:rsidRPr="00E72574">
        <w:t xml:space="preserve"> 1</w:t>
      </w:r>
      <w:r w:rsidR="00D83986" w:rsidRPr="00E72574">
        <w:t>3</w:t>
      </w:r>
      <w:r w:rsidRPr="00E72574">
        <w:t>, 202</w:t>
      </w:r>
      <w:r w:rsidR="00D83986" w:rsidRPr="00E72574">
        <w:t>3</w:t>
      </w:r>
      <w:r w:rsidRPr="00E72574">
        <w:t xml:space="preserve">, ACCS meeting, </w:t>
      </w:r>
      <w:r w:rsidR="00E009E7" w:rsidRPr="00E72574">
        <w:t>NPSYC’</w:t>
      </w:r>
      <w:r w:rsidR="00F27717" w:rsidRPr="00E72574">
        <w:t>s</w:t>
      </w:r>
      <w:r w:rsidR="00E009E7" w:rsidRPr="00E72574">
        <w:t xml:space="preserve"> </w:t>
      </w:r>
      <w:r w:rsidRPr="00E72574">
        <w:t xml:space="preserve">appeal submission, and the documentary record are located on the </w:t>
      </w:r>
      <w:r w:rsidR="00D83986" w:rsidRPr="00E72574">
        <w:t>June</w:t>
      </w:r>
      <w:r w:rsidRPr="00E72574">
        <w:t xml:space="preserve"> 202</w:t>
      </w:r>
      <w:r w:rsidR="00D83986" w:rsidRPr="00E72574">
        <w:t>3</w:t>
      </w:r>
      <w:r w:rsidRPr="00E72574">
        <w:t xml:space="preserve"> ACCS Meeting Agenda web page at </w:t>
      </w:r>
      <w:hyperlink r:id="rId9" w:tooltip="June 2023 ACCS Meeting Agenda web page" w:history="1">
        <w:r w:rsidR="00D83986" w:rsidRPr="00E72574">
          <w:rPr>
            <w:rStyle w:val="Hyperlink"/>
          </w:rPr>
          <w:t>https://www.cde.ca.gov/be/cc/cs/accsnotice061323.asp</w:t>
        </w:r>
      </w:hyperlink>
      <w:r w:rsidR="00D83986" w:rsidRPr="00E72574">
        <w:t>.</w:t>
      </w:r>
      <w:r w:rsidR="00D83986">
        <w:t xml:space="preserve"> </w:t>
      </w:r>
    </w:p>
    <w:p w14:paraId="5D09DAD2" w14:textId="5A416BC6" w:rsidR="00824E1E" w:rsidRPr="00824E1E" w:rsidRDefault="0069374C" w:rsidP="00824E1E">
      <w:pPr>
        <w:keepNext/>
        <w:spacing w:before="240" w:after="240"/>
        <w:outlineLvl w:val="1"/>
        <w:rPr>
          <w:b/>
          <w:bCs/>
          <w:iCs/>
          <w:sz w:val="36"/>
          <w:szCs w:val="28"/>
        </w:rPr>
      </w:pPr>
      <w:r>
        <w:rPr>
          <w:b/>
          <w:bCs/>
          <w:iCs/>
          <w:sz w:val="36"/>
          <w:szCs w:val="28"/>
        </w:rPr>
        <w:t xml:space="preserve">Role of the </w:t>
      </w:r>
      <w:r w:rsidR="004619D6">
        <w:rPr>
          <w:b/>
          <w:bCs/>
          <w:iCs/>
          <w:sz w:val="36"/>
          <w:szCs w:val="28"/>
        </w:rPr>
        <w:t xml:space="preserve">California </w:t>
      </w:r>
      <w:r>
        <w:rPr>
          <w:b/>
          <w:bCs/>
          <w:iCs/>
          <w:sz w:val="36"/>
          <w:szCs w:val="28"/>
        </w:rPr>
        <w:t>State Board of Education</w:t>
      </w:r>
    </w:p>
    <w:p w14:paraId="2642DDF3" w14:textId="77777777" w:rsidR="00824E1E" w:rsidRPr="00824E1E" w:rsidRDefault="00824E1E" w:rsidP="00824E1E">
      <w:pPr>
        <w:shd w:val="clear" w:color="auto" w:fill="FFFFFF"/>
        <w:spacing w:before="240" w:after="240"/>
        <w:textAlignment w:val="baseline"/>
        <w:rPr>
          <w:rFonts w:cs="Arial"/>
          <w:color w:val="333333"/>
        </w:rPr>
      </w:pPr>
      <w:r w:rsidRPr="00824E1E">
        <w:rPr>
          <w:rFonts w:cs="Arial"/>
          <w:color w:val="333333"/>
        </w:rPr>
        <w:t xml:space="preserve">Pursuant to </w:t>
      </w:r>
      <w:r w:rsidRPr="00824E1E">
        <w:rPr>
          <w:rFonts w:cs="Arial"/>
          <w:i/>
          <w:color w:val="333333"/>
        </w:rPr>
        <w:t xml:space="preserve">EC </w:t>
      </w:r>
      <w:r w:rsidRPr="00824E1E">
        <w:rPr>
          <w:rFonts w:cs="Arial"/>
          <w:color w:val="333333"/>
        </w:rPr>
        <w:t>Section 47605(k)(2)(E), the role of the SBE is as follows:</w:t>
      </w:r>
    </w:p>
    <w:p w14:paraId="6E497297" w14:textId="09F86BD5" w:rsidR="00824E1E" w:rsidRPr="00824E1E" w:rsidRDefault="00824E1E" w:rsidP="00824E1E">
      <w:pPr>
        <w:shd w:val="clear" w:color="auto" w:fill="FFFFFF"/>
        <w:spacing w:before="240" w:after="240"/>
        <w:ind w:left="720"/>
        <w:textAlignment w:val="baseline"/>
        <w:rPr>
          <w:rFonts w:cs="Arial"/>
          <w:color w:val="333333"/>
        </w:rPr>
      </w:pPr>
      <w:r w:rsidRPr="00824E1E">
        <w:rPr>
          <w:rFonts w:cs="Arial"/>
          <w:color w:val="333333"/>
        </w:rPr>
        <w:t>The SBE shall either hear the appeal or summarily deny review of the appeal based on the documentary record. If the SBE hears the appeal, the board may affirm the determination of the governing board of the school district or the county board of education, or both of those determinations, or may reverse only upon a determination that there was an abuse of discretion</w:t>
      </w:r>
      <w:r w:rsidR="001B587E">
        <w:rPr>
          <w:rFonts w:cs="Arial"/>
          <w:color w:val="333333"/>
        </w:rPr>
        <w:t xml:space="preserve"> </w:t>
      </w:r>
      <w:r w:rsidR="001B587E" w:rsidRPr="001C175A">
        <w:rPr>
          <w:rFonts w:cs="Arial"/>
          <w:color w:val="333333"/>
        </w:rPr>
        <w:t xml:space="preserve">by each </w:t>
      </w:r>
      <w:r w:rsidR="004004E3" w:rsidRPr="00207858">
        <w:rPr>
          <w:rFonts w:cs="Arial"/>
          <w:color w:val="333333"/>
        </w:rPr>
        <w:t>of</w:t>
      </w:r>
      <w:r w:rsidR="004004E3">
        <w:rPr>
          <w:rFonts w:cs="Arial"/>
          <w:color w:val="333333"/>
        </w:rPr>
        <w:t xml:space="preserve"> </w:t>
      </w:r>
      <w:r w:rsidR="001B587E" w:rsidRPr="001C175A">
        <w:rPr>
          <w:rFonts w:cs="Arial"/>
          <w:color w:val="333333"/>
        </w:rPr>
        <w:t>the governing board of the school district and the county board of education.</w:t>
      </w:r>
    </w:p>
    <w:p w14:paraId="12BDF75B" w14:textId="2646016D" w:rsidR="00824E1E" w:rsidRPr="00824E1E" w:rsidRDefault="00824E1E" w:rsidP="00824E1E">
      <w:pPr>
        <w:shd w:val="clear" w:color="auto" w:fill="FFFFFF"/>
        <w:spacing w:before="240" w:after="240"/>
        <w:textAlignment w:val="baseline"/>
        <w:rPr>
          <w:rFonts w:cs="Arial"/>
          <w:color w:val="333333"/>
        </w:rPr>
      </w:pPr>
      <w:bookmarkStart w:id="0" w:name="_Hlk104292030"/>
      <w:r w:rsidRPr="00824E1E">
        <w:rPr>
          <w:rFonts w:cs="Arial"/>
          <w:color w:val="333333"/>
        </w:rPr>
        <w:t xml:space="preserve">In this item, the SBE will determine whether to hear </w:t>
      </w:r>
      <w:r w:rsidR="00E009E7">
        <w:rPr>
          <w:rFonts w:cs="Arial"/>
          <w:color w:val="333333"/>
        </w:rPr>
        <w:t>NPSYC’</w:t>
      </w:r>
      <w:r w:rsidR="006B6F6D">
        <w:rPr>
          <w:rFonts w:cs="Arial"/>
          <w:color w:val="333333"/>
        </w:rPr>
        <w:t>s</w:t>
      </w:r>
      <w:r w:rsidR="00E009E7">
        <w:rPr>
          <w:rFonts w:cs="Arial"/>
          <w:color w:val="333333"/>
        </w:rPr>
        <w:t xml:space="preserve"> </w:t>
      </w:r>
      <w:r w:rsidRPr="00824E1E">
        <w:rPr>
          <w:rFonts w:cs="Arial"/>
          <w:color w:val="333333"/>
        </w:rPr>
        <w:t xml:space="preserve">appeal or summarily deny review of the appeal. If the SBE decides to hear the appeal, then, </w:t>
      </w:r>
      <w:r w:rsidR="00300D6F">
        <w:rPr>
          <w:rFonts w:cs="Arial"/>
          <w:color w:val="333333"/>
        </w:rPr>
        <w:t xml:space="preserve">at its </w:t>
      </w:r>
      <w:r w:rsidR="00D56CDA">
        <w:rPr>
          <w:rFonts w:cs="Arial"/>
          <w:color w:val="333333"/>
        </w:rPr>
        <w:t>November</w:t>
      </w:r>
      <w:r w:rsidR="00300D6F">
        <w:rPr>
          <w:rFonts w:cs="Arial"/>
          <w:color w:val="333333"/>
        </w:rPr>
        <w:t xml:space="preserve"> </w:t>
      </w:r>
      <w:r w:rsidR="00D56CDA">
        <w:rPr>
          <w:rFonts w:cs="Arial"/>
          <w:color w:val="333333"/>
        </w:rPr>
        <w:t>8–9</w:t>
      </w:r>
      <w:r w:rsidR="00300D6F">
        <w:rPr>
          <w:rFonts w:cs="Arial"/>
          <w:color w:val="333333"/>
        </w:rPr>
        <w:t xml:space="preserve">, 2023, meeting, the SBE will </w:t>
      </w:r>
      <w:r w:rsidR="003F25F9">
        <w:rPr>
          <w:rFonts w:cs="Arial"/>
          <w:color w:val="333333"/>
        </w:rPr>
        <w:t xml:space="preserve">review </w:t>
      </w:r>
      <w:r w:rsidR="00300D6F">
        <w:rPr>
          <w:rFonts w:cs="Arial"/>
          <w:color w:val="333333"/>
        </w:rPr>
        <w:t>the appeal</w:t>
      </w:r>
      <w:r w:rsidRPr="00824E1E">
        <w:rPr>
          <w:rFonts w:cs="Arial"/>
          <w:color w:val="333333"/>
        </w:rPr>
        <w:t xml:space="preserve"> </w:t>
      </w:r>
      <w:bookmarkEnd w:id="0"/>
      <w:r w:rsidRPr="00802685">
        <w:rPr>
          <w:rFonts w:cs="Arial"/>
          <w:color w:val="333333"/>
        </w:rPr>
        <w:t xml:space="preserve">pursuant to </w:t>
      </w:r>
      <w:r w:rsidRPr="00802685">
        <w:rPr>
          <w:rFonts w:cs="Arial"/>
          <w:i/>
          <w:color w:val="333333"/>
        </w:rPr>
        <w:t xml:space="preserve">EC </w:t>
      </w:r>
      <w:r w:rsidRPr="00802685">
        <w:rPr>
          <w:rFonts w:cs="Arial"/>
          <w:color w:val="333333"/>
        </w:rPr>
        <w:t>Section 47605(k)(2)(E).</w:t>
      </w:r>
      <w:r w:rsidR="003A333E" w:rsidRPr="00802685">
        <w:rPr>
          <w:rFonts w:cs="Arial"/>
          <w:color w:val="333333"/>
        </w:rPr>
        <w:t xml:space="preserve"> If the SBE determines that there are no grounds to hear the appeal, then it may summarily deny the appeal and the decisions of the district and county board of education will stand.</w:t>
      </w:r>
    </w:p>
    <w:p w14:paraId="1CC71223" w14:textId="1AD07747" w:rsidR="00824E1E" w:rsidRPr="00824E1E" w:rsidRDefault="00824E1E" w:rsidP="00824E1E">
      <w:pPr>
        <w:keepNext/>
        <w:spacing w:before="240" w:after="240"/>
        <w:outlineLvl w:val="1"/>
        <w:rPr>
          <w:rFonts w:eastAsia="Calibri"/>
          <w:b/>
          <w:bCs/>
          <w:iCs/>
          <w:sz w:val="36"/>
          <w:szCs w:val="28"/>
        </w:rPr>
      </w:pPr>
      <w:r w:rsidRPr="00824E1E">
        <w:rPr>
          <w:rFonts w:eastAsia="Calibri"/>
          <w:b/>
          <w:bCs/>
          <w:iCs/>
          <w:sz w:val="36"/>
          <w:szCs w:val="28"/>
        </w:rPr>
        <w:lastRenderedPageBreak/>
        <w:t>Appeal Submission</w:t>
      </w:r>
    </w:p>
    <w:p w14:paraId="58E020BD" w14:textId="4A7CAB4B" w:rsidR="00342F55" w:rsidRPr="00C24C7E" w:rsidRDefault="00342F55" w:rsidP="00342F55">
      <w:pPr>
        <w:shd w:val="clear" w:color="auto" w:fill="FFFFFF" w:themeFill="background1"/>
        <w:spacing w:before="240"/>
        <w:textAlignment w:val="baseline"/>
        <w:rPr>
          <w:rFonts w:cs="Arial"/>
          <w:color w:val="333333"/>
        </w:rPr>
      </w:pPr>
      <w:r w:rsidRPr="00C24C7E">
        <w:rPr>
          <w:rFonts w:cs="Arial"/>
          <w:color w:val="333333"/>
        </w:rPr>
        <w:t xml:space="preserve">NPSYC submitted the following items to the SBE on February 7, 2023, pursuant to </w:t>
      </w:r>
      <w:r w:rsidRPr="00C24C7E">
        <w:rPr>
          <w:rFonts w:cs="Arial"/>
          <w:i/>
          <w:color w:val="333333"/>
        </w:rPr>
        <w:t>EC</w:t>
      </w:r>
      <w:r w:rsidRPr="00C24C7E">
        <w:rPr>
          <w:rFonts w:cs="Arial"/>
          <w:color w:val="333333"/>
        </w:rPr>
        <w:t xml:space="preserve"> Section 47605(k)(2)(A):</w:t>
      </w:r>
    </w:p>
    <w:p w14:paraId="662D8602" w14:textId="6ECBE3CF" w:rsidR="00DD0B6E" w:rsidRPr="00DD0B6E" w:rsidRDefault="008169C8" w:rsidP="00DD0B6E">
      <w:pPr>
        <w:numPr>
          <w:ilvl w:val="0"/>
          <w:numId w:val="10"/>
        </w:numPr>
        <w:shd w:val="clear" w:color="auto" w:fill="FFFFFF"/>
        <w:spacing w:before="240" w:after="240"/>
        <w:textAlignment w:val="baseline"/>
        <w:rPr>
          <w:rFonts w:cs="Arial"/>
          <w:color w:val="333333"/>
        </w:rPr>
      </w:pPr>
      <w:r w:rsidRPr="008169C8">
        <w:rPr>
          <w:rFonts w:cs="Arial"/>
          <w:color w:val="333333"/>
        </w:rPr>
        <w:t xml:space="preserve">A written submission of </w:t>
      </w:r>
      <w:r w:rsidR="006B6F6D">
        <w:rPr>
          <w:rFonts w:cs="Arial"/>
          <w:color w:val="333333"/>
        </w:rPr>
        <w:t xml:space="preserve">NPSYC’s </w:t>
      </w:r>
      <w:r w:rsidRPr="008169C8">
        <w:rPr>
          <w:rFonts w:cs="Arial"/>
          <w:color w:val="333333"/>
        </w:rPr>
        <w:t xml:space="preserve">appeal, which includes allegations of abuse of discretion by governing boards of the </w:t>
      </w:r>
      <w:r w:rsidR="00660CD9">
        <w:rPr>
          <w:rFonts w:cs="Arial"/>
          <w:color w:val="333333"/>
        </w:rPr>
        <w:t>YCUSD</w:t>
      </w:r>
      <w:r w:rsidRPr="008169C8">
        <w:rPr>
          <w:rFonts w:cs="Arial"/>
          <w:color w:val="333333"/>
        </w:rPr>
        <w:t xml:space="preserve"> and </w:t>
      </w:r>
      <w:r w:rsidR="00802724">
        <w:rPr>
          <w:rFonts w:cs="Arial"/>
          <w:color w:val="333333"/>
        </w:rPr>
        <w:t xml:space="preserve">the </w:t>
      </w:r>
      <w:r w:rsidR="003A6EE4">
        <w:rPr>
          <w:rFonts w:cs="Arial"/>
          <w:color w:val="333333"/>
        </w:rPr>
        <w:t>SCBOE</w:t>
      </w:r>
      <w:r w:rsidR="00DD0B6E">
        <w:rPr>
          <w:rFonts w:cs="Arial"/>
          <w:color w:val="333333"/>
        </w:rPr>
        <w:t xml:space="preserve"> (Appeal Document 1)</w:t>
      </w:r>
    </w:p>
    <w:p w14:paraId="66111CE5" w14:textId="47867159" w:rsidR="00824E1E" w:rsidRPr="00824E1E" w:rsidRDefault="006B6F6D" w:rsidP="00824E1E">
      <w:pPr>
        <w:numPr>
          <w:ilvl w:val="0"/>
          <w:numId w:val="10"/>
        </w:numPr>
        <w:shd w:val="clear" w:color="auto" w:fill="FFFFFF"/>
        <w:spacing w:before="240" w:after="240"/>
        <w:textAlignment w:val="baseline"/>
        <w:rPr>
          <w:rFonts w:cs="Arial"/>
          <w:color w:val="333333"/>
        </w:rPr>
      </w:pPr>
      <w:r>
        <w:rPr>
          <w:rFonts w:cs="Arial"/>
          <w:color w:val="333333"/>
        </w:rPr>
        <w:t xml:space="preserve">NPSYC’s </w:t>
      </w:r>
      <w:r w:rsidR="00824E1E" w:rsidRPr="00824E1E">
        <w:rPr>
          <w:rFonts w:cs="Arial"/>
          <w:color w:val="333333"/>
        </w:rPr>
        <w:t>charter petition</w:t>
      </w:r>
      <w:r w:rsidR="00DD0B6E" w:rsidRPr="00DD0B6E">
        <w:rPr>
          <w:rFonts w:cs="Arial"/>
          <w:color w:val="333333"/>
        </w:rPr>
        <w:t xml:space="preserve"> </w:t>
      </w:r>
      <w:r w:rsidR="00DD0B6E">
        <w:rPr>
          <w:rFonts w:cs="Arial"/>
          <w:color w:val="333333"/>
        </w:rPr>
        <w:t>(Appeal Document 2)</w:t>
      </w:r>
    </w:p>
    <w:p w14:paraId="29D7E417" w14:textId="02227E88" w:rsidR="00824E1E" w:rsidRPr="00824E1E" w:rsidRDefault="00824E1E" w:rsidP="00824E1E">
      <w:pPr>
        <w:numPr>
          <w:ilvl w:val="0"/>
          <w:numId w:val="10"/>
        </w:numPr>
        <w:shd w:val="clear" w:color="auto" w:fill="FFFFFF"/>
        <w:spacing w:before="240" w:after="240"/>
        <w:textAlignment w:val="baseline"/>
        <w:rPr>
          <w:rFonts w:cs="Arial"/>
          <w:color w:val="333333"/>
        </w:rPr>
      </w:pPr>
      <w:r w:rsidRPr="00824E1E">
        <w:rPr>
          <w:rFonts w:cs="Arial"/>
          <w:color w:val="333333"/>
        </w:rPr>
        <w:t xml:space="preserve">The documentary record from </w:t>
      </w:r>
      <w:r w:rsidR="00802724">
        <w:rPr>
          <w:rFonts w:cs="Arial"/>
          <w:color w:val="333333"/>
        </w:rPr>
        <w:t xml:space="preserve">the </w:t>
      </w:r>
      <w:r w:rsidR="00660CD9">
        <w:rPr>
          <w:rFonts w:cs="Arial"/>
          <w:color w:val="333333"/>
        </w:rPr>
        <w:t>YCUSD</w:t>
      </w:r>
      <w:r w:rsidR="00DD0B6E" w:rsidRPr="00DD0B6E">
        <w:rPr>
          <w:rFonts w:cs="Arial"/>
          <w:color w:val="333333"/>
        </w:rPr>
        <w:t xml:space="preserve"> </w:t>
      </w:r>
      <w:r w:rsidR="00DD0B6E">
        <w:rPr>
          <w:rFonts w:cs="Arial"/>
          <w:color w:val="333333"/>
        </w:rPr>
        <w:t>(Appeal Document 3)</w:t>
      </w:r>
    </w:p>
    <w:p w14:paraId="32AB4C08" w14:textId="3814F19E" w:rsidR="00824E1E" w:rsidRDefault="00824E1E" w:rsidP="00824E1E">
      <w:pPr>
        <w:numPr>
          <w:ilvl w:val="0"/>
          <w:numId w:val="10"/>
        </w:numPr>
        <w:shd w:val="clear" w:color="auto" w:fill="FFFFFF"/>
        <w:spacing w:before="240" w:after="240"/>
        <w:textAlignment w:val="baseline"/>
        <w:rPr>
          <w:rFonts w:cs="Arial"/>
          <w:color w:val="333333"/>
        </w:rPr>
      </w:pPr>
      <w:r w:rsidRPr="00824E1E">
        <w:rPr>
          <w:rFonts w:cs="Arial"/>
          <w:color w:val="333333"/>
        </w:rPr>
        <w:t xml:space="preserve">The documentary record from </w:t>
      </w:r>
      <w:r w:rsidR="00802724">
        <w:rPr>
          <w:rFonts w:cs="Arial"/>
          <w:color w:val="333333"/>
        </w:rPr>
        <w:t xml:space="preserve">the </w:t>
      </w:r>
      <w:r w:rsidR="003A6EE4">
        <w:rPr>
          <w:rFonts w:cs="Arial"/>
          <w:color w:val="333333"/>
        </w:rPr>
        <w:t>SCBOE</w:t>
      </w:r>
      <w:r w:rsidR="00DD0B6E" w:rsidRPr="00DD0B6E">
        <w:rPr>
          <w:rFonts w:cs="Arial"/>
          <w:color w:val="333333"/>
        </w:rPr>
        <w:t xml:space="preserve"> </w:t>
      </w:r>
      <w:r w:rsidR="00DD0B6E">
        <w:rPr>
          <w:rFonts w:cs="Arial"/>
          <w:color w:val="333333"/>
        </w:rPr>
        <w:t>(Appeal Document 4)</w:t>
      </w:r>
    </w:p>
    <w:p w14:paraId="41EB3097" w14:textId="17AC2945" w:rsidR="0031007A" w:rsidRPr="00824E1E" w:rsidRDefault="0031007A" w:rsidP="00824E1E">
      <w:pPr>
        <w:numPr>
          <w:ilvl w:val="0"/>
          <w:numId w:val="10"/>
        </w:numPr>
        <w:shd w:val="clear" w:color="auto" w:fill="FFFFFF"/>
        <w:spacing w:before="240" w:after="240"/>
        <w:textAlignment w:val="baseline"/>
        <w:rPr>
          <w:rFonts w:cs="Arial"/>
          <w:color w:val="333333"/>
        </w:rPr>
      </w:pPr>
      <w:r>
        <w:rPr>
          <w:rFonts w:cs="Arial"/>
          <w:color w:val="333333"/>
        </w:rPr>
        <w:t>Supporting documentation from NPSYC</w:t>
      </w:r>
      <w:r w:rsidR="00DD0B6E" w:rsidRPr="00DD0B6E">
        <w:rPr>
          <w:rFonts w:cs="Arial"/>
          <w:color w:val="333333"/>
        </w:rPr>
        <w:t xml:space="preserve"> </w:t>
      </w:r>
      <w:r w:rsidR="00DD0B6E">
        <w:rPr>
          <w:rFonts w:cs="Arial"/>
          <w:color w:val="333333"/>
        </w:rPr>
        <w:t>(Appeal Document 5)</w:t>
      </w:r>
    </w:p>
    <w:p w14:paraId="709091F7" w14:textId="26FD2D90" w:rsidR="00824E1E" w:rsidRPr="00824E1E" w:rsidRDefault="0031007A" w:rsidP="00824E1E">
      <w:pPr>
        <w:keepNext/>
        <w:spacing w:before="240" w:after="240"/>
        <w:outlineLvl w:val="1"/>
        <w:rPr>
          <w:rFonts w:eastAsia="Calibri"/>
          <w:b/>
          <w:bCs/>
          <w:iCs/>
          <w:sz w:val="36"/>
          <w:szCs w:val="28"/>
        </w:rPr>
      </w:pPr>
      <w:r>
        <w:rPr>
          <w:rFonts w:eastAsia="Calibri"/>
          <w:b/>
          <w:bCs/>
          <w:iCs/>
          <w:sz w:val="36"/>
          <w:szCs w:val="28"/>
        </w:rPr>
        <w:t>Summary of Appeal</w:t>
      </w:r>
    </w:p>
    <w:p w14:paraId="2358367A" w14:textId="2BB662AE" w:rsidR="0064558C" w:rsidRPr="00C24C7E" w:rsidRDefault="0031007A" w:rsidP="0064558C">
      <w:pPr>
        <w:spacing w:before="240"/>
        <w:rPr>
          <w:rFonts w:eastAsia="Calibri"/>
        </w:rPr>
      </w:pPr>
      <w:r>
        <w:rPr>
          <w:rFonts w:eastAsia="Calibri"/>
        </w:rPr>
        <w:t>Pertaining to YCUSD’s denial of its petition, NPSYC states the following in its written submission</w:t>
      </w:r>
      <w:r w:rsidR="0064558C" w:rsidRPr="00C24C7E">
        <w:rPr>
          <w:rFonts w:eastAsia="Calibri"/>
        </w:rPr>
        <w:t>:</w:t>
      </w:r>
    </w:p>
    <w:p w14:paraId="0A2EA783" w14:textId="2339C8E8" w:rsidR="0064558C" w:rsidRPr="00C24C7E" w:rsidRDefault="0064558C" w:rsidP="0064558C">
      <w:pPr>
        <w:pStyle w:val="ListParagraph"/>
        <w:numPr>
          <w:ilvl w:val="0"/>
          <w:numId w:val="12"/>
        </w:numPr>
        <w:spacing w:before="240" w:after="240"/>
        <w:contextualSpacing w:val="0"/>
        <w:rPr>
          <w:rFonts w:eastAsia="Calibri"/>
        </w:rPr>
      </w:pPr>
      <w:r w:rsidRPr="00C24C7E">
        <w:rPr>
          <w:rFonts w:eastAsia="Calibri"/>
        </w:rPr>
        <w:t>The District Board adopted findings of fact for denial that were unlawful</w:t>
      </w:r>
      <w:r w:rsidR="00596C82">
        <w:rPr>
          <w:rFonts w:eastAsia="Calibri"/>
        </w:rPr>
        <w:t xml:space="preserve"> (</w:t>
      </w:r>
      <w:r w:rsidR="003D1A89">
        <w:rPr>
          <w:rFonts w:cs="Arial"/>
          <w:color w:val="333333"/>
        </w:rPr>
        <w:t>Appeal Document 1</w:t>
      </w:r>
      <w:r w:rsidR="00596C82">
        <w:rPr>
          <w:rFonts w:eastAsia="Calibri"/>
        </w:rPr>
        <w:t xml:space="preserve">, pp. </w:t>
      </w:r>
      <w:r w:rsidR="003D1A89">
        <w:rPr>
          <w:rFonts w:eastAsia="Calibri"/>
        </w:rPr>
        <w:t>28</w:t>
      </w:r>
      <w:r w:rsidR="00C4082F">
        <w:rPr>
          <w:rFonts w:eastAsia="Calibri"/>
        </w:rPr>
        <w:t>–</w:t>
      </w:r>
      <w:r w:rsidR="003D1A89">
        <w:rPr>
          <w:rFonts w:eastAsia="Calibri"/>
        </w:rPr>
        <w:t>30</w:t>
      </w:r>
      <w:r w:rsidR="00596C82">
        <w:rPr>
          <w:rFonts w:eastAsia="Calibri"/>
        </w:rPr>
        <w:t>)</w:t>
      </w:r>
      <w:r w:rsidR="003D1A89">
        <w:rPr>
          <w:rFonts w:eastAsia="Calibri"/>
        </w:rPr>
        <w:t>.</w:t>
      </w:r>
    </w:p>
    <w:p w14:paraId="3ADD011D" w14:textId="52F29F0C" w:rsidR="0064558C" w:rsidRPr="00C24C7E" w:rsidRDefault="0064558C" w:rsidP="0064558C">
      <w:pPr>
        <w:pStyle w:val="ListParagraph"/>
        <w:numPr>
          <w:ilvl w:val="0"/>
          <w:numId w:val="12"/>
        </w:numPr>
        <w:spacing w:before="240" w:after="240"/>
        <w:contextualSpacing w:val="0"/>
        <w:rPr>
          <w:rFonts w:eastAsia="Calibri"/>
        </w:rPr>
      </w:pPr>
      <w:r w:rsidRPr="00C24C7E">
        <w:rPr>
          <w:rFonts w:eastAsia="Calibri"/>
        </w:rPr>
        <w:t>The District Board adopted findings of fact for denial that were entirely lacking in evidentiary support</w:t>
      </w:r>
      <w:r w:rsidR="003D1A89">
        <w:rPr>
          <w:rFonts w:eastAsia="Calibri"/>
        </w:rPr>
        <w:t xml:space="preserve"> </w:t>
      </w:r>
      <w:r w:rsidR="003D1A89" w:rsidRPr="00C24C7E">
        <w:rPr>
          <w:rFonts w:eastAsia="Calibri"/>
        </w:rPr>
        <w:t>(</w:t>
      </w:r>
      <w:r w:rsidR="003D1A89">
        <w:rPr>
          <w:rFonts w:eastAsia="Calibri"/>
        </w:rPr>
        <w:t>Appeal Document 1,</w:t>
      </w:r>
      <w:r w:rsidR="003D1A89" w:rsidRPr="00C24C7E">
        <w:rPr>
          <w:rFonts w:eastAsia="Calibri"/>
        </w:rPr>
        <w:t xml:space="preserve"> </w:t>
      </w:r>
      <w:r w:rsidR="003D1A89">
        <w:rPr>
          <w:rFonts w:eastAsia="Calibri"/>
        </w:rPr>
        <w:t>p</w:t>
      </w:r>
      <w:r w:rsidR="003D1A89" w:rsidRPr="00C24C7E">
        <w:rPr>
          <w:rFonts w:eastAsia="Calibri"/>
        </w:rPr>
        <w:t xml:space="preserve">p. </w:t>
      </w:r>
      <w:r w:rsidR="003D1A89">
        <w:rPr>
          <w:rFonts w:eastAsia="Calibri"/>
        </w:rPr>
        <w:t>30</w:t>
      </w:r>
      <w:r w:rsidR="003D1A89" w:rsidRPr="00D64E51">
        <w:rPr>
          <w:rFonts w:cs="Arial"/>
          <w:color w:val="242424"/>
        </w:rPr>
        <w:t>–</w:t>
      </w:r>
      <w:r w:rsidR="003D1A89">
        <w:rPr>
          <w:rFonts w:eastAsia="Calibri"/>
        </w:rPr>
        <w:t>33</w:t>
      </w:r>
      <w:r w:rsidR="003D1A89" w:rsidRPr="00C24C7E">
        <w:rPr>
          <w:rFonts w:eastAsia="Calibri"/>
        </w:rPr>
        <w:t>)</w:t>
      </w:r>
      <w:r w:rsidRPr="00C24C7E">
        <w:rPr>
          <w:rFonts w:eastAsia="Calibri"/>
        </w:rPr>
        <w:t>.</w:t>
      </w:r>
    </w:p>
    <w:p w14:paraId="4B809C09" w14:textId="2C2E011F" w:rsidR="0064558C" w:rsidRPr="00C24C7E" w:rsidRDefault="0031007A" w:rsidP="0064558C">
      <w:pPr>
        <w:spacing w:before="240"/>
        <w:rPr>
          <w:rFonts w:eastAsia="Calibri"/>
        </w:rPr>
      </w:pPr>
      <w:r>
        <w:rPr>
          <w:rFonts w:eastAsia="Calibri"/>
        </w:rPr>
        <w:t>Pertaining to SCBOE’s denial of its petition, NPSYC states the following in its written submission</w:t>
      </w:r>
      <w:r w:rsidR="0064558C" w:rsidRPr="00C24C7E">
        <w:rPr>
          <w:rFonts w:eastAsia="Calibri"/>
        </w:rPr>
        <w:t>:</w:t>
      </w:r>
    </w:p>
    <w:p w14:paraId="03773E4A" w14:textId="7F98BC6B" w:rsidR="003D1A89" w:rsidRPr="00C24C7E" w:rsidRDefault="003D1A89" w:rsidP="003D1A89">
      <w:pPr>
        <w:pStyle w:val="ListParagraph"/>
        <w:numPr>
          <w:ilvl w:val="0"/>
          <w:numId w:val="12"/>
        </w:numPr>
        <w:spacing w:before="240" w:after="240"/>
        <w:contextualSpacing w:val="0"/>
        <w:rPr>
          <w:rFonts w:eastAsia="Calibri"/>
        </w:rPr>
      </w:pPr>
      <w:r w:rsidRPr="00C24C7E">
        <w:rPr>
          <w:rFonts w:eastAsia="Calibri"/>
        </w:rPr>
        <w:t>The County Board’s action to deny the charter petition appeal without any written findings was unlawful on its face (</w:t>
      </w:r>
      <w:r>
        <w:rPr>
          <w:rFonts w:eastAsia="Calibri"/>
        </w:rPr>
        <w:t>Appeal Document 1,</w:t>
      </w:r>
      <w:r w:rsidRPr="00C24C7E">
        <w:rPr>
          <w:rFonts w:eastAsia="Calibri"/>
        </w:rPr>
        <w:t xml:space="preserve"> p</w:t>
      </w:r>
      <w:r>
        <w:rPr>
          <w:rFonts w:eastAsia="Calibri"/>
        </w:rPr>
        <w:t>p</w:t>
      </w:r>
      <w:r w:rsidRPr="00C24C7E">
        <w:rPr>
          <w:rFonts w:eastAsia="Calibri"/>
        </w:rPr>
        <w:t xml:space="preserve">. </w:t>
      </w:r>
      <w:r>
        <w:rPr>
          <w:rFonts w:eastAsia="Calibri"/>
        </w:rPr>
        <w:t>9</w:t>
      </w:r>
      <w:r w:rsidRPr="00D64E51">
        <w:rPr>
          <w:rFonts w:cs="Arial"/>
          <w:color w:val="242424"/>
        </w:rPr>
        <w:t>–</w:t>
      </w:r>
      <w:r>
        <w:rPr>
          <w:rFonts w:eastAsia="Calibri"/>
        </w:rPr>
        <w:t>12</w:t>
      </w:r>
      <w:r w:rsidRPr="00C24C7E">
        <w:rPr>
          <w:rFonts w:eastAsia="Calibri"/>
        </w:rPr>
        <w:t>).</w:t>
      </w:r>
    </w:p>
    <w:p w14:paraId="109D4E7D" w14:textId="7656B1ED" w:rsidR="003D1A89" w:rsidRPr="00C24C7E" w:rsidRDefault="003D1A89" w:rsidP="003D1A89">
      <w:pPr>
        <w:pStyle w:val="ListParagraph"/>
        <w:numPr>
          <w:ilvl w:val="0"/>
          <w:numId w:val="12"/>
        </w:numPr>
        <w:spacing w:before="240" w:after="240"/>
        <w:contextualSpacing w:val="0"/>
        <w:rPr>
          <w:rFonts w:eastAsia="Calibri"/>
        </w:rPr>
      </w:pPr>
      <w:r w:rsidRPr="00C24C7E">
        <w:rPr>
          <w:rFonts w:eastAsia="Calibri"/>
        </w:rPr>
        <w:t>The County Board’s unapproved post hoc written findings do not match the verbal findings from the board meeting and do not form legal bases for denial, further cementing this unlawful action (</w:t>
      </w:r>
      <w:r>
        <w:rPr>
          <w:rFonts w:eastAsia="Calibri"/>
        </w:rPr>
        <w:t>Appeal Document 1,</w:t>
      </w:r>
      <w:r w:rsidRPr="00C24C7E">
        <w:rPr>
          <w:rFonts w:eastAsia="Calibri"/>
        </w:rPr>
        <w:t xml:space="preserve"> </w:t>
      </w:r>
      <w:r>
        <w:rPr>
          <w:rFonts w:eastAsia="Calibri"/>
        </w:rPr>
        <w:t>p</w:t>
      </w:r>
      <w:r w:rsidRPr="00C24C7E">
        <w:rPr>
          <w:rFonts w:eastAsia="Calibri"/>
        </w:rPr>
        <w:t xml:space="preserve">p. </w:t>
      </w:r>
      <w:r>
        <w:rPr>
          <w:rFonts w:eastAsia="Calibri"/>
        </w:rPr>
        <w:t>12</w:t>
      </w:r>
      <w:r w:rsidRPr="00D64E51">
        <w:rPr>
          <w:rFonts w:cs="Arial"/>
          <w:color w:val="242424"/>
        </w:rPr>
        <w:t>–</w:t>
      </w:r>
      <w:r>
        <w:rPr>
          <w:rFonts w:eastAsia="Calibri"/>
        </w:rPr>
        <w:t>21</w:t>
      </w:r>
      <w:r w:rsidRPr="00C24C7E">
        <w:rPr>
          <w:rFonts w:eastAsia="Calibri"/>
        </w:rPr>
        <w:t>).</w:t>
      </w:r>
    </w:p>
    <w:p w14:paraId="7DD8CE53" w14:textId="28DD6AFF" w:rsidR="003D1A89" w:rsidRPr="00C24C7E" w:rsidRDefault="003D1A89" w:rsidP="003D1A89">
      <w:pPr>
        <w:pStyle w:val="ListParagraph"/>
        <w:numPr>
          <w:ilvl w:val="0"/>
          <w:numId w:val="12"/>
        </w:numPr>
        <w:spacing w:before="240" w:after="240"/>
        <w:contextualSpacing w:val="0"/>
        <w:rPr>
          <w:rFonts w:eastAsia="Calibri"/>
        </w:rPr>
      </w:pPr>
      <w:r w:rsidRPr="00C24C7E">
        <w:rPr>
          <w:rFonts w:eastAsia="Calibri"/>
        </w:rPr>
        <w:t>The County Board’s denial of the charter petition appeal was procedurally unfair (</w:t>
      </w:r>
      <w:r>
        <w:rPr>
          <w:rFonts w:eastAsia="Calibri"/>
        </w:rPr>
        <w:t>Appeal Document 1,</w:t>
      </w:r>
      <w:r w:rsidRPr="00C24C7E">
        <w:rPr>
          <w:rFonts w:eastAsia="Calibri"/>
        </w:rPr>
        <w:t xml:space="preserve"> </w:t>
      </w:r>
      <w:r>
        <w:rPr>
          <w:rFonts w:eastAsia="Calibri"/>
        </w:rPr>
        <w:t>p</w:t>
      </w:r>
      <w:r w:rsidRPr="00C24C7E">
        <w:rPr>
          <w:rFonts w:eastAsia="Calibri"/>
        </w:rPr>
        <w:t xml:space="preserve">p. </w:t>
      </w:r>
      <w:r>
        <w:rPr>
          <w:rFonts w:eastAsia="Calibri"/>
        </w:rPr>
        <w:t>21</w:t>
      </w:r>
      <w:r w:rsidRPr="00D64E51">
        <w:rPr>
          <w:rFonts w:cs="Arial"/>
          <w:color w:val="242424"/>
        </w:rPr>
        <w:t>–</w:t>
      </w:r>
      <w:r>
        <w:rPr>
          <w:rFonts w:eastAsia="Calibri"/>
        </w:rPr>
        <w:t>22</w:t>
      </w:r>
      <w:r w:rsidRPr="00C24C7E">
        <w:rPr>
          <w:rFonts w:eastAsia="Calibri"/>
        </w:rPr>
        <w:t>).</w:t>
      </w:r>
    </w:p>
    <w:p w14:paraId="017039D9" w14:textId="2F6EDA4F" w:rsidR="003D1A89" w:rsidRPr="00C24C7E" w:rsidRDefault="003D1A89" w:rsidP="003D1A89">
      <w:pPr>
        <w:pStyle w:val="ListParagraph"/>
        <w:numPr>
          <w:ilvl w:val="0"/>
          <w:numId w:val="12"/>
        </w:numPr>
        <w:spacing w:before="240" w:after="240"/>
        <w:contextualSpacing w:val="0"/>
        <w:rPr>
          <w:rFonts w:eastAsia="Calibri"/>
        </w:rPr>
      </w:pPr>
      <w:r w:rsidRPr="00C24C7E">
        <w:rPr>
          <w:rFonts w:eastAsia="Calibri"/>
        </w:rPr>
        <w:t>The County Board’s unapproved, post hoc reasons for denial were entirely lacking in evidentiary support (</w:t>
      </w:r>
      <w:r>
        <w:rPr>
          <w:rFonts w:eastAsia="Calibri"/>
        </w:rPr>
        <w:t>Appeal Document 1,</w:t>
      </w:r>
      <w:r w:rsidRPr="00C24C7E">
        <w:rPr>
          <w:rFonts w:eastAsia="Calibri"/>
        </w:rPr>
        <w:t xml:space="preserve"> </w:t>
      </w:r>
      <w:r>
        <w:rPr>
          <w:rFonts w:eastAsia="Calibri"/>
        </w:rPr>
        <w:t>p</w:t>
      </w:r>
      <w:r w:rsidRPr="00C24C7E">
        <w:rPr>
          <w:rFonts w:eastAsia="Calibri"/>
        </w:rPr>
        <w:t xml:space="preserve">p. </w:t>
      </w:r>
      <w:r>
        <w:rPr>
          <w:rFonts w:eastAsia="Calibri"/>
        </w:rPr>
        <w:t>22</w:t>
      </w:r>
      <w:r w:rsidRPr="00D64E51">
        <w:rPr>
          <w:rFonts w:cs="Arial"/>
          <w:color w:val="242424"/>
        </w:rPr>
        <w:t>–</w:t>
      </w:r>
      <w:r>
        <w:rPr>
          <w:rFonts w:eastAsia="Calibri"/>
        </w:rPr>
        <w:t>28</w:t>
      </w:r>
      <w:r w:rsidRPr="00C24C7E">
        <w:rPr>
          <w:rFonts w:eastAsia="Calibri"/>
        </w:rPr>
        <w:t>).</w:t>
      </w:r>
    </w:p>
    <w:p w14:paraId="4967D854" w14:textId="58CFD2D2" w:rsidR="003D1A89" w:rsidRPr="00C24C7E" w:rsidRDefault="003D1A89" w:rsidP="003D1A89">
      <w:pPr>
        <w:pStyle w:val="ListParagraph"/>
        <w:numPr>
          <w:ilvl w:val="0"/>
          <w:numId w:val="12"/>
        </w:numPr>
        <w:spacing w:before="240" w:after="240"/>
        <w:contextualSpacing w:val="0"/>
        <w:rPr>
          <w:rFonts w:eastAsia="Calibri"/>
        </w:rPr>
      </w:pPr>
      <w:r w:rsidRPr="00C24C7E">
        <w:rPr>
          <w:rFonts w:eastAsia="Calibri"/>
        </w:rPr>
        <w:lastRenderedPageBreak/>
        <w:t>The County Board meeting was unlawful because it did not provide a fair and impartial hearing process on the charter petition (</w:t>
      </w:r>
      <w:r>
        <w:rPr>
          <w:rFonts w:eastAsia="Calibri"/>
        </w:rPr>
        <w:t>Appeal Document 1,</w:t>
      </w:r>
      <w:r w:rsidRPr="00C24C7E">
        <w:rPr>
          <w:rFonts w:eastAsia="Calibri"/>
        </w:rPr>
        <w:t xml:space="preserve"> p</w:t>
      </w:r>
      <w:r>
        <w:rPr>
          <w:rFonts w:eastAsia="Calibri"/>
        </w:rPr>
        <w:t>p</w:t>
      </w:r>
      <w:r w:rsidRPr="00C24C7E">
        <w:rPr>
          <w:rFonts w:eastAsia="Calibri"/>
        </w:rPr>
        <w:t>. 3</w:t>
      </w:r>
      <w:r>
        <w:rPr>
          <w:rFonts w:eastAsia="Calibri"/>
        </w:rPr>
        <w:t>3</w:t>
      </w:r>
      <w:r w:rsidRPr="00D64E51">
        <w:rPr>
          <w:rFonts w:cs="Arial"/>
          <w:color w:val="242424"/>
        </w:rPr>
        <w:t>–</w:t>
      </w:r>
      <w:r>
        <w:rPr>
          <w:rFonts w:eastAsia="Calibri"/>
        </w:rPr>
        <w:t>34</w:t>
      </w:r>
      <w:r w:rsidRPr="00C24C7E">
        <w:rPr>
          <w:rFonts w:eastAsia="Calibri"/>
        </w:rPr>
        <w:t>).</w:t>
      </w:r>
    </w:p>
    <w:p w14:paraId="57BE7F04" w14:textId="77777777" w:rsidR="00003638" w:rsidRDefault="00003638" w:rsidP="0031007A">
      <w:pPr>
        <w:pStyle w:val="Heading2"/>
      </w:pPr>
      <w:r w:rsidRPr="002D7113">
        <w:t>Conclusion</w:t>
      </w:r>
    </w:p>
    <w:p w14:paraId="5DBC027A" w14:textId="43F3B542" w:rsidR="00597E6E" w:rsidRPr="00C24C7E" w:rsidRDefault="00597E6E" w:rsidP="00597E6E">
      <w:pPr>
        <w:shd w:val="clear" w:color="auto" w:fill="FFFFFF" w:themeFill="background1"/>
        <w:spacing w:before="240" w:after="240"/>
        <w:textAlignment w:val="baseline"/>
        <w:rPr>
          <w:rFonts w:cs="Arial"/>
          <w:color w:val="000000" w:themeColor="text1"/>
        </w:rPr>
      </w:pPr>
      <w:r w:rsidRPr="00C24C7E">
        <w:t xml:space="preserve">NPSYC has submitted all required documents and met all timelines, pursuant to </w:t>
      </w:r>
      <w:r w:rsidRPr="00C24C7E">
        <w:rPr>
          <w:i/>
        </w:rPr>
        <w:t>EC</w:t>
      </w:r>
      <w:r w:rsidRPr="00C24C7E">
        <w:t xml:space="preserve"> Section 47605(k)(2)(A). </w:t>
      </w:r>
    </w:p>
    <w:p w14:paraId="5DCDFF62" w14:textId="44F6B6C8" w:rsidR="00003638" w:rsidRDefault="00597E6E" w:rsidP="00597E6E">
      <w:pPr>
        <w:spacing w:after="240"/>
      </w:pPr>
      <w:r w:rsidRPr="00C24C7E">
        <w:rPr>
          <w:rFonts w:cs="Arial"/>
          <w:color w:val="000000" w:themeColor="text1"/>
        </w:rPr>
        <w:t>Based on the CDE’s review of NPSYC’s written submission, and the findings and documentary record from YCUSD</w:t>
      </w:r>
      <w:r w:rsidR="00A96F02">
        <w:rPr>
          <w:rFonts w:cs="Arial"/>
          <w:color w:val="000000" w:themeColor="text1"/>
        </w:rPr>
        <w:t xml:space="preserve"> and SCBOE</w:t>
      </w:r>
      <w:r w:rsidRPr="00C24C7E">
        <w:rPr>
          <w:rFonts w:cs="Arial"/>
          <w:color w:val="000000" w:themeColor="text1"/>
        </w:rPr>
        <w:t xml:space="preserve">, the CDE finds that the appeal presents sufficient evidence for the SBE to hear the appeal, pursuant to </w:t>
      </w:r>
      <w:r w:rsidRPr="00C24C7E">
        <w:rPr>
          <w:rFonts w:cs="Arial"/>
          <w:i/>
          <w:iCs/>
          <w:color w:val="000000" w:themeColor="text1"/>
        </w:rPr>
        <w:t xml:space="preserve">EC </w:t>
      </w:r>
      <w:r w:rsidRPr="00C24C7E">
        <w:rPr>
          <w:rFonts w:cs="Arial"/>
          <w:color w:val="000000" w:themeColor="text1"/>
        </w:rPr>
        <w:t>Section 47605(k)(2)(</w:t>
      </w:r>
      <w:r w:rsidR="00825D7E">
        <w:rPr>
          <w:rFonts w:cs="Arial"/>
          <w:color w:val="000000" w:themeColor="text1"/>
        </w:rPr>
        <w:t>E</w:t>
      </w:r>
      <w:r w:rsidRPr="00C24C7E">
        <w:rPr>
          <w:rFonts w:cs="Arial"/>
          <w:color w:val="000000" w:themeColor="text1"/>
        </w:rPr>
        <w:t xml:space="preserve">). </w:t>
      </w:r>
    </w:p>
    <w:p w14:paraId="42CB3E33" w14:textId="1994122D" w:rsidR="00003638" w:rsidRPr="00A26BC6" w:rsidRDefault="00A26BC6" w:rsidP="00D2409D">
      <w:pPr>
        <w:pStyle w:val="Heading2"/>
      </w:pPr>
      <w:r w:rsidRPr="00A26BC6">
        <w:t>Appeal Documents</w:t>
      </w:r>
    </w:p>
    <w:p w14:paraId="0EB14194" w14:textId="77777777" w:rsidR="00A26BC6" w:rsidRPr="0000072D" w:rsidRDefault="00A26BC6" w:rsidP="00A26BC6">
      <w:pPr>
        <w:spacing w:after="240"/>
      </w:pPr>
      <w:r w:rsidRPr="0000072D">
        <w:t xml:space="preserve">The following documents were </w:t>
      </w:r>
      <w:r>
        <w:t>submitted as a part of t</w:t>
      </w:r>
      <w:r w:rsidRPr="0000072D">
        <w:t>he NPSYC appeal:</w:t>
      </w:r>
    </w:p>
    <w:p w14:paraId="412D77A6" w14:textId="51C54E73" w:rsidR="00A26BC6" w:rsidRPr="0000072D" w:rsidRDefault="00596C82" w:rsidP="00A26BC6">
      <w:pPr>
        <w:pStyle w:val="NormalWeb"/>
        <w:numPr>
          <w:ilvl w:val="0"/>
          <w:numId w:val="11"/>
        </w:numPr>
        <w:spacing w:before="0" w:beforeAutospacing="0" w:after="240"/>
        <w:rPr>
          <w:rFonts w:ascii="Arial" w:hAnsi="Arial" w:cs="Arial"/>
          <w:color w:val="242424"/>
        </w:rPr>
      </w:pPr>
      <w:bookmarkStart w:id="1" w:name="_Hlk104186105"/>
      <w:bookmarkStart w:id="2" w:name="_Hlk137130369"/>
      <w:r w:rsidRPr="00D2409D">
        <w:rPr>
          <w:rFonts w:ascii="Arial" w:hAnsi="Arial" w:cs="Arial"/>
          <w:b/>
          <w:bCs/>
          <w:color w:val="242424"/>
        </w:rPr>
        <w:t>A</w:t>
      </w:r>
      <w:r>
        <w:rPr>
          <w:rFonts w:ascii="Arial" w:hAnsi="Arial" w:cs="Arial"/>
          <w:b/>
          <w:bCs/>
          <w:color w:val="242424"/>
        </w:rPr>
        <w:t xml:space="preserve">ppeal </w:t>
      </w:r>
      <w:r w:rsidRPr="00D2409D">
        <w:rPr>
          <w:rFonts w:ascii="Arial" w:hAnsi="Arial" w:cs="Arial"/>
          <w:b/>
          <w:bCs/>
          <w:color w:val="242424"/>
        </w:rPr>
        <w:t>D</w:t>
      </w:r>
      <w:r>
        <w:rPr>
          <w:rFonts w:ascii="Arial" w:hAnsi="Arial" w:cs="Arial"/>
          <w:b/>
          <w:bCs/>
          <w:color w:val="242424"/>
        </w:rPr>
        <w:t>ocument</w:t>
      </w:r>
      <w:r w:rsidRPr="00D2409D">
        <w:rPr>
          <w:rFonts w:ascii="Arial" w:hAnsi="Arial" w:cs="Arial"/>
          <w:b/>
          <w:bCs/>
          <w:color w:val="242424"/>
        </w:rPr>
        <w:t xml:space="preserve"> 1:</w:t>
      </w:r>
      <w:r>
        <w:rPr>
          <w:rFonts w:ascii="Arial" w:hAnsi="Arial" w:cs="Arial"/>
          <w:color w:val="242424"/>
        </w:rPr>
        <w:t xml:space="preserve"> </w:t>
      </w:r>
      <w:r w:rsidR="00A26BC6">
        <w:rPr>
          <w:rFonts w:ascii="Arial" w:hAnsi="Arial" w:cs="Arial"/>
          <w:color w:val="242424"/>
        </w:rPr>
        <w:t>NPSYC</w:t>
      </w:r>
      <w:r w:rsidR="00A26BC6" w:rsidRPr="0000072D">
        <w:rPr>
          <w:rFonts w:ascii="Arial" w:hAnsi="Arial" w:cs="Arial"/>
          <w:color w:val="242424"/>
        </w:rPr>
        <w:t xml:space="preserve"> written submission, which is available on the </w:t>
      </w:r>
      <w:r w:rsidR="00A26BC6">
        <w:rPr>
          <w:rFonts w:ascii="Arial" w:hAnsi="Arial" w:cs="Arial"/>
          <w:color w:val="242424"/>
        </w:rPr>
        <w:t xml:space="preserve">June 2023 </w:t>
      </w:r>
      <w:r w:rsidR="00A26BC6" w:rsidRPr="0000072D">
        <w:rPr>
          <w:rFonts w:ascii="Arial" w:hAnsi="Arial" w:cs="Arial"/>
          <w:color w:val="242424"/>
        </w:rPr>
        <w:t>ACCS Meeting Agenda web page at</w:t>
      </w:r>
      <w:r w:rsidR="00A26BC6">
        <w:rPr>
          <w:rFonts w:ascii="Arial" w:hAnsi="Arial" w:cs="Arial"/>
          <w:color w:val="242424"/>
        </w:rPr>
        <w:t xml:space="preserve"> </w:t>
      </w:r>
      <w:hyperlink r:id="rId10" w:tooltip="NPSYC written submission" w:history="1">
        <w:r w:rsidR="00A26BC6" w:rsidRPr="00646665">
          <w:rPr>
            <w:rStyle w:val="Hyperlink"/>
            <w:rFonts w:ascii="Arial" w:hAnsi="Arial" w:cs="Arial"/>
          </w:rPr>
          <w:t>https://www.cde.ca.gov/be/cc/cs/documents/accs-jun23item03a1.pdf</w:t>
        </w:r>
      </w:hyperlink>
      <w:r w:rsidR="00A26BC6">
        <w:rPr>
          <w:rFonts w:ascii="Arial" w:hAnsi="Arial" w:cs="Arial"/>
          <w:color w:val="242424"/>
        </w:rPr>
        <w:t xml:space="preserve"> </w:t>
      </w:r>
    </w:p>
    <w:p w14:paraId="0853ED94" w14:textId="346FBABD" w:rsidR="00A26BC6" w:rsidRPr="0000072D" w:rsidRDefault="00596C82" w:rsidP="00A26BC6">
      <w:pPr>
        <w:pStyle w:val="NormalWeb"/>
        <w:numPr>
          <w:ilvl w:val="0"/>
          <w:numId w:val="11"/>
        </w:numPr>
        <w:spacing w:before="0" w:beforeAutospacing="0" w:after="240"/>
        <w:rPr>
          <w:rFonts w:ascii="Arial" w:hAnsi="Arial" w:cs="Arial"/>
          <w:color w:val="242424"/>
        </w:rPr>
      </w:pPr>
      <w:r w:rsidRPr="009033ED">
        <w:rPr>
          <w:rFonts w:ascii="Arial" w:hAnsi="Arial" w:cs="Arial"/>
          <w:b/>
          <w:bCs/>
          <w:color w:val="242424"/>
        </w:rPr>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2</w:t>
      </w:r>
      <w:r w:rsidRPr="009033ED">
        <w:rPr>
          <w:rFonts w:ascii="Arial" w:hAnsi="Arial" w:cs="Arial"/>
          <w:b/>
          <w:bCs/>
          <w:color w:val="242424"/>
        </w:rPr>
        <w:t>:</w:t>
      </w:r>
      <w:r>
        <w:rPr>
          <w:rFonts w:ascii="Arial" w:hAnsi="Arial" w:cs="Arial"/>
          <w:color w:val="242424"/>
        </w:rPr>
        <w:t xml:space="preserve"> </w:t>
      </w:r>
      <w:r w:rsidR="00A26BC6">
        <w:rPr>
          <w:rFonts w:ascii="Arial" w:hAnsi="Arial" w:cs="Arial"/>
          <w:color w:val="242424"/>
        </w:rPr>
        <w:t>NPSYC p</w:t>
      </w:r>
      <w:r w:rsidR="00A26BC6" w:rsidRPr="0000072D">
        <w:rPr>
          <w:rFonts w:ascii="Arial" w:hAnsi="Arial" w:cs="Arial"/>
          <w:color w:val="242424"/>
        </w:rPr>
        <w:t xml:space="preserve">etition, as denied by the </w:t>
      </w:r>
      <w:r w:rsidR="00A26BC6">
        <w:rPr>
          <w:rFonts w:ascii="Arial" w:hAnsi="Arial" w:cs="Arial"/>
          <w:color w:val="242424"/>
        </w:rPr>
        <w:t>YCUSD and SCBOE</w:t>
      </w:r>
      <w:r w:rsidR="00A26BC6" w:rsidRPr="0000072D">
        <w:rPr>
          <w:rFonts w:ascii="Arial" w:hAnsi="Arial" w:cs="Arial"/>
          <w:color w:val="242424"/>
        </w:rPr>
        <w:t xml:space="preserve">, which is available on the </w:t>
      </w:r>
      <w:r w:rsidR="00A26BC6">
        <w:rPr>
          <w:rFonts w:ascii="Arial" w:hAnsi="Arial" w:cs="Arial"/>
          <w:color w:val="242424"/>
        </w:rPr>
        <w:t xml:space="preserve">June 2023 </w:t>
      </w:r>
      <w:r w:rsidR="00A26BC6" w:rsidRPr="0000072D">
        <w:rPr>
          <w:rFonts w:ascii="Arial" w:hAnsi="Arial" w:cs="Arial"/>
          <w:color w:val="242424"/>
        </w:rPr>
        <w:t>ACCS Meeting Agenda web page at</w:t>
      </w:r>
      <w:r w:rsidR="00A26BC6">
        <w:rPr>
          <w:rFonts w:ascii="Arial" w:hAnsi="Arial" w:cs="Arial"/>
          <w:color w:val="242424"/>
        </w:rPr>
        <w:t xml:space="preserve"> </w:t>
      </w:r>
      <w:hyperlink r:id="rId11" w:tooltip="NPSYC petition, as denied by the YCUSD and SCBOE" w:history="1">
        <w:r w:rsidR="00A26BC6" w:rsidRPr="00646665">
          <w:rPr>
            <w:rStyle w:val="Hyperlink"/>
            <w:rFonts w:ascii="Arial" w:hAnsi="Arial" w:cs="Arial"/>
          </w:rPr>
          <w:t>https://www.cde.ca.gov/be/cc/cs/documents/accs-jun23item03a2.pdf</w:t>
        </w:r>
      </w:hyperlink>
      <w:r w:rsidR="00A26BC6">
        <w:rPr>
          <w:rFonts w:ascii="Arial" w:hAnsi="Arial" w:cs="Arial"/>
          <w:color w:val="242424"/>
        </w:rPr>
        <w:t xml:space="preserve"> </w:t>
      </w:r>
    </w:p>
    <w:p w14:paraId="16CE0B2E" w14:textId="6F8487AC" w:rsidR="00A26BC6" w:rsidRPr="0000072D" w:rsidRDefault="00596C82" w:rsidP="00A26BC6">
      <w:pPr>
        <w:pStyle w:val="NormalWeb"/>
        <w:numPr>
          <w:ilvl w:val="0"/>
          <w:numId w:val="11"/>
        </w:numPr>
        <w:spacing w:before="0" w:beforeAutospacing="0" w:after="240"/>
        <w:rPr>
          <w:rFonts w:ascii="Arial" w:hAnsi="Arial" w:cs="Arial"/>
          <w:color w:val="242424"/>
        </w:rPr>
      </w:pPr>
      <w:r w:rsidRPr="009033ED">
        <w:rPr>
          <w:rFonts w:ascii="Arial" w:hAnsi="Arial" w:cs="Arial"/>
          <w:b/>
          <w:bCs/>
          <w:color w:val="242424"/>
        </w:rPr>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3</w:t>
      </w:r>
      <w:r w:rsidRPr="009033ED">
        <w:rPr>
          <w:rFonts w:ascii="Arial" w:hAnsi="Arial" w:cs="Arial"/>
          <w:b/>
          <w:bCs/>
          <w:color w:val="242424"/>
        </w:rPr>
        <w:t>:</w:t>
      </w:r>
      <w:r>
        <w:rPr>
          <w:rFonts w:ascii="Arial" w:hAnsi="Arial" w:cs="Arial"/>
          <w:color w:val="242424"/>
        </w:rPr>
        <w:t xml:space="preserve"> </w:t>
      </w:r>
      <w:r w:rsidR="00A26BC6" w:rsidRPr="0000072D">
        <w:rPr>
          <w:rFonts w:ascii="Arial" w:hAnsi="Arial" w:cs="Arial"/>
          <w:color w:val="242424"/>
        </w:rPr>
        <w:t>Documentary</w:t>
      </w:r>
      <w:r w:rsidR="00A26BC6">
        <w:rPr>
          <w:rFonts w:ascii="Arial" w:hAnsi="Arial" w:cs="Arial"/>
          <w:color w:val="242424"/>
        </w:rPr>
        <w:t xml:space="preserve"> r</w:t>
      </w:r>
      <w:r w:rsidR="00A26BC6" w:rsidRPr="0000072D">
        <w:rPr>
          <w:rFonts w:ascii="Arial" w:hAnsi="Arial" w:cs="Arial"/>
          <w:color w:val="242424"/>
        </w:rPr>
        <w:t xml:space="preserve">ecord from </w:t>
      </w:r>
      <w:r w:rsidR="00A26BC6">
        <w:rPr>
          <w:rFonts w:ascii="Arial" w:hAnsi="Arial" w:cs="Arial"/>
          <w:color w:val="242424"/>
        </w:rPr>
        <w:t>the YCUSD</w:t>
      </w:r>
      <w:r w:rsidR="00A26BC6" w:rsidRPr="0000072D">
        <w:rPr>
          <w:rFonts w:ascii="Arial" w:hAnsi="Arial" w:cs="Arial"/>
          <w:color w:val="242424"/>
        </w:rPr>
        <w:t xml:space="preserve">, which is available on the </w:t>
      </w:r>
      <w:r w:rsidR="00A26BC6">
        <w:rPr>
          <w:rFonts w:ascii="Arial" w:hAnsi="Arial" w:cs="Arial"/>
          <w:color w:val="242424"/>
        </w:rPr>
        <w:t xml:space="preserve">June 2023 </w:t>
      </w:r>
      <w:r w:rsidR="00A26BC6" w:rsidRPr="0000072D">
        <w:rPr>
          <w:rFonts w:ascii="Arial" w:hAnsi="Arial" w:cs="Arial"/>
          <w:color w:val="242424"/>
        </w:rPr>
        <w:t>ACCS Meeting Agenda web page at</w:t>
      </w:r>
      <w:r w:rsidR="00A26BC6">
        <w:rPr>
          <w:rFonts w:ascii="Arial" w:hAnsi="Arial" w:cs="Arial"/>
          <w:color w:val="242424"/>
        </w:rPr>
        <w:t xml:space="preserve"> </w:t>
      </w:r>
      <w:hyperlink r:id="rId12" w:tooltip="Documentary record from the YCUSD" w:history="1">
        <w:r w:rsidR="00A26BC6" w:rsidRPr="00646665">
          <w:rPr>
            <w:rStyle w:val="Hyperlink"/>
            <w:rFonts w:ascii="Arial" w:hAnsi="Arial" w:cs="Arial"/>
          </w:rPr>
          <w:t>https://www.cde.ca.gov/be/cc/cs/documents/accs-jun23item03a3.pdf</w:t>
        </w:r>
      </w:hyperlink>
      <w:r w:rsidR="00A26BC6">
        <w:rPr>
          <w:rFonts w:ascii="Arial" w:hAnsi="Arial" w:cs="Arial"/>
          <w:color w:val="242424"/>
        </w:rPr>
        <w:t xml:space="preserve"> </w:t>
      </w:r>
    </w:p>
    <w:p w14:paraId="798F90F7" w14:textId="67BEEC22" w:rsidR="00A26BC6" w:rsidRPr="0000072D" w:rsidRDefault="00596C82" w:rsidP="00A26BC6">
      <w:pPr>
        <w:pStyle w:val="NormalWeb"/>
        <w:numPr>
          <w:ilvl w:val="0"/>
          <w:numId w:val="11"/>
        </w:numPr>
        <w:spacing w:before="0" w:beforeAutospacing="0" w:after="240"/>
        <w:rPr>
          <w:rFonts w:ascii="Arial" w:hAnsi="Arial" w:cs="Arial"/>
          <w:color w:val="242424"/>
        </w:rPr>
      </w:pPr>
      <w:r w:rsidRPr="009033ED">
        <w:rPr>
          <w:rFonts w:ascii="Arial" w:hAnsi="Arial" w:cs="Arial"/>
          <w:b/>
          <w:bCs/>
          <w:color w:val="242424"/>
        </w:rPr>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4</w:t>
      </w:r>
      <w:r w:rsidRPr="009033ED">
        <w:rPr>
          <w:rFonts w:ascii="Arial" w:hAnsi="Arial" w:cs="Arial"/>
          <w:b/>
          <w:bCs/>
          <w:color w:val="242424"/>
        </w:rPr>
        <w:t>:</w:t>
      </w:r>
      <w:r>
        <w:rPr>
          <w:rFonts w:ascii="Arial" w:hAnsi="Arial" w:cs="Arial"/>
          <w:color w:val="242424"/>
        </w:rPr>
        <w:t xml:space="preserve"> </w:t>
      </w:r>
      <w:r w:rsidR="00A26BC6" w:rsidRPr="0000072D">
        <w:rPr>
          <w:rFonts w:ascii="Arial" w:hAnsi="Arial" w:cs="Arial"/>
          <w:color w:val="242424"/>
        </w:rPr>
        <w:t xml:space="preserve">Documentary </w:t>
      </w:r>
      <w:r w:rsidR="00A26BC6">
        <w:rPr>
          <w:rFonts w:ascii="Arial" w:hAnsi="Arial" w:cs="Arial"/>
          <w:color w:val="242424"/>
        </w:rPr>
        <w:t>r</w:t>
      </w:r>
      <w:r w:rsidR="00A26BC6" w:rsidRPr="0000072D">
        <w:rPr>
          <w:rFonts w:ascii="Arial" w:hAnsi="Arial" w:cs="Arial"/>
          <w:color w:val="242424"/>
        </w:rPr>
        <w:t xml:space="preserve">ecord from </w:t>
      </w:r>
      <w:r w:rsidR="00A26BC6">
        <w:rPr>
          <w:rFonts w:ascii="Arial" w:hAnsi="Arial" w:cs="Arial"/>
          <w:color w:val="242424"/>
        </w:rPr>
        <w:t>SCBOE</w:t>
      </w:r>
      <w:r w:rsidR="00A26BC6" w:rsidRPr="0000072D">
        <w:rPr>
          <w:rFonts w:ascii="Arial" w:hAnsi="Arial" w:cs="Arial"/>
          <w:color w:val="242424"/>
        </w:rPr>
        <w:t xml:space="preserve">, which is available on the </w:t>
      </w:r>
      <w:r w:rsidR="00A26BC6">
        <w:rPr>
          <w:rFonts w:ascii="Arial" w:hAnsi="Arial" w:cs="Arial"/>
          <w:color w:val="242424"/>
        </w:rPr>
        <w:t xml:space="preserve">June 2023 </w:t>
      </w:r>
      <w:r w:rsidR="00A26BC6" w:rsidRPr="0000072D">
        <w:rPr>
          <w:rFonts w:ascii="Arial" w:hAnsi="Arial" w:cs="Arial"/>
          <w:color w:val="242424"/>
        </w:rPr>
        <w:t>ACCS Meeting Agenda web page at</w:t>
      </w:r>
      <w:r w:rsidR="00A26BC6">
        <w:rPr>
          <w:rFonts w:ascii="Arial" w:hAnsi="Arial" w:cs="Arial"/>
          <w:color w:val="242424"/>
        </w:rPr>
        <w:t xml:space="preserve"> </w:t>
      </w:r>
      <w:hyperlink r:id="rId13" w:tooltip="Documentary record from SCBOE" w:history="1">
        <w:r w:rsidR="00A26BC6" w:rsidRPr="00646665">
          <w:rPr>
            <w:rStyle w:val="Hyperlink"/>
            <w:rFonts w:ascii="Arial" w:hAnsi="Arial" w:cs="Arial"/>
          </w:rPr>
          <w:t>https://www.cde.ca.gov/be/cc/cs/documents/accs-jun23item03a4.pdf</w:t>
        </w:r>
      </w:hyperlink>
      <w:r w:rsidR="00A26BC6">
        <w:rPr>
          <w:rFonts w:ascii="Arial" w:hAnsi="Arial" w:cs="Arial"/>
          <w:color w:val="242424"/>
        </w:rPr>
        <w:t xml:space="preserve"> </w:t>
      </w:r>
    </w:p>
    <w:p w14:paraId="462C5CB6" w14:textId="6A73B56D" w:rsidR="00A26BC6" w:rsidRPr="0000072D" w:rsidRDefault="00596C82" w:rsidP="00A26BC6">
      <w:pPr>
        <w:pStyle w:val="NormalWeb"/>
        <w:numPr>
          <w:ilvl w:val="0"/>
          <w:numId w:val="11"/>
        </w:numPr>
        <w:spacing w:before="0" w:beforeAutospacing="0" w:after="240"/>
        <w:rPr>
          <w:rFonts w:ascii="Arial" w:hAnsi="Arial" w:cs="Arial"/>
          <w:color w:val="242424"/>
        </w:rPr>
      </w:pPr>
      <w:r w:rsidRPr="009033ED">
        <w:rPr>
          <w:rFonts w:ascii="Arial" w:hAnsi="Arial" w:cs="Arial"/>
          <w:b/>
          <w:bCs/>
          <w:color w:val="242424"/>
        </w:rPr>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5</w:t>
      </w:r>
      <w:r w:rsidRPr="009033ED">
        <w:rPr>
          <w:rFonts w:ascii="Arial" w:hAnsi="Arial" w:cs="Arial"/>
          <w:b/>
          <w:bCs/>
          <w:color w:val="242424"/>
        </w:rPr>
        <w:t>:</w:t>
      </w:r>
      <w:r>
        <w:rPr>
          <w:rFonts w:ascii="Arial" w:hAnsi="Arial" w:cs="Arial"/>
          <w:color w:val="242424"/>
        </w:rPr>
        <w:t xml:space="preserve"> </w:t>
      </w:r>
      <w:bookmarkEnd w:id="1"/>
      <w:r w:rsidR="00A26BC6">
        <w:rPr>
          <w:rFonts w:ascii="Arial" w:hAnsi="Arial" w:cs="Arial"/>
          <w:color w:val="242424"/>
        </w:rPr>
        <w:t xml:space="preserve">NPSYC supporting documentation, which is available on the June 2023 ACCS Meeting Agenda web page at </w:t>
      </w:r>
      <w:hyperlink r:id="rId14" w:tooltip="NPSYC supporting documentation" w:history="1">
        <w:r w:rsidR="00A26BC6" w:rsidRPr="00646665">
          <w:rPr>
            <w:rStyle w:val="Hyperlink"/>
            <w:rFonts w:ascii="Arial" w:hAnsi="Arial" w:cs="Arial"/>
          </w:rPr>
          <w:t>https://www.cde.ca.gov/be/cc/cs/documents/accs-jun23item03a6.pdf</w:t>
        </w:r>
      </w:hyperlink>
      <w:r w:rsidR="00A26BC6">
        <w:rPr>
          <w:rFonts w:ascii="Arial" w:hAnsi="Arial" w:cs="Arial"/>
          <w:color w:val="242424"/>
        </w:rPr>
        <w:t xml:space="preserve"> </w:t>
      </w:r>
    </w:p>
    <w:bookmarkEnd w:id="2"/>
    <w:p w14:paraId="11C92EA5" w14:textId="77777777" w:rsidR="0056775C" w:rsidRDefault="0056775C" w:rsidP="0031007A">
      <w:pPr>
        <w:pStyle w:val="Heading2"/>
        <w:rPr>
          <w:iCs/>
        </w:rPr>
      </w:pPr>
      <w:r w:rsidRPr="00A52615">
        <w:t>Attachment</w:t>
      </w:r>
    </w:p>
    <w:p w14:paraId="6E0F1ADF" w14:textId="77777777" w:rsidR="0056775C" w:rsidRPr="00824E1E" w:rsidRDefault="0056775C" w:rsidP="00003638">
      <w:pPr>
        <w:spacing w:after="240"/>
      </w:pPr>
      <w:r>
        <w:t>None.</w:t>
      </w:r>
    </w:p>
    <w:sectPr w:rsidR="0056775C" w:rsidRPr="00824E1E" w:rsidSect="00407E9B">
      <w:headerReference w:type="even" r:id="rId15"/>
      <w:headerReference w:type="default" r:id="rId16"/>
      <w:headerReference w:type="first" r:id="rId17"/>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9CBF6" w14:textId="77777777" w:rsidR="00201A78" w:rsidRDefault="00201A78" w:rsidP="000E09DC">
      <w:r>
        <w:separator/>
      </w:r>
    </w:p>
  </w:endnote>
  <w:endnote w:type="continuationSeparator" w:id="0">
    <w:p w14:paraId="1C3381C7" w14:textId="77777777" w:rsidR="00201A78" w:rsidRDefault="00201A7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3A62" w14:textId="77777777" w:rsidR="00201A78" w:rsidRDefault="00201A78" w:rsidP="000E09DC">
      <w:r>
        <w:separator/>
      </w:r>
    </w:p>
  </w:footnote>
  <w:footnote w:type="continuationSeparator" w:id="0">
    <w:p w14:paraId="403F64AC" w14:textId="77777777" w:rsidR="00201A78" w:rsidRDefault="00201A78"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3756" w14:textId="53E19CE4"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78AD1DC"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73A1A2E2"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9770" w14:textId="4889861E" w:rsidR="00882E40" w:rsidRDefault="00882E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E45B" w14:textId="5EEB06BC" w:rsidR="00662D00" w:rsidRDefault="00662D00" w:rsidP="009247FB">
    <w:pPr>
      <w:pStyle w:val="Header"/>
      <w:jc w:val="right"/>
    </w:pPr>
  </w:p>
  <w:sdt>
    <w:sdtPr>
      <w:id w:val="98381352"/>
      <w:docPartObj>
        <w:docPartGallery w:val="Page Numbers (Top of Page)"/>
        <w:docPartUnique/>
      </w:docPartObj>
    </w:sdtPr>
    <w:sdtEndPr/>
    <w:sdtContent>
      <w:p w14:paraId="007D71F3" w14:textId="3F3174B6" w:rsidR="009247FB" w:rsidRDefault="00824E1E" w:rsidP="009247FB">
        <w:pPr>
          <w:pStyle w:val="Header"/>
          <w:jc w:val="right"/>
        </w:pPr>
        <w:r>
          <w:t>la</w:t>
        </w:r>
        <w:r w:rsidR="009247FB">
          <w:t>b-csd-</w:t>
        </w:r>
        <w:r w:rsidR="00D120D3">
          <w:t>nov</w:t>
        </w:r>
        <w:r w:rsidRPr="00824E1E">
          <w:t>2</w:t>
        </w:r>
        <w:r w:rsidR="00925B1C">
          <w:t>3</w:t>
        </w:r>
        <w:r w:rsidR="009247FB" w:rsidRPr="00824E1E">
          <w:t>item</w:t>
        </w:r>
        <w:r w:rsidR="00D120D3">
          <w:t>01</w:t>
        </w:r>
      </w:p>
      <w:p w14:paraId="67892668" w14:textId="77777777" w:rsidR="009247FB" w:rsidRPr="009247FB" w:rsidRDefault="009247FB" w:rsidP="00604955">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604955">
          <w:rPr>
            <w:bCs/>
            <w:noProof/>
          </w:rPr>
          <w:t>2</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604955">
          <w:rPr>
            <w:bCs/>
            <w:noProof/>
          </w:rPr>
          <w:t>3</w:t>
        </w:r>
        <w:r w:rsidRPr="009247FB">
          <w:rPr>
            <w:bCs/>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A938" w14:textId="114CC0B4" w:rsidR="00882E40" w:rsidRDefault="00882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578F"/>
    <w:multiLevelType w:val="hybridMultilevel"/>
    <w:tmpl w:val="83DE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6618A"/>
    <w:multiLevelType w:val="hybridMultilevel"/>
    <w:tmpl w:val="752A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931B55"/>
    <w:multiLevelType w:val="hybridMultilevel"/>
    <w:tmpl w:val="9434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B3F7F"/>
    <w:multiLevelType w:val="hybridMultilevel"/>
    <w:tmpl w:val="710EC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61345"/>
    <w:multiLevelType w:val="hybridMultilevel"/>
    <w:tmpl w:val="8ED86CDA"/>
    <w:lvl w:ilvl="0" w:tplc="48EA9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4214F9"/>
    <w:multiLevelType w:val="hybridMultilevel"/>
    <w:tmpl w:val="265C04CA"/>
    <w:lvl w:ilvl="0" w:tplc="CD1096F8">
      <w:start w:val="1"/>
      <w:numFmt w:val="decimal"/>
      <w:lvlText w:val="%1."/>
      <w:lvlJc w:val="left"/>
      <w:pPr>
        <w:ind w:left="720" w:hanging="360"/>
      </w:pPr>
      <w:rPr>
        <w:rFonts w:eastAsia="Times New Roman" w:cs="Times New Roman"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2B25ED"/>
    <w:multiLevelType w:val="hybridMultilevel"/>
    <w:tmpl w:val="0128B582"/>
    <w:lvl w:ilvl="0" w:tplc="04090001">
      <w:start w:val="1"/>
      <w:numFmt w:val="bullet"/>
      <w:lvlText w:val=""/>
      <w:lvlJc w:val="left"/>
      <w:pPr>
        <w:ind w:left="720" w:hanging="360"/>
      </w:pPr>
      <w:rPr>
        <w:rFonts w:ascii="Symbol" w:hAnsi="Symbol" w:hint="default"/>
        <w:b w:val="0"/>
        <w:i w:val="0"/>
      </w:rPr>
    </w:lvl>
    <w:lvl w:ilvl="1" w:tplc="6FBE3E7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8B608F"/>
    <w:multiLevelType w:val="hybridMultilevel"/>
    <w:tmpl w:val="425C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5854630">
    <w:abstractNumId w:val="6"/>
  </w:num>
  <w:num w:numId="2" w16cid:durableId="313528580">
    <w:abstractNumId w:val="14"/>
  </w:num>
  <w:num w:numId="3" w16cid:durableId="1602493395">
    <w:abstractNumId w:val="4"/>
  </w:num>
  <w:num w:numId="4" w16cid:durableId="1365211274">
    <w:abstractNumId w:val="9"/>
  </w:num>
  <w:num w:numId="5" w16cid:durableId="578246810">
    <w:abstractNumId w:val="10"/>
  </w:num>
  <w:num w:numId="6" w16cid:durableId="966157857">
    <w:abstractNumId w:val="0"/>
  </w:num>
  <w:num w:numId="7" w16cid:durableId="1647314247">
    <w:abstractNumId w:val="5"/>
  </w:num>
  <w:num w:numId="8" w16cid:durableId="821965640">
    <w:abstractNumId w:val="13"/>
  </w:num>
  <w:num w:numId="9" w16cid:durableId="1331449739">
    <w:abstractNumId w:val="1"/>
  </w:num>
  <w:num w:numId="10" w16cid:durableId="1000541868">
    <w:abstractNumId w:val="16"/>
  </w:num>
  <w:num w:numId="11" w16cid:durableId="471407786">
    <w:abstractNumId w:val="2"/>
  </w:num>
  <w:num w:numId="12" w16cid:durableId="956983653">
    <w:abstractNumId w:val="15"/>
  </w:num>
  <w:num w:numId="13" w16cid:durableId="296034034">
    <w:abstractNumId w:val="8"/>
  </w:num>
  <w:num w:numId="14" w16cid:durableId="1555504098">
    <w:abstractNumId w:val="7"/>
  </w:num>
  <w:num w:numId="15" w16cid:durableId="1449079974">
    <w:abstractNumId w:val="12"/>
  </w:num>
  <w:num w:numId="16" w16cid:durableId="785151762">
    <w:abstractNumId w:val="11"/>
  </w:num>
  <w:num w:numId="17" w16cid:durableId="1359042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43"/>
    <w:rsid w:val="0000089D"/>
    <w:rsid w:val="00003638"/>
    <w:rsid w:val="000040D5"/>
    <w:rsid w:val="000050D7"/>
    <w:rsid w:val="000324AD"/>
    <w:rsid w:val="0003755B"/>
    <w:rsid w:val="00040FE1"/>
    <w:rsid w:val="000672F7"/>
    <w:rsid w:val="00071F4A"/>
    <w:rsid w:val="000751B3"/>
    <w:rsid w:val="00091B49"/>
    <w:rsid w:val="000C05E7"/>
    <w:rsid w:val="000D7233"/>
    <w:rsid w:val="000E09DC"/>
    <w:rsid w:val="00101149"/>
    <w:rsid w:val="001048F3"/>
    <w:rsid w:val="00124235"/>
    <w:rsid w:val="00130059"/>
    <w:rsid w:val="00130605"/>
    <w:rsid w:val="00143AD5"/>
    <w:rsid w:val="00157807"/>
    <w:rsid w:val="00165671"/>
    <w:rsid w:val="0018148D"/>
    <w:rsid w:val="001A049D"/>
    <w:rsid w:val="001A0CA5"/>
    <w:rsid w:val="001A1F11"/>
    <w:rsid w:val="001A4634"/>
    <w:rsid w:val="001A660E"/>
    <w:rsid w:val="001B3958"/>
    <w:rsid w:val="001B587E"/>
    <w:rsid w:val="001C175A"/>
    <w:rsid w:val="001D2CD8"/>
    <w:rsid w:val="001D5834"/>
    <w:rsid w:val="001E1929"/>
    <w:rsid w:val="00200B5D"/>
    <w:rsid w:val="00201A78"/>
    <w:rsid w:val="00206EC8"/>
    <w:rsid w:val="00207129"/>
    <w:rsid w:val="00207858"/>
    <w:rsid w:val="00223112"/>
    <w:rsid w:val="00235D4E"/>
    <w:rsid w:val="00240B26"/>
    <w:rsid w:val="002419E8"/>
    <w:rsid w:val="002716C4"/>
    <w:rsid w:val="00273844"/>
    <w:rsid w:val="002861A9"/>
    <w:rsid w:val="002B345D"/>
    <w:rsid w:val="002B4B14"/>
    <w:rsid w:val="002C0680"/>
    <w:rsid w:val="002D1A82"/>
    <w:rsid w:val="002E4817"/>
    <w:rsid w:val="002E4CB5"/>
    <w:rsid w:val="002E6FCA"/>
    <w:rsid w:val="002F279B"/>
    <w:rsid w:val="00300D6F"/>
    <w:rsid w:val="0031007A"/>
    <w:rsid w:val="003137E1"/>
    <w:rsid w:val="00315131"/>
    <w:rsid w:val="00342F55"/>
    <w:rsid w:val="00363520"/>
    <w:rsid w:val="003705FC"/>
    <w:rsid w:val="00372364"/>
    <w:rsid w:val="00382A52"/>
    <w:rsid w:val="0038353A"/>
    <w:rsid w:val="00384ACF"/>
    <w:rsid w:val="003A333E"/>
    <w:rsid w:val="003A6EE4"/>
    <w:rsid w:val="003B7257"/>
    <w:rsid w:val="003B777F"/>
    <w:rsid w:val="003D1A89"/>
    <w:rsid w:val="003D1ECD"/>
    <w:rsid w:val="003E1E8D"/>
    <w:rsid w:val="003E4DF7"/>
    <w:rsid w:val="003F25F9"/>
    <w:rsid w:val="004004E3"/>
    <w:rsid w:val="00402084"/>
    <w:rsid w:val="00405076"/>
    <w:rsid w:val="00406F50"/>
    <w:rsid w:val="00407E9B"/>
    <w:rsid w:val="004111AA"/>
    <w:rsid w:val="004203BC"/>
    <w:rsid w:val="00434988"/>
    <w:rsid w:val="00442B16"/>
    <w:rsid w:val="0044670C"/>
    <w:rsid w:val="004619D6"/>
    <w:rsid w:val="0047534A"/>
    <w:rsid w:val="00493BD4"/>
    <w:rsid w:val="004A42C2"/>
    <w:rsid w:val="004C7613"/>
    <w:rsid w:val="004E029B"/>
    <w:rsid w:val="004E2496"/>
    <w:rsid w:val="004E6CE4"/>
    <w:rsid w:val="005010C4"/>
    <w:rsid w:val="00517C00"/>
    <w:rsid w:val="0052199E"/>
    <w:rsid w:val="00527B0E"/>
    <w:rsid w:val="00547C8A"/>
    <w:rsid w:val="0056775C"/>
    <w:rsid w:val="00592E15"/>
    <w:rsid w:val="00596C82"/>
    <w:rsid w:val="00597AA1"/>
    <w:rsid w:val="00597E6E"/>
    <w:rsid w:val="005B6267"/>
    <w:rsid w:val="005D1955"/>
    <w:rsid w:val="005D48F8"/>
    <w:rsid w:val="005D773E"/>
    <w:rsid w:val="005D7CD8"/>
    <w:rsid w:val="005E47F1"/>
    <w:rsid w:val="005F738D"/>
    <w:rsid w:val="00604952"/>
    <w:rsid w:val="00604955"/>
    <w:rsid w:val="0064558C"/>
    <w:rsid w:val="00660CD9"/>
    <w:rsid w:val="00662D00"/>
    <w:rsid w:val="00675E86"/>
    <w:rsid w:val="00692300"/>
    <w:rsid w:val="0069374C"/>
    <w:rsid w:val="00693951"/>
    <w:rsid w:val="00696151"/>
    <w:rsid w:val="006B0A46"/>
    <w:rsid w:val="006B2111"/>
    <w:rsid w:val="006B6F6D"/>
    <w:rsid w:val="006C6AF7"/>
    <w:rsid w:val="006D0223"/>
    <w:rsid w:val="006D7055"/>
    <w:rsid w:val="006E06C6"/>
    <w:rsid w:val="006F1835"/>
    <w:rsid w:val="006F227A"/>
    <w:rsid w:val="006F3AD5"/>
    <w:rsid w:val="006F7EF2"/>
    <w:rsid w:val="00713669"/>
    <w:rsid w:val="0071572B"/>
    <w:rsid w:val="00726013"/>
    <w:rsid w:val="00726EDA"/>
    <w:rsid w:val="007313A3"/>
    <w:rsid w:val="00736F3A"/>
    <w:rsid w:val="007428B8"/>
    <w:rsid w:val="00746164"/>
    <w:rsid w:val="00746886"/>
    <w:rsid w:val="007559F7"/>
    <w:rsid w:val="00761E40"/>
    <w:rsid w:val="00761FDE"/>
    <w:rsid w:val="00780BB6"/>
    <w:rsid w:val="00783466"/>
    <w:rsid w:val="007B0923"/>
    <w:rsid w:val="007C5697"/>
    <w:rsid w:val="007D327A"/>
    <w:rsid w:val="007D57AE"/>
    <w:rsid w:val="007D6A8F"/>
    <w:rsid w:val="00802685"/>
    <w:rsid w:val="00802724"/>
    <w:rsid w:val="008158F0"/>
    <w:rsid w:val="008169C8"/>
    <w:rsid w:val="00824E1E"/>
    <w:rsid w:val="00825D7E"/>
    <w:rsid w:val="00850E77"/>
    <w:rsid w:val="0085320B"/>
    <w:rsid w:val="00862077"/>
    <w:rsid w:val="00863198"/>
    <w:rsid w:val="00882E40"/>
    <w:rsid w:val="00886555"/>
    <w:rsid w:val="008909EE"/>
    <w:rsid w:val="008A36FC"/>
    <w:rsid w:val="008B6A03"/>
    <w:rsid w:val="008E6D20"/>
    <w:rsid w:val="008F2010"/>
    <w:rsid w:val="0091117B"/>
    <w:rsid w:val="009247FB"/>
    <w:rsid w:val="00925B1C"/>
    <w:rsid w:val="00984068"/>
    <w:rsid w:val="00992018"/>
    <w:rsid w:val="009964D0"/>
    <w:rsid w:val="009A6A64"/>
    <w:rsid w:val="009B04E1"/>
    <w:rsid w:val="009D4824"/>
    <w:rsid w:val="009D5028"/>
    <w:rsid w:val="009E464F"/>
    <w:rsid w:val="009E5342"/>
    <w:rsid w:val="009E55BC"/>
    <w:rsid w:val="009F7743"/>
    <w:rsid w:val="00A07F42"/>
    <w:rsid w:val="00A16315"/>
    <w:rsid w:val="00A24F16"/>
    <w:rsid w:val="00A26BC6"/>
    <w:rsid w:val="00A30B3C"/>
    <w:rsid w:val="00A43E79"/>
    <w:rsid w:val="00A574FB"/>
    <w:rsid w:val="00A75A26"/>
    <w:rsid w:val="00A827BA"/>
    <w:rsid w:val="00A96F02"/>
    <w:rsid w:val="00B11714"/>
    <w:rsid w:val="00B21E79"/>
    <w:rsid w:val="00B21F48"/>
    <w:rsid w:val="00B3174F"/>
    <w:rsid w:val="00B668A4"/>
    <w:rsid w:val="00B723BE"/>
    <w:rsid w:val="00B82705"/>
    <w:rsid w:val="00B864CC"/>
    <w:rsid w:val="00BA3070"/>
    <w:rsid w:val="00BC07F3"/>
    <w:rsid w:val="00BD0668"/>
    <w:rsid w:val="00BE1B84"/>
    <w:rsid w:val="00BE7073"/>
    <w:rsid w:val="00C03CE2"/>
    <w:rsid w:val="00C15C41"/>
    <w:rsid w:val="00C25F82"/>
    <w:rsid w:val="00C27D57"/>
    <w:rsid w:val="00C338B3"/>
    <w:rsid w:val="00C4082F"/>
    <w:rsid w:val="00C67F68"/>
    <w:rsid w:val="00C74B8A"/>
    <w:rsid w:val="00C82531"/>
    <w:rsid w:val="00C82CBA"/>
    <w:rsid w:val="00C85860"/>
    <w:rsid w:val="00CB50A6"/>
    <w:rsid w:val="00CC3539"/>
    <w:rsid w:val="00CE1C84"/>
    <w:rsid w:val="00CE2028"/>
    <w:rsid w:val="00CE28E6"/>
    <w:rsid w:val="00CE4E82"/>
    <w:rsid w:val="00D0344D"/>
    <w:rsid w:val="00D120D3"/>
    <w:rsid w:val="00D2409D"/>
    <w:rsid w:val="00D245E8"/>
    <w:rsid w:val="00D33404"/>
    <w:rsid w:val="00D40651"/>
    <w:rsid w:val="00D47DAB"/>
    <w:rsid w:val="00D5115F"/>
    <w:rsid w:val="00D56CDA"/>
    <w:rsid w:val="00D82723"/>
    <w:rsid w:val="00D83986"/>
    <w:rsid w:val="00D8667C"/>
    <w:rsid w:val="00D86AB9"/>
    <w:rsid w:val="00DA5EBF"/>
    <w:rsid w:val="00DB5C88"/>
    <w:rsid w:val="00DB6C51"/>
    <w:rsid w:val="00DD0B6E"/>
    <w:rsid w:val="00E009E7"/>
    <w:rsid w:val="00E04471"/>
    <w:rsid w:val="00E0657C"/>
    <w:rsid w:val="00E21992"/>
    <w:rsid w:val="00E23FA8"/>
    <w:rsid w:val="00E6110D"/>
    <w:rsid w:val="00E71E07"/>
    <w:rsid w:val="00E72574"/>
    <w:rsid w:val="00EA7D4F"/>
    <w:rsid w:val="00EB16F7"/>
    <w:rsid w:val="00EB1F47"/>
    <w:rsid w:val="00EC0174"/>
    <w:rsid w:val="00EC01D4"/>
    <w:rsid w:val="00EC504C"/>
    <w:rsid w:val="00F27717"/>
    <w:rsid w:val="00F40510"/>
    <w:rsid w:val="00F46513"/>
    <w:rsid w:val="00F55E44"/>
    <w:rsid w:val="00F65375"/>
    <w:rsid w:val="00F71496"/>
    <w:rsid w:val="00F7636F"/>
    <w:rsid w:val="00FA2EB8"/>
    <w:rsid w:val="00FC1FCE"/>
    <w:rsid w:val="00FE3007"/>
    <w:rsid w:val="00FE4BD6"/>
    <w:rsid w:val="00FF277C"/>
    <w:rsid w:val="00FF6A6F"/>
    <w:rsid w:val="00FF7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30D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31007A"/>
    <w:pPr>
      <w:keepNext/>
      <w:keepLines/>
      <w:spacing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04471"/>
    <w:pPr>
      <w:keepNext/>
      <w:keepLines/>
      <w:spacing w:before="160" w:after="120"/>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E04471"/>
    <w:pPr>
      <w:keepNext/>
      <w:keepLines/>
      <w:spacing w:before="160" w:after="120"/>
      <w:outlineLvl w:val="3"/>
    </w:pPr>
    <w:rPr>
      <w:rFonts w:eastAsiaTheme="majorEastAsia" w:cstheme="majorBidi"/>
      <w:i/>
      <w:iCs/>
      <w:sz w:val="32"/>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1007A"/>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04471"/>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E04471"/>
    <w:rPr>
      <w:rFonts w:ascii="Arial" w:eastAsiaTheme="majorEastAsia" w:hAnsi="Arial" w:cstheme="majorBidi"/>
      <w:i/>
      <w:iCs/>
      <w:sz w:val="32"/>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75A26"/>
    <w:rPr>
      <w:color w:val="605E5C"/>
      <w:shd w:val="clear" w:color="auto" w:fill="E1DFDD"/>
    </w:rPr>
  </w:style>
  <w:style w:type="character" w:styleId="FollowedHyperlink">
    <w:name w:val="FollowedHyperlink"/>
    <w:basedOn w:val="DefaultParagraphFont"/>
    <w:uiPriority w:val="99"/>
    <w:semiHidden/>
    <w:unhideWhenUsed/>
    <w:rsid w:val="00A75A26"/>
    <w:rPr>
      <w:color w:val="954F72" w:themeColor="followedHyperlink"/>
      <w:u w:val="single"/>
    </w:rPr>
  </w:style>
  <w:style w:type="character" w:styleId="CommentReference">
    <w:name w:val="annotation reference"/>
    <w:basedOn w:val="DefaultParagraphFont"/>
    <w:uiPriority w:val="99"/>
    <w:semiHidden/>
    <w:unhideWhenUsed/>
    <w:rsid w:val="00101149"/>
    <w:rPr>
      <w:sz w:val="16"/>
      <w:szCs w:val="16"/>
    </w:rPr>
  </w:style>
  <w:style w:type="paragraph" w:styleId="CommentText">
    <w:name w:val="annotation text"/>
    <w:basedOn w:val="Normal"/>
    <w:link w:val="CommentTextChar"/>
    <w:uiPriority w:val="99"/>
    <w:unhideWhenUsed/>
    <w:rsid w:val="00101149"/>
    <w:rPr>
      <w:sz w:val="20"/>
      <w:szCs w:val="20"/>
    </w:rPr>
  </w:style>
  <w:style w:type="character" w:customStyle="1" w:styleId="CommentTextChar">
    <w:name w:val="Comment Text Char"/>
    <w:basedOn w:val="DefaultParagraphFont"/>
    <w:link w:val="CommentText"/>
    <w:uiPriority w:val="99"/>
    <w:rsid w:val="0010114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01149"/>
    <w:rPr>
      <w:b/>
      <w:bCs/>
    </w:rPr>
  </w:style>
  <w:style w:type="character" w:customStyle="1" w:styleId="CommentSubjectChar">
    <w:name w:val="Comment Subject Char"/>
    <w:basedOn w:val="CommentTextChar"/>
    <w:link w:val="CommentSubject"/>
    <w:uiPriority w:val="99"/>
    <w:semiHidden/>
    <w:rsid w:val="00101149"/>
    <w:rPr>
      <w:rFonts w:ascii="Arial" w:eastAsia="Times New Roman" w:hAnsi="Arial" w:cs="Times New Roman"/>
      <w:b/>
      <w:bCs/>
      <w:sz w:val="20"/>
      <w:szCs w:val="20"/>
    </w:rPr>
  </w:style>
  <w:style w:type="paragraph" w:styleId="NormalWeb">
    <w:name w:val="Normal (Web)"/>
    <w:basedOn w:val="Normal"/>
    <w:uiPriority w:val="99"/>
    <w:unhideWhenUsed/>
    <w:rsid w:val="00124235"/>
    <w:pPr>
      <w:spacing w:before="100" w:beforeAutospacing="1" w:after="150"/>
    </w:pPr>
    <w:rPr>
      <w:rFonts w:ascii="Times New Roman" w:hAnsi="Times New Roman"/>
    </w:rPr>
  </w:style>
  <w:style w:type="paragraph" w:styleId="Revision">
    <w:name w:val="Revision"/>
    <w:hidden/>
    <w:uiPriority w:val="99"/>
    <w:semiHidden/>
    <w:rsid w:val="00E72574"/>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9506">
      <w:bodyDiv w:val="1"/>
      <w:marLeft w:val="0"/>
      <w:marRight w:val="0"/>
      <w:marTop w:val="0"/>
      <w:marBottom w:val="0"/>
      <w:divBdr>
        <w:top w:val="none" w:sz="0" w:space="0" w:color="auto"/>
        <w:left w:val="none" w:sz="0" w:space="0" w:color="auto"/>
        <w:bottom w:val="none" w:sz="0" w:space="0" w:color="auto"/>
        <w:right w:val="none" w:sz="0" w:space="0" w:color="auto"/>
      </w:divBdr>
    </w:div>
    <w:div w:id="478806719">
      <w:bodyDiv w:val="1"/>
      <w:marLeft w:val="0"/>
      <w:marRight w:val="0"/>
      <w:marTop w:val="0"/>
      <w:marBottom w:val="0"/>
      <w:divBdr>
        <w:top w:val="none" w:sz="0" w:space="0" w:color="auto"/>
        <w:left w:val="none" w:sz="0" w:space="0" w:color="auto"/>
        <w:bottom w:val="none" w:sz="0" w:space="0" w:color="auto"/>
        <w:right w:val="none" w:sz="0" w:space="0" w:color="auto"/>
      </w:divBdr>
    </w:div>
    <w:div w:id="485978232">
      <w:bodyDiv w:val="1"/>
      <w:marLeft w:val="0"/>
      <w:marRight w:val="0"/>
      <w:marTop w:val="0"/>
      <w:marBottom w:val="0"/>
      <w:divBdr>
        <w:top w:val="none" w:sz="0" w:space="0" w:color="auto"/>
        <w:left w:val="none" w:sz="0" w:space="0" w:color="auto"/>
        <w:bottom w:val="none" w:sz="0" w:space="0" w:color="auto"/>
        <w:right w:val="none" w:sz="0" w:space="0" w:color="auto"/>
      </w:divBdr>
    </w:div>
    <w:div w:id="504638044">
      <w:bodyDiv w:val="1"/>
      <w:marLeft w:val="0"/>
      <w:marRight w:val="0"/>
      <w:marTop w:val="0"/>
      <w:marBottom w:val="0"/>
      <w:divBdr>
        <w:top w:val="none" w:sz="0" w:space="0" w:color="auto"/>
        <w:left w:val="none" w:sz="0" w:space="0" w:color="auto"/>
        <w:bottom w:val="none" w:sz="0" w:space="0" w:color="auto"/>
        <w:right w:val="none" w:sz="0" w:space="0" w:color="auto"/>
      </w:divBdr>
    </w:div>
    <w:div w:id="1071076071">
      <w:bodyDiv w:val="1"/>
      <w:marLeft w:val="0"/>
      <w:marRight w:val="0"/>
      <w:marTop w:val="0"/>
      <w:marBottom w:val="0"/>
      <w:divBdr>
        <w:top w:val="none" w:sz="0" w:space="0" w:color="auto"/>
        <w:left w:val="none" w:sz="0" w:space="0" w:color="auto"/>
        <w:bottom w:val="none" w:sz="0" w:space="0" w:color="auto"/>
        <w:right w:val="none" w:sz="0" w:space="0" w:color="auto"/>
      </w:divBdr>
    </w:div>
    <w:div w:id="110075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documents/accs-jun23item03a4.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e.ca.gov/be/cc/cs/documents/accs-jun23item03a3.pdf"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jun23item03a2.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de.ca.gov/be/cc/cs/documents/accs-jun23item03a1.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e.ca.gov/be/cc/cs/accsnotice061323.asp" TargetMode="External"/><Relationship Id="rId14" Type="http://schemas.openxmlformats.org/officeDocument/2006/relationships/hyperlink" Target="https://www.cde.ca.gov/be/cc/cs/documents/accs-jun23item03a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6566</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November 2023 Agenda Item xx - Meeting Agendas (CA State Board of Education)</vt:lpstr>
    </vt:vector>
  </TitlesOfParts>
  <Company>California State Board of Education</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2023 Agenda Item 17 - Meeting Agendas (CA State Board of Education)</dc:title>
  <dc:subject>Appeal of the Denial of a Petition for the Establishment of a Classroom-Based Charter School Pursuant to California Education Code Section 47605(k)(2): Consideration of Evidence to Hear.</dc:subject>
  <cp:keywords/>
  <dc:description/>
  <cp:lastModifiedBy/>
  <dcterms:created xsi:type="dcterms:W3CDTF">2023-10-12T22:28:00Z</dcterms:created>
  <dcterms:modified xsi:type="dcterms:W3CDTF">2023-10-26T16:58:00Z</dcterms:modified>
  <cp:category/>
</cp:coreProperties>
</file>