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08150" w14:textId="4E7E393B" w:rsidR="00406D50" w:rsidRDefault="000A5E44" w:rsidP="009F6BE8">
      <w:pPr>
        <w:pStyle w:val="Heading1"/>
        <w:spacing w:before="0" w:after="240"/>
        <w:jc w:val="center"/>
        <w:rPr>
          <w:bCs/>
        </w:rPr>
      </w:pPr>
      <w:bookmarkStart w:id="0" w:name="_GoBack"/>
      <w:bookmarkEnd w:id="0"/>
      <w:r>
        <w:t>E</w:t>
      </w:r>
      <w:r w:rsidR="0071425B">
        <w:t xml:space="preserve">lementary and </w:t>
      </w:r>
      <w:r>
        <w:t>S</w:t>
      </w:r>
      <w:r w:rsidR="0071425B">
        <w:t xml:space="preserve">econdary </w:t>
      </w:r>
      <w:r>
        <w:t>S</w:t>
      </w:r>
      <w:r w:rsidR="0071425B">
        <w:t xml:space="preserve">chool </w:t>
      </w:r>
      <w:r>
        <w:t>E</w:t>
      </w:r>
      <w:r w:rsidR="0071425B">
        <w:t xml:space="preserve">mergency </w:t>
      </w:r>
      <w:r>
        <w:t>R</w:t>
      </w:r>
      <w:r w:rsidR="0071425B">
        <w:t>elief</w:t>
      </w:r>
      <w:r>
        <w:t xml:space="preserve"> III</w:t>
      </w:r>
      <w:r w:rsidR="009F6BE8">
        <w:br/>
      </w:r>
      <w:r>
        <w:rPr>
          <w:bCs/>
        </w:rPr>
        <w:t>Summer Grant</w:t>
      </w:r>
      <w:r w:rsidR="00406D50">
        <w:rPr>
          <w:bCs/>
        </w:rPr>
        <w:t xml:space="preserve"> Program</w:t>
      </w:r>
    </w:p>
    <w:p w14:paraId="695D87EB" w14:textId="77777777" w:rsidR="00406D50" w:rsidRPr="00FA453E" w:rsidRDefault="00406D50" w:rsidP="0046014D">
      <w:pPr>
        <w:jc w:val="center"/>
        <w:rPr>
          <w:b/>
          <w:bCs/>
          <w:szCs w:val="24"/>
        </w:rPr>
      </w:pPr>
      <w:r w:rsidRPr="00C62FAE">
        <w:rPr>
          <w:b/>
          <w:szCs w:val="24"/>
        </w:rPr>
        <w:t>Request for Applications</w:t>
      </w:r>
    </w:p>
    <w:p w14:paraId="44342281" w14:textId="3933CEA0" w:rsidR="00406D50" w:rsidRDefault="00406D50" w:rsidP="0046014D">
      <w:pPr>
        <w:spacing w:after="240"/>
        <w:jc w:val="center"/>
        <w:rPr>
          <w:b/>
          <w:szCs w:val="24"/>
        </w:rPr>
      </w:pPr>
      <w:r w:rsidRPr="00930B84">
        <w:rPr>
          <w:b/>
          <w:szCs w:val="24"/>
        </w:rPr>
        <w:t>Fiscal Year 20</w:t>
      </w:r>
      <w:r w:rsidR="000A5E44" w:rsidRPr="00930B84">
        <w:rPr>
          <w:b/>
          <w:szCs w:val="24"/>
        </w:rPr>
        <w:t>2</w:t>
      </w:r>
      <w:r w:rsidR="00C13B55" w:rsidRPr="00930B84">
        <w:rPr>
          <w:b/>
          <w:szCs w:val="24"/>
        </w:rPr>
        <w:t>2</w:t>
      </w:r>
      <w:r w:rsidR="00D52936" w:rsidRPr="00930B84">
        <w:rPr>
          <w:b/>
          <w:szCs w:val="24"/>
        </w:rPr>
        <w:t>–</w:t>
      </w:r>
      <w:r w:rsidR="000A5E44" w:rsidRPr="00930B84">
        <w:rPr>
          <w:b/>
          <w:szCs w:val="24"/>
        </w:rPr>
        <w:t>2</w:t>
      </w:r>
      <w:r w:rsidR="007C0913">
        <w:rPr>
          <w:b/>
          <w:szCs w:val="24"/>
        </w:rPr>
        <w:t>4</w:t>
      </w:r>
    </w:p>
    <w:p w14:paraId="1F1C8A6E" w14:textId="11CDA79C" w:rsidR="00406D50" w:rsidRPr="00AC3471" w:rsidRDefault="00406D50" w:rsidP="0046014D">
      <w:pPr>
        <w:spacing w:after="1320"/>
        <w:jc w:val="center"/>
        <w:rPr>
          <w:b/>
          <w:szCs w:val="24"/>
        </w:rPr>
      </w:pPr>
      <w:r w:rsidRPr="00D92655">
        <w:rPr>
          <w:b/>
          <w:szCs w:val="24"/>
        </w:rPr>
        <w:t xml:space="preserve">Due </w:t>
      </w:r>
      <w:r w:rsidR="007C0913">
        <w:rPr>
          <w:b/>
          <w:szCs w:val="24"/>
        </w:rPr>
        <w:t>May</w:t>
      </w:r>
      <w:r w:rsidR="00B70F07" w:rsidRPr="00D92655">
        <w:rPr>
          <w:b/>
          <w:szCs w:val="24"/>
        </w:rPr>
        <w:t xml:space="preserve"> 3, 2023</w:t>
      </w:r>
    </w:p>
    <w:p w14:paraId="24F75017" w14:textId="77777777" w:rsidR="00406D50" w:rsidRDefault="00406D50" w:rsidP="0046014D">
      <w:pPr>
        <w:spacing w:after="1440"/>
        <w:jc w:val="center"/>
        <w:rPr>
          <w:szCs w:val="23"/>
        </w:rPr>
      </w:pPr>
      <w:r>
        <w:rPr>
          <w:noProof/>
        </w:rPr>
        <w:drawing>
          <wp:inline distT="0" distB="0" distL="0" distR="0" wp14:anchorId="00575F5A" wp14:editId="269D6274">
            <wp:extent cx="1942465" cy="1942465"/>
            <wp:effectExtent l="0" t="0" r="635" b="635"/>
            <wp:docPr id="2" name="Picture 2"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ifornia Department of Education seal." title="California Department of Education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2465" cy="1942465"/>
                    </a:xfrm>
                    <a:prstGeom prst="rect">
                      <a:avLst/>
                    </a:prstGeom>
                    <a:noFill/>
                  </pic:spPr>
                </pic:pic>
              </a:graphicData>
            </a:graphic>
          </wp:inline>
        </w:drawing>
      </w:r>
    </w:p>
    <w:p w14:paraId="3EC849B0" w14:textId="77777777" w:rsidR="00406D50" w:rsidRDefault="00406D50" w:rsidP="0046014D">
      <w:pPr>
        <w:jc w:val="center"/>
        <w:rPr>
          <w:szCs w:val="23"/>
        </w:rPr>
      </w:pPr>
      <w:r>
        <w:rPr>
          <w:szCs w:val="23"/>
        </w:rPr>
        <w:t>Expanded Learning Division</w:t>
      </w:r>
    </w:p>
    <w:p w14:paraId="24BFBBC8" w14:textId="77777777" w:rsidR="00406D50" w:rsidRDefault="00406D50" w:rsidP="0046014D">
      <w:pPr>
        <w:jc w:val="center"/>
        <w:rPr>
          <w:szCs w:val="23"/>
        </w:rPr>
      </w:pPr>
      <w:r>
        <w:rPr>
          <w:szCs w:val="23"/>
        </w:rPr>
        <w:t>California Department of Education</w:t>
      </w:r>
    </w:p>
    <w:p w14:paraId="6A93AF23" w14:textId="77777777" w:rsidR="00406D50" w:rsidRDefault="00406D50" w:rsidP="0046014D">
      <w:pPr>
        <w:jc w:val="center"/>
        <w:rPr>
          <w:szCs w:val="23"/>
        </w:rPr>
      </w:pPr>
      <w:r>
        <w:rPr>
          <w:szCs w:val="23"/>
        </w:rPr>
        <w:t>1430 N Street, Suite 3400</w:t>
      </w:r>
    </w:p>
    <w:p w14:paraId="3EB2B67E" w14:textId="77777777" w:rsidR="00406D50" w:rsidRDefault="00406D50" w:rsidP="0046014D">
      <w:pPr>
        <w:jc w:val="center"/>
        <w:rPr>
          <w:szCs w:val="23"/>
        </w:rPr>
      </w:pPr>
      <w:r>
        <w:rPr>
          <w:szCs w:val="23"/>
        </w:rPr>
        <w:t>Sacramento, CA 95814–5901</w:t>
      </w:r>
    </w:p>
    <w:p w14:paraId="690FE560" w14:textId="77777777" w:rsidR="00406D50" w:rsidRDefault="00406D50" w:rsidP="0046014D">
      <w:pPr>
        <w:spacing w:after="240"/>
        <w:jc w:val="center"/>
        <w:rPr>
          <w:szCs w:val="23"/>
        </w:rPr>
      </w:pPr>
      <w:r>
        <w:rPr>
          <w:szCs w:val="23"/>
        </w:rPr>
        <w:t>916-319-0923</w:t>
      </w:r>
    </w:p>
    <w:p w14:paraId="0E90A5B8" w14:textId="0424C299" w:rsidR="009F6BE8" w:rsidRPr="009F6BE8" w:rsidRDefault="009F6BE8" w:rsidP="0046014D">
      <w:pPr>
        <w:jc w:val="center"/>
        <w:rPr>
          <w:rStyle w:val="Hyperlink"/>
          <w:color w:val="auto"/>
        </w:rPr>
      </w:pPr>
      <w:r>
        <w:rPr>
          <w:szCs w:val="24"/>
        </w:rPr>
        <w:fldChar w:fldCharType="begin"/>
      </w:r>
      <w:r w:rsidR="000B1D16">
        <w:rPr>
          <w:szCs w:val="24"/>
        </w:rPr>
        <w:instrText>HYPERLINK "mailto:expandedlearning@cde.ca.gov" \o "California Department of Education's Expanded Learning Division email address link."</w:instrText>
      </w:r>
      <w:r>
        <w:rPr>
          <w:szCs w:val="24"/>
        </w:rPr>
        <w:fldChar w:fldCharType="separate"/>
      </w:r>
      <w:r w:rsidRPr="00B51499">
        <w:rPr>
          <w:rStyle w:val="Hyperlink"/>
          <w:szCs w:val="24"/>
        </w:rPr>
        <w:t>expandedlearning@cde.ca.gov</w:t>
      </w:r>
    </w:p>
    <w:p w14:paraId="3795A451" w14:textId="77777777" w:rsidR="00143C1C" w:rsidRDefault="009F6BE8" w:rsidP="00143C1C">
      <w:pPr>
        <w:pStyle w:val="Footer"/>
        <w:tabs>
          <w:tab w:val="clear" w:pos="8640"/>
          <w:tab w:val="right" w:pos="9360"/>
        </w:tabs>
        <w:jc w:val="center"/>
        <w:rPr>
          <w:szCs w:val="24"/>
        </w:rPr>
      </w:pPr>
      <w:r>
        <w:rPr>
          <w:szCs w:val="24"/>
        </w:rPr>
        <w:fldChar w:fldCharType="end"/>
      </w:r>
      <w:hyperlink r:id="rId12" w:history="1">
        <w:r w:rsidR="00143C1C" w:rsidRPr="00EF649D">
          <w:rPr>
            <w:rStyle w:val="Hyperlink"/>
            <w:szCs w:val="24"/>
          </w:rPr>
          <w:t>https://www.cde.ca.gov/ls/ex/fundingop.asp</w:t>
        </w:r>
      </w:hyperlink>
    </w:p>
    <w:p w14:paraId="2D1A8F1E" w14:textId="55E3D768" w:rsidR="00143C1C" w:rsidRPr="00404E2E" w:rsidRDefault="00143C1C" w:rsidP="00143C1C">
      <w:pPr>
        <w:pStyle w:val="Footer"/>
        <w:tabs>
          <w:tab w:val="clear" w:pos="8640"/>
          <w:tab w:val="right" w:pos="9360"/>
        </w:tabs>
        <w:rPr>
          <w:sz w:val="20"/>
        </w:rPr>
      </w:pPr>
      <w:r>
        <w:rPr>
          <w:szCs w:val="24"/>
        </w:rPr>
        <w:br/>
      </w:r>
      <w:r w:rsidRPr="00143C1C">
        <w:rPr>
          <w:szCs w:val="24"/>
        </w:rPr>
        <w:br/>
      </w:r>
      <w:r w:rsidRPr="00143C1C">
        <w:rPr>
          <w:szCs w:val="24"/>
        </w:rPr>
        <w:br/>
      </w:r>
      <w:r w:rsidRPr="00143C1C">
        <w:rPr>
          <w:szCs w:val="24"/>
        </w:rPr>
        <w:br/>
      </w:r>
      <w:r w:rsidRPr="00143C1C">
        <w:rPr>
          <w:szCs w:val="24"/>
        </w:rPr>
        <w:br/>
      </w:r>
      <w:r w:rsidRPr="00143C1C">
        <w:rPr>
          <w:szCs w:val="24"/>
        </w:rPr>
        <w:br/>
      </w:r>
      <w:r w:rsidRPr="00143C1C">
        <w:rPr>
          <w:szCs w:val="24"/>
        </w:rPr>
        <w:br/>
      </w:r>
      <w:r w:rsidRPr="00404E2E">
        <w:rPr>
          <w:sz w:val="20"/>
        </w:rPr>
        <w:t>California Department of Education</w:t>
      </w:r>
    </w:p>
    <w:p w14:paraId="6EF13050" w14:textId="2C80075E" w:rsidR="00143C1C" w:rsidRPr="00404E2E" w:rsidRDefault="00143C1C" w:rsidP="00143C1C">
      <w:pPr>
        <w:pStyle w:val="Footer"/>
        <w:tabs>
          <w:tab w:val="clear" w:pos="8640"/>
          <w:tab w:val="right" w:pos="9360"/>
        </w:tabs>
        <w:rPr>
          <w:sz w:val="20"/>
        </w:rPr>
      </w:pPr>
      <w:r w:rsidRPr="00404E2E">
        <w:rPr>
          <w:sz w:val="20"/>
        </w:rPr>
        <w:t>Created: September 2021</w:t>
      </w:r>
      <w:r w:rsidRPr="00404E2E">
        <w:rPr>
          <w:sz w:val="20"/>
        </w:rPr>
        <w:br/>
        <w:t xml:space="preserve">Revised: </w:t>
      </w:r>
      <w:r w:rsidR="007C0913">
        <w:rPr>
          <w:sz w:val="20"/>
        </w:rPr>
        <w:t>April</w:t>
      </w:r>
      <w:r>
        <w:rPr>
          <w:sz w:val="20"/>
        </w:rPr>
        <w:t xml:space="preserve"> </w:t>
      </w:r>
      <w:r w:rsidRPr="00404E2E">
        <w:rPr>
          <w:sz w:val="20"/>
        </w:rPr>
        <w:t>202</w:t>
      </w:r>
      <w:r>
        <w:rPr>
          <w:sz w:val="20"/>
        </w:rPr>
        <w:t>3</w:t>
      </w:r>
    </w:p>
    <w:p w14:paraId="03B35381" w14:textId="27E8E80A" w:rsidR="00406D50" w:rsidRPr="00143C1C" w:rsidRDefault="00406D50" w:rsidP="00EB52A5">
      <w:pPr>
        <w:autoSpaceDE w:val="0"/>
        <w:autoSpaceDN w:val="0"/>
        <w:adjustRightInd w:val="0"/>
        <w:spacing w:after="240"/>
        <w:jc w:val="center"/>
        <w:rPr>
          <w:rFonts w:cs="Arial"/>
          <w:szCs w:val="24"/>
        </w:rPr>
        <w:sectPr w:rsidR="00406D50" w:rsidRPr="00143C1C" w:rsidSect="00406D50">
          <w:headerReference w:type="default" r:id="rId13"/>
          <w:footerReference w:type="default" r:id="rId14"/>
          <w:pgSz w:w="12240" w:h="15840"/>
          <w:pgMar w:top="1440" w:right="1440" w:bottom="1440" w:left="1440" w:header="720" w:footer="720" w:gutter="0"/>
          <w:pgNumType w:fmt="lowerRoman" w:start="1"/>
          <w:cols w:space="720"/>
          <w:titlePg/>
          <w:docGrid w:linePitch="360"/>
        </w:sectPr>
      </w:pPr>
    </w:p>
    <w:p w14:paraId="119737CF" w14:textId="0C73452D" w:rsidR="00406D50" w:rsidRDefault="00DB1926" w:rsidP="00406D50">
      <w:pPr>
        <w:autoSpaceDE w:val="0"/>
        <w:autoSpaceDN w:val="0"/>
        <w:adjustRightInd w:val="0"/>
        <w:spacing w:after="240"/>
        <w:rPr>
          <w:rFonts w:cs="Arial"/>
          <w:b/>
          <w:color w:val="000000"/>
          <w:sz w:val="28"/>
          <w:szCs w:val="28"/>
        </w:rPr>
      </w:pPr>
      <w:r w:rsidRPr="00DB1926">
        <w:rPr>
          <w:rFonts w:cs="Arial"/>
          <w:b/>
          <w:color w:val="000000"/>
          <w:sz w:val="28"/>
          <w:szCs w:val="28"/>
        </w:rPr>
        <w:lastRenderedPageBreak/>
        <w:t>Contact Information</w:t>
      </w:r>
    </w:p>
    <w:p w14:paraId="12DBFDC6" w14:textId="07EB60F7" w:rsidR="00DB1926" w:rsidRPr="00DB1926" w:rsidRDefault="00DB1926" w:rsidP="00DB1926">
      <w:pPr>
        <w:spacing w:after="240"/>
        <w:ind w:left="540"/>
        <w:rPr>
          <w:rFonts w:cs="Arial"/>
          <w:color w:val="000000"/>
          <w:szCs w:val="24"/>
        </w:rPr>
      </w:pPr>
      <w:r>
        <w:rPr>
          <w:rFonts w:cs="Arial"/>
          <w:color w:val="000000"/>
          <w:szCs w:val="24"/>
        </w:rPr>
        <w:t xml:space="preserve">Prior to submitting questions to the California Department of Education </w:t>
      </w:r>
      <w:r w:rsidRPr="000414FD">
        <w:rPr>
          <w:rFonts w:cs="Arial"/>
          <w:color w:val="000000"/>
          <w:szCs w:val="24"/>
        </w:rPr>
        <w:t xml:space="preserve">(CDE) </w:t>
      </w:r>
      <w:r w:rsidR="0071425B">
        <w:rPr>
          <w:rFonts w:cs="Arial"/>
          <w:color w:val="000000"/>
          <w:szCs w:val="24"/>
        </w:rPr>
        <w:t>Elementary and Secondary School Emergency Relief (</w:t>
      </w:r>
      <w:r>
        <w:rPr>
          <w:rFonts w:cs="Arial"/>
          <w:color w:val="000000"/>
          <w:szCs w:val="24"/>
        </w:rPr>
        <w:t>ESSER</w:t>
      </w:r>
      <w:r w:rsidR="0071425B">
        <w:rPr>
          <w:rFonts w:cs="Arial"/>
          <w:color w:val="000000"/>
          <w:szCs w:val="24"/>
        </w:rPr>
        <w:t>)</w:t>
      </w:r>
      <w:r>
        <w:rPr>
          <w:rFonts w:cs="Arial"/>
          <w:color w:val="000000"/>
          <w:szCs w:val="24"/>
        </w:rPr>
        <w:t xml:space="preserve"> III Summer </w:t>
      </w:r>
      <w:r w:rsidR="005658E2">
        <w:rPr>
          <w:rFonts w:cs="Arial"/>
          <w:color w:val="000000"/>
          <w:szCs w:val="24"/>
        </w:rPr>
        <w:t xml:space="preserve">Grant </w:t>
      </w:r>
      <w:r w:rsidR="00AA3701">
        <w:rPr>
          <w:rFonts w:cs="Arial"/>
          <w:color w:val="000000"/>
          <w:szCs w:val="24"/>
        </w:rPr>
        <w:t xml:space="preserve">Program </w:t>
      </w:r>
      <w:r w:rsidRPr="00FD2DBD">
        <w:rPr>
          <w:rFonts w:cs="Arial"/>
          <w:color w:val="000000"/>
          <w:szCs w:val="24"/>
        </w:rPr>
        <w:t>Helpdesk,</w:t>
      </w:r>
      <w:r>
        <w:rPr>
          <w:rFonts w:cs="Arial"/>
          <w:color w:val="000000"/>
          <w:szCs w:val="24"/>
        </w:rPr>
        <w:t xml:space="preserve"> please ensure </w:t>
      </w:r>
      <w:r w:rsidR="00A61C6A">
        <w:rPr>
          <w:rFonts w:cs="Arial"/>
          <w:color w:val="000000"/>
          <w:szCs w:val="24"/>
        </w:rPr>
        <w:t>reading</w:t>
      </w:r>
      <w:r w:rsidRPr="00235FD5">
        <w:rPr>
          <w:rFonts w:cs="Arial"/>
          <w:color w:val="000000"/>
          <w:szCs w:val="24"/>
        </w:rPr>
        <w:t xml:space="preserve"> the Request for Applications (RFA) in its entirety</w:t>
      </w:r>
      <w:r w:rsidR="000B1D16">
        <w:rPr>
          <w:rFonts w:cs="Arial"/>
          <w:color w:val="000000"/>
          <w:szCs w:val="24"/>
        </w:rPr>
        <w:t>.</w:t>
      </w:r>
      <w:r w:rsidRPr="00235FD5">
        <w:rPr>
          <w:rFonts w:cs="Arial"/>
          <w:color w:val="000000"/>
          <w:szCs w:val="24"/>
        </w:rPr>
        <w:t xml:space="preserve"> </w:t>
      </w:r>
    </w:p>
    <w:p w14:paraId="40D27BCC" w14:textId="6B8666ED" w:rsidR="00DB1926" w:rsidRDefault="00DB1926" w:rsidP="000B1D16">
      <w:pPr>
        <w:autoSpaceDE w:val="0"/>
        <w:autoSpaceDN w:val="0"/>
        <w:spacing w:after="240"/>
        <w:ind w:left="547"/>
        <w:rPr>
          <w:rFonts w:cs="Arial"/>
          <w:szCs w:val="24"/>
        </w:rPr>
      </w:pPr>
      <w:r w:rsidRPr="00811566">
        <w:rPr>
          <w:rFonts w:cs="Arial"/>
          <w:szCs w:val="24"/>
        </w:rPr>
        <w:t xml:space="preserve">All RFA questions </w:t>
      </w:r>
      <w:r w:rsidRPr="00811566">
        <w:rPr>
          <w:rFonts w:cs="Arial"/>
          <w:color w:val="000000"/>
          <w:szCs w:val="24"/>
        </w:rPr>
        <w:t>and correspo</w:t>
      </w:r>
      <w:r>
        <w:rPr>
          <w:rFonts w:cs="Arial"/>
          <w:color w:val="000000"/>
          <w:szCs w:val="24"/>
        </w:rPr>
        <w:t>ndence should be submitted by e</w:t>
      </w:r>
      <w:r w:rsidRPr="00811566">
        <w:rPr>
          <w:rFonts w:cs="Arial"/>
          <w:color w:val="000000"/>
          <w:szCs w:val="24"/>
        </w:rPr>
        <w:t>mail</w:t>
      </w:r>
      <w:r w:rsidRPr="00811566">
        <w:rPr>
          <w:rFonts w:cs="Arial"/>
          <w:szCs w:val="24"/>
        </w:rPr>
        <w:t xml:space="preserve"> through the</w:t>
      </w:r>
      <w:r>
        <w:rPr>
          <w:rFonts w:cs="Arial"/>
          <w:szCs w:val="24"/>
        </w:rPr>
        <w:t xml:space="preserve"> </w:t>
      </w:r>
      <w:r>
        <w:rPr>
          <w:rFonts w:cs="Arial"/>
          <w:color w:val="000000"/>
          <w:szCs w:val="24"/>
        </w:rPr>
        <w:t xml:space="preserve">ESSER III Summer </w:t>
      </w:r>
      <w:r w:rsidR="005658E2">
        <w:rPr>
          <w:rFonts w:cs="Arial"/>
          <w:color w:val="000000"/>
          <w:szCs w:val="24"/>
        </w:rPr>
        <w:t xml:space="preserve">Grant </w:t>
      </w:r>
      <w:r w:rsidR="00AA3701">
        <w:rPr>
          <w:rFonts w:cs="Arial"/>
          <w:color w:val="000000"/>
          <w:szCs w:val="24"/>
        </w:rPr>
        <w:t xml:space="preserve">Program </w:t>
      </w:r>
      <w:r w:rsidRPr="00811566">
        <w:rPr>
          <w:rFonts w:cs="Arial"/>
          <w:color w:val="000000"/>
          <w:szCs w:val="24"/>
        </w:rPr>
        <w:t>RFA Helpdesk at</w:t>
      </w:r>
      <w:r w:rsidR="00BB7B37">
        <w:t xml:space="preserve"> </w:t>
      </w:r>
      <w:hyperlink r:id="rId15" w:tooltip="California Department of Education's Expanded Learning Division email address link." w:history="1">
        <w:r w:rsidR="00BB7B37" w:rsidRPr="00697DF1">
          <w:rPr>
            <w:rStyle w:val="Hyperlink"/>
          </w:rPr>
          <w:t>expandedlearning@cde.ca.gov</w:t>
        </w:r>
      </w:hyperlink>
      <w:r w:rsidR="00BB7B37">
        <w:t>.</w:t>
      </w:r>
    </w:p>
    <w:p w14:paraId="65E40DE9" w14:textId="54DEFCE5" w:rsidR="00DB1926" w:rsidRPr="00811566" w:rsidRDefault="00DB1926" w:rsidP="00DB1926">
      <w:pPr>
        <w:spacing w:after="240"/>
        <w:ind w:left="540"/>
        <w:rPr>
          <w:rFonts w:cs="Arial"/>
          <w:szCs w:val="24"/>
        </w:rPr>
      </w:pPr>
      <w:r w:rsidRPr="00811566">
        <w:rPr>
          <w:rFonts w:cs="Arial"/>
          <w:szCs w:val="24"/>
        </w:rPr>
        <w:t xml:space="preserve">All questions </w:t>
      </w:r>
      <w:r>
        <w:rPr>
          <w:rFonts w:cs="Arial"/>
          <w:szCs w:val="24"/>
        </w:rPr>
        <w:t xml:space="preserve">relating to </w:t>
      </w:r>
      <w:r w:rsidRPr="00811566">
        <w:rPr>
          <w:rFonts w:cs="Arial"/>
          <w:szCs w:val="24"/>
        </w:rPr>
        <w:t xml:space="preserve">RFA forms required through the </w:t>
      </w:r>
      <w:r w:rsidRPr="00811566">
        <w:t>After School Support and Information System</w:t>
      </w:r>
      <w:r>
        <w:rPr>
          <w:rFonts w:cs="Arial"/>
          <w:szCs w:val="24"/>
        </w:rPr>
        <w:t xml:space="preserve"> (</w:t>
      </w:r>
      <w:r w:rsidRPr="00811566">
        <w:rPr>
          <w:rFonts w:cs="Arial"/>
          <w:szCs w:val="24"/>
        </w:rPr>
        <w:t>A</w:t>
      </w:r>
      <w:r>
        <w:rPr>
          <w:rFonts w:cs="Arial"/>
          <w:szCs w:val="24"/>
        </w:rPr>
        <w:t>SSIST) should be submitted by e</w:t>
      </w:r>
      <w:r w:rsidRPr="00811566">
        <w:rPr>
          <w:rFonts w:cs="Arial"/>
          <w:szCs w:val="24"/>
        </w:rPr>
        <w:t xml:space="preserve">mail through the ASSIST Helpdesk at </w:t>
      </w:r>
      <w:hyperlink r:id="rId16" w:tooltip="The ASSIST Helpdesk email link." w:history="1">
        <w:r w:rsidRPr="00811566">
          <w:rPr>
            <w:rStyle w:val="Hyperlink"/>
            <w:rFonts w:cs="Arial"/>
            <w:szCs w:val="24"/>
          </w:rPr>
          <w:t>ASSIST@cde.ca.gov</w:t>
        </w:r>
      </w:hyperlink>
      <w:r w:rsidRPr="00811566">
        <w:rPr>
          <w:rFonts w:cs="Arial"/>
          <w:szCs w:val="24"/>
        </w:rPr>
        <w:t>.</w:t>
      </w:r>
    </w:p>
    <w:p w14:paraId="4DFC4F50" w14:textId="5DA40901" w:rsidR="00DB1926" w:rsidRPr="00FE0DAA" w:rsidRDefault="00DB1926" w:rsidP="00004D75">
      <w:pPr>
        <w:pStyle w:val="BodyText"/>
        <w:spacing w:after="100" w:afterAutospacing="1"/>
        <w:ind w:left="540"/>
        <w:rPr>
          <w:rFonts w:cs="Arial"/>
          <w:szCs w:val="24"/>
        </w:rPr>
      </w:pPr>
      <w:r w:rsidRPr="00FE0DAA">
        <w:rPr>
          <w:rFonts w:cs="Arial"/>
          <w:b/>
          <w:bCs/>
          <w:szCs w:val="24"/>
        </w:rPr>
        <w:t>The original application packet must be postmarked on, or before</w:t>
      </w:r>
      <w:r w:rsidRPr="00B04353">
        <w:rPr>
          <w:rFonts w:cs="Arial"/>
          <w:szCs w:val="24"/>
        </w:rPr>
        <w:t xml:space="preserve"> </w:t>
      </w:r>
      <w:r w:rsidR="007C0913">
        <w:rPr>
          <w:rFonts w:cs="Arial"/>
          <w:b/>
          <w:szCs w:val="24"/>
        </w:rPr>
        <w:t>May</w:t>
      </w:r>
      <w:r w:rsidR="00E31638" w:rsidRPr="008E2E0F">
        <w:rPr>
          <w:rFonts w:cs="Arial"/>
          <w:b/>
          <w:szCs w:val="24"/>
        </w:rPr>
        <w:t xml:space="preserve"> 3</w:t>
      </w:r>
      <w:r w:rsidR="00930B84" w:rsidRPr="008E2E0F">
        <w:rPr>
          <w:rFonts w:cs="Arial"/>
          <w:b/>
          <w:szCs w:val="24"/>
        </w:rPr>
        <w:t>, 2023</w:t>
      </w:r>
      <w:r w:rsidRPr="008E2E0F">
        <w:rPr>
          <w:rFonts w:cs="Arial"/>
          <w:szCs w:val="24"/>
        </w:rPr>
        <w:t xml:space="preserve"> and mailed to the Expanded Learning Division</w:t>
      </w:r>
      <w:r w:rsidR="00670328" w:rsidRPr="008E2E0F">
        <w:rPr>
          <w:rFonts w:cs="Arial"/>
          <w:szCs w:val="24"/>
        </w:rPr>
        <w:t xml:space="preserve"> (EXLD)</w:t>
      </w:r>
      <w:r w:rsidRPr="008E2E0F">
        <w:rPr>
          <w:rFonts w:cs="Arial"/>
          <w:b/>
          <w:bCs/>
          <w:szCs w:val="24"/>
        </w:rPr>
        <w:t>. Mail the original</w:t>
      </w:r>
      <w:r w:rsidRPr="00FE0DAA">
        <w:rPr>
          <w:rFonts w:cs="Arial"/>
          <w:b/>
          <w:bCs/>
          <w:szCs w:val="24"/>
        </w:rPr>
        <w:t xml:space="preserve"> application packet to the address below. Postmarks will be honored. </w:t>
      </w:r>
    </w:p>
    <w:p w14:paraId="637B9FC7" w14:textId="4CD89200" w:rsidR="00DB1926" w:rsidRDefault="00A22CCC" w:rsidP="00004D75">
      <w:pPr>
        <w:pStyle w:val="BodyText"/>
        <w:spacing w:after="100" w:afterAutospacing="1"/>
        <w:ind w:left="540"/>
        <w:rPr>
          <w:rFonts w:cs="Arial"/>
          <w:b/>
          <w:bCs/>
          <w:szCs w:val="24"/>
        </w:rPr>
      </w:pPr>
      <w:r>
        <w:rPr>
          <w:rFonts w:cs="Arial"/>
          <w:b/>
          <w:bCs/>
          <w:szCs w:val="24"/>
        </w:rPr>
        <w:t>I</w:t>
      </w:r>
      <w:r w:rsidR="00DB1926" w:rsidRPr="00FE0DAA">
        <w:rPr>
          <w:rFonts w:cs="Arial"/>
          <w:b/>
          <w:bCs/>
          <w:szCs w:val="24"/>
        </w:rPr>
        <w:t>n-person delivery of applications to the CDE is</w:t>
      </w:r>
      <w:r w:rsidR="00670328">
        <w:rPr>
          <w:rFonts w:cs="Arial"/>
          <w:b/>
          <w:bCs/>
          <w:szCs w:val="24"/>
        </w:rPr>
        <w:t xml:space="preserve"> </w:t>
      </w:r>
      <w:r w:rsidR="000C4799">
        <w:rPr>
          <w:rFonts w:cs="Arial"/>
          <w:b/>
          <w:bCs/>
          <w:szCs w:val="24"/>
        </w:rPr>
        <w:t xml:space="preserve">not allowed, all applications must be </w:t>
      </w:r>
      <w:r w:rsidR="008E2E0F">
        <w:rPr>
          <w:rFonts w:cs="Arial"/>
          <w:b/>
          <w:bCs/>
          <w:szCs w:val="24"/>
        </w:rPr>
        <w:t>mailed to:</w:t>
      </w:r>
    </w:p>
    <w:p w14:paraId="18AD8ED4" w14:textId="3F04285E" w:rsidR="00DB1926" w:rsidRPr="00A3004A" w:rsidRDefault="00DB1926" w:rsidP="00004D75">
      <w:pPr>
        <w:pStyle w:val="ListParagraph"/>
        <w:spacing w:after="240"/>
        <w:jc w:val="center"/>
        <w:rPr>
          <w:rFonts w:cs="Arial"/>
          <w:szCs w:val="24"/>
        </w:rPr>
      </w:pPr>
      <w:r>
        <w:rPr>
          <w:rFonts w:cs="Arial"/>
          <w:szCs w:val="24"/>
        </w:rPr>
        <w:t xml:space="preserve">ESSER III Summer </w:t>
      </w:r>
      <w:r w:rsidRPr="00A3004A">
        <w:rPr>
          <w:rFonts w:cs="Arial"/>
          <w:szCs w:val="24"/>
        </w:rPr>
        <w:t xml:space="preserve">Grant </w:t>
      </w:r>
      <w:r w:rsidR="005658E2">
        <w:rPr>
          <w:rFonts w:cs="Arial"/>
          <w:szCs w:val="24"/>
        </w:rPr>
        <w:t xml:space="preserve">Program </w:t>
      </w:r>
      <w:r w:rsidRPr="00A3004A">
        <w:rPr>
          <w:rFonts w:cs="Arial"/>
          <w:szCs w:val="24"/>
        </w:rPr>
        <w:t>Application</w:t>
      </w:r>
      <w:r w:rsidR="008E2E0F">
        <w:rPr>
          <w:rFonts w:cs="Arial"/>
          <w:szCs w:val="24"/>
        </w:rPr>
        <w:t>-Round 2</w:t>
      </w:r>
      <w:r w:rsidRPr="00A3004A">
        <w:rPr>
          <w:rFonts w:cs="Arial"/>
          <w:szCs w:val="24"/>
        </w:rPr>
        <w:br/>
        <w:t xml:space="preserve">Expanded Learning Division </w:t>
      </w:r>
      <w:r w:rsidRPr="00A3004A">
        <w:rPr>
          <w:rFonts w:cs="Arial"/>
          <w:szCs w:val="24"/>
        </w:rPr>
        <w:br/>
        <w:t>California Department of Education</w:t>
      </w:r>
      <w:r w:rsidRPr="00A3004A">
        <w:rPr>
          <w:rFonts w:cs="Arial"/>
          <w:szCs w:val="24"/>
        </w:rPr>
        <w:br/>
        <w:t>1430 N Street, Suite 3400</w:t>
      </w:r>
      <w:r w:rsidRPr="00A3004A">
        <w:rPr>
          <w:rFonts w:cs="Arial"/>
          <w:szCs w:val="24"/>
        </w:rPr>
        <w:br/>
        <w:t>Sacramento, CA 95814-5901</w:t>
      </w:r>
    </w:p>
    <w:p w14:paraId="5E77001E" w14:textId="77777777" w:rsidR="001F429A" w:rsidRDefault="00406D50" w:rsidP="00004D75">
      <w:pPr>
        <w:widowControl w:val="0"/>
        <w:adjustRightInd w:val="0"/>
        <w:ind w:left="540"/>
        <w:textAlignment w:val="baseline"/>
        <w:rPr>
          <w:rFonts w:cs="Arial"/>
          <w:b/>
          <w:szCs w:val="24"/>
        </w:rPr>
      </w:pPr>
      <w:r w:rsidRPr="009D0BF7">
        <w:rPr>
          <w:rFonts w:cs="Arial"/>
          <w:b/>
          <w:i/>
          <w:szCs w:val="24"/>
        </w:rPr>
        <w:t>Note:</w:t>
      </w:r>
      <w:r w:rsidRPr="009D0BF7">
        <w:rPr>
          <w:rFonts w:cs="Arial"/>
          <w:b/>
          <w:szCs w:val="24"/>
        </w:rPr>
        <w:t xml:space="preserve"> Applicants </w:t>
      </w:r>
      <w:r w:rsidR="005701B1">
        <w:rPr>
          <w:rFonts w:cs="Arial"/>
          <w:b/>
          <w:szCs w:val="24"/>
        </w:rPr>
        <w:t>should</w:t>
      </w:r>
      <w:r w:rsidRPr="009D0BF7">
        <w:rPr>
          <w:rFonts w:cs="Arial"/>
          <w:b/>
          <w:szCs w:val="24"/>
        </w:rPr>
        <w:t xml:space="preserve"> consider all requirements for eligibility, disqualifications</w:t>
      </w:r>
      <w:r w:rsidR="00AC3471">
        <w:rPr>
          <w:rFonts w:cs="Arial"/>
          <w:b/>
          <w:szCs w:val="24"/>
        </w:rPr>
        <w:t>,</w:t>
      </w:r>
      <w:r w:rsidR="00BB7B37">
        <w:rPr>
          <w:rFonts w:cs="Arial"/>
          <w:b/>
          <w:szCs w:val="24"/>
        </w:rPr>
        <w:t xml:space="preserve"> </w:t>
      </w:r>
      <w:r w:rsidRPr="009D0BF7">
        <w:rPr>
          <w:rFonts w:cs="Arial"/>
          <w:b/>
          <w:szCs w:val="24"/>
        </w:rPr>
        <w:t xml:space="preserve">and geographic distribution categories prior to </w:t>
      </w:r>
      <w:proofErr w:type="gramStart"/>
      <w:r w:rsidRPr="009D0BF7">
        <w:rPr>
          <w:rFonts w:cs="Arial"/>
          <w:b/>
          <w:szCs w:val="24"/>
        </w:rPr>
        <w:t>submitting an application</w:t>
      </w:r>
      <w:proofErr w:type="gramEnd"/>
      <w:r w:rsidRPr="009D0BF7">
        <w:rPr>
          <w:rFonts w:cs="Arial"/>
          <w:b/>
          <w:szCs w:val="24"/>
        </w:rPr>
        <w:t>.</w:t>
      </w:r>
    </w:p>
    <w:p w14:paraId="0AAFF3EE" w14:textId="77777777" w:rsidR="001F429A" w:rsidRDefault="001F429A" w:rsidP="00004D75">
      <w:pPr>
        <w:widowControl w:val="0"/>
        <w:adjustRightInd w:val="0"/>
        <w:ind w:left="540"/>
        <w:textAlignment w:val="baseline"/>
        <w:rPr>
          <w:rFonts w:cs="Arial"/>
          <w:b/>
          <w:szCs w:val="24"/>
        </w:rPr>
      </w:pPr>
    </w:p>
    <w:p w14:paraId="3FF1FB89" w14:textId="426F1C11" w:rsidR="00406D50" w:rsidRDefault="00E44E88" w:rsidP="00004D75">
      <w:pPr>
        <w:widowControl w:val="0"/>
        <w:adjustRightInd w:val="0"/>
        <w:ind w:left="540"/>
        <w:textAlignment w:val="baseline"/>
        <w:rPr>
          <w:rFonts w:cs="Arial"/>
          <w:b/>
          <w:szCs w:val="24"/>
        </w:rPr>
      </w:pPr>
      <w:r>
        <w:rPr>
          <w:rFonts w:cs="Arial"/>
          <w:b/>
          <w:szCs w:val="24"/>
        </w:rPr>
        <w:t>**</w:t>
      </w:r>
      <w:r w:rsidR="001F429A">
        <w:rPr>
          <w:rFonts w:cs="Arial"/>
          <w:b/>
          <w:szCs w:val="24"/>
        </w:rPr>
        <w:t xml:space="preserve">If a site was awarded </w:t>
      </w:r>
      <w:r w:rsidR="00FD4466">
        <w:rPr>
          <w:rFonts w:cs="Arial"/>
          <w:b/>
          <w:szCs w:val="24"/>
        </w:rPr>
        <w:t xml:space="preserve">previously </w:t>
      </w:r>
      <w:r w:rsidR="001F429A">
        <w:rPr>
          <w:rFonts w:cs="Arial"/>
          <w:b/>
          <w:szCs w:val="24"/>
        </w:rPr>
        <w:t xml:space="preserve">in the first round of ESSER III Summer RFA, they are not </w:t>
      </w:r>
      <w:r w:rsidR="00FD4466">
        <w:rPr>
          <w:rFonts w:cs="Arial"/>
          <w:b/>
          <w:szCs w:val="24"/>
        </w:rPr>
        <w:t xml:space="preserve">eligible to apply for any additional funding from this grant. </w:t>
      </w:r>
      <w:r w:rsidR="00406D50">
        <w:rPr>
          <w:rFonts w:cs="Arial"/>
          <w:b/>
          <w:szCs w:val="24"/>
        </w:rPr>
        <w:br w:type="page"/>
      </w:r>
    </w:p>
    <w:bookmarkStart w:id="1" w:name="_Toc432411170" w:displacedByCustomXml="next"/>
    <w:bookmarkStart w:id="2" w:name="_Toc414365038" w:displacedByCustomXml="next"/>
    <w:sdt>
      <w:sdtPr>
        <w:rPr>
          <w:rFonts w:ascii="Arial" w:eastAsia="Times New Roman" w:hAnsi="Arial" w:cs="Arial"/>
          <w:b w:val="0"/>
          <w:bCs w:val="0"/>
          <w:color w:val="auto"/>
          <w:sz w:val="24"/>
          <w:szCs w:val="24"/>
          <w:lang w:eastAsia="en-US"/>
        </w:rPr>
        <w:id w:val="1225730317"/>
        <w:docPartObj>
          <w:docPartGallery w:val="Table of Contents"/>
          <w:docPartUnique/>
        </w:docPartObj>
      </w:sdtPr>
      <w:sdtEndPr>
        <w:rPr>
          <w:noProof/>
        </w:rPr>
      </w:sdtEndPr>
      <w:sdtContent>
        <w:p w14:paraId="414B9268" w14:textId="77777777" w:rsidR="00406D50" w:rsidRPr="00AB0A26" w:rsidRDefault="00406D50" w:rsidP="00406D50">
          <w:pPr>
            <w:pStyle w:val="TOCHeading"/>
            <w:spacing w:before="0" w:after="240"/>
            <w:jc w:val="center"/>
            <w:rPr>
              <w:rFonts w:ascii="Arial" w:hAnsi="Arial" w:cs="Arial"/>
              <w:color w:val="auto"/>
              <w:sz w:val="24"/>
              <w:szCs w:val="24"/>
            </w:rPr>
          </w:pPr>
          <w:r w:rsidRPr="00AB0A26">
            <w:rPr>
              <w:rFonts w:ascii="Arial" w:hAnsi="Arial" w:cs="Arial"/>
              <w:color w:val="auto"/>
              <w:sz w:val="24"/>
              <w:szCs w:val="24"/>
            </w:rPr>
            <w:t>Table of Contents</w:t>
          </w:r>
        </w:p>
        <w:p w14:paraId="027334FB" w14:textId="70EB94EC" w:rsidR="001400E6" w:rsidRDefault="00406D50">
          <w:pPr>
            <w:pStyle w:val="TOC1"/>
            <w:rPr>
              <w:rFonts w:asciiTheme="minorHAnsi" w:eastAsiaTheme="minorEastAsia" w:hAnsiTheme="minorHAnsi" w:cstheme="minorBidi"/>
              <w:b w:val="0"/>
              <w:sz w:val="22"/>
              <w:szCs w:val="22"/>
            </w:rPr>
          </w:pPr>
          <w:r w:rsidRPr="00406D50">
            <w:fldChar w:fldCharType="begin"/>
          </w:r>
          <w:r w:rsidRPr="00406D50">
            <w:instrText xml:space="preserve"> TOC \u \t "Heading 2,1,Heading 3,2" </w:instrText>
          </w:r>
          <w:r w:rsidRPr="00406D50">
            <w:fldChar w:fldCharType="separate"/>
          </w:r>
          <w:r w:rsidR="001400E6">
            <w:t>I.</w:t>
          </w:r>
          <w:r w:rsidR="001400E6">
            <w:rPr>
              <w:rFonts w:asciiTheme="minorHAnsi" w:eastAsiaTheme="minorEastAsia" w:hAnsiTheme="minorHAnsi" w:cstheme="minorBidi"/>
              <w:b w:val="0"/>
              <w:sz w:val="22"/>
              <w:szCs w:val="22"/>
            </w:rPr>
            <w:tab/>
          </w:r>
          <w:r w:rsidR="001400E6">
            <w:t>Purpose and Background</w:t>
          </w:r>
          <w:r w:rsidR="001400E6">
            <w:tab/>
          </w:r>
          <w:r w:rsidR="001400E6">
            <w:fldChar w:fldCharType="begin"/>
          </w:r>
          <w:r w:rsidR="001400E6">
            <w:instrText xml:space="preserve"> PAGEREF _Toc100753987 \h </w:instrText>
          </w:r>
          <w:r w:rsidR="001400E6">
            <w:fldChar w:fldCharType="separate"/>
          </w:r>
          <w:r w:rsidR="001400E6">
            <w:t>1</w:t>
          </w:r>
          <w:r w:rsidR="001400E6">
            <w:fldChar w:fldCharType="end"/>
          </w:r>
        </w:p>
        <w:p w14:paraId="18C423CE" w14:textId="5D310813" w:rsidR="001400E6" w:rsidRDefault="001400E6">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Geographic Funding Distribution</w:t>
          </w:r>
          <w:r>
            <w:tab/>
          </w:r>
          <w:r>
            <w:fldChar w:fldCharType="begin"/>
          </w:r>
          <w:r>
            <w:instrText xml:space="preserve"> PAGEREF _Toc100753988 \h </w:instrText>
          </w:r>
          <w:r>
            <w:fldChar w:fldCharType="separate"/>
          </w:r>
          <w:r>
            <w:t>2</w:t>
          </w:r>
          <w:r>
            <w:fldChar w:fldCharType="end"/>
          </w:r>
        </w:p>
        <w:p w14:paraId="379E462B" w14:textId="054C7292" w:rsidR="001400E6" w:rsidRDefault="001400E6">
          <w:pPr>
            <w:pStyle w:val="TOC1"/>
            <w:rPr>
              <w:rFonts w:asciiTheme="minorHAnsi" w:eastAsiaTheme="minorEastAsia" w:hAnsiTheme="minorHAnsi" w:cstheme="minorBidi"/>
              <w:b w:val="0"/>
              <w:sz w:val="22"/>
              <w:szCs w:val="22"/>
            </w:rPr>
          </w:pPr>
          <w:r>
            <w:t>II.</w:t>
          </w:r>
          <w:r>
            <w:rPr>
              <w:rFonts w:asciiTheme="minorHAnsi" w:eastAsiaTheme="minorEastAsia" w:hAnsiTheme="minorHAnsi" w:cstheme="minorBidi"/>
              <w:b w:val="0"/>
              <w:sz w:val="22"/>
              <w:szCs w:val="22"/>
            </w:rPr>
            <w:tab/>
          </w:r>
          <w:r>
            <w:t>Administrative Program Requirements</w:t>
          </w:r>
          <w:r>
            <w:tab/>
          </w:r>
          <w:r>
            <w:fldChar w:fldCharType="begin"/>
          </w:r>
          <w:r>
            <w:instrText xml:space="preserve"> PAGEREF _Toc100753989 \h </w:instrText>
          </w:r>
          <w:r>
            <w:fldChar w:fldCharType="separate"/>
          </w:r>
          <w:r>
            <w:t>4</w:t>
          </w:r>
          <w:r>
            <w:fldChar w:fldCharType="end"/>
          </w:r>
        </w:p>
        <w:p w14:paraId="4DF6B02B" w14:textId="38A103F5" w:rsidR="001400E6" w:rsidRDefault="001400E6">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Reporting Requirements</w:t>
          </w:r>
          <w:r>
            <w:tab/>
          </w:r>
          <w:r>
            <w:fldChar w:fldCharType="begin"/>
          </w:r>
          <w:r>
            <w:instrText xml:space="preserve"> PAGEREF _Toc100753990 \h </w:instrText>
          </w:r>
          <w:r>
            <w:fldChar w:fldCharType="separate"/>
          </w:r>
          <w:r>
            <w:t>4</w:t>
          </w:r>
          <w:r>
            <w:fldChar w:fldCharType="end"/>
          </w:r>
        </w:p>
        <w:p w14:paraId="0BD14594" w14:textId="35FBEBB1" w:rsidR="001400E6" w:rsidRDefault="001400E6">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Operational Requirements</w:t>
          </w:r>
          <w:r>
            <w:tab/>
          </w:r>
          <w:r>
            <w:fldChar w:fldCharType="begin"/>
          </w:r>
          <w:r>
            <w:instrText xml:space="preserve"> PAGEREF _Toc100753991 \h </w:instrText>
          </w:r>
          <w:r>
            <w:fldChar w:fldCharType="separate"/>
          </w:r>
          <w:r>
            <w:t>5</w:t>
          </w:r>
          <w:r>
            <w:fldChar w:fldCharType="end"/>
          </w:r>
        </w:p>
        <w:p w14:paraId="7666FE14" w14:textId="35325014" w:rsidR="001400E6" w:rsidRDefault="001400E6">
          <w:pPr>
            <w:pStyle w:val="TOC2"/>
            <w:rPr>
              <w:rFonts w:asciiTheme="minorHAnsi" w:eastAsiaTheme="minorEastAsia" w:hAnsiTheme="minorHAnsi" w:cstheme="minorBidi"/>
              <w:sz w:val="22"/>
              <w:szCs w:val="22"/>
            </w:rPr>
          </w:pPr>
          <w:r>
            <w:t>C.</w:t>
          </w:r>
          <w:r>
            <w:rPr>
              <w:rFonts w:asciiTheme="minorHAnsi" w:eastAsiaTheme="minorEastAsia" w:hAnsiTheme="minorHAnsi" w:cstheme="minorBidi"/>
              <w:sz w:val="22"/>
              <w:szCs w:val="22"/>
            </w:rPr>
            <w:tab/>
          </w:r>
          <w:r>
            <w:t>Program Requirements</w:t>
          </w:r>
          <w:r>
            <w:tab/>
          </w:r>
          <w:r>
            <w:fldChar w:fldCharType="begin"/>
          </w:r>
          <w:r>
            <w:instrText xml:space="preserve"> PAGEREF _Toc100753992 \h </w:instrText>
          </w:r>
          <w:r>
            <w:fldChar w:fldCharType="separate"/>
          </w:r>
          <w:r>
            <w:t>5</w:t>
          </w:r>
          <w:r>
            <w:fldChar w:fldCharType="end"/>
          </w:r>
        </w:p>
        <w:p w14:paraId="682E31C2" w14:textId="450AF0B3" w:rsidR="001400E6" w:rsidRDefault="001400E6">
          <w:pPr>
            <w:pStyle w:val="TOC2"/>
            <w:rPr>
              <w:rFonts w:asciiTheme="minorHAnsi" w:eastAsiaTheme="minorEastAsia" w:hAnsiTheme="minorHAnsi" w:cstheme="minorBidi"/>
              <w:sz w:val="22"/>
              <w:szCs w:val="22"/>
            </w:rPr>
          </w:pPr>
          <w:r>
            <w:t>D.</w:t>
          </w:r>
          <w:r>
            <w:rPr>
              <w:rFonts w:asciiTheme="minorHAnsi" w:eastAsiaTheme="minorEastAsia" w:hAnsiTheme="minorHAnsi" w:cstheme="minorBidi"/>
              <w:sz w:val="22"/>
              <w:szCs w:val="22"/>
            </w:rPr>
            <w:tab/>
          </w:r>
          <w:r>
            <w:t>Allowable Expenditures</w:t>
          </w:r>
          <w:r>
            <w:tab/>
          </w:r>
          <w:r>
            <w:fldChar w:fldCharType="begin"/>
          </w:r>
          <w:r>
            <w:instrText xml:space="preserve"> PAGEREF _Toc100753993 \h </w:instrText>
          </w:r>
          <w:r>
            <w:fldChar w:fldCharType="separate"/>
          </w:r>
          <w:r>
            <w:t>6</w:t>
          </w:r>
          <w:r>
            <w:fldChar w:fldCharType="end"/>
          </w:r>
        </w:p>
        <w:p w14:paraId="4F37E047" w14:textId="5EEA0957" w:rsidR="001400E6" w:rsidRDefault="001400E6">
          <w:pPr>
            <w:pStyle w:val="TOC2"/>
            <w:rPr>
              <w:rFonts w:asciiTheme="minorHAnsi" w:eastAsiaTheme="minorEastAsia" w:hAnsiTheme="minorHAnsi" w:cstheme="minorBidi"/>
              <w:sz w:val="22"/>
              <w:szCs w:val="22"/>
            </w:rPr>
          </w:pPr>
          <w:r>
            <w:t>E.</w:t>
          </w:r>
          <w:r>
            <w:rPr>
              <w:rFonts w:asciiTheme="minorHAnsi" w:eastAsiaTheme="minorEastAsia" w:hAnsiTheme="minorHAnsi" w:cstheme="minorBidi"/>
              <w:sz w:val="22"/>
              <w:szCs w:val="22"/>
            </w:rPr>
            <w:tab/>
          </w:r>
          <w:r>
            <w:t>Determining Maximum Indirect Expenditures</w:t>
          </w:r>
          <w:r>
            <w:tab/>
          </w:r>
          <w:r>
            <w:fldChar w:fldCharType="begin"/>
          </w:r>
          <w:r>
            <w:instrText xml:space="preserve"> PAGEREF _Toc100753994 \h </w:instrText>
          </w:r>
          <w:r>
            <w:fldChar w:fldCharType="separate"/>
          </w:r>
          <w:r>
            <w:t>6</w:t>
          </w:r>
          <w:r>
            <w:fldChar w:fldCharType="end"/>
          </w:r>
        </w:p>
        <w:p w14:paraId="2DA3E6DA" w14:textId="79147021" w:rsidR="001400E6" w:rsidRDefault="001400E6">
          <w:pPr>
            <w:pStyle w:val="TOC2"/>
            <w:rPr>
              <w:rFonts w:asciiTheme="minorHAnsi" w:eastAsiaTheme="minorEastAsia" w:hAnsiTheme="minorHAnsi" w:cstheme="minorBidi"/>
              <w:sz w:val="22"/>
              <w:szCs w:val="22"/>
            </w:rPr>
          </w:pPr>
          <w:r>
            <w:t>F.</w:t>
          </w:r>
          <w:r>
            <w:rPr>
              <w:rFonts w:asciiTheme="minorHAnsi" w:eastAsiaTheme="minorEastAsia" w:hAnsiTheme="minorHAnsi" w:cstheme="minorBidi"/>
              <w:sz w:val="22"/>
              <w:szCs w:val="22"/>
            </w:rPr>
            <w:tab/>
          </w:r>
          <w:r w:rsidRPr="00C823BC">
            <w:rPr>
              <w:bCs/>
            </w:rPr>
            <w:t>Payments</w:t>
          </w:r>
          <w:r>
            <w:tab/>
          </w:r>
          <w:r>
            <w:fldChar w:fldCharType="begin"/>
          </w:r>
          <w:r>
            <w:instrText xml:space="preserve"> PAGEREF _Toc100753995 \h </w:instrText>
          </w:r>
          <w:r>
            <w:fldChar w:fldCharType="separate"/>
          </w:r>
          <w:r>
            <w:t>7</w:t>
          </w:r>
          <w:r>
            <w:fldChar w:fldCharType="end"/>
          </w:r>
        </w:p>
        <w:p w14:paraId="03DBF19F" w14:textId="3AFD8BD7" w:rsidR="001400E6" w:rsidRDefault="001400E6">
          <w:pPr>
            <w:pStyle w:val="TOC1"/>
            <w:rPr>
              <w:rFonts w:asciiTheme="minorHAnsi" w:eastAsiaTheme="minorEastAsia" w:hAnsiTheme="minorHAnsi" w:cstheme="minorBidi"/>
              <w:b w:val="0"/>
              <w:sz w:val="22"/>
              <w:szCs w:val="22"/>
            </w:rPr>
          </w:pPr>
          <w:r>
            <w:t>III.</w:t>
          </w:r>
          <w:r>
            <w:rPr>
              <w:rFonts w:asciiTheme="minorHAnsi" w:eastAsiaTheme="minorEastAsia" w:hAnsiTheme="minorHAnsi" w:cstheme="minorBidi"/>
              <w:b w:val="0"/>
              <w:sz w:val="22"/>
              <w:szCs w:val="22"/>
            </w:rPr>
            <w:tab/>
          </w:r>
          <w:r>
            <w:t>Program Monitoring and Annual Audit</w:t>
          </w:r>
          <w:r>
            <w:tab/>
          </w:r>
          <w:r>
            <w:fldChar w:fldCharType="begin"/>
          </w:r>
          <w:r>
            <w:instrText xml:space="preserve"> PAGEREF _Toc100753996 \h </w:instrText>
          </w:r>
          <w:r>
            <w:fldChar w:fldCharType="separate"/>
          </w:r>
          <w:r>
            <w:t>7</w:t>
          </w:r>
          <w:r>
            <w:fldChar w:fldCharType="end"/>
          </w:r>
        </w:p>
        <w:p w14:paraId="27D10B9F" w14:textId="6A9BEFF8" w:rsidR="001400E6" w:rsidRDefault="001400E6">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Program Monitoring</w:t>
          </w:r>
          <w:r>
            <w:tab/>
          </w:r>
          <w:r>
            <w:fldChar w:fldCharType="begin"/>
          </w:r>
          <w:r>
            <w:instrText xml:space="preserve"> PAGEREF _Toc100753997 \h </w:instrText>
          </w:r>
          <w:r>
            <w:fldChar w:fldCharType="separate"/>
          </w:r>
          <w:r>
            <w:t>7</w:t>
          </w:r>
          <w:r>
            <w:fldChar w:fldCharType="end"/>
          </w:r>
        </w:p>
        <w:p w14:paraId="19B7A8B5" w14:textId="3751CC08" w:rsidR="001400E6" w:rsidRDefault="001400E6">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Annual Fiscal Audit</w:t>
          </w:r>
          <w:r>
            <w:tab/>
          </w:r>
          <w:r>
            <w:fldChar w:fldCharType="begin"/>
          </w:r>
          <w:r>
            <w:instrText xml:space="preserve"> PAGEREF _Toc100753998 \h </w:instrText>
          </w:r>
          <w:r>
            <w:fldChar w:fldCharType="separate"/>
          </w:r>
          <w:r>
            <w:t>7</w:t>
          </w:r>
          <w:r>
            <w:fldChar w:fldCharType="end"/>
          </w:r>
        </w:p>
        <w:p w14:paraId="35CFE858" w14:textId="0A368CBA" w:rsidR="001400E6" w:rsidRDefault="001400E6">
          <w:pPr>
            <w:pStyle w:val="TOC1"/>
            <w:rPr>
              <w:rFonts w:asciiTheme="minorHAnsi" w:eastAsiaTheme="minorEastAsia" w:hAnsiTheme="minorHAnsi" w:cstheme="minorBidi"/>
              <w:b w:val="0"/>
              <w:sz w:val="22"/>
              <w:szCs w:val="22"/>
            </w:rPr>
          </w:pPr>
          <w:r>
            <w:t>IV.</w:t>
          </w:r>
          <w:r>
            <w:rPr>
              <w:rFonts w:asciiTheme="minorHAnsi" w:eastAsiaTheme="minorEastAsia" w:hAnsiTheme="minorHAnsi" w:cstheme="minorBidi"/>
              <w:b w:val="0"/>
              <w:sz w:val="22"/>
              <w:szCs w:val="22"/>
            </w:rPr>
            <w:tab/>
          </w:r>
          <w:r>
            <w:t>Eligibility Criteria and Determination—</w:t>
          </w:r>
          <w:r w:rsidRPr="00C823BC">
            <w:rPr>
              <w:i/>
            </w:rPr>
            <w:t>Who May Apply</w:t>
          </w:r>
          <w:r>
            <w:tab/>
          </w:r>
          <w:r>
            <w:fldChar w:fldCharType="begin"/>
          </w:r>
          <w:r>
            <w:instrText xml:space="preserve"> PAGEREF _Toc100753999 \h </w:instrText>
          </w:r>
          <w:r>
            <w:fldChar w:fldCharType="separate"/>
          </w:r>
          <w:r>
            <w:t>8</w:t>
          </w:r>
          <w:r>
            <w:fldChar w:fldCharType="end"/>
          </w:r>
        </w:p>
        <w:p w14:paraId="0411417A" w14:textId="37FD06B3" w:rsidR="001400E6" w:rsidRDefault="001400E6">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Good Standing</w:t>
          </w:r>
          <w:r>
            <w:tab/>
          </w:r>
          <w:r>
            <w:fldChar w:fldCharType="begin"/>
          </w:r>
          <w:r>
            <w:instrText xml:space="preserve"> PAGEREF _Toc100754000 \h </w:instrText>
          </w:r>
          <w:r>
            <w:fldChar w:fldCharType="separate"/>
          </w:r>
          <w:r>
            <w:t>8</w:t>
          </w:r>
          <w:r>
            <w:fldChar w:fldCharType="end"/>
          </w:r>
        </w:p>
        <w:p w14:paraId="2509A011" w14:textId="06CA192A" w:rsidR="001400E6" w:rsidRDefault="001400E6">
          <w:pPr>
            <w:pStyle w:val="TOC1"/>
            <w:rPr>
              <w:rFonts w:asciiTheme="minorHAnsi" w:eastAsiaTheme="minorEastAsia" w:hAnsiTheme="minorHAnsi" w:cstheme="minorBidi"/>
              <w:b w:val="0"/>
              <w:sz w:val="22"/>
              <w:szCs w:val="22"/>
            </w:rPr>
          </w:pPr>
          <w:r>
            <w:t>V.</w:t>
          </w:r>
          <w:r>
            <w:rPr>
              <w:rFonts w:asciiTheme="minorHAnsi" w:eastAsiaTheme="minorEastAsia" w:hAnsiTheme="minorHAnsi" w:cstheme="minorBidi"/>
              <w:b w:val="0"/>
              <w:sz w:val="22"/>
              <w:szCs w:val="22"/>
            </w:rPr>
            <w:tab/>
          </w:r>
          <w:r>
            <w:t>Elementary and Secondary School Emergency Relief III Summer Grant Program Application Checklist</w:t>
          </w:r>
          <w:r>
            <w:tab/>
          </w:r>
          <w:r>
            <w:fldChar w:fldCharType="begin"/>
          </w:r>
          <w:r>
            <w:instrText xml:space="preserve"> PAGEREF _Toc100754001 \h </w:instrText>
          </w:r>
          <w:r>
            <w:fldChar w:fldCharType="separate"/>
          </w:r>
          <w:r>
            <w:t>9</w:t>
          </w:r>
          <w:r>
            <w:fldChar w:fldCharType="end"/>
          </w:r>
        </w:p>
        <w:p w14:paraId="7D4E6F3C" w14:textId="25930694" w:rsidR="001400E6" w:rsidRDefault="001400E6">
          <w:pPr>
            <w:pStyle w:val="TOC1"/>
            <w:rPr>
              <w:rFonts w:asciiTheme="minorHAnsi" w:eastAsiaTheme="minorEastAsia" w:hAnsiTheme="minorHAnsi" w:cstheme="minorBidi"/>
              <w:b w:val="0"/>
              <w:sz w:val="22"/>
              <w:szCs w:val="22"/>
            </w:rPr>
          </w:pPr>
          <w:r>
            <w:t>VI.</w:t>
          </w:r>
          <w:r>
            <w:rPr>
              <w:rFonts w:asciiTheme="minorHAnsi" w:eastAsiaTheme="minorEastAsia" w:hAnsiTheme="minorHAnsi" w:cstheme="minorBidi"/>
              <w:b w:val="0"/>
              <w:sz w:val="22"/>
              <w:szCs w:val="22"/>
            </w:rPr>
            <w:tab/>
          </w:r>
          <w:r>
            <w:t>Completion and Submission of the Application</w:t>
          </w:r>
          <w:r>
            <w:tab/>
          </w:r>
          <w:r>
            <w:fldChar w:fldCharType="begin"/>
          </w:r>
          <w:r>
            <w:instrText xml:space="preserve"> PAGEREF _Toc100754002 \h </w:instrText>
          </w:r>
          <w:r>
            <w:fldChar w:fldCharType="separate"/>
          </w:r>
          <w:r>
            <w:t>10</w:t>
          </w:r>
          <w:r>
            <w:fldChar w:fldCharType="end"/>
          </w:r>
        </w:p>
        <w:p w14:paraId="450E4071" w14:textId="6760EFC6" w:rsidR="001400E6" w:rsidRDefault="001400E6">
          <w:pPr>
            <w:pStyle w:val="TOC1"/>
            <w:rPr>
              <w:rFonts w:asciiTheme="minorHAnsi" w:eastAsiaTheme="minorEastAsia" w:hAnsiTheme="minorHAnsi" w:cstheme="minorBidi"/>
              <w:b w:val="0"/>
              <w:sz w:val="22"/>
              <w:szCs w:val="22"/>
            </w:rPr>
          </w:pPr>
          <w:r>
            <w:t>VII.</w:t>
          </w:r>
          <w:r>
            <w:rPr>
              <w:rFonts w:asciiTheme="minorHAnsi" w:eastAsiaTheme="minorEastAsia" w:hAnsiTheme="minorHAnsi" w:cstheme="minorBidi"/>
              <w:b w:val="0"/>
              <w:sz w:val="22"/>
              <w:szCs w:val="22"/>
            </w:rPr>
            <w:tab/>
          </w:r>
          <w:r>
            <w:t>Application Review Process</w:t>
          </w:r>
          <w:r>
            <w:tab/>
          </w:r>
          <w:r>
            <w:fldChar w:fldCharType="begin"/>
          </w:r>
          <w:r>
            <w:instrText xml:space="preserve"> PAGEREF _Toc100754003 \h </w:instrText>
          </w:r>
          <w:r>
            <w:fldChar w:fldCharType="separate"/>
          </w:r>
          <w:r>
            <w:t>11</w:t>
          </w:r>
          <w:r>
            <w:fldChar w:fldCharType="end"/>
          </w:r>
        </w:p>
        <w:p w14:paraId="4ECAFB67" w14:textId="3733CD9A" w:rsidR="001400E6" w:rsidRDefault="001400E6">
          <w:pPr>
            <w:pStyle w:val="TOC2"/>
            <w:rPr>
              <w:rFonts w:asciiTheme="minorHAnsi" w:eastAsiaTheme="minorEastAsia" w:hAnsiTheme="minorHAnsi" w:cstheme="minorBidi"/>
              <w:sz w:val="22"/>
              <w:szCs w:val="22"/>
            </w:rPr>
          </w:pPr>
          <w:r>
            <w:t>A.</w:t>
          </w:r>
          <w:r>
            <w:rPr>
              <w:rFonts w:asciiTheme="minorHAnsi" w:eastAsiaTheme="minorEastAsia" w:hAnsiTheme="minorHAnsi" w:cstheme="minorBidi"/>
              <w:sz w:val="22"/>
              <w:szCs w:val="22"/>
            </w:rPr>
            <w:tab/>
          </w:r>
          <w:r>
            <w:t>Grant Award Determination</w:t>
          </w:r>
          <w:r>
            <w:tab/>
          </w:r>
          <w:r>
            <w:fldChar w:fldCharType="begin"/>
          </w:r>
          <w:r>
            <w:instrText xml:space="preserve"> PAGEREF _Toc100754004 \h </w:instrText>
          </w:r>
          <w:r>
            <w:fldChar w:fldCharType="separate"/>
          </w:r>
          <w:r>
            <w:t>11</w:t>
          </w:r>
          <w:r>
            <w:fldChar w:fldCharType="end"/>
          </w:r>
        </w:p>
        <w:p w14:paraId="5C1B7BC7" w14:textId="0A6E51E3" w:rsidR="001400E6" w:rsidRDefault="001400E6">
          <w:pPr>
            <w:pStyle w:val="TOC2"/>
            <w:rPr>
              <w:rFonts w:asciiTheme="minorHAnsi" w:eastAsiaTheme="minorEastAsia" w:hAnsiTheme="minorHAnsi" w:cstheme="minorBidi"/>
              <w:sz w:val="22"/>
              <w:szCs w:val="22"/>
            </w:rPr>
          </w:pPr>
          <w:r>
            <w:t>B.</w:t>
          </w:r>
          <w:r>
            <w:rPr>
              <w:rFonts w:asciiTheme="minorHAnsi" w:eastAsiaTheme="minorEastAsia" w:hAnsiTheme="minorHAnsi" w:cstheme="minorBidi"/>
              <w:sz w:val="22"/>
              <w:szCs w:val="22"/>
            </w:rPr>
            <w:tab/>
          </w:r>
          <w:r>
            <w:t>Disqualifications and Appeals Process</w:t>
          </w:r>
          <w:r>
            <w:tab/>
          </w:r>
          <w:r>
            <w:fldChar w:fldCharType="begin"/>
          </w:r>
          <w:r>
            <w:instrText xml:space="preserve"> PAGEREF _Toc100754005 \h </w:instrText>
          </w:r>
          <w:r>
            <w:fldChar w:fldCharType="separate"/>
          </w:r>
          <w:r>
            <w:t>12</w:t>
          </w:r>
          <w:r>
            <w:fldChar w:fldCharType="end"/>
          </w:r>
        </w:p>
        <w:p w14:paraId="25686792" w14:textId="0E9FF2FC" w:rsidR="001400E6" w:rsidRDefault="001400E6">
          <w:pPr>
            <w:pStyle w:val="TOC1"/>
            <w:rPr>
              <w:rFonts w:asciiTheme="minorHAnsi" w:eastAsiaTheme="minorEastAsia" w:hAnsiTheme="minorHAnsi" w:cstheme="minorBidi"/>
              <w:b w:val="0"/>
              <w:sz w:val="22"/>
              <w:szCs w:val="22"/>
            </w:rPr>
          </w:pPr>
          <w:r>
            <w:t>VIII.</w:t>
          </w:r>
          <w:r>
            <w:rPr>
              <w:rFonts w:asciiTheme="minorHAnsi" w:eastAsiaTheme="minorEastAsia" w:hAnsiTheme="minorHAnsi" w:cstheme="minorBidi"/>
              <w:b w:val="0"/>
              <w:sz w:val="22"/>
              <w:szCs w:val="22"/>
            </w:rPr>
            <w:tab/>
          </w:r>
          <w:r>
            <w:t>Key Terms</w:t>
          </w:r>
          <w:r>
            <w:tab/>
          </w:r>
          <w:r>
            <w:fldChar w:fldCharType="begin"/>
          </w:r>
          <w:r>
            <w:instrText xml:space="preserve"> PAGEREF _Toc100754006 \h </w:instrText>
          </w:r>
          <w:r>
            <w:fldChar w:fldCharType="separate"/>
          </w:r>
          <w:r>
            <w:t>13</w:t>
          </w:r>
          <w:r>
            <w:fldChar w:fldCharType="end"/>
          </w:r>
        </w:p>
        <w:p w14:paraId="7D29968B" w14:textId="55644335" w:rsidR="00406D50" w:rsidRPr="00875C73" w:rsidRDefault="00406D50" w:rsidP="00406D50">
          <w:r w:rsidRPr="00406D50">
            <w:rPr>
              <w:rFonts w:cs="Arial"/>
              <w:szCs w:val="24"/>
            </w:rPr>
            <w:fldChar w:fldCharType="end"/>
          </w:r>
        </w:p>
      </w:sdtContent>
    </w:sdt>
    <w:p w14:paraId="3F813E2B" w14:textId="77777777" w:rsidR="00406D50" w:rsidRDefault="00406D50" w:rsidP="00C13E1C">
      <w:pPr>
        <w:pStyle w:val="Heading2"/>
        <w:numPr>
          <w:ilvl w:val="0"/>
          <w:numId w:val="13"/>
        </w:numPr>
        <w:sectPr w:rsidR="00406D50" w:rsidSect="0048787F">
          <w:headerReference w:type="first" r:id="rId17"/>
          <w:footerReference w:type="first" r:id="rId18"/>
          <w:pgSz w:w="12240" w:h="15840"/>
          <w:pgMar w:top="1440" w:right="1440" w:bottom="1440" w:left="1440" w:header="720" w:footer="720" w:gutter="0"/>
          <w:pgNumType w:fmt="lowerRoman" w:start="2"/>
          <w:cols w:space="720"/>
          <w:titlePg/>
          <w:docGrid w:linePitch="360"/>
        </w:sectPr>
      </w:pPr>
    </w:p>
    <w:p w14:paraId="5C3AD235" w14:textId="75F1032D" w:rsidR="00406D50" w:rsidRPr="009D0BF7" w:rsidRDefault="00406D50" w:rsidP="00C13E1C">
      <w:pPr>
        <w:pStyle w:val="Heading2"/>
        <w:numPr>
          <w:ilvl w:val="0"/>
          <w:numId w:val="13"/>
        </w:numPr>
        <w:ind w:left="360"/>
      </w:pPr>
      <w:bookmarkStart w:id="3" w:name="_Toc100753987"/>
      <w:r w:rsidRPr="009D0BF7">
        <w:lastRenderedPageBreak/>
        <w:t>Purpose and Background</w:t>
      </w:r>
      <w:bookmarkEnd w:id="2"/>
      <w:bookmarkEnd w:id="1"/>
      <w:bookmarkEnd w:id="3"/>
    </w:p>
    <w:p w14:paraId="0FFB44EB" w14:textId="5D7714E2" w:rsidR="008360B9" w:rsidRDefault="005701B1" w:rsidP="00406D50">
      <w:pPr>
        <w:shd w:val="clear" w:color="auto" w:fill="FFFFFF"/>
        <w:spacing w:after="240"/>
        <w:ind w:left="360"/>
        <w:rPr>
          <w:rFonts w:cs="Arial"/>
          <w:iCs/>
          <w:szCs w:val="24"/>
          <w:bdr w:val="none" w:sz="0" w:space="0" w:color="auto" w:frame="1"/>
        </w:rPr>
      </w:pPr>
      <w:r>
        <w:rPr>
          <w:rFonts w:cs="Arial"/>
          <w:color w:val="000000"/>
          <w:szCs w:val="24"/>
        </w:rPr>
        <w:t>The purpose of the</w:t>
      </w:r>
      <w:r w:rsidR="000A5E44">
        <w:rPr>
          <w:rFonts w:cs="Arial"/>
          <w:color w:val="000000"/>
          <w:szCs w:val="24"/>
        </w:rPr>
        <w:t xml:space="preserve"> ESSER III Summer Grant Program</w:t>
      </w:r>
      <w:r w:rsidR="00406D50" w:rsidRPr="009D0BF7">
        <w:rPr>
          <w:rFonts w:cs="Arial"/>
          <w:color w:val="000000"/>
          <w:szCs w:val="24"/>
        </w:rPr>
        <w:t xml:space="preserve"> i</w:t>
      </w:r>
      <w:r w:rsidR="000A5E44">
        <w:rPr>
          <w:rFonts w:cs="Arial"/>
          <w:color w:val="000000"/>
          <w:szCs w:val="24"/>
        </w:rPr>
        <w:t xml:space="preserve">s for </w:t>
      </w:r>
      <w:r w:rsidR="000A5E44" w:rsidRPr="000A5E44">
        <w:rPr>
          <w:rFonts w:cs="Arial"/>
          <w:color w:val="333333"/>
          <w:shd w:val="clear" w:color="auto" w:fill="FFFFFF"/>
        </w:rPr>
        <w:t xml:space="preserve">the implementation of evidence-based summer enrichment programs, and ensure such programs respond to students’ academic, social, and emotional needs and address the disproportionate impact of the coronavirus on the student populations described in </w:t>
      </w:r>
      <w:r w:rsidR="000C010D">
        <w:rPr>
          <w:rFonts w:cs="Arial"/>
          <w:color w:val="333333"/>
          <w:shd w:val="clear" w:color="auto" w:fill="FFFFFF"/>
        </w:rPr>
        <w:t>S</w:t>
      </w:r>
      <w:r w:rsidR="000A5E44" w:rsidRPr="000A5E44">
        <w:rPr>
          <w:rFonts w:cs="Arial"/>
          <w:color w:val="333333"/>
          <w:shd w:val="clear" w:color="auto" w:fill="FFFFFF"/>
        </w:rPr>
        <w:t xml:space="preserve">ection 1111(b)(2)(B)(xi) of the Elementary and Secondary Education Act of 1965 </w:t>
      </w:r>
      <w:r w:rsidR="000A5E44" w:rsidRPr="00005A8C">
        <w:rPr>
          <w:rFonts w:cs="Arial"/>
          <w:color w:val="0000FF"/>
          <w:shd w:val="clear" w:color="auto" w:fill="FFFFFF"/>
        </w:rPr>
        <w:t>(</w:t>
      </w:r>
      <w:hyperlink r:id="rId19" w:tooltip="Section 1111(b)(2)(B)(xi) of the Elementary and Secondary Education Act of 1965 web page link. " w:history="1">
        <w:r w:rsidR="000A5E44" w:rsidRPr="00005A8C">
          <w:rPr>
            <w:rStyle w:val="Hyperlink"/>
            <w:rFonts w:eastAsiaTheme="majorEastAsia" w:cs="Arial"/>
            <w:shd w:val="clear" w:color="auto" w:fill="FFFFFF"/>
          </w:rPr>
          <w:t xml:space="preserve">20 </w:t>
        </w:r>
        <w:r w:rsidR="004255DD" w:rsidRPr="00005A8C">
          <w:rPr>
            <w:rStyle w:val="Hyperlink"/>
            <w:rFonts w:eastAsiaTheme="majorEastAsia" w:cs="Arial"/>
            <w:shd w:val="clear" w:color="auto" w:fill="FFFFFF"/>
          </w:rPr>
          <w:t>United States Code [</w:t>
        </w:r>
        <w:r w:rsidR="000A5E44" w:rsidRPr="00005A8C">
          <w:rPr>
            <w:rStyle w:val="Hyperlink"/>
            <w:rFonts w:eastAsiaTheme="majorEastAsia" w:cs="Arial"/>
            <w:shd w:val="clear" w:color="auto" w:fill="FFFFFF"/>
          </w:rPr>
          <w:t>U.S.C.</w:t>
        </w:r>
        <w:r w:rsidR="004255DD" w:rsidRPr="00005A8C">
          <w:rPr>
            <w:rStyle w:val="Hyperlink"/>
            <w:rFonts w:eastAsiaTheme="majorEastAsia" w:cs="Arial"/>
            <w:shd w:val="clear" w:color="auto" w:fill="FFFFFF"/>
          </w:rPr>
          <w:t>]</w:t>
        </w:r>
        <w:r w:rsidR="000A5E44" w:rsidRPr="00005A8C">
          <w:rPr>
            <w:rStyle w:val="Hyperlink"/>
            <w:rFonts w:eastAsiaTheme="majorEastAsia" w:cs="Arial"/>
            <w:shd w:val="clear" w:color="auto" w:fill="FFFFFF"/>
          </w:rPr>
          <w:t xml:space="preserve"> 631</w:t>
        </w:r>
        <w:r w:rsidR="005A375B" w:rsidRPr="00005A8C">
          <w:rPr>
            <w:rStyle w:val="Hyperlink"/>
            <w:rFonts w:eastAsiaTheme="majorEastAsia" w:cs="Arial"/>
            <w:shd w:val="clear" w:color="auto" w:fill="FFFFFF"/>
          </w:rPr>
          <w:t>1</w:t>
        </w:r>
        <w:r w:rsidR="000C010D" w:rsidRPr="00005A8C">
          <w:rPr>
            <w:rStyle w:val="Hyperlink"/>
            <w:rFonts w:eastAsiaTheme="majorEastAsia" w:cs="Arial"/>
            <w:shd w:val="clear" w:color="auto" w:fill="FFFFFF"/>
          </w:rPr>
          <w:t>[</w:t>
        </w:r>
        <w:r w:rsidR="000A5E44" w:rsidRPr="00005A8C">
          <w:rPr>
            <w:rStyle w:val="Hyperlink"/>
            <w:rFonts w:eastAsiaTheme="majorEastAsia" w:cs="Arial"/>
            <w:shd w:val="clear" w:color="auto" w:fill="FFFFFF"/>
          </w:rPr>
          <w:t>b</w:t>
        </w:r>
        <w:r w:rsidR="000C010D" w:rsidRPr="00005A8C">
          <w:rPr>
            <w:rStyle w:val="Hyperlink"/>
            <w:rFonts w:eastAsiaTheme="majorEastAsia" w:cs="Arial"/>
            <w:shd w:val="clear" w:color="auto" w:fill="FFFFFF"/>
          </w:rPr>
          <w:t>][</w:t>
        </w:r>
        <w:r w:rsidR="000A5E44" w:rsidRPr="00005A8C">
          <w:rPr>
            <w:rStyle w:val="Hyperlink"/>
            <w:rFonts w:eastAsiaTheme="majorEastAsia" w:cs="Arial"/>
            <w:shd w:val="clear" w:color="auto" w:fill="FFFFFF"/>
          </w:rPr>
          <w:t>2</w:t>
        </w:r>
        <w:r w:rsidR="000C010D" w:rsidRPr="00005A8C">
          <w:rPr>
            <w:rStyle w:val="Hyperlink"/>
            <w:rFonts w:eastAsiaTheme="majorEastAsia" w:cs="Arial"/>
            <w:shd w:val="clear" w:color="auto" w:fill="FFFFFF"/>
          </w:rPr>
          <w:t>][</w:t>
        </w:r>
        <w:r w:rsidR="000A5E44" w:rsidRPr="00005A8C">
          <w:rPr>
            <w:rStyle w:val="Hyperlink"/>
            <w:rFonts w:eastAsiaTheme="majorEastAsia" w:cs="Arial"/>
            <w:shd w:val="clear" w:color="auto" w:fill="FFFFFF"/>
          </w:rPr>
          <w:t>B</w:t>
        </w:r>
        <w:r w:rsidR="000C010D" w:rsidRPr="00005A8C">
          <w:rPr>
            <w:rStyle w:val="Hyperlink"/>
            <w:rFonts w:eastAsiaTheme="majorEastAsia" w:cs="Arial"/>
            <w:shd w:val="clear" w:color="auto" w:fill="FFFFFF"/>
          </w:rPr>
          <w:t>][</w:t>
        </w:r>
        <w:r w:rsidR="000A5E44" w:rsidRPr="00005A8C">
          <w:rPr>
            <w:rStyle w:val="Hyperlink"/>
            <w:rFonts w:eastAsiaTheme="majorEastAsia" w:cs="Arial"/>
            <w:shd w:val="clear" w:color="auto" w:fill="FFFFFF"/>
          </w:rPr>
          <w:t>xi</w:t>
        </w:r>
      </w:hyperlink>
      <w:r w:rsidR="000C010D" w:rsidRPr="00005A8C">
        <w:rPr>
          <w:rStyle w:val="Hyperlink"/>
          <w:rFonts w:eastAsiaTheme="majorEastAsia" w:cs="Arial"/>
          <w:shd w:val="clear" w:color="auto" w:fill="FFFFFF"/>
        </w:rPr>
        <w:t>]</w:t>
      </w:r>
      <w:r w:rsidR="000A5E44" w:rsidRPr="000A5E44">
        <w:rPr>
          <w:rFonts w:cs="Arial"/>
          <w:color w:val="333333"/>
          <w:shd w:val="clear" w:color="auto" w:fill="FFFFFF"/>
        </w:rPr>
        <w:t>), students experiencing homelessness, and children and youth in foster care</w:t>
      </w:r>
      <w:r w:rsidR="000C010D">
        <w:rPr>
          <w:rFonts w:cs="Arial"/>
          <w:color w:val="333333"/>
          <w:shd w:val="clear" w:color="auto" w:fill="FFFFFF"/>
        </w:rPr>
        <w:t>.</w:t>
      </w:r>
      <w:r w:rsidR="00406D50" w:rsidRPr="000A5E44">
        <w:rPr>
          <w:rFonts w:cs="Arial"/>
          <w:iCs/>
          <w:szCs w:val="24"/>
          <w:bdr w:val="none" w:sz="0" w:space="0" w:color="auto" w:frame="1"/>
        </w:rPr>
        <w:t xml:space="preserve"> </w:t>
      </w:r>
    </w:p>
    <w:p w14:paraId="3C690322" w14:textId="1FEA89AE" w:rsidR="00E10001" w:rsidRPr="00DE4889" w:rsidRDefault="00E10001" w:rsidP="00406D50">
      <w:pPr>
        <w:shd w:val="clear" w:color="auto" w:fill="FFFFFF"/>
        <w:spacing w:after="240"/>
        <w:ind w:left="360"/>
        <w:rPr>
          <w:rFonts w:cs="Arial"/>
          <w:iCs/>
          <w:szCs w:val="24"/>
          <w:bdr w:val="none" w:sz="0" w:space="0" w:color="auto" w:frame="1"/>
        </w:rPr>
      </w:pPr>
      <w:r w:rsidRPr="00DE4889">
        <w:rPr>
          <w:rFonts w:cs="Arial"/>
          <w:iCs/>
          <w:szCs w:val="24"/>
          <w:bdr w:val="none" w:sz="0" w:space="0" w:color="auto" w:frame="1"/>
        </w:rPr>
        <w:t xml:space="preserve">There will be two buckets of funding for </w:t>
      </w:r>
      <w:r w:rsidR="002D30BE" w:rsidRPr="00DE4889">
        <w:rPr>
          <w:rFonts w:cs="Arial"/>
          <w:iCs/>
          <w:szCs w:val="24"/>
          <w:bdr w:val="none" w:sz="0" w:space="0" w:color="auto" w:frame="1"/>
        </w:rPr>
        <w:t>the ESSER III Summer Grant P</w:t>
      </w:r>
      <w:r w:rsidRPr="00DE4889">
        <w:rPr>
          <w:rFonts w:cs="Arial"/>
          <w:iCs/>
          <w:szCs w:val="24"/>
          <w:bdr w:val="none" w:sz="0" w:space="0" w:color="auto" w:frame="1"/>
        </w:rPr>
        <w:t>rogram:</w:t>
      </w:r>
    </w:p>
    <w:p w14:paraId="579F2C3F" w14:textId="38BE59B4" w:rsidR="00406D50" w:rsidRPr="00DE4889" w:rsidRDefault="00E10001" w:rsidP="00E10001">
      <w:pPr>
        <w:pStyle w:val="ListParagraph"/>
        <w:numPr>
          <w:ilvl w:val="0"/>
          <w:numId w:val="45"/>
        </w:numPr>
        <w:shd w:val="clear" w:color="auto" w:fill="FFFFFF"/>
        <w:spacing w:after="240"/>
        <w:rPr>
          <w:rFonts w:cs="Arial"/>
          <w:iCs/>
          <w:szCs w:val="24"/>
          <w:bdr w:val="none" w:sz="0" w:space="0" w:color="auto" w:frame="1"/>
        </w:rPr>
      </w:pPr>
      <w:r w:rsidRPr="00DE4889">
        <w:rPr>
          <w:rFonts w:cs="Arial"/>
          <w:b/>
          <w:iCs/>
          <w:szCs w:val="24"/>
          <w:bdr w:val="none" w:sz="0" w:space="0" w:color="auto" w:frame="1"/>
        </w:rPr>
        <w:t>For existing After School Education and Safety (ASES) grantees</w:t>
      </w:r>
      <w:r w:rsidR="009C18FB">
        <w:rPr>
          <w:rFonts w:cs="Arial"/>
          <w:iCs/>
          <w:szCs w:val="24"/>
          <w:bdr w:val="none" w:sz="0" w:space="0" w:color="auto" w:frame="1"/>
        </w:rPr>
        <w:t>—</w:t>
      </w:r>
      <w:r w:rsidR="00406D50" w:rsidRPr="00DE4889">
        <w:rPr>
          <w:rFonts w:cs="Arial"/>
          <w:iCs/>
          <w:szCs w:val="24"/>
          <w:bdr w:val="none" w:sz="0" w:space="0" w:color="auto" w:frame="1"/>
        </w:rPr>
        <w:t xml:space="preserve">The </w:t>
      </w:r>
      <w:r w:rsidR="00865723" w:rsidRPr="00DE4889">
        <w:rPr>
          <w:rFonts w:cs="Arial"/>
          <w:iCs/>
          <w:szCs w:val="24"/>
          <w:bdr w:val="none" w:sz="0" w:space="0" w:color="auto" w:frame="1"/>
        </w:rPr>
        <w:t xml:space="preserve">total </w:t>
      </w:r>
      <w:r w:rsidR="00406D50" w:rsidRPr="00DE4889">
        <w:rPr>
          <w:rFonts w:cs="Arial"/>
          <w:iCs/>
          <w:szCs w:val="24"/>
          <w:bdr w:val="none" w:sz="0" w:space="0" w:color="auto" w:frame="1"/>
        </w:rPr>
        <w:t xml:space="preserve">amount available </w:t>
      </w:r>
      <w:r w:rsidR="00A43762" w:rsidRPr="00DE4889">
        <w:rPr>
          <w:rFonts w:cs="Arial"/>
          <w:iCs/>
          <w:szCs w:val="24"/>
          <w:bdr w:val="none" w:sz="0" w:space="0" w:color="auto" w:frame="1"/>
        </w:rPr>
        <w:t xml:space="preserve">is </w:t>
      </w:r>
      <w:r w:rsidR="00514C34" w:rsidRPr="00514C34">
        <w:rPr>
          <w:rFonts w:cs="Arial"/>
          <w:iCs/>
          <w:szCs w:val="24"/>
          <w:bdr w:val="none" w:sz="0" w:space="0" w:color="auto" w:frame="1"/>
        </w:rPr>
        <w:t>$52,969,000</w:t>
      </w:r>
      <w:r w:rsidR="00514C34">
        <w:rPr>
          <w:rFonts w:cs="Arial"/>
          <w:iCs/>
          <w:szCs w:val="24"/>
          <w:bdr w:val="none" w:sz="0" w:space="0" w:color="auto" w:frame="1"/>
        </w:rPr>
        <w:t xml:space="preserve"> </w:t>
      </w:r>
      <w:r w:rsidR="00704F08" w:rsidRPr="00DE4889">
        <w:rPr>
          <w:rFonts w:cs="Arial"/>
          <w:iCs/>
          <w:szCs w:val="24"/>
          <w:bdr w:val="none" w:sz="0" w:space="0" w:color="auto" w:frame="1"/>
        </w:rPr>
        <w:t xml:space="preserve">starting in </w:t>
      </w:r>
      <w:r w:rsidR="00704F08" w:rsidRPr="00514C34">
        <w:rPr>
          <w:rFonts w:cs="Arial"/>
          <w:iCs/>
          <w:szCs w:val="24"/>
          <w:bdr w:val="none" w:sz="0" w:space="0" w:color="auto" w:frame="1"/>
        </w:rPr>
        <w:t>f</w:t>
      </w:r>
      <w:r w:rsidR="00406D50" w:rsidRPr="00514C34">
        <w:rPr>
          <w:rFonts w:cs="Arial"/>
          <w:iCs/>
          <w:szCs w:val="24"/>
          <w:bdr w:val="none" w:sz="0" w:space="0" w:color="auto" w:frame="1"/>
        </w:rPr>
        <w:t>isca</w:t>
      </w:r>
      <w:r w:rsidR="00704F08" w:rsidRPr="00514C34">
        <w:rPr>
          <w:rFonts w:cs="Arial"/>
          <w:iCs/>
          <w:szCs w:val="24"/>
          <w:bdr w:val="none" w:sz="0" w:space="0" w:color="auto" w:frame="1"/>
        </w:rPr>
        <w:t>l y</w:t>
      </w:r>
      <w:r w:rsidR="00406D50" w:rsidRPr="00514C34">
        <w:rPr>
          <w:rFonts w:cs="Arial"/>
          <w:iCs/>
          <w:szCs w:val="24"/>
          <w:bdr w:val="none" w:sz="0" w:space="0" w:color="auto" w:frame="1"/>
        </w:rPr>
        <w:t>ear 2</w:t>
      </w:r>
      <w:r w:rsidR="00704F08" w:rsidRPr="00514C34">
        <w:rPr>
          <w:rFonts w:cs="Arial"/>
          <w:iCs/>
          <w:szCs w:val="24"/>
          <w:bdr w:val="none" w:sz="0" w:space="0" w:color="auto" w:frame="1"/>
        </w:rPr>
        <w:t>0</w:t>
      </w:r>
      <w:r w:rsidR="000A5E44" w:rsidRPr="00514C34">
        <w:rPr>
          <w:rFonts w:cs="Arial"/>
          <w:iCs/>
          <w:szCs w:val="24"/>
          <w:bdr w:val="none" w:sz="0" w:space="0" w:color="auto" w:frame="1"/>
        </w:rPr>
        <w:t>2</w:t>
      </w:r>
      <w:r w:rsidR="00930B84" w:rsidRPr="00514C34">
        <w:rPr>
          <w:rFonts w:cs="Arial"/>
          <w:iCs/>
          <w:szCs w:val="24"/>
          <w:bdr w:val="none" w:sz="0" w:space="0" w:color="auto" w:frame="1"/>
        </w:rPr>
        <w:t>2</w:t>
      </w:r>
      <w:r w:rsidR="00704F08" w:rsidRPr="00514C34">
        <w:rPr>
          <w:rFonts w:cs="Arial"/>
          <w:iCs/>
          <w:szCs w:val="24"/>
          <w:bdr w:val="none" w:sz="0" w:space="0" w:color="auto" w:frame="1"/>
        </w:rPr>
        <w:t>–</w:t>
      </w:r>
      <w:r w:rsidR="000A5E44" w:rsidRPr="00514C34">
        <w:rPr>
          <w:rFonts w:cs="Arial"/>
          <w:iCs/>
          <w:szCs w:val="24"/>
          <w:bdr w:val="none" w:sz="0" w:space="0" w:color="auto" w:frame="1"/>
        </w:rPr>
        <w:t>2</w:t>
      </w:r>
      <w:r w:rsidR="00930B84" w:rsidRPr="00514C34">
        <w:rPr>
          <w:rFonts w:cs="Arial"/>
          <w:iCs/>
          <w:szCs w:val="24"/>
          <w:bdr w:val="none" w:sz="0" w:space="0" w:color="auto" w:frame="1"/>
        </w:rPr>
        <w:t>3</w:t>
      </w:r>
      <w:r w:rsidR="00704F08" w:rsidRPr="00514C34">
        <w:rPr>
          <w:rFonts w:cs="Arial"/>
          <w:iCs/>
          <w:szCs w:val="24"/>
          <w:bdr w:val="none" w:sz="0" w:space="0" w:color="auto" w:frame="1"/>
        </w:rPr>
        <w:t xml:space="preserve"> and continuing through </w:t>
      </w:r>
      <w:r w:rsidR="00930B84" w:rsidRPr="00514C34">
        <w:rPr>
          <w:rFonts w:cs="Arial"/>
          <w:iCs/>
          <w:szCs w:val="24"/>
          <w:bdr w:val="none" w:sz="0" w:space="0" w:color="auto" w:frame="1"/>
        </w:rPr>
        <w:t>September 30</w:t>
      </w:r>
      <w:r w:rsidR="00A37024" w:rsidRPr="00514C34">
        <w:rPr>
          <w:rFonts w:cs="Arial"/>
          <w:iCs/>
          <w:szCs w:val="24"/>
          <w:bdr w:val="none" w:sz="0" w:space="0" w:color="auto" w:frame="1"/>
        </w:rPr>
        <w:t>,</w:t>
      </w:r>
      <w:r w:rsidR="000A5E44" w:rsidRPr="00514C34">
        <w:rPr>
          <w:rFonts w:cs="Arial"/>
          <w:iCs/>
          <w:szCs w:val="24"/>
          <w:bdr w:val="none" w:sz="0" w:space="0" w:color="auto" w:frame="1"/>
        </w:rPr>
        <w:t xml:space="preserve"> 202</w:t>
      </w:r>
      <w:r w:rsidR="007C0913">
        <w:rPr>
          <w:rFonts w:cs="Arial"/>
          <w:iCs/>
          <w:szCs w:val="24"/>
          <w:bdr w:val="none" w:sz="0" w:space="0" w:color="auto" w:frame="1"/>
        </w:rPr>
        <w:t>4</w:t>
      </w:r>
      <w:r w:rsidR="00406D50" w:rsidRPr="00514C34">
        <w:rPr>
          <w:rFonts w:cs="Arial"/>
          <w:iCs/>
          <w:szCs w:val="24"/>
          <w:bdr w:val="none" w:sz="0" w:space="0" w:color="auto" w:frame="1"/>
        </w:rPr>
        <w:t>.</w:t>
      </w:r>
      <w:r w:rsidR="00406D50" w:rsidRPr="00DE4889">
        <w:rPr>
          <w:rFonts w:cs="Arial"/>
          <w:iCs/>
          <w:szCs w:val="24"/>
          <w:bdr w:val="none" w:sz="0" w:space="0" w:color="auto" w:frame="1"/>
        </w:rPr>
        <w:t xml:space="preserve"> Funding is available to the 11 California County Superintendents Educat</w:t>
      </w:r>
      <w:r w:rsidR="00704F08" w:rsidRPr="00DE4889">
        <w:rPr>
          <w:rFonts w:cs="Arial"/>
          <w:iCs/>
          <w:szCs w:val="24"/>
          <w:bdr w:val="none" w:sz="0" w:space="0" w:color="auto" w:frame="1"/>
        </w:rPr>
        <w:t>ional Services Association (CCSE</w:t>
      </w:r>
      <w:r w:rsidR="00406D50" w:rsidRPr="00DE4889">
        <w:rPr>
          <w:rFonts w:cs="Arial"/>
          <w:iCs/>
          <w:szCs w:val="24"/>
          <w:bdr w:val="none" w:sz="0" w:space="0" w:color="auto" w:frame="1"/>
        </w:rPr>
        <w:t>SA) regions</w:t>
      </w:r>
      <w:r w:rsidR="00192B56" w:rsidRPr="00DE4889">
        <w:rPr>
          <w:rFonts w:cs="Arial"/>
          <w:iCs/>
          <w:szCs w:val="24"/>
          <w:bdr w:val="none" w:sz="0" w:space="0" w:color="auto" w:frame="1"/>
        </w:rPr>
        <w:t xml:space="preserve"> (map located </w:t>
      </w:r>
      <w:r w:rsidR="000C010D" w:rsidRPr="00DE4889">
        <w:rPr>
          <w:rFonts w:cs="Arial"/>
          <w:iCs/>
          <w:szCs w:val="24"/>
          <w:bdr w:val="none" w:sz="0" w:space="0" w:color="auto" w:frame="1"/>
        </w:rPr>
        <w:t xml:space="preserve">on the CCSESA website </w:t>
      </w:r>
      <w:r w:rsidR="00192B56" w:rsidRPr="00DE4889">
        <w:rPr>
          <w:rFonts w:cs="Arial"/>
          <w:iCs/>
          <w:szCs w:val="24"/>
          <w:bdr w:val="none" w:sz="0" w:space="0" w:color="auto" w:frame="1"/>
        </w:rPr>
        <w:t xml:space="preserve">at </w:t>
      </w:r>
      <w:hyperlink r:id="rId20" w:tooltip="California County Superintendents Education Services Association region map link." w:history="1">
        <w:r w:rsidR="00192B56" w:rsidRPr="00DE4889">
          <w:rPr>
            <w:rStyle w:val="Hyperlink"/>
            <w:rFonts w:cs="Arial"/>
            <w:iCs/>
            <w:szCs w:val="24"/>
            <w:bdr w:val="none" w:sz="0" w:space="0" w:color="auto" w:frame="1"/>
          </w:rPr>
          <w:t>https://ccsesa.org/regions/</w:t>
        </w:r>
      </w:hyperlink>
      <w:r w:rsidR="00192B56" w:rsidRPr="00DE4889">
        <w:rPr>
          <w:rFonts w:cs="Arial"/>
          <w:iCs/>
          <w:szCs w:val="24"/>
          <w:bdr w:val="none" w:sz="0" w:space="0" w:color="auto" w:frame="1"/>
        </w:rPr>
        <w:t>)</w:t>
      </w:r>
      <w:r w:rsidR="00406D50" w:rsidRPr="00DE4889">
        <w:rPr>
          <w:rFonts w:cs="Arial"/>
          <w:iCs/>
          <w:szCs w:val="24"/>
          <w:bdr w:val="none" w:sz="0" w:space="0" w:color="auto" w:frame="1"/>
        </w:rPr>
        <w:t xml:space="preserve"> per the table below:</w:t>
      </w:r>
    </w:p>
    <w:tbl>
      <w:tblPr>
        <w:tblStyle w:val="TableGrid"/>
        <w:tblW w:w="4573" w:type="pct"/>
        <w:jc w:val="center"/>
        <w:tblLook w:val="04A0" w:firstRow="1" w:lastRow="0" w:firstColumn="1" w:lastColumn="0" w:noHBand="0" w:noVBand="1"/>
        <w:tblDescription w:val="Table showing funding for 11 regions throughout the State of California."/>
      </w:tblPr>
      <w:tblGrid>
        <w:gridCol w:w="1620"/>
        <w:gridCol w:w="1801"/>
        <w:gridCol w:w="5131"/>
      </w:tblGrid>
      <w:tr w:rsidR="00720C0E" w:rsidRPr="00D94FEF" w14:paraId="21038752" w14:textId="77777777" w:rsidTr="00B04077">
        <w:trPr>
          <w:cantSplit/>
          <w:trHeight w:val="1340"/>
          <w:tblHeader/>
          <w:jc w:val="center"/>
        </w:trPr>
        <w:tc>
          <w:tcPr>
            <w:tcW w:w="947" w:type="pct"/>
            <w:shd w:val="clear" w:color="auto" w:fill="D9D9D9" w:themeFill="background1" w:themeFillShade="D9"/>
            <w:vAlign w:val="center"/>
          </w:tcPr>
          <w:p w14:paraId="1071436F" w14:textId="77777777" w:rsidR="00720C0E" w:rsidRPr="00D94FEF" w:rsidRDefault="00720C0E" w:rsidP="00D94FEF">
            <w:pPr>
              <w:pStyle w:val="ListParagraph"/>
              <w:ind w:left="0"/>
              <w:jc w:val="center"/>
              <w:rPr>
                <w:rFonts w:ascii="Arial" w:hAnsi="Arial" w:cs="Arial"/>
                <w:sz w:val="24"/>
                <w:szCs w:val="24"/>
              </w:rPr>
            </w:pPr>
            <w:r w:rsidRPr="00D94FEF">
              <w:rPr>
                <w:rFonts w:ascii="Arial" w:hAnsi="Arial" w:cs="Arial"/>
                <w:sz w:val="24"/>
                <w:szCs w:val="24"/>
              </w:rPr>
              <w:t>Region</w:t>
            </w:r>
          </w:p>
        </w:tc>
        <w:tc>
          <w:tcPr>
            <w:tcW w:w="1053" w:type="pct"/>
            <w:shd w:val="clear" w:color="auto" w:fill="D9D9D9" w:themeFill="background1" w:themeFillShade="D9"/>
            <w:vAlign w:val="center"/>
          </w:tcPr>
          <w:p w14:paraId="52A833B9" w14:textId="77777777" w:rsidR="00720C0E" w:rsidRPr="00D94FEF" w:rsidRDefault="00720C0E" w:rsidP="00D94FEF">
            <w:pPr>
              <w:pStyle w:val="ListParagraph"/>
              <w:ind w:left="0"/>
              <w:jc w:val="center"/>
              <w:rPr>
                <w:rFonts w:ascii="Arial" w:hAnsi="Arial" w:cs="Arial"/>
                <w:sz w:val="24"/>
                <w:szCs w:val="24"/>
              </w:rPr>
            </w:pPr>
            <w:r w:rsidRPr="00D94FEF">
              <w:rPr>
                <w:rFonts w:ascii="Arial" w:hAnsi="Arial" w:cs="Arial"/>
                <w:sz w:val="24"/>
                <w:szCs w:val="24"/>
              </w:rPr>
              <w:t>Percent of Funding</w:t>
            </w:r>
          </w:p>
        </w:tc>
        <w:tc>
          <w:tcPr>
            <w:tcW w:w="3000" w:type="pct"/>
            <w:shd w:val="clear" w:color="auto" w:fill="D9D9D9" w:themeFill="background1" w:themeFillShade="D9"/>
            <w:vAlign w:val="center"/>
          </w:tcPr>
          <w:p w14:paraId="19D52450" w14:textId="62B6F7AF" w:rsidR="00720C0E" w:rsidRPr="002D30BE" w:rsidRDefault="002D30BE" w:rsidP="00D94FEF">
            <w:pPr>
              <w:pStyle w:val="ListParagraph"/>
              <w:ind w:left="0"/>
              <w:jc w:val="center"/>
              <w:rPr>
                <w:rFonts w:ascii="Arial" w:hAnsi="Arial" w:cs="Arial"/>
                <w:sz w:val="24"/>
                <w:szCs w:val="24"/>
              </w:rPr>
            </w:pPr>
            <w:r w:rsidRPr="002D30BE">
              <w:rPr>
                <w:rFonts w:ascii="Arial" w:hAnsi="Arial" w:cs="Arial"/>
                <w:color w:val="000000"/>
                <w:sz w:val="24"/>
                <w:szCs w:val="24"/>
              </w:rPr>
              <w:t>Available ESSER III Summer Grant Program Funding Amount Per Geographic Region</w:t>
            </w:r>
          </w:p>
        </w:tc>
      </w:tr>
      <w:tr w:rsidR="00514C34" w14:paraId="41C19666" w14:textId="77777777" w:rsidTr="00B04077">
        <w:tblPrEx>
          <w:jc w:val="left"/>
        </w:tblPrEx>
        <w:trPr>
          <w:cantSplit/>
          <w:trHeight w:val="300"/>
        </w:trPr>
        <w:tc>
          <w:tcPr>
            <w:tcW w:w="947" w:type="pct"/>
            <w:noWrap/>
            <w:hideMark/>
          </w:tcPr>
          <w:p w14:paraId="03C21BDE" w14:textId="77777777" w:rsidR="00514C34" w:rsidRPr="00514C34" w:rsidRDefault="00514C34">
            <w:pPr>
              <w:rPr>
                <w:rFonts w:ascii="Arial" w:hAnsi="Arial" w:cs="Arial"/>
                <w:color w:val="000000"/>
                <w:sz w:val="24"/>
                <w:szCs w:val="24"/>
              </w:rPr>
            </w:pPr>
            <w:r w:rsidRPr="00514C34">
              <w:rPr>
                <w:rFonts w:ascii="Arial" w:hAnsi="Arial" w:cs="Arial"/>
                <w:color w:val="000000"/>
                <w:sz w:val="24"/>
                <w:szCs w:val="24"/>
              </w:rPr>
              <w:t>1-4 Urban</w:t>
            </w:r>
          </w:p>
        </w:tc>
        <w:tc>
          <w:tcPr>
            <w:tcW w:w="1053" w:type="pct"/>
            <w:noWrap/>
            <w:hideMark/>
          </w:tcPr>
          <w:p w14:paraId="48B3D7FC" w14:textId="77777777" w:rsidR="00514C34" w:rsidRPr="00514C34" w:rsidRDefault="00514C34" w:rsidP="00514C34">
            <w:pPr>
              <w:jc w:val="center"/>
              <w:rPr>
                <w:rFonts w:ascii="Arial" w:hAnsi="Arial" w:cs="Arial"/>
                <w:color w:val="000000"/>
                <w:sz w:val="24"/>
                <w:szCs w:val="24"/>
              </w:rPr>
            </w:pPr>
            <w:r w:rsidRPr="00514C34">
              <w:rPr>
                <w:rFonts w:ascii="Arial" w:hAnsi="Arial" w:cs="Arial"/>
                <w:color w:val="000000"/>
                <w:sz w:val="24"/>
                <w:szCs w:val="24"/>
              </w:rPr>
              <w:t>13.70%</w:t>
            </w:r>
          </w:p>
        </w:tc>
        <w:tc>
          <w:tcPr>
            <w:tcW w:w="3000" w:type="pct"/>
            <w:noWrap/>
            <w:hideMark/>
          </w:tcPr>
          <w:p w14:paraId="3671AB33" w14:textId="77777777" w:rsidR="00514C34" w:rsidRPr="00514C34" w:rsidRDefault="00514C34">
            <w:pPr>
              <w:jc w:val="right"/>
              <w:rPr>
                <w:rFonts w:ascii="Arial" w:hAnsi="Arial" w:cs="Arial"/>
                <w:color w:val="000000"/>
                <w:sz w:val="24"/>
                <w:szCs w:val="24"/>
              </w:rPr>
            </w:pPr>
            <w:r w:rsidRPr="00514C34">
              <w:rPr>
                <w:rFonts w:ascii="Arial" w:hAnsi="Arial" w:cs="Arial"/>
                <w:color w:val="000000"/>
                <w:sz w:val="24"/>
                <w:szCs w:val="24"/>
              </w:rPr>
              <w:t>$7,256,753.00</w:t>
            </w:r>
          </w:p>
        </w:tc>
      </w:tr>
      <w:tr w:rsidR="00514C34" w:rsidRPr="00D94FEF" w14:paraId="4A0F2F3D" w14:textId="77777777" w:rsidTr="00B04077">
        <w:trPr>
          <w:cantSplit/>
          <w:tblHeader/>
          <w:jc w:val="center"/>
        </w:trPr>
        <w:tc>
          <w:tcPr>
            <w:tcW w:w="947" w:type="pct"/>
          </w:tcPr>
          <w:p w14:paraId="7AE35045" w14:textId="4A590D19" w:rsidR="00514C34" w:rsidRPr="00514C34" w:rsidRDefault="00514C34" w:rsidP="00D84F2C">
            <w:pPr>
              <w:pStyle w:val="ListParagraph"/>
              <w:ind w:left="0"/>
              <w:rPr>
                <w:rFonts w:ascii="Arial" w:hAnsi="Arial" w:cs="Arial"/>
                <w:sz w:val="24"/>
                <w:szCs w:val="24"/>
              </w:rPr>
            </w:pPr>
            <w:r w:rsidRPr="00514C34">
              <w:rPr>
                <w:rFonts w:ascii="Arial" w:hAnsi="Arial" w:cs="Arial"/>
                <w:color w:val="000000"/>
                <w:sz w:val="24"/>
                <w:szCs w:val="24"/>
              </w:rPr>
              <w:t>1-4 Rural</w:t>
            </w:r>
          </w:p>
        </w:tc>
        <w:tc>
          <w:tcPr>
            <w:tcW w:w="1053" w:type="pct"/>
          </w:tcPr>
          <w:p w14:paraId="7D8B5A87" w14:textId="55584DE0" w:rsidR="00514C34" w:rsidRPr="00514C34" w:rsidRDefault="00514C34" w:rsidP="00514C34">
            <w:pPr>
              <w:pStyle w:val="ListParagraph"/>
              <w:ind w:left="0"/>
              <w:jc w:val="center"/>
              <w:rPr>
                <w:rFonts w:ascii="Arial" w:hAnsi="Arial" w:cs="Arial"/>
                <w:sz w:val="24"/>
                <w:szCs w:val="24"/>
              </w:rPr>
            </w:pPr>
            <w:r w:rsidRPr="00514C34">
              <w:rPr>
                <w:rFonts w:ascii="Arial" w:hAnsi="Arial" w:cs="Arial"/>
                <w:color w:val="000000"/>
                <w:sz w:val="24"/>
                <w:szCs w:val="24"/>
              </w:rPr>
              <w:t>3.27%</w:t>
            </w:r>
          </w:p>
        </w:tc>
        <w:tc>
          <w:tcPr>
            <w:tcW w:w="3000" w:type="pct"/>
          </w:tcPr>
          <w:p w14:paraId="661CE9CC" w14:textId="37B06364" w:rsidR="00514C34" w:rsidRPr="00514C34" w:rsidRDefault="00514C34" w:rsidP="009C18FB">
            <w:pPr>
              <w:pStyle w:val="ListParagraph"/>
              <w:ind w:left="0"/>
              <w:jc w:val="right"/>
              <w:rPr>
                <w:rFonts w:ascii="Arial" w:hAnsi="Arial" w:cs="Arial"/>
                <w:sz w:val="24"/>
                <w:szCs w:val="24"/>
              </w:rPr>
            </w:pPr>
            <w:r w:rsidRPr="00514C34">
              <w:rPr>
                <w:rFonts w:ascii="Arial" w:hAnsi="Arial" w:cs="Arial"/>
                <w:color w:val="000000"/>
                <w:sz w:val="24"/>
                <w:szCs w:val="24"/>
              </w:rPr>
              <w:t>$1,732,086.30</w:t>
            </w:r>
          </w:p>
        </w:tc>
      </w:tr>
      <w:tr w:rsidR="00514C34" w14:paraId="211F0512" w14:textId="77777777" w:rsidTr="00B04077">
        <w:tblPrEx>
          <w:jc w:val="left"/>
        </w:tblPrEx>
        <w:trPr>
          <w:cantSplit/>
          <w:trHeight w:val="300"/>
        </w:trPr>
        <w:tc>
          <w:tcPr>
            <w:tcW w:w="947" w:type="pct"/>
            <w:noWrap/>
            <w:hideMark/>
          </w:tcPr>
          <w:p w14:paraId="058EAE46" w14:textId="64524A42" w:rsidR="00514C34" w:rsidRPr="00514C34" w:rsidRDefault="00514C34">
            <w:pPr>
              <w:rPr>
                <w:rFonts w:ascii="Arial" w:hAnsi="Arial" w:cs="Arial"/>
                <w:color w:val="000000"/>
                <w:sz w:val="24"/>
                <w:szCs w:val="24"/>
              </w:rPr>
            </w:pPr>
            <w:r w:rsidRPr="00514C34">
              <w:rPr>
                <w:rFonts w:ascii="Arial" w:hAnsi="Arial" w:cs="Arial"/>
                <w:color w:val="000000"/>
                <w:sz w:val="24"/>
                <w:szCs w:val="24"/>
              </w:rPr>
              <w:t>5-8 Urban</w:t>
            </w:r>
          </w:p>
        </w:tc>
        <w:tc>
          <w:tcPr>
            <w:tcW w:w="1053" w:type="pct"/>
            <w:noWrap/>
            <w:hideMark/>
          </w:tcPr>
          <w:p w14:paraId="4DC071D8" w14:textId="111EFF8B" w:rsidR="00514C34" w:rsidRPr="00514C34" w:rsidRDefault="00514C34" w:rsidP="00514C34">
            <w:pPr>
              <w:jc w:val="center"/>
              <w:rPr>
                <w:rFonts w:ascii="Arial" w:hAnsi="Arial" w:cs="Arial"/>
                <w:color w:val="000000"/>
                <w:sz w:val="24"/>
                <w:szCs w:val="24"/>
              </w:rPr>
            </w:pPr>
            <w:r w:rsidRPr="00514C34">
              <w:rPr>
                <w:rFonts w:ascii="Arial" w:hAnsi="Arial" w:cs="Arial"/>
                <w:color w:val="000000"/>
                <w:sz w:val="24"/>
                <w:szCs w:val="24"/>
              </w:rPr>
              <w:t>19.91%</w:t>
            </w:r>
          </w:p>
        </w:tc>
        <w:tc>
          <w:tcPr>
            <w:tcW w:w="3000" w:type="pct"/>
            <w:noWrap/>
            <w:hideMark/>
          </w:tcPr>
          <w:p w14:paraId="6ADC5112" w14:textId="08283FEC" w:rsidR="00514C34" w:rsidRPr="00514C34" w:rsidRDefault="00514C34">
            <w:pPr>
              <w:jc w:val="right"/>
              <w:rPr>
                <w:rFonts w:ascii="Arial" w:hAnsi="Arial" w:cs="Arial"/>
                <w:color w:val="000000"/>
                <w:sz w:val="24"/>
                <w:szCs w:val="24"/>
              </w:rPr>
            </w:pPr>
            <w:r w:rsidRPr="00514C34">
              <w:rPr>
                <w:rFonts w:ascii="Arial" w:hAnsi="Arial" w:cs="Arial"/>
                <w:color w:val="000000"/>
                <w:sz w:val="24"/>
                <w:szCs w:val="24"/>
              </w:rPr>
              <w:t>$10,546,127.90</w:t>
            </w:r>
          </w:p>
        </w:tc>
      </w:tr>
      <w:tr w:rsidR="00514C34" w14:paraId="22E37BA8" w14:textId="77777777" w:rsidTr="00B04077">
        <w:tblPrEx>
          <w:jc w:val="left"/>
        </w:tblPrEx>
        <w:trPr>
          <w:cantSplit/>
          <w:trHeight w:val="300"/>
        </w:trPr>
        <w:tc>
          <w:tcPr>
            <w:tcW w:w="947" w:type="pct"/>
            <w:noWrap/>
            <w:hideMark/>
          </w:tcPr>
          <w:p w14:paraId="3E123BD0" w14:textId="3CAF12FB" w:rsidR="00514C34" w:rsidRPr="00514C34" w:rsidRDefault="00514C34">
            <w:pPr>
              <w:rPr>
                <w:rFonts w:ascii="Arial" w:hAnsi="Arial" w:cs="Arial"/>
                <w:color w:val="000000"/>
                <w:sz w:val="24"/>
                <w:szCs w:val="24"/>
              </w:rPr>
            </w:pPr>
            <w:r w:rsidRPr="00514C34">
              <w:rPr>
                <w:rFonts w:ascii="Arial" w:hAnsi="Arial" w:cs="Arial"/>
                <w:color w:val="000000"/>
                <w:sz w:val="24"/>
                <w:szCs w:val="24"/>
              </w:rPr>
              <w:t>5-8 Rural</w:t>
            </w:r>
          </w:p>
        </w:tc>
        <w:tc>
          <w:tcPr>
            <w:tcW w:w="1053" w:type="pct"/>
            <w:noWrap/>
            <w:hideMark/>
          </w:tcPr>
          <w:p w14:paraId="5C8D5DD9" w14:textId="4C2867BC" w:rsidR="00514C34" w:rsidRPr="00514C34" w:rsidRDefault="00514C34" w:rsidP="00514C34">
            <w:pPr>
              <w:jc w:val="center"/>
              <w:rPr>
                <w:rFonts w:ascii="Arial" w:hAnsi="Arial" w:cs="Arial"/>
                <w:color w:val="000000"/>
                <w:sz w:val="24"/>
                <w:szCs w:val="24"/>
              </w:rPr>
            </w:pPr>
            <w:r w:rsidRPr="00514C34">
              <w:rPr>
                <w:rFonts w:ascii="Arial" w:hAnsi="Arial" w:cs="Arial"/>
                <w:color w:val="000000"/>
                <w:sz w:val="24"/>
                <w:szCs w:val="24"/>
              </w:rPr>
              <w:t>6.97%</w:t>
            </w:r>
          </w:p>
        </w:tc>
        <w:tc>
          <w:tcPr>
            <w:tcW w:w="3000" w:type="pct"/>
            <w:noWrap/>
            <w:hideMark/>
          </w:tcPr>
          <w:p w14:paraId="36562C05" w14:textId="06BE331E" w:rsidR="00514C34" w:rsidRPr="00514C34" w:rsidRDefault="00514C34">
            <w:pPr>
              <w:jc w:val="right"/>
              <w:rPr>
                <w:rFonts w:ascii="Arial" w:hAnsi="Arial" w:cs="Arial"/>
                <w:color w:val="000000"/>
                <w:sz w:val="24"/>
                <w:szCs w:val="24"/>
              </w:rPr>
            </w:pPr>
            <w:r w:rsidRPr="00514C34">
              <w:rPr>
                <w:rFonts w:ascii="Arial" w:hAnsi="Arial" w:cs="Arial"/>
                <w:color w:val="000000"/>
                <w:sz w:val="24"/>
                <w:szCs w:val="24"/>
              </w:rPr>
              <w:t>$3,691,939.30</w:t>
            </w:r>
          </w:p>
        </w:tc>
      </w:tr>
      <w:tr w:rsidR="00514C34" w14:paraId="7A5427CF" w14:textId="77777777" w:rsidTr="00B04077">
        <w:tblPrEx>
          <w:jc w:val="left"/>
        </w:tblPrEx>
        <w:trPr>
          <w:cantSplit/>
          <w:trHeight w:val="300"/>
        </w:trPr>
        <w:tc>
          <w:tcPr>
            <w:tcW w:w="947" w:type="pct"/>
            <w:noWrap/>
            <w:hideMark/>
          </w:tcPr>
          <w:p w14:paraId="0C0BAC95" w14:textId="41F72738" w:rsidR="00514C34" w:rsidRPr="00514C34" w:rsidRDefault="00514C34">
            <w:pPr>
              <w:rPr>
                <w:rFonts w:ascii="Arial" w:hAnsi="Arial" w:cs="Arial"/>
                <w:color w:val="000000"/>
                <w:sz w:val="24"/>
                <w:szCs w:val="24"/>
              </w:rPr>
            </w:pPr>
            <w:r w:rsidRPr="00514C34">
              <w:rPr>
                <w:rFonts w:ascii="Arial" w:hAnsi="Arial" w:cs="Arial"/>
                <w:color w:val="000000"/>
                <w:sz w:val="24"/>
                <w:szCs w:val="24"/>
              </w:rPr>
              <w:t>9-11 Urban</w:t>
            </w:r>
          </w:p>
        </w:tc>
        <w:tc>
          <w:tcPr>
            <w:tcW w:w="1053" w:type="pct"/>
            <w:noWrap/>
            <w:hideMark/>
          </w:tcPr>
          <w:p w14:paraId="36E88DB9" w14:textId="75287E1F" w:rsidR="00514C34" w:rsidRPr="00514C34" w:rsidRDefault="00514C34" w:rsidP="00514C34">
            <w:pPr>
              <w:jc w:val="center"/>
              <w:rPr>
                <w:rFonts w:ascii="Arial" w:hAnsi="Arial" w:cs="Arial"/>
                <w:color w:val="000000"/>
                <w:sz w:val="24"/>
                <w:szCs w:val="24"/>
              </w:rPr>
            </w:pPr>
            <w:r w:rsidRPr="00514C34">
              <w:rPr>
                <w:rFonts w:ascii="Arial" w:hAnsi="Arial" w:cs="Arial"/>
                <w:color w:val="000000"/>
                <w:sz w:val="24"/>
                <w:szCs w:val="24"/>
              </w:rPr>
              <w:t>53.29%</w:t>
            </w:r>
          </w:p>
        </w:tc>
        <w:tc>
          <w:tcPr>
            <w:tcW w:w="3000" w:type="pct"/>
            <w:noWrap/>
            <w:hideMark/>
          </w:tcPr>
          <w:p w14:paraId="1291B186" w14:textId="72B9C745" w:rsidR="00514C34" w:rsidRPr="00514C34" w:rsidRDefault="00514C34">
            <w:pPr>
              <w:jc w:val="right"/>
              <w:rPr>
                <w:rFonts w:ascii="Arial" w:hAnsi="Arial" w:cs="Arial"/>
                <w:color w:val="000000"/>
                <w:sz w:val="24"/>
                <w:szCs w:val="24"/>
              </w:rPr>
            </w:pPr>
            <w:r w:rsidRPr="00514C34">
              <w:rPr>
                <w:rFonts w:ascii="Arial" w:hAnsi="Arial" w:cs="Arial"/>
                <w:color w:val="000000"/>
                <w:sz w:val="24"/>
                <w:szCs w:val="24"/>
              </w:rPr>
              <w:t>$28,227,180.10</w:t>
            </w:r>
          </w:p>
        </w:tc>
      </w:tr>
      <w:tr w:rsidR="00514C34" w14:paraId="2D349120" w14:textId="77777777" w:rsidTr="00B04077">
        <w:tblPrEx>
          <w:jc w:val="left"/>
        </w:tblPrEx>
        <w:trPr>
          <w:cantSplit/>
          <w:trHeight w:val="300"/>
        </w:trPr>
        <w:tc>
          <w:tcPr>
            <w:tcW w:w="947" w:type="pct"/>
            <w:noWrap/>
            <w:hideMark/>
          </w:tcPr>
          <w:p w14:paraId="09883101" w14:textId="19EB94CA" w:rsidR="00514C34" w:rsidRPr="00514C34" w:rsidRDefault="00514C34">
            <w:pPr>
              <w:rPr>
                <w:rFonts w:ascii="Arial" w:hAnsi="Arial" w:cs="Arial"/>
                <w:color w:val="000000"/>
                <w:sz w:val="24"/>
                <w:szCs w:val="24"/>
              </w:rPr>
            </w:pPr>
            <w:r w:rsidRPr="00514C34">
              <w:rPr>
                <w:rFonts w:ascii="Arial" w:hAnsi="Arial" w:cs="Arial"/>
                <w:color w:val="000000"/>
                <w:sz w:val="24"/>
                <w:szCs w:val="24"/>
              </w:rPr>
              <w:t>9-11 Rural</w:t>
            </w:r>
          </w:p>
        </w:tc>
        <w:tc>
          <w:tcPr>
            <w:tcW w:w="1053" w:type="pct"/>
            <w:noWrap/>
            <w:hideMark/>
          </w:tcPr>
          <w:p w14:paraId="48CCB021" w14:textId="100E107B" w:rsidR="00514C34" w:rsidRPr="00514C34" w:rsidRDefault="00514C34" w:rsidP="00514C34">
            <w:pPr>
              <w:jc w:val="center"/>
              <w:rPr>
                <w:rFonts w:ascii="Arial" w:hAnsi="Arial" w:cs="Arial"/>
                <w:color w:val="000000"/>
                <w:sz w:val="24"/>
                <w:szCs w:val="24"/>
              </w:rPr>
            </w:pPr>
            <w:r w:rsidRPr="00514C34">
              <w:rPr>
                <w:rFonts w:ascii="Arial" w:hAnsi="Arial" w:cs="Arial"/>
                <w:color w:val="000000"/>
                <w:sz w:val="24"/>
                <w:szCs w:val="24"/>
              </w:rPr>
              <w:t>2.86%</w:t>
            </w:r>
          </w:p>
        </w:tc>
        <w:tc>
          <w:tcPr>
            <w:tcW w:w="3000" w:type="pct"/>
            <w:noWrap/>
            <w:hideMark/>
          </w:tcPr>
          <w:p w14:paraId="6F8DC7BD" w14:textId="023495F7" w:rsidR="00514C34" w:rsidRPr="00514C34" w:rsidRDefault="00514C34">
            <w:pPr>
              <w:jc w:val="right"/>
              <w:rPr>
                <w:rFonts w:ascii="Arial" w:hAnsi="Arial" w:cs="Arial"/>
                <w:color w:val="000000"/>
                <w:sz w:val="24"/>
                <w:szCs w:val="24"/>
              </w:rPr>
            </w:pPr>
            <w:r w:rsidRPr="00514C34">
              <w:rPr>
                <w:rFonts w:ascii="Arial" w:hAnsi="Arial" w:cs="Arial"/>
                <w:color w:val="000000"/>
                <w:sz w:val="24"/>
                <w:szCs w:val="24"/>
              </w:rPr>
              <w:t>$1,514,913.40</w:t>
            </w:r>
          </w:p>
        </w:tc>
      </w:tr>
      <w:tr w:rsidR="00514C34" w:rsidRPr="00D94FEF" w14:paraId="3D39FFE6" w14:textId="77777777" w:rsidTr="00B04077">
        <w:trPr>
          <w:cantSplit/>
          <w:tblHeader/>
          <w:jc w:val="center"/>
        </w:trPr>
        <w:tc>
          <w:tcPr>
            <w:tcW w:w="947" w:type="pct"/>
          </w:tcPr>
          <w:p w14:paraId="3CF3B1C4" w14:textId="79B62795" w:rsidR="00514C34" w:rsidRPr="00720C0E" w:rsidRDefault="00514C34" w:rsidP="00D84F2C">
            <w:pPr>
              <w:pStyle w:val="ListParagraph"/>
              <w:ind w:left="0"/>
              <w:rPr>
                <w:rFonts w:ascii="Arial" w:hAnsi="Arial" w:cs="Arial"/>
                <w:sz w:val="24"/>
                <w:szCs w:val="24"/>
              </w:rPr>
            </w:pPr>
            <w:r w:rsidRPr="00D94FEF">
              <w:rPr>
                <w:rFonts w:ascii="Arial" w:hAnsi="Arial" w:cs="Arial"/>
                <w:sz w:val="24"/>
                <w:szCs w:val="24"/>
              </w:rPr>
              <w:t>Total</w:t>
            </w:r>
          </w:p>
        </w:tc>
        <w:tc>
          <w:tcPr>
            <w:tcW w:w="1053" w:type="pct"/>
          </w:tcPr>
          <w:p w14:paraId="6BF79134" w14:textId="5C198759" w:rsidR="00514C34" w:rsidRPr="002F28D5" w:rsidRDefault="00514C34" w:rsidP="00D84F2C">
            <w:pPr>
              <w:pStyle w:val="ListParagraph"/>
              <w:ind w:left="0"/>
              <w:jc w:val="center"/>
              <w:rPr>
                <w:rFonts w:ascii="Arial" w:hAnsi="Arial" w:cs="Arial"/>
                <w:sz w:val="24"/>
                <w:szCs w:val="24"/>
              </w:rPr>
            </w:pPr>
            <w:r w:rsidRPr="00D94FEF">
              <w:rPr>
                <w:rFonts w:ascii="Arial" w:hAnsi="Arial" w:cs="Arial"/>
                <w:sz w:val="24"/>
                <w:szCs w:val="24"/>
              </w:rPr>
              <w:t xml:space="preserve">100 </w:t>
            </w:r>
            <w:r>
              <w:rPr>
                <w:rFonts w:ascii="Arial" w:hAnsi="Arial" w:cs="Arial"/>
                <w:sz w:val="24"/>
                <w:szCs w:val="24"/>
              </w:rPr>
              <w:t>percent</w:t>
            </w:r>
          </w:p>
        </w:tc>
        <w:tc>
          <w:tcPr>
            <w:tcW w:w="3000" w:type="pct"/>
          </w:tcPr>
          <w:p w14:paraId="138A7267" w14:textId="0872AAC6" w:rsidR="00514C34" w:rsidRPr="00514C34" w:rsidRDefault="00514C34" w:rsidP="009C18FB">
            <w:pPr>
              <w:pStyle w:val="ListParagraph"/>
              <w:ind w:left="0"/>
              <w:jc w:val="right"/>
              <w:rPr>
                <w:rFonts w:ascii="Arial" w:hAnsi="Arial" w:cs="Arial"/>
                <w:sz w:val="24"/>
                <w:szCs w:val="24"/>
              </w:rPr>
            </w:pPr>
            <w:r w:rsidRPr="00514C34">
              <w:rPr>
                <w:rFonts w:ascii="Arial" w:hAnsi="Arial" w:cs="Arial"/>
                <w:sz w:val="24"/>
                <w:szCs w:val="24"/>
              </w:rPr>
              <w:t>$52,969,000.00</w:t>
            </w:r>
          </w:p>
        </w:tc>
      </w:tr>
    </w:tbl>
    <w:p w14:paraId="78F48076" w14:textId="77777777" w:rsidR="004E5260" w:rsidRDefault="004E5260" w:rsidP="003101F7">
      <w:pPr>
        <w:shd w:val="clear" w:color="auto" w:fill="FFFFFF"/>
        <w:spacing w:after="5400"/>
        <w:rPr>
          <w:rFonts w:cs="Arial"/>
          <w:iCs/>
          <w:szCs w:val="24"/>
          <w:bdr w:val="none" w:sz="0" w:space="0" w:color="auto" w:frame="1"/>
        </w:rPr>
      </w:pPr>
    </w:p>
    <w:p w14:paraId="34BF3289" w14:textId="5D89B6CB" w:rsidR="00E10001" w:rsidRPr="00414F47" w:rsidRDefault="00E10001" w:rsidP="00E10001">
      <w:pPr>
        <w:pStyle w:val="ListParagraph"/>
        <w:numPr>
          <w:ilvl w:val="0"/>
          <w:numId w:val="45"/>
        </w:numPr>
        <w:shd w:val="clear" w:color="auto" w:fill="FFFFFF"/>
        <w:spacing w:after="240"/>
        <w:rPr>
          <w:rFonts w:cs="Arial"/>
          <w:iCs/>
          <w:szCs w:val="24"/>
          <w:bdr w:val="none" w:sz="0" w:space="0" w:color="auto" w:frame="1"/>
        </w:rPr>
      </w:pPr>
      <w:r w:rsidRPr="00414F47">
        <w:rPr>
          <w:rFonts w:cs="Arial"/>
          <w:b/>
          <w:iCs/>
          <w:szCs w:val="24"/>
          <w:bdr w:val="none" w:sz="0" w:space="0" w:color="auto" w:frame="1"/>
        </w:rPr>
        <w:lastRenderedPageBreak/>
        <w:t>For existing 2</w:t>
      </w:r>
      <w:r w:rsidR="009C18FB">
        <w:rPr>
          <w:rFonts w:cs="Arial"/>
          <w:b/>
          <w:iCs/>
          <w:szCs w:val="24"/>
          <w:bdr w:val="none" w:sz="0" w:space="0" w:color="auto" w:frame="1"/>
        </w:rPr>
        <w:t>1st</w:t>
      </w:r>
      <w:r w:rsidRPr="00414F47">
        <w:rPr>
          <w:rFonts w:cs="Arial"/>
          <w:b/>
          <w:iCs/>
          <w:szCs w:val="24"/>
          <w:bdr w:val="none" w:sz="0" w:space="0" w:color="auto" w:frame="1"/>
        </w:rPr>
        <w:t xml:space="preserve"> Century Community Learning Centers </w:t>
      </w:r>
      <w:r w:rsidR="009C18FB">
        <w:rPr>
          <w:rFonts w:cs="Arial"/>
          <w:b/>
          <w:iCs/>
          <w:szCs w:val="24"/>
          <w:bdr w:val="none" w:sz="0" w:space="0" w:color="auto" w:frame="1"/>
        </w:rPr>
        <w:t xml:space="preserve">(CCLC) </w:t>
      </w:r>
      <w:r w:rsidR="00BC0125" w:rsidRPr="00414F47">
        <w:rPr>
          <w:rFonts w:cs="Arial"/>
          <w:b/>
          <w:iCs/>
          <w:szCs w:val="24"/>
          <w:bdr w:val="none" w:sz="0" w:space="0" w:color="auto" w:frame="1"/>
        </w:rPr>
        <w:t>and</w:t>
      </w:r>
      <w:r w:rsidR="009C18FB">
        <w:rPr>
          <w:rFonts w:cs="Arial"/>
          <w:b/>
          <w:iCs/>
          <w:szCs w:val="24"/>
          <w:bdr w:val="none" w:sz="0" w:space="0" w:color="auto" w:frame="1"/>
        </w:rPr>
        <w:t xml:space="preserve"> After School Safety and Enrichment for Teens</w:t>
      </w:r>
      <w:r w:rsidR="00BC0125" w:rsidRPr="00414F47">
        <w:rPr>
          <w:rFonts w:cs="Arial"/>
          <w:b/>
          <w:iCs/>
          <w:szCs w:val="24"/>
          <w:bdr w:val="none" w:sz="0" w:space="0" w:color="auto" w:frame="1"/>
        </w:rPr>
        <w:t xml:space="preserve"> </w:t>
      </w:r>
      <w:r w:rsidR="009C18FB">
        <w:rPr>
          <w:rFonts w:cs="Arial"/>
          <w:b/>
          <w:iCs/>
          <w:szCs w:val="24"/>
          <w:bdr w:val="none" w:sz="0" w:space="0" w:color="auto" w:frame="1"/>
        </w:rPr>
        <w:t>(</w:t>
      </w:r>
      <w:r w:rsidR="00BC0125" w:rsidRPr="00414F47">
        <w:rPr>
          <w:rFonts w:cs="Arial"/>
          <w:b/>
          <w:iCs/>
          <w:szCs w:val="24"/>
          <w:bdr w:val="none" w:sz="0" w:space="0" w:color="auto" w:frame="1"/>
        </w:rPr>
        <w:t>ASSETs</w:t>
      </w:r>
      <w:r w:rsidR="009C18FB">
        <w:rPr>
          <w:rFonts w:cs="Arial"/>
          <w:b/>
          <w:iCs/>
          <w:szCs w:val="24"/>
          <w:bdr w:val="none" w:sz="0" w:space="0" w:color="auto" w:frame="1"/>
        </w:rPr>
        <w:t>)</w:t>
      </w:r>
      <w:r w:rsidR="00BC0125" w:rsidRPr="00414F47">
        <w:rPr>
          <w:rFonts w:cs="Arial"/>
          <w:b/>
          <w:iCs/>
          <w:szCs w:val="24"/>
          <w:bdr w:val="none" w:sz="0" w:space="0" w:color="auto" w:frame="1"/>
        </w:rPr>
        <w:t xml:space="preserve"> </w:t>
      </w:r>
      <w:r w:rsidRPr="00414F47">
        <w:rPr>
          <w:rFonts w:cs="Arial"/>
          <w:b/>
          <w:iCs/>
          <w:szCs w:val="24"/>
          <w:bdr w:val="none" w:sz="0" w:space="0" w:color="auto" w:frame="1"/>
        </w:rPr>
        <w:t>grantees</w:t>
      </w:r>
      <w:r w:rsidR="009C18FB" w:rsidRPr="009C18FB">
        <w:rPr>
          <w:rFonts w:cs="Arial"/>
          <w:iCs/>
          <w:szCs w:val="24"/>
          <w:bdr w:val="none" w:sz="0" w:space="0" w:color="auto" w:frame="1"/>
        </w:rPr>
        <w:t>—</w:t>
      </w:r>
      <w:r w:rsidRPr="00414F47">
        <w:rPr>
          <w:rFonts w:cs="Arial"/>
          <w:iCs/>
          <w:szCs w:val="24"/>
          <w:bdr w:val="none" w:sz="0" w:space="0" w:color="auto" w:frame="1"/>
        </w:rPr>
        <w:t xml:space="preserve">The total amount available is $32,583,000 million starting </w:t>
      </w:r>
      <w:r w:rsidRPr="001F429A">
        <w:rPr>
          <w:rFonts w:cs="Arial"/>
          <w:iCs/>
          <w:szCs w:val="24"/>
          <w:bdr w:val="none" w:sz="0" w:space="0" w:color="auto" w:frame="1"/>
        </w:rPr>
        <w:t>in fiscal year 202</w:t>
      </w:r>
      <w:r w:rsidR="00930B84" w:rsidRPr="001F429A">
        <w:rPr>
          <w:rFonts w:cs="Arial"/>
          <w:iCs/>
          <w:szCs w:val="24"/>
          <w:bdr w:val="none" w:sz="0" w:space="0" w:color="auto" w:frame="1"/>
        </w:rPr>
        <w:t>2</w:t>
      </w:r>
      <w:r w:rsidRPr="001F429A">
        <w:rPr>
          <w:rFonts w:cs="Arial"/>
          <w:iCs/>
          <w:szCs w:val="24"/>
          <w:bdr w:val="none" w:sz="0" w:space="0" w:color="auto" w:frame="1"/>
        </w:rPr>
        <w:t>–2</w:t>
      </w:r>
      <w:r w:rsidR="00930B84" w:rsidRPr="001F429A">
        <w:rPr>
          <w:rFonts w:cs="Arial"/>
          <w:iCs/>
          <w:szCs w:val="24"/>
          <w:bdr w:val="none" w:sz="0" w:space="0" w:color="auto" w:frame="1"/>
        </w:rPr>
        <w:t>3</w:t>
      </w:r>
      <w:r w:rsidRPr="001F429A">
        <w:rPr>
          <w:rFonts w:cs="Arial"/>
          <w:iCs/>
          <w:szCs w:val="24"/>
          <w:bdr w:val="none" w:sz="0" w:space="0" w:color="auto" w:frame="1"/>
        </w:rPr>
        <w:t xml:space="preserve"> and continuing through </w:t>
      </w:r>
      <w:r w:rsidR="00930B84" w:rsidRPr="001F429A">
        <w:rPr>
          <w:rFonts w:cs="Arial"/>
          <w:iCs/>
          <w:szCs w:val="24"/>
          <w:bdr w:val="none" w:sz="0" w:space="0" w:color="auto" w:frame="1"/>
        </w:rPr>
        <w:t>September 30</w:t>
      </w:r>
      <w:r w:rsidRPr="001F429A">
        <w:rPr>
          <w:rFonts w:cs="Arial"/>
          <w:iCs/>
          <w:szCs w:val="24"/>
          <w:bdr w:val="none" w:sz="0" w:space="0" w:color="auto" w:frame="1"/>
        </w:rPr>
        <w:t>, 202</w:t>
      </w:r>
      <w:r w:rsidR="007C0913">
        <w:rPr>
          <w:rFonts w:cs="Arial"/>
          <w:iCs/>
          <w:szCs w:val="24"/>
          <w:bdr w:val="none" w:sz="0" w:space="0" w:color="auto" w:frame="1"/>
        </w:rPr>
        <w:t>4</w:t>
      </w:r>
      <w:r w:rsidRPr="001F429A">
        <w:rPr>
          <w:rFonts w:cs="Arial"/>
          <w:iCs/>
          <w:szCs w:val="24"/>
          <w:bdr w:val="none" w:sz="0" w:space="0" w:color="auto" w:frame="1"/>
        </w:rPr>
        <w:t>. F</w:t>
      </w:r>
      <w:r w:rsidRPr="00414F47">
        <w:rPr>
          <w:rFonts w:cs="Arial"/>
          <w:iCs/>
          <w:szCs w:val="24"/>
          <w:bdr w:val="none" w:sz="0" w:space="0" w:color="auto" w:frame="1"/>
        </w:rPr>
        <w:t xml:space="preserve">unding is available to the 11 CCSESA regions (map located on the CCSESA website at </w:t>
      </w:r>
      <w:hyperlink r:id="rId21" w:tooltip="California County Superintendents Education Services Association region map link." w:history="1">
        <w:r w:rsidRPr="00414F47">
          <w:rPr>
            <w:rStyle w:val="Hyperlink"/>
            <w:rFonts w:cs="Arial"/>
            <w:iCs/>
            <w:szCs w:val="24"/>
            <w:bdr w:val="none" w:sz="0" w:space="0" w:color="auto" w:frame="1"/>
          </w:rPr>
          <w:t>https://ccsesa.org/regions/</w:t>
        </w:r>
      </w:hyperlink>
      <w:r w:rsidRPr="00414F47">
        <w:rPr>
          <w:rFonts w:cs="Arial"/>
          <w:iCs/>
          <w:szCs w:val="24"/>
          <w:bdr w:val="none" w:sz="0" w:space="0" w:color="auto" w:frame="1"/>
        </w:rPr>
        <w:t>) per the table below:</w:t>
      </w:r>
    </w:p>
    <w:tbl>
      <w:tblPr>
        <w:tblW w:w="8560" w:type="dxa"/>
        <w:jc w:val="center"/>
        <w:tblCellMar>
          <w:left w:w="0" w:type="dxa"/>
          <w:right w:w="0" w:type="dxa"/>
        </w:tblCellMar>
        <w:tblLook w:val="04A0" w:firstRow="1" w:lastRow="0" w:firstColumn="1" w:lastColumn="0" w:noHBand="0" w:noVBand="1"/>
        <w:tblDescription w:val="Table showing funding for CCLC and ASSETs grantees in 11 regions throughout the State of California."/>
      </w:tblPr>
      <w:tblGrid>
        <w:gridCol w:w="1700"/>
        <w:gridCol w:w="1800"/>
        <w:gridCol w:w="5060"/>
      </w:tblGrid>
      <w:tr w:rsidR="004E5260" w14:paraId="0556B3FD" w14:textId="77777777" w:rsidTr="00F71945">
        <w:trPr>
          <w:cantSplit/>
          <w:trHeight w:val="1285"/>
          <w:tblHeader/>
          <w:jc w:val="center"/>
        </w:trPr>
        <w:tc>
          <w:tcPr>
            <w:tcW w:w="1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4726793C" w14:textId="77777777" w:rsidR="004E5260" w:rsidRDefault="004E5260">
            <w:pPr>
              <w:jc w:val="center"/>
              <w:rPr>
                <w:color w:val="000000"/>
              </w:rPr>
            </w:pPr>
            <w:r>
              <w:rPr>
                <w:color w:val="000000"/>
              </w:rPr>
              <w:t>Region</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2A05BABB" w14:textId="77777777" w:rsidR="004E5260" w:rsidRDefault="004E5260">
            <w:pPr>
              <w:jc w:val="center"/>
              <w:rPr>
                <w:color w:val="000000"/>
              </w:rPr>
            </w:pPr>
            <w:r>
              <w:rPr>
                <w:color w:val="000000"/>
              </w:rPr>
              <w:t>Percent of Funding</w:t>
            </w:r>
          </w:p>
        </w:tc>
        <w:tc>
          <w:tcPr>
            <w:tcW w:w="506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38D959CC" w14:textId="77777777" w:rsidR="004E5260" w:rsidRDefault="004E5260">
            <w:pPr>
              <w:jc w:val="center"/>
              <w:rPr>
                <w:color w:val="000000"/>
              </w:rPr>
            </w:pPr>
            <w:r>
              <w:rPr>
                <w:color w:val="000000"/>
              </w:rPr>
              <w:t>Available ESSER III Summer Grant Program Funding Amount Per Geographic Region</w:t>
            </w:r>
          </w:p>
        </w:tc>
      </w:tr>
      <w:tr w:rsidR="006B0CD2" w14:paraId="48F80F40" w14:textId="77777777" w:rsidTr="004D7D58">
        <w:trPr>
          <w:cantSplit/>
          <w:trHeight w:val="290"/>
          <w:jc w:val="center"/>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43B252" w14:textId="35FAF742" w:rsidR="006B0CD2" w:rsidRDefault="006B0CD2" w:rsidP="006B0CD2">
            <w:pPr>
              <w:rPr>
                <w:color w:val="000000"/>
              </w:rPr>
            </w:pPr>
            <w:r w:rsidRPr="00720C0E">
              <w:rPr>
                <w:rFonts w:cs="Arial"/>
                <w:szCs w:val="24"/>
              </w:rPr>
              <w:t>1</w:t>
            </w:r>
            <w:r>
              <w:rPr>
                <w:rFonts w:cs="Arial"/>
                <w:szCs w:val="24"/>
              </w:rPr>
              <w:t>–</w:t>
            </w:r>
            <w:r w:rsidRPr="00720C0E">
              <w:rPr>
                <w:rFonts w:cs="Arial"/>
                <w:szCs w:val="24"/>
              </w:rPr>
              <w:t>4 Urban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1CE395" w14:textId="4DCCC787" w:rsidR="006B0CD2" w:rsidRDefault="006B0CD2" w:rsidP="006B0CD2">
            <w:pPr>
              <w:jc w:val="right"/>
              <w:rPr>
                <w:color w:val="000000"/>
              </w:rPr>
            </w:pPr>
            <w:r>
              <w:rPr>
                <w:color w:val="000000"/>
              </w:rPr>
              <w:t>13.70</w:t>
            </w:r>
          </w:p>
        </w:tc>
        <w:tc>
          <w:tcPr>
            <w:tcW w:w="5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53A544" w14:textId="650A0E20" w:rsidR="006B0CD2" w:rsidRDefault="006B0CD2" w:rsidP="006B0CD2">
            <w:pPr>
              <w:jc w:val="right"/>
              <w:rPr>
                <w:color w:val="000000"/>
              </w:rPr>
            </w:pPr>
            <w:r>
              <w:rPr>
                <w:color w:val="000000"/>
              </w:rPr>
              <w:t xml:space="preserve">$4,464,450.98 </w:t>
            </w:r>
          </w:p>
        </w:tc>
      </w:tr>
      <w:tr w:rsidR="006B0CD2" w14:paraId="071ADA3A" w14:textId="77777777" w:rsidTr="004D7D58">
        <w:trPr>
          <w:cantSplit/>
          <w:trHeight w:val="290"/>
          <w:jc w:val="center"/>
        </w:trPr>
        <w:tc>
          <w:tcPr>
            <w:tcW w:w="1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6F6DD327" w14:textId="44684CAB" w:rsidR="006B0CD2" w:rsidRDefault="006B0CD2" w:rsidP="006B0CD2">
            <w:pPr>
              <w:rPr>
                <w:color w:val="000000"/>
              </w:rPr>
            </w:pPr>
            <w:r w:rsidRPr="00720C0E">
              <w:rPr>
                <w:rFonts w:cs="Arial"/>
                <w:szCs w:val="24"/>
              </w:rPr>
              <w:t>1</w:t>
            </w:r>
            <w:r>
              <w:rPr>
                <w:rFonts w:cs="Arial"/>
                <w:szCs w:val="24"/>
              </w:rPr>
              <w:t>–</w:t>
            </w:r>
            <w:r w:rsidRPr="00720C0E">
              <w:rPr>
                <w:rFonts w:cs="Arial"/>
                <w:szCs w:val="24"/>
              </w:rPr>
              <w:t>4 Rural</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634A7541" w14:textId="440F6115" w:rsidR="006B0CD2" w:rsidRDefault="006B0CD2" w:rsidP="006B0CD2">
            <w:pPr>
              <w:jc w:val="right"/>
              <w:rPr>
                <w:color w:val="000000"/>
              </w:rPr>
            </w:pPr>
            <w:r>
              <w:rPr>
                <w:color w:val="000000"/>
              </w:rPr>
              <w:t>3.27</w:t>
            </w:r>
          </w:p>
        </w:tc>
        <w:tc>
          <w:tcPr>
            <w:tcW w:w="50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A8122A5" w14:textId="1ADB2AEA" w:rsidR="006B0CD2" w:rsidRDefault="006B0CD2" w:rsidP="006B0CD2">
            <w:pPr>
              <w:jc w:val="right"/>
              <w:rPr>
                <w:color w:val="000000"/>
              </w:rPr>
            </w:pPr>
            <w:r>
              <w:rPr>
                <w:color w:val="000000"/>
              </w:rPr>
              <w:t xml:space="preserve">$1,065,104.52 </w:t>
            </w:r>
          </w:p>
        </w:tc>
      </w:tr>
      <w:tr w:rsidR="006B0CD2" w14:paraId="5E0053AB" w14:textId="77777777" w:rsidTr="004D7D58">
        <w:trPr>
          <w:cantSplit/>
          <w:trHeight w:val="290"/>
          <w:jc w:val="center"/>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32A515" w14:textId="191E44A9" w:rsidR="006B0CD2" w:rsidRDefault="006B0CD2" w:rsidP="006B0CD2">
            <w:pPr>
              <w:rPr>
                <w:color w:val="000000"/>
              </w:rPr>
            </w:pPr>
            <w:r w:rsidRPr="00720C0E">
              <w:rPr>
                <w:rFonts w:cs="Arial"/>
                <w:szCs w:val="24"/>
              </w:rPr>
              <w:t>5</w:t>
            </w:r>
            <w:r>
              <w:rPr>
                <w:rFonts w:cs="Arial"/>
                <w:szCs w:val="24"/>
              </w:rPr>
              <w:t>–</w:t>
            </w:r>
            <w:r w:rsidRPr="00720C0E">
              <w:rPr>
                <w:rFonts w:cs="Arial"/>
                <w:szCs w:val="24"/>
              </w:rPr>
              <w:t>8 Urban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F3F172" w14:textId="1D0C30B5" w:rsidR="006B0CD2" w:rsidRDefault="006B0CD2" w:rsidP="006B0CD2">
            <w:pPr>
              <w:jc w:val="right"/>
              <w:rPr>
                <w:color w:val="000000"/>
              </w:rPr>
            </w:pPr>
            <w:r>
              <w:rPr>
                <w:color w:val="000000"/>
              </w:rPr>
              <w:t>19.91</w:t>
            </w:r>
          </w:p>
        </w:tc>
        <w:tc>
          <w:tcPr>
            <w:tcW w:w="5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825B97" w14:textId="5387C69C" w:rsidR="006B0CD2" w:rsidRDefault="006B0CD2" w:rsidP="006B0CD2">
            <w:pPr>
              <w:jc w:val="right"/>
              <w:rPr>
                <w:color w:val="000000"/>
              </w:rPr>
            </w:pPr>
            <w:r>
              <w:rPr>
                <w:color w:val="000000"/>
              </w:rPr>
              <w:t xml:space="preserve">$6,486,730.12 </w:t>
            </w:r>
          </w:p>
        </w:tc>
      </w:tr>
      <w:tr w:rsidR="006B0CD2" w14:paraId="68DDC267" w14:textId="77777777" w:rsidTr="004D7D58">
        <w:trPr>
          <w:cantSplit/>
          <w:trHeight w:val="290"/>
          <w:jc w:val="center"/>
        </w:trPr>
        <w:tc>
          <w:tcPr>
            <w:tcW w:w="1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4D96C095" w14:textId="6CF32AFD" w:rsidR="006B0CD2" w:rsidRDefault="006B0CD2" w:rsidP="006B0CD2">
            <w:pPr>
              <w:rPr>
                <w:color w:val="000000"/>
              </w:rPr>
            </w:pPr>
            <w:r w:rsidRPr="00720C0E">
              <w:rPr>
                <w:rFonts w:cs="Arial"/>
                <w:szCs w:val="24"/>
              </w:rPr>
              <w:t>5</w:t>
            </w:r>
            <w:r>
              <w:rPr>
                <w:rFonts w:cs="Arial"/>
                <w:szCs w:val="24"/>
              </w:rPr>
              <w:t>–</w:t>
            </w:r>
            <w:r w:rsidRPr="00720C0E">
              <w:rPr>
                <w:rFonts w:cs="Arial"/>
                <w:szCs w:val="24"/>
              </w:rPr>
              <w:t>8 Rural</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B66EF78" w14:textId="77B54D91" w:rsidR="006B0CD2" w:rsidRDefault="006B0CD2" w:rsidP="006B0CD2">
            <w:pPr>
              <w:jc w:val="right"/>
              <w:rPr>
                <w:color w:val="000000"/>
              </w:rPr>
            </w:pPr>
            <w:r>
              <w:rPr>
                <w:color w:val="000000"/>
              </w:rPr>
              <w:t>6.97</w:t>
            </w:r>
          </w:p>
        </w:tc>
        <w:tc>
          <w:tcPr>
            <w:tcW w:w="50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6FD922E" w14:textId="02495D2A" w:rsidR="006B0CD2" w:rsidRDefault="006B0CD2" w:rsidP="006B0CD2">
            <w:pPr>
              <w:jc w:val="right"/>
              <w:rPr>
                <w:color w:val="000000"/>
              </w:rPr>
            </w:pPr>
            <w:r>
              <w:rPr>
                <w:color w:val="000000"/>
              </w:rPr>
              <w:t xml:space="preserve">$2,272,368.58 </w:t>
            </w:r>
          </w:p>
        </w:tc>
      </w:tr>
      <w:tr w:rsidR="006B0CD2" w14:paraId="69B0C8B3" w14:textId="77777777" w:rsidTr="004D7D58">
        <w:trPr>
          <w:cantSplit/>
          <w:trHeight w:val="290"/>
          <w:jc w:val="center"/>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77E580" w14:textId="6E6E91FE" w:rsidR="006B0CD2" w:rsidRDefault="006B0CD2" w:rsidP="006B0CD2">
            <w:pPr>
              <w:rPr>
                <w:color w:val="000000"/>
              </w:rPr>
            </w:pPr>
            <w:r w:rsidRPr="00720C0E">
              <w:rPr>
                <w:rFonts w:cs="Arial"/>
                <w:szCs w:val="24"/>
              </w:rPr>
              <w:t>9</w:t>
            </w:r>
            <w:r>
              <w:rPr>
                <w:rFonts w:cs="Arial"/>
                <w:szCs w:val="24"/>
              </w:rPr>
              <w:t>–</w:t>
            </w:r>
            <w:r w:rsidRPr="00720C0E">
              <w:rPr>
                <w:rFonts w:cs="Arial"/>
                <w:szCs w:val="24"/>
              </w:rPr>
              <w:t>11 Urban</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AC318B" w14:textId="016DAE43" w:rsidR="006B0CD2" w:rsidRDefault="006B0CD2" w:rsidP="006B0CD2">
            <w:pPr>
              <w:jc w:val="right"/>
              <w:rPr>
                <w:color w:val="000000"/>
              </w:rPr>
            </w:pPr>
            <w:r>
              <w:rPr>
                <w:color w:val="000000"/>
              </w:rPr>
              <w:t>53.29</w:t>
            </w:r>
          </w:p>
        </w:tc>
        <w:tc>
          <w:tcPr>
            <w:tcW w:w="5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F59DBB" w14:textId="632AF6C2" w:rsidR="006B0CD2" w:rsidRDefault="006B0CD2" w:rsidP="006B0CD2">
            <w:pPr>
              <w:jc w:val="right"/>
              <w:rPr>
                <w:color w:val="000000"/>
              </w:rPr>
            </w:pPr>
            <w:r>
              <w:rPr>
                <w:color w:val="000000"/>
              </w:rPr>
              <w:t xml:space="preserve">$17,363,974.25 </w:t>
            </w:r>
          </w:p>
        </w:tc>
      </w:tr>
      <w:tr w:rsidR="006B0CD2" w14:paraId="765739AF" w14:textId="77777777" w:rsidTr="004D7D58">
        <w:trPr>
          <w:cantSplit/>
          <w:trHeight w:val="290"/>
          <w:jc w:val="center"/>
        </w:trPr>
        <w:tc>
          <w:tcPr>
            <w:tcW w:w="17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14:paraId="3E107CF4" w14:textId="12E94586" w:rsidR="006B0CD2" w:rsidRDefault="006B0CD2" w:rsidP="006B0CD2">
            <w:pPr>
              <w:rPr>
                <w:color w:val="000000"/>
              </w:rPr>
            </w:pPr>
            <w:r w:rsidRPr="00720C0E">
              <w:rPr>
                <w:rFonts w:cs="Arial"/>
                <w:szCs w:val="24"/>
              </w:rPr>
              <w:t>9</w:t>
            </w:r>
            <w:r>
              <w:rPr>
                <w:rFonts w:cs="Arial"/>
                <w:szCs w:val="24"/>
              </w:rPr>
              <w:t>–</w:t>
            </w:r>
            <w:r w:rsidRPr="00720C0E">
              <w:rPr>
                <w:rFonts w:cs="Arial"/>
                <w:szCs w:val="24"/>
              </w:rPr>
              <w:t>11 Rural</w:t>
            </w:r>
          </w:p>
        </w:tc>
        <w:tc>
          <w:tcPr>
            <w:tcW w:w="180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19968099" w14:textId="67C2FA1C" w:rsidR="006B0CD2" w:rsidRDefault="006B0CD2" w:rsidP="006B0CD2">
            <w:pPr>
              <w:jc w:val="right"/>
              <w:rPr>
                <w:color w:val="000000"/>
              </w:rPr>
            </w:pPr>
            <w:r>
              <w:rPr>
                <w:color w:val="000000"/>
              </w:rPr>
              <w:t>2.86</w:t>
            </w:r>
          </w:p>
        </w:tc>
        <w:tc>
          <w:tcPr>
            <w:tcW w:w="506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3DD02CE6" w14:textId="00CB31AD" w:rsidR="006B0CD2" w:rsidRDefault="006B0CD2" w:rsidP="006B0CD2">
            <w:pPr>
              <w:jc w:val="right"/>
              <w:rPr>
                <w:color w:val="000000"/>
              </w:rPr>
            </w:pPr>
            <w:r>
              <w:rPr>
                <w:color w:val="000000"/>
              </w:rPr>
              <w:t xml:space="preserve">$930,371.55 </w:t>
            </w:r>
          </w:p>
        </w:tc>
      </w:tr>
      <w:tr w:rsidR="004E5260" w14:paraId="53E74900" w14:textId="77777777" w:rsidTr="004D7D58">
        <w:trPr>
          <w:cantSplit/>
          <w:trHeight w:val="290"/>
          <w:jc w:val="center"/>
        </w:trPr>
        <w:tc>
          <w:tcPr>
            <w:tcW w:w="17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4CEF61" w14:textId="77777777" w:rsidR="004E5260" w:rsidRDefault="004E5260">
            <w:pPr>
              <w:rPr>
                <w:color w:val="000000"/>
              </w:rPr>
            </w:pPr>
            <w:r>
              <w:rPr>
                <w:color w:val="000000"/>
              </w:rPr>
              <w:t>Total</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881902" w14:textId="51083305" w:rsidR="004E5260" w:rsidRDefault="004E5260">
            <w:pPr>
              <w:jc w:val="right"/>
              <w:rPr>
                <w:color w:val="000000"/>
              </w:rPr>
            </w:pPr>
            <w:r>
              <w:rPr>
                <w:color w:val="000000"/>
              </w:rPr>
              <w:t>100</w:t>
            </w:r>
            <w:r w:rsidR="006B0CD2">
              <w:rPr>
                <w:color w:val="000000"/>
              </w:rPr>
              <w:t xml:space="preserve"> percent</w:t>
            </w:r>
          </w:p>
        </w:tc>
        <w:tc>
          <w:tcPr>
            <w:tcW w:w="5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34211D" w14:textId="0E3D5D24" w:rsidR="004E5260" w:rsidRDefault="004E5260" w:rsidP="006B0CD2">
            <w:pPr>
              <w:jc w:val="right"/>
              <w:rPr>
                <w:color w:val="000000"/>
              </w:rPr>
            </w:pPr>
            <w:r>
              <w:rPr>
                <w:color w:val="000000"/>
              </w:rPr>
              <w:t xml:space="preserve">$32,583,000.00 </w:t>
            </w:r>
          </w:p>
        </w:tc>
      </w:tr>
    </w:tbl>
    <w:p w14:paraId="1E23DF48" w14:textId="77777777" w:rsidR="004E5260" w:rsidRPr="00E10001" w:rsidRDefault="004E5260" w:rsidP="004E5260">
      <w:pPr>
        <w:pStyle w:val="ListParagraph"/>
        <w:shd w:val="clear" w:color="auto" w:fill="FFFFFF"/>
        <w:spacing w:after="240"/>
        <w:rPr>
          <w:rFonts w:cs="Arial"/>
          <w:iCs/>
          <w:szCs w:val="24"/>
          <w:highlight w:val="yellow"/>
          <w:bdr w:val="none" w:sz="0" w:space="0" w:color="auto" w:frame="1"/>
        </w:rPr>
      </w:pPr>
    </w:p>
    <w:p w14:paraId="18230661" w14:textId="1C2DDD17" w:rsidR="00A56A28" w:rsidRPr="00AD052D" w:rsidRDefault="00A56A28" w:rsidP="0056789E">
      <w:pPr>
        <w:pStyle w:val="Heading3"/>
        <w:spacing w:before="480"/>
      </w:pPr>
      <w:bookmarkStart w:id="4" w:name="_Toc100753988"/>
      <w:r w:rsidRPr="00247737">
        <w:t>Geographic Funding Distribution</w:t>
      </w:r>
      <w:bookmarkEnd w:id="4"/>
    </w:p>
    <w:p w14:paraId="12B87668" w14:textId="6E040A62" w:rsidR="00A56A28" w:rsidRPr="00811566" w:rsidRDefault="00BB7B37" w:rsidP="0056789E">
      <w:pPr>
        <w:spacing w:after="240"/>
        <w:ind w:left="720"/>
        <w:rPr>
          <w:bdr w:val="none" w:sz="0" w:space="0" w:color="auto" w:frame="1"/>
        </w:rPr>
      </w:pPr>
      <w:r>
        <w:t>T</w:t>
      </w:r>
      <w:r w:rsidR="00A56A28" w:rsidRPr="00811566">
        <w:t xml:space="preserve">he CDE will next determine the geographic funding distribution based on federal (20 </w:t>
      </w:r>
      <w:r w:rsidR="00A56A28" w:rsidRPr="0065260E">
        <w:rPr>
          <w:i/>
        </w:rPr>
        <w:t xml:space="preserve">U.S.C. </w:t>
      </w:r>
      <w:r w:rsidR="00A56A28" w:rsidRPr="00811566">
        <w:t>Section 7174[f]) and state statutes. According to state requirements (</w:t>
      </w:r>
      <w:r w:rsidR="009B1B57">
        <w:t xml:space="preserve">California </w:t>
      </w:r>
      <w:r w:rsidR="009B1B57" w:rsidRPr="007C1A4F">
        <w:rPr>
          <w:i/>
        </w:rPr>
        <w:t>Education Code</w:t>
      </w:r>
      <w:r w:rsidR="009B1B57">
        <w:t xml:space="preserve"> [</w:t>
      </w:r>
      <w:r w:rsidR="00A56A28" w:rsidRPr="00811566">
        <w:rPr>
          <w:i/>
        </w:rPr>
        <w:t>EC</w:t>
      </w:r>
      <w:r w:rsidR="009B1B57" w:rsidRPr="00A2413C">
        <w:t>]</w:t>
      </w:r>
      <w:r w:rsidR="00A56A28" w:rsidRPr="00811566">
        <w:rPr>
          <w:i/>
        </w:rPr>
        <w:t xml:space="preserve"> </w:t>
      </w:r>
      <w:r w:rsidR="00A56A28">
        <w:t>s</w:t>
      </w:r>
      <w:r w:rsidR="00A56A28" w:rsidRPr="00811566">
        <w:t>ection</w:t>
      </w:r>
      <w:r w:rsidR="00A56A28">
        <w:t>s</w:t>
      </w:r>
      <w:r w:rsidR="00A56A28" w:rsidRPr="00811566">
        <w:t xml:space="preserve"> 8423[a][1] and 8484.8[k][1]), equitable distribution of funds </w:t>
      </w:r>
      <w:r w:rsidR="00A56A28" w:rsidRPr="00811566">
        <w:rPr>
          <w:bdr w:val="none" w:sz="0" w:space="0" w:color="auto" w:frame="1"/>
        </w:rPr>
        <w:t xml:space="preserve">shall be awarded to </w:t>
      </w:r>
      <w:r w:rsidR="00524240">
        <w:rPr>
          <w:bdr w:val="none" w:sz="0" w:space="0" w:color="auto" w:frame="1"/>
        </w:rPr>
        <w:t>A</w:t>
      </w:r>
      <w:r w:rsidR="00A56A28" w:rsidRPr="00811566">
        <w:rPr>
          <w:bdr w:val="none" w:sz="0" w:space="0" w:color="auto" w:frame="1"/>
        </w:rPr>
        <w:t>pplicants in northern, central,</w:t>
      </w:r>
      <w:r w:rsidR="00A56A28">
        <w:rPr>
          <w:bdr w:val="none" w:sz="0" w:space="0" w:color="auto" w:frame="1"/>
        </w:rPr>
        <w:t xml:space="preserve"> and</w:t>
      </w:r>
      <w:r w:rsidR="00A56A28" w:rsidRPr="00811566">
        <w:rPr>
          <w:bdr w:val="none" w:sz="0" w:space="0" w:color="auto" w:frame="1"/>
        </w:rPr>
        <w:t xml:space="preserve"> southern California, </w:t>
      </w:r>
      <w:r w:rsidR="00A56A28">
        <w:rPr>
          <w:bdr w:val="none" w:sz="0" w:space="0" w:color="auto" w:frame="1"/>
        </w:rPr>
        <w:t>a</w:t>
      </w:r>
      <w:r w:rsidR="00A56A28" w:rsidRPr="00811566">
        <w:rPr>
          <w:bdr w:val="none" w:sz="0" w:space="0" w:color="auto" w:frame="1"/>
        </w:rPr>
        <w:t>nd in urban and rural areas of the state. The following definitions will be utilized for the ge</w:t>
      </w:r>
      <w:r w:rsidR="00A56A28">
        <w:rPr>
          <w:bdr w:val="none" w:sz="0" w:space="0" w:color="auto" w:frame="1"/>
        </w:rPr>
        <w:t>ographic funding determination:</w:t>
      </w:r>
    </w:p>
    <w:p w14:paraId="527C28CE" w14:textId="228460E6" w:rsidR="00A56A28" w:rsidRPr="00811566" w:rsidRDefault="00A56A28" w:rsidP="00D52936">
      <w:pPr>
        <w:pStyle w:val="ListParagraph"/>
        <w:widowControl w:val="0"/>
        <w:numPr>
          <w:ilvl w:val="0"/>
          <w:numId w:val="27"/>
        </w:numPr>
        <w:adjustRightInd w:val="0"/>
        <w:spacing w:after="240"/>
        <w:ind w:left="1440"/>
        <w:textAlignment w:val="baseline"/>
      </w:pPr>
      <w:r w:rsidRPr="00811566">
        <w:t>Northern California means C</w:t>
      </w:r>
      <w:r w:rsidR="00DD70C7">
        <w:t>CSE</w:t>
      </w:r>
      <w:r w:rsidR="00A2413C">
        <w:t>SA</w:t>
      </w:r>
      <w:r w:rsidRPr="00811566">
        <w:t xml:space="preserve"> regions 1 through 4, inclusive (</w:t>
      </w:r>
      <w:r w:rsidRPr="00A2413C">
        <w:rPr>
          <w:i/>
        </w:rPr>
        <w:t>EC</w:t>
      </w:r>
      <w:r w:rsidRPr="00811566">
        <w:t xml:space="preserve"> </w:t>
      </w:r>
      <w:r>
        <w:t>s</w:t>
      </w:r>
      <w:r w:rsidRPr="00811566">
        <w:t>ection</w:t>
      </w:r>
      <w:r>
        <w:t>s</w:t>
      </w:r>
      <w:r w:rsidRPr="00811566">
        <w:t xml:space="preserve"> 8423[a][2][B] and 8484.8[k][2][B]).</w:t>
      </w:r>
    </w:p>
    <w:p w14:paraId="1C423C37" w14:textId="40A43166" w:rsidR="00A56A28" w:rsidRPr="00811566" w:rsidRDefault="00A56A28" w:rsidP="00D52936">
      <w:pPr>
        <w:pStyle w:val="ListParagraph"/>
        <w:widowControl w:val="0"/>
        <w:numPr>
          <w:ilvl w:val="0"/>
          <w:numId w:val="27"/>
        </w:numPr>
        <w:adjustRightInd w:val="0"/>
        <w:spacing w:after="240"/>
        <w:ind w:left="1440"/>
        <w:textAlignment w:val="baseline"/>
      </w:pPr>
      <w:r w:rsidRPr="00811566">
        <w:t>Central California means C</w:t>
      </w:r>
      <w:r w:rsidR="00A2413C">
        <w:t>CSESA</w:t>
      </w:r>
      <w:r w:rsidRPr="00811566">
        <w:t xml:space="preserve"> regions 5 through 8, inclusive (</w:t>
      </w:r>
      <w:r w:rsidRPr="00A2413C">
        <w:rPr>
          <w:i/>
        </w:rPr>
        <w:t>EC</w:t>
      </w:r>
      <w:r w:rsidRPr="00811566">
        <w:t xml:space="preserve"> </w:t>
      </w:r>
      <w:r>
        <w:t>s</w:t>
      </w:r>
      <w:r w:rsidRPr="00811566">
        <w:t>ection</w:t>
      </w:r>
      <w:r>
        <w:t>s</w:t>
      </w:r>
      <w:r w:rsidRPr="00811566">
        <w:t xml:space="preserve"> 8423[a][2][A] a</w:t>
      </w:r>
      <w:r>
        <w:t>nd 8484.8[k][2][A]).</w:t>
      </w:r>
    </w:p>
    <w:p w14:paraId="6B733924" w14:textId="11789F25" w:rsidR="00A56A28" w:rsidRPr="00811566" w:rsidRDefault="00A56A28" w:rsidP="00D52936">
      <w:pPr>
        <w:pStyle w:val="ListParagraph"/>
        <w:widowControl w:val="0"/>
        <w:numPr>
          <w:ilvl w:val="0"/>
          <w:numId w:val="27"/>
        </w:numPr>
        <w:adjustRightInd w:val="0"/>
        <w:spacing w:after="240"/>
        <w:ind w:left="1440"/>
        <w:textAlignment w:val="baseline"/>
      </w:pPr>
      <w:r w:rsidRPr="00811566">
        <w:t>Southern California means C</w:t>
      </w:r>
      <w:r w:rsidR="005F5F8E">
        <w:t>CSESA</w:t>
      </w:r>
      <w:r w:rsidRPr="00811566">
        <w:t xml:space="preserve"> regions 9 through 11, inclusive (</w:t>
      </w:r>
      <w:r w:rsidRPr="005F5F8E">
        <w:rPr>
          <w:i/>
        </w:rPr>
        <w:t>EC</w:t>
      </w:r>
      <w:r w:rsidRPr="00811566">
        <w:t xml:space="preserve"> </w:t>
      </w:r>
      <w:r>
        <w:t>s</w:t>
      </w:r>
      <w:r w:rsidRPr="00811566">
        <w:t>ection</w:t>
      </w:r>
      <w:r>
        <w:t>s</w:t>
      </w:r>
      <w:r w:rsidRPr="00811566">
        <w:t xml:space="preserve"> 8423</w:t>
      </w:r>
      <w:r>
        <w:t>[a][2][C] and 8484.8[k][2][C]).</w:t>
      </w:r>
    </w:p>
    <w:p w14:paraId="3E641D34" w14:textId="77777777" w:rsidR="00A56A28" w:rsidRPr="00AB5F64" w:rsidRDefault="00A56A28" w:rsidP="00C13E1C">
      <w:pPr>
        <w:pStyle w:val="ListParagraph"/>
        <w:widowControl w:val="0"/>
        <w:numPr>
          <w:ilvl w:val="0"/>
          <w:numId w:val="27"/>
        </w:numPr>
        <w:adjustRightInd w:val="0"/>
        <w:spacing w:after="240"/>
        <w:ind w:left="1440"/>
        <w:textAlignment w:val="baseline"/>
      </w:pPr>
      <w:r w:rsidRPr="00811566">
        <w:t>Urban and rural areas shall be as defined by the United States Census Bureau (</w:t>
      </w:r>
      <w:r w:rsidRPr="00255FA2">
        <w:rPr>
          <w:i/>
        </w:rPr>
        <w:t>EC</w:t>
      </w:r>
      <w:r w:rsidRPr="00811566">
        <w:t xml:space="preserve"> </w:t>
      </w:r>
      <w:r>
        <w:t>s</w:t>
      </w:r>
      <w:r w:rsidRPr="00811566">
        <w:t>ection</w:t>
      </w:r>
      <w:r>
        <w:t>s</w:t>
      </w:r>
      <w:r w:rsidRPr="00811566">
        <w:t xml:space="preserve"> 8423[a][2][D] and 8</w:t>
      </w:r>
      <w:r>
        <w:t>484.8[k][2][D]).</w:t>
      </w:r>
    </w:p>
    <w:p w14:paraId="21C128F0" w14:textId="40BD86FA" w:rsidR="00A56A28" w:rsidRPr="00F46E3A" w:rsidRDefault="00A56A28" w:rsidP="00004D75">
      <w:pPr>
        <w:spacing w:after="240"/>
        <w:ind w:left="720"/>
      </w:pPr>
      <w:r w:rsidRPr="00811566">
        <w:t xml:space="preserve">School sites in an application will be assigned to one of six geographic funding categories. Sites will be </w:t>
      </w:r>
      <w:r w:rsidR="00A37024">
        <w:t>ranked</w:t>
      </w:r>
      <w:r w:rsidR="00A37024" w:rsidRPr="00811566">
        <w:t xml:space="preserve"> </w:t>
      </w:r>
      <w:r w:rsidRPr="00811566">
        <w:t xml:space="preserve">in order based on </w:t>
      </w:r>
      <w:r w:rsidR="001D1F02">
        <w:t>Free and Reduced Price Meals (</w:t>
      </w:r>
      <w:r w:rsidRPr="00F46E3A">
        <w:t>FRPM</w:t>
      </w:r>
      <w:r w:rsidR="001D1F02">
        <w:t>)</w:t>
      </w:r>
      <w:r w:rsidRPr="00F46E3A">
        <w:t xml:space="preserve"> percentage. The six geographic funding categories are as follows:</w:t>
      </w:r>
    </w:p>
    <w:p w14:paraId="0A4C38E3" w14:textId="77777777" w:rsidR="00A56A28" w:rsidRPr="00F46E3A" w:rsidRDefault="00A56A28" w:rsidP="00C13E1C">
      <w:pPr>
        <w:pStyle w:val="ListParagraph"/>
        <w:widowControl w:val="0"/>
        <w:numPr>
          <w:ilvl w:val="0"/>
          <w:numId w:val="28"/>
        </w:numPr>
        <w:adjustRightInd w:val="0"/>
        <w:ind w:left="1800"/>
        <w:textAlignment w:val="baseline"/>
      </w:pPr>
      <w:r w:rsidRPr="00F46E3A">
        <w:lastRenderedPageBreak/>
        <w:t>Northern-Urban</w:t>
      </w:r>
    </w:p>
    <w:p w14:paraId="292F0AB3" w14:textId="77777777" w:rsidR="00A56A28" w:rsidRPr="00811566" w:rsidRDefault="00A56A28" w:rsidP="00C13E1C">
      <w:pPr>
        <w:pStyle w:val="ListParagraph"/>
        <w:widowControl w:val="0"/>
        <w:numPr>
          <w:ilvl w:val="0"/>
          <w:numId w:val="28"/>
        </w:numPr>
        <w:adjustRightInd w:val="0"/>
        <w:ind w:left="1800"/>
        <w:textAlignment w:val="baseline"/>
      </w:pPr>
      <w:r w:rsidRPr="00811566">
        <w:t>Northern-Rural</w:t>
      </w:r>
    </w:p>
    <w:p w14:paraId="0CBA2B47" w14:textId="77777777" w:rsidR="00A56A28" w:rsidRPr="00811566" w:rsidRDefault="00A56A28" w:rsidP="00C13E1C">
      <w:pPr>
        <w:pStyle w:val="ListParagraph"/>
        <w:widowControl w:val="0"/>
        <w:numPr>
          <w:ilvl w:val="0"/>
          <w:numId w:val="28"/>
        </w:numPr>
        <w:adjustRightInd w:val="0"/>
        <w:ind w:left="1800"/>
        <w:textAlignment w:val="baseline"/>
      </w:pPr>
      <w:r w:rsidRPr="00811566">
        <w:t>Central-Urban</w:t>
      </w:r>
    </w:p>
    <w:p w14:paraId="5D1B09C0" w14:textId="77777777" w:rsidR="00A56A28" w:rsidRPr="00811566" w:rsidRDefault="00A56A28" w:rsidP="00C13E1C">
      <w:pPr>
        <w:pStyle w:val="ListParagraph"/>
        <w:widowControl w:val="0"/>
        <w:numPr>
          <w:ilvl w:val="0"/>
          <w:numId w:val="28"/>
        </w:numPr>
        <w:adjustRightInd w:val="0"/>
        <w:ind w:left="1800"/>
        <w:textAlignment w:val="baseline"/>
      </w:pPr>
      <w:r w:rsidRPr="00811566">
        <w:t>Central-Rural</w:t>
      </w:r>
    </w:p>
    <w:p w14:paraId="7151E51C" w14:textId="77777777" w:rsidR="00A56A28" w:rsidRPr="00811566" w:rsidRDefault="00A56A28" w:rsidP="00C13E1C">
      <w:pPr>
        <w:pStyle w:val="ListParagraph"/>
        <w:widowControl w:val="0"/>
        <w:numPr>
          <w:ilvl w:val="0"/>
          <w:numId w:val="28"/>
        </w:numPr>
        <w:adjustRightInd w:val="0"/>
        <w:ind w:left="1800"/>
        <w:textAlignment w:val="baseline"/>
      </w:pPr>
      <w:r w:rsidRPr="00811566">
        <w:t>Southern-Urban</w:t>
      </w:r>
    </w:p>
    <w:p w14:paraId="6DCF659F" w14:textId="77777777" w:rsidR="00A56A28" w:rsidRPr="00AB5F64" w:rsidRDefault="00A56A28" w:rsidP="00C13E1C">
      <w:pPr>
        <w:pStyle w:val="ListParagraph"/>
        <w:widowControl w:val="0"/>
        <w:numPr>
          <w:ilvl w:val="0"/>
          <w:numId w:val="28"/>
        </w:numPr>
        <w:adjustRightInd w:val="0"/>
        <w:spacing w:after="240"/>
        <w:ind w:left="1800"/>
        <w:textAlignment w:val="baseline"/>
      </w:pPr>
      <w:r>
        <w:t>Southern</w:t>
      </w:r>
      <w:r w:rsidRPr="00811566">
        <w:t>-Rural</w:t>
      </w:r>
    </w:p>
    <w:p w14:paraId="487A67BE" w14:textId="080B8F29" w:rsidR="00A56A28" w:rsidRPr="00811566" w:rsidRDefault="00A56A28" w:rsidP="00004D75">
      <w:pPr>
        <w:spacing w:after="240"/>
        <w:ind w:left="720"/>
      </w:pPr>
      <w:r w:rsidRPr="00811566">
        <w:t xml:space="preserve">Funding amounts per geographic funding category will be based on the statutory requirements for how funds are to be allocated for the </w:t>
      </w:r>
      <w:r>
        <w:rPr>
          <w:rFonts w:cs="Arial"/>
          <w:szCs w:val="24"/>
        </w:rPr>
        <w:t>21st</w:t>
      </w:r>
      <w:r w:rsidRPr="00811566">
        <w:t xml:space="preserve"> C</w:t>
      </w:r>
      <w:r>
        <w:t>CLC</w:t>
      </w:r>
      <w:r w:rsidRPr="00811566">
        <w:t xml:space="preserve"> and will be based on the percentage of students that qualify for FRPM compared with the statewide total number of students, per geographic category.</w:t>
      </w:r>
    </w:p>
    <w:p w14:paraId="1AEABBEB" w14:textId="10C848DE" w:rsidR="00A56A28" w:rsidRPr="00811566" w:rsidRDefault="00A56A28" w:rsidP="00004D75">
      <w:pPr>
        <w:spacing w:after="240"/>
        <w:ind w:left="720"/>
      </w:pPr>
      <w:r w:rsidRPr="00811566">
        <w:t>Sites can determine their Rural and Urban Classifications by visiting the National Center for Education Statistics (NCES) online tool</w:t>
      </w:r>
      <w:r w:rsidR="001D1F02">
        <w:t>,</w:t>
      </w:r>
      <w:r>
        <w:t xml:space="preserve"> located</w:t>
      </w:r>
      <w:r w:rsidRPr="00811566">
        <w:t xml:space="preserve"> at </w:t>
      </w:r>
      <w:hyperlink r:id="rId22" w:tooltip="National Center for Education Statistics Online Tool link." w:history="1">
        <w:r w:rsidRPr="00811566">
          <w:rPr>
            <w:rStyle w:val="Hyperlink"/>
            <w:rFonts w:cs="Arial"/>
          </w:rPr>
          <w:t>https://nces.ed.gov/ccd/schoolsearch/</w:t>
        </w:r>
      </w:hyperlink>
      <w:r>
        <w:t xml:space="preserve">, </w:t>
      </w:r>
      <w:r w:rsidRPr="00811566">
        <w:t>and entering the search criteria as directed. Sites in the NCES database are identified in one of</w:t>
      </w:r>
      <w:r>
        <w:t xml:space="preserve"> the following classifications:</w:t>
      </w:r>
      <w:r w:rsidR="008820CC">
        <w:t xml:space="preserve"> </w:t>
      </w:r>
    </w:p>
    <w:tbl>
      <w:tblPr>
        <w:tblStyle w:val="TableGrid"/>
        <w:tblW w:w="0" w:type="auto"/>
        <w:jc w:val="center"/>
        <w:tblLook w:val="04A0" w:firstRow="1" w:lastRow="0" w:firstColumn="1" w:lastColumn="0" w:noHBand="0" w:noVBand="1"/>
        <w:tblDescription w:val="The table shows the sites will fall into one of the classification listed under the urban or rural classification."/>
      </w:tblPr>
      <w:tblGrid>
        <w:gridCol w:w="3571"/>
        <w:gridCol w:w="3554"/>
      </w:tblGrid>
      <w:tr w:rsidR="00A56A28" w:rsidRPr="00E23546" w14:paraId="447E73A5" w14:textId="77777777" w:rsidTr="00004D75">
        <w:trPr>
          <w:cantSplit/>
          <w:trHeight w:val="20"/>
          <w:tblHeader/>
          <w:jc w:val="center"/>
        </w:trPr>
        <w:tc>
          <w:tcPr>
            <w:tcW w:w="3571" w:type="dxa"/>
          </w:tcPr>
          <w:p w14:paraId="3A37DC52" w14:textId="77777777" w:rsidR="00A56A28" w:rsidRPr="00E23546" w:rsidRDefault="00A56A28" w:rsidP="00D52936">
            <w:pPr>
              <w:ind w:left="360"/>
              <w:rPr>
                <w:rFonts w:ascii="Arial" w:hAnsi="Arial" w:cs="Arial"/>
                <w:sz w:val="22"/>
                <w:szCs w:val="22"/>
              </w:rPr>
            </w:pPr>
            <w:r w:rsidRPr="00E23546">
              <w:rPr>
                <w:rFonts w:ascii="Arial" w:hAnsi="Arial" w:cs="Arial"/>
                <w:sz w:val="22"/>
                <w:szCs w:val="22"/>
              </w:rPr>
              <w:t>Urban Classification</w:t>
            </w:r>
          </w:p>
        </w:tc>
        <w:tc>
          <w:tcPr>
            <w:tcW w:w="3554" w:type="dxa"/>
          </w:tcPr>
          <w:p w14:paraId="0C0C073D" w14:textId="77777777" w:rsidR="00A56A28" w:rsidRPr="00E23546" w:rsidRDefault="00A56A28" w:rsidP="00D52936">
            <w:pPr>
              <w:ind w:left="360"/>
              <w:rPr>
                <w:rFonts w:ascii="Arial" w:hAnsi="Arial" w:cs="Arial"/>
                <w:sz w:val="22"/>
                <w:szCs w:val="22"/>
              </w:rPr>
            </w:pPr>
            <w:r w:rsidRPr="00E23546">
              <w:rPr>
                <w:rFonts w:ascii="Arial" w:hAnsi="Arial" w:cs="Arial"/>
                <w:sz w:val="22"/>
                <w:szCs w:val="22"/>
              </w:rPr>
              <w:t>Rural Classification</w:t>
            </w:r>
          </w:p>
        </w:tc>
      </w:tr>
      <w:tr w:rsidR="00A56A28" w:rsidRPr="00E23546" w14:paraId="46B89ED0" w14:textId="77777777" w:rsidTr="00004D75">
        <w:trPr>
          <w:cantSplit/>
          <w:trHeight w:val="20"/>
          <w:jc w:val="center"/>
        </w:trPr>
        <w:tc>
          <w:tcPr>
            <w:tcW w:w="3571" w:type="dxa"/>
          </w:tcPr>
          <w:p w14:paraId="42275B88" w14:textId="77777777" w:rsidR="00A56A28" w:rsidRPr="00E23546" w:rsidRDefault="00A56A28" w:rsidP="00D52936">
            <w:pPr>
              <w:ind w:left="360"/>
              <w:rPr>
                <w:rFonts w:ascii="Arial" w:hAnsi="Arial" w:cs="Arial"/>
                <w:b/>
                <w:sz w:val="22"/>
                <w:szCs w:val="22"/>
              </w:rPr>
            </w:pPr>
            <w:r w:rsidRPr="00E23546">
              <w:rPr>
                <w:rFonts w:ascii="Arial" w:hAnsi="Arial" w:cs="Arial"/>
                <w:sz w:val="22"/>
                <w:szCs w:val="22"/>
              </w:rPr>
              <w:t>11</w:t>
            </w:r>
            <w:r w:rsidRPr="00E23546">
              <w:rPr>
                <w:rFonts w:ascii="Arial" w:hAnsi="Arial" w:cs="Arial"/>
                <w:color w:val="000000"/>
                <w:sz w:val="22"/>
                <w:szCs w:val="22"/>
              </w:rPr>
              <w:t>—</w:t>
            </w:r>
            <w:r w:rsidRPr="00E23546">
              <w:rPr>
                <w:rFonts w:ascii="Arial" w:hAnsi="Arial" w:cs="Arial"/>
                <w:sz w:val="22"/>
                <w:szCs w:val="22"/>
              </w:rPr>
              <w:t>City, Large</w:t>
            </w:r>
          </w:p>
        </w:tc>
        <w:tc>
          <w:tcPr>
            <w:tcW w:w="3554" w:type="dxa"/>
          </w:tcPr>
          <w:p w14:paraId="7AEF3B08" w14:textId="77777777" w:rsidR="00A56A28" w:rsidRPr="00E23546" w:rsidRDefault="00A56A28" w:rsidP="00D52936">
            <w:pPr>
              <w:ind w:left="360"/>
              <w:rPr>
                <w:rFonts w:ascii="Arial" w:hAnsi="Arial" w:cs="Arial"/>
                <w:b/>
                <w:sz w:val="22"/>
                <w:szCs w:val="22"/>
              </w:rPr>
            </w:pPr>
            <w:r w:rsidRPr="00E23546">
              <w:rPr>
                <w:rFonts w:ascii="Arial" w:hAnsi="Arial" w:cs="Arial"/>
                <w:sz w:val="22"/>
                <w:szCs w:val="22"/>
              </w:rPr>
              <w:t>31</w:t>
            </w:r>
            <w:r w:rsidRPr="00E23546">
              <w:rPr>
                <w:rFonts w:ascii="Arial" w:hAnsi="Arial" w:cs="Arial"/>
                <w:color w:val="000000"/>
                <w:sz w:val="22"/>
                <w:szCs w:val="22"/>
              </w:rPr>
              <w:t>—</w:t>
            </w:r>
            <w:r w:rsidRPr="00E23546">
              <w:rPr>
                <w:rFonts w:ascii="Arial" w:hAnsi="Arial" w:cs="Arial"/>
                <w:sz w:val="22"/>
                <w:szCs w:val="22"/>
              </w:rPr>
              <w:t>Town, Fringe</w:t>
            </w:r>
          </w:p>
        </w:tc>
      </w:tr>
      <w:tr w:rsidR="00A56A28" w:rsidRPr="00E23546" w14:paraId="40AAE71E" w14:textId="77777777" w:rsidTr="00004D75">
        <w:trPr>
          <w:cantSplit/>
          <w:trHeight w:val="20"/>
          <w:jc w:val="center"/>
        </w:trPr>
        <w:tc>
          <w:tcPr>
            <w:tcW w:w="3571" w:type="dxa"/>
          </w:tcPr>
          <w:p w14:paraId="33B1639C" w14:textId="77777777" w:rsidR="00A56A28" w:rsidRPr="00E23546" w:rsidRDefault="00A56A28" w:rsidP="00D52936">
            <w:pPr>
              <w:ind w:left="360"/>
              <w:rPr>
                <w:rFonts w:ascii="Arial" w:hAnsi="Arial" w:cs="Arial"/>
                <w:b/>
                <w:sz w:val="22"/>
                <w:szCs w:val="22"/>
              </w:rPr>
            </w:pPr>
            <w:r w:rsidRPr="00E23546">
              <w:rPr>
                <w:rFonts w:ascii="Arial" w:hAnsi="Arial" w:cs="Arial"/>
                <w:sz w:val="22"/>
                <w:szCs w:val="22"/>
              </w:rPr>
              <w:t>12</w:t>
            </w:r>
            <w:r w:rsidRPr="00E23546">
              <w:rPr>
                <w:rFonts w:ascii="Arial" w:hAnsi="Arial" w:cs="Arial"/>
                <w:color w:val="000000"/>
                <w:sz w:val="22"/>
                <w:szCs w:val="22"/>
              </w:rPr>
              <w:t>—</w:t>
            </w:r>
            <w:r w:rsidRPr="00E23546">
              <w:rPr>
                <w:rFonts w:ascii="Arial" w:hAnsi="Arial" w:cs="Arial"/>
                <w:sz w:val="22"/>
                <w:szCs w:val="22"/>
              </w:rPr>
              <w:t>City, Midsize</w:t>
            </w:r>
          </w:p>
        </w:tc>
        <w:tc>
          <w:tcPr>
            <w:tcW w:w="3554" w:type="dxa"/>
          </w:tcPr>
          <w:p w14:paraId="37472D8A" w14:textId="77777777" w:rsidR="00A56A28" w:rsidRPr="00E23546" w:rsidRDefault="00A56A28" w:rsidP="00D52936">
            <w:pPr>
              <w:ind w:left="360"/>
              <w:rPr>
                <w:rFonts w:ascii="Arial" w:hAnsi="Arial" w:cs="Arial"/>
                <w:b/>
                <w:sz w:val="22"/>
                <w:szCs w:val="22"/>
              </w:rPr>
            </w:pPr>
            <w:r w:rsidRPr="00E23546">
              <w:rPr>
                <w:rFonts w:ascii="Arial" w:hAnsi="Arial" w:cs="Arial"/>
                <w:sz w:val="22"/>
                <w:szCs w:val="22"/>
              </w:rPr>
              <w:t>32</w:t>
            </w:r>
            <w:r w:rsidRPr="00E23546">
              <w:rPr>
                <w:rFonts w:ascii="Arial" w:hAnsi="Arial" w:cs="Arial"/>
                <w:color w:val="000000"/>
                <w:sz w:val="22"/>
                <w:szCs w:val="22"/>
              </w:rPr>
              <w:t>—</w:t>
            </w:r>
            <w:r w:rsidRPr="00E23546">
              <w:rPr>
                <w:rFonts w:ascii="Arial" w:hAnsi="Arial" w:cs="Arial"/>
                <w:sz w:val="22"/>
                <w:szCs w:val="22"/>
              </w:rPr>
              <w:t>Town, Distant</w:t>
            </w:r>
          </w:p>
        </w:tc>
      </w:tr>
      <w:tr w:rsidR="00A56A28" w:rsidRPr="00E23546" w14:paraId="40F2D92A" w14:textId="77777777" w:rsidTr="00004D75">
        <w:trPr>
          <w:cantSplit/>
          <w:trHeight w:val="20"/>
          <w:jc w:val="center"/>
        </w:trPr>
        <w:tc>
          <w:tcPr>
            <w:tcW w:w="3571" w:type="dxa"/>
          </w:tcPr>
          <w:p w14:paraId="77713785" w14:textId="77777777" w:rsidR="00A56A28" w:rsidRPr="00E23546" w:rsidRDefault="00A56A28" w:rsidP="00D52936">
            <w:pPr>
              <w:ind w:left="360"/>
              <w:rPr>
                <w:rFonts w:ascii="Arial" w:hAnsi="Arial" w:cs="Arial"/>
                <w:b/>
                <w:sz w:val="22"/>
                <w:szCs w:val="22"/>
              </w:rPr>
            </w:pPr>
            <w:r w:rsidRPr="00E23546">
              <w:rPr>
                <w:rFonts w:ascii="Arial" w:hAnsi="Arial" w:cs="Arial"/>
                <w:sz w:val="22"/>
                <w:szCs w:val="22"/>
              </w:rPr>
              <w:t>13</w:t>
            </w:r>
            <w:r w:rsidRPr="00E23546">
              <w:rPr>
                <w:rFonts w:ascii="Arial" w:hAnsi="Arial" w:cs="Arial"/>
                <w:color w:val="000000"/>
                <w:sz w:val="22"/>
                <w:szCs w:val="22"/>
              </w:rPr>
              <w:t>—</w:t>
            </w:r>
            <w:r w:rsidRPr="00E23546">
              <w:rPr>
                <w:rFonts w:ascii="Arial" w:hAnsi="Arial" w:cs="Arial"/>
                <w:sz w:val="22"/>
                <w:szCs w:val="22"/>
              </w:rPr>
              <w:t>City, Small</w:t>
            </w:r>
          </w:p>
        </w:tc>
        <w:tc>
          <w:tcPr>
            <w:tcW w:w="3554" w:type="dxa"/>
          </w:tcPr>
          <w:p w14:paraId="4D6BF069" w14:textId="77777777" w:rsidR="00A56A28" w:rsidRPr="00E23546" w:rsidRDefault="00A56A28" w:rsidP="00D52936">
            <w:pPr>
              <w:ind w:left="360"/>
              <w:rPr>
                <w:rFonts w:ascii="Arial" w:hAnsi="Arial" w:cs="Arial"/>
                <w:b/>
                <w:sz w:val="22"/>
                <w:szCs w:val="22"/>
              </w:rPr>
            </w:pPr>
            <w:r w:rsidRPr="00E23546">
              <w:rPr>
                <w:rFonts w:ascii="Arial" w:hAnsi="Arial" w:cs="Arial"/>
                <w:sz w:val="22"/>
                <w:szCs w:val="22"/>
              </w:rPr>
              <w:t>33</w:t>
            </w:r>
            <w:r w:rsidRPr="00E23546">
              <w:rPr>
                <w:rFonts w:ascii="Arial" w:hAnsi="Arial" w:cs="Arial"/>
                <w:color w:val="000000"/>
                <w:sz w:val="22"/>
                <w:szCs w:val="22"/>
              </w:rPr>
              <w:t>—</w:t>
            </w:r>
            <w:r w:rsidRPr="00E23546">
              <w:rPr>
                <w:rFonts w:ascii="Arial" w:hAnsi="Arial" w:cs="Arial"/>
                <w:sz w:val="22"/>
                <w:szCs w:val="22"/>
              </w:rPr>
              <w:t>Town, Remote</w:t>
            </w:r>
          </w:p>
        </w:tc>
      </w:tr>
      <w:tr w:rsidR="00A56A28" w:rsidRPr="00E23546" w14:paraId="109C2D6F" w14:textId="77777777" w:rsidTr="00004D75">
        <w:trPr>
          <w:cantSplit/>
          <w:trHeight w:val="20"/>
          <w:jc w:val="center"/>
        </w:trPr>
        <w:tc>
          <w:tcPr>
            <w:tcW w:w="3571" w:type="dxa"/>
          </w:tcPr>
          <w:p w14:paraId="3F82051D" w14:textId="77777777" w:rsidR="00A56A28" w:rsidRPr="00E23546" w:rsidRDefault="00A56A28" w:rsidP="00D52936">
            <w:pPr>
              <w:ind w:left="360"/>
              <w:rPr>
                <w:rFonts w:ascii="Arial" w:hAnsi="Arial" w:cs="Arial"/>
                <w:b/>
                <w:sz w:val="22"/>
                <w:szCs w:val="22"/>
              </w:rPr>
            </w:pPr>
            <w:r w:rsidRPr="00E23546">
              <w:rPr>
                <w:rFonts w:ascii="Arial" w:hAnsi="Arial" w:cs="Arial"/>
                <w:sz w:val="22"/>
                <w:szCs w:val="22"/>
              </w:rPr>
              <w:t>21</w:t>
            </w:r>
            <w:r w:rsidRPr="00E23546">
              <w:rPr>
                <w:rFonts w:ascii="Arial" w:hAnsi="Arial" w:cs="Arial"/>
                <w:color w:val="000000"/>
                <w:sz w:val="22"/>
                <w:szCs w:val="22"/>
              </w:rPr>
              <w:t>—</w:t>
            </w:r>
            <w:r w:rsidRPr="00E23546">
              <w:rPr>
                <w:rFonts w:ascii="Arial" w:hAnsi="Arial" w:cs="Arial"/>
                <w:sz w:val="22"/>
                <w:szCs w:val="22"/>
              </w:rPr>
              <w:t>Suburb, Large</w:t>
            </w:r>
          </w:p>
        </w:tc>
        <w:tc>
          <w:tcPr>
            <w:tcW w:w="3554" w:type="dxa"/>
          </w:tcPr>
          <w:p w14:paraId="7A0AEFBD" w14:textId="77777777" w:rsidR="00A56A28" w:rsidRPr="00E23546" w:rsidRDefault="00A56A28" w:rsidP="00D52936">
            <w:pPr>
              <w:ind w:left="360"/>
              <w:rPr>
                <w:rFonts w:ascii="Arial" w:hAnsi="Arial" w:cs="Arial"/>
                <w:b/>
                <w:sz w:val="22"/>
                <w:szCs w:val="22"/>
              </w:rPr>
            </w:pPr>
            <w:r w:rsidRPr="00E23546">
              <w:rPr>
                <w:rFonts w:ascii="Arial" w:hAnsi="Arial" w:cs="Arial"/>
                <w:sz w:val="22"/>
                <w:szCs w:val="22"/>
              </w:rPr>
              <w:t>41</w:t>
            </w:r>
            <w:r w:rsidRPr="00E23546">
              <w:rPr>
                <w:rFonts w:ascii="Arial" w:hAnsi="Arial" w:cs="Arial"/>
                <w:color w:val="000000"/>
                <w:sz w:val="22"/>
                <w:szCs w:val="22"/>
              </w:rPr>
              <w:t>—</w:t>
            </w:r>
            <w:r w:rsidRPr="00E23546">
              <w:rPr>
                <w:rFonts w:ascii="Arial" w:hAnsi="Arial" w:cs="Arial"/>
                <w:sz w:val="22"/>
                <w:szCs w:val="22"/>
              </w:rPr>
              <w:t>Rural, Fringe</w:t>
            </w:r>
          </w:p>
        </w:tc>
      </w:tr>
      <w:tr w:rsidR="00A56A28" w:rsidRPr="00E23546" w14:paraId="05114566" w14:textId="77777777" w:rsidTr="00004D75">
        <w:trPr>
          <w:cantSplit/>
          <w:trHeight w:val="20"/>
          <w:jc w:val="center"/>
        </w:trPr>
        <w:tc>
          <w:tcPr>
            <w:tcW w:w="3571" w:type="dxa"/>
          </w:tcPr>
          <w:p w14:paraId="5287B3E5" w14:textId="77777777" w:rsidR="00A56A28" w:rsidRPr="00E23546" w:rsidRDefault="00A56A28" w:rsidP="00D52936">
            <w:pPr>
              <w:ind w:left="360"/>
              <w:rPr>
                <w:rFonts w:ascii="Arial" w:hAnsi="Arial" w:cs="Arial"/>
                <w:b/>
                <w:sz w:val="22"/>
                <w:szCs w:val="22"/>
              </w:rPr>
            </w:pPr>
            <w:r w:rsidRPr="00E23546">
              <w:rPr>
                <w:rFonts w:ascii="Arial" w:hAnsi="Arial" w:cs="Arial"/>
                <w:sz w:val="22"/>
                <w:szCs w:val="22"/>
              </w:rPr>
              <w:t>22</w:t>
            </w:r>
            <w:r w:rsidRPr="00E23546">
              <w:rPr>
                <w:rFonts w:ascii="Arial" w:hAnsi="Arial" w:cs="Arial"/>
                <w:color w:val="000000"/>
                <w:sz w:val="22"/>
                <w:szCs w:val="22"/>
              </w:rPr>
              <w:t>—</w:t>
            </w:r>
            <w:r w:rsidRPr="00E23546">
              <w:rPr>
                <w:rFonts w:ascii="Arial" w:hAnsi="Arial" w:cs="Arial"/>
                <w:sz w:val="22"/>
                <w:szCs w:val="22"/>
              </w:rPr>
              <w:t>Suburb, Midsize</w:t>
            </w:r>
          </w:p>
        </w:tc>
        <w:tc>
          <w:tcPr>
            <w:tcW w:w="3554" w:type="dxa"/>
          </w:tcPr>
          <w:p w14:paraId="3B0D375A" w14:textId="77777777" w:rsidR="00A56A28" w:rsidRPr="00E23546" w:rsidRDefault="00A56A28" w:rsidP="00D52936">
            <w:pPr>
              <w:ind w:left="360"/>
              <w:rPr>
                <w:rFonts w:ascii="Arial" w:hAnsi="Arial" w:cs="Arial"/>
                <w:b/>
                <w:sz w:val="22"/>
                <w:szCs w:val="22"/>
              </w:rPr>
            </w:pPr>
            <w:r w:rsidRPr="00E23546">
              <w:rPr>
                <w:rFonts w:ascii="Arial" w:hAnsi="Arial" w:cs="Arial"/>
                <w:sz w:val="22"/>
                <w:szCs w:val="22"/>
              </w:rPr>
              <w:t>42</w:t>
            </w:r>
            <w:r w:rsidRPr="00E23546">
              <w:rPr>
                <w:rFonts w:ascii="Arial" w:hAnsi="Arial" w:cs="Arial"/>
                <w:color w:val="000000"/>
                <w:sz w:val="22"/>
                <w:szCs w:val="22"/>
              </w:rPr>
              <w:t>—</w:t>
            </w:r>
            <w:r w:rsidRPr="00E23546">
              <w:rPr>
                <w:rFonts w:ascii="Arial" w:hAnsi="Arial" w:cs="Arial"/>
                <w:sz w:val="22"/>
                <w:szCs w:val="22"/>
              </w:rPr>
              <w:t>Rural, Distant</w:t>
            </w:r>
          </w:p>
        </w:tc>
      </w:tr>
      <w:tr w:rsidR="00A56A28" w:rsidRPr="00E23546" w14:paraId="00D71A6F" w14:textId="77777777" w:rsidTr="00004D75">
        <w:trPr>
          <w:cantSplit/>
          <w:trHeight w:val="20"/>
          <w:jc w:val="center"/>
        </w:trPr>
        <w:tc>
          <w:tcPr>
            <w:tcW w:w="3571" w:type="dxa"/>
          </w:tcPr>
          <w:p w14:paraId="02A01B65" w14:textId="77777777" w:rsidR="00A56A28" w:rsidRPr="00E23546" w:rsidRDefault="00A56A28" w:rsidP="00D52936">
            <w:pPr>
              <w:ind w:left="360"/>
              <w:rPr>
                <w:rFonts w:ascii="Arial" w:hAnsi="Arial" w:cs="Arial"/>
                <w:b/>
                <w:sz w:val="22"/>
                <w:szCs w:val="22"/>
              </w:rPr>
            </w:pPr>
            <w:r w:rsidRPr="00E23546">
              <w:rPr>
                <w:rFonts w:ascii="Arial" w:hAnsi="Arial" w:cs="Arial"/>
                <w:sz w:val="22"/>
                <w:szCs w:val="22"/>
              </w:rPr>
              <w:t>23</w:t>
            </w:r>
            <w:r w:rsidRPr="00E23546">
              <w:rPr>
                <w:rFonts w:ascii="Arial" w:hAnsi="Arial" w:cs="Arial"/>
                <w:color w:val="000000"/>
                <w:sz w:val="22"/>
                <w:szCs w:val="22"/>
              </w:rPr>
              <w:t>—</w:t>
            </w:r>
            <w:r w:rsidRPr="00E23546">
              <w:rPr>
                <w:rFonts w:ascii="Arial" w:hAnsi="Arial" w:cs="Arial"/>
                <w:sz w:val="22"/>
                <w:szCs w:val="22"/>
              </w:rPr>
              <w:t>Suburb, Small</w:t>
            </w:r>
          </w:p>
        </w:tc>
        <w:tc>
          <w:tcPr>
            <w:tcW w:w="3554" w:type="dxa"/>
          </w:tcPr>
          <w:p w14:paraId="5347B427" w14:textId="77777777" w:rsidR="00A56A28" w:rsidRPr="00E23546" w:rsidRDefault="00A56A28" w:rsidP="00D52936">
            <w:pPr>
              <w:ind w:left="360"/>
              <w:rPr>
                <w:rFonts w:ascii="Arial" w:hAnsi="Arial" w:cs="Arial"/>
                <w:b/>
                <w:sz w:val="22"/>
                <w:szCs w:val="22"/>
              </w:rPr>
            </w:pPr>
            <w:r w:rsidRPr="00E23546">
              <w:rPr>
                <w:rFonts w:ascii="Arial" w:hAnsi="Arial" w:cs="Arial"/>
                <w:sz w:val="22"/>
                <w:szCs w:val="22"/>
              </w:rPr>
              <w:t>43</w:t>
            </w:r>
            <w:r w:rsidRPr="00E23546">
              <w:rPr>
                <w:rFonts w:ascii="Arial" w:hAnsi="Arial" w:cs="Arial"/>
                <w:color w:val="000000"/>
                <w:sz w:val="22"/>
                <w:szCs w:val="22"/>
              </w:rPr>
              <w:t>—</w:t>
            </w:r>
            <w:r w:rsidRPr="00E23546">
              <w:rPr>
                <w:rFonts w:ascii="Arial" w:hAnsi="Arial" w:cs="Arial"/>
                <w:sz w:val="22"/>
                <w:szCs w:val="22"/>
              </w:rPr>
              <w:t>Rural, Remote</w:t>
            </w:r>
          </w:p>
        </w:tc>
      </w:tr>
    </w:tbl>
    <w:p w14:paraId="345B549C" w14:textId="77777777" w:rsidR="00720C0E" w:rsidRDefault="00720C0E" w:rsidP="00720C0E">
      <w:pPr>
        <w:ind w:left="547"/>
      </w:pPr>
    </w:p>
    <w:p w14:paraId="4D04647F" w14:textId="77777777" w:rsidR="00A75166" w:rsidRDefault="00A56A28" w:rsidP="00A75166">
      <w:pPr>
        <w:ind w:left="720"/>
        <w:rPr>
          <w:rFonts w:cs="Arial"/>
          <w:color w:val="000000"/>
          <w:szCs w:val="24"/>
        </w:rPr>
      </w:pPr>
      <w:r w:rsidRPr="00A97B04">
        <w:t>If a school site is unable to identify their classification using the NCES website, then the CDE will determine their classification by identifying adjacent schools surrounding the school site.</w:t>
      </w:r>
      <w:r>
        <w:t xml:space="preserve"> </w:t>
      </w:r>
      <w:r w:rsidR="00355196" w:rsidRPr="00415C14">
        <w:rPr>
          <w:rFonts w:cs="Arial"/>
          <w:color w:val="000000"/>
          <w:szCs w:val="24"/>
        </w:rPr>
        <w:t xml:space="preserve">Grants will be awarded within each </w:t>
      </w:r>
      <w:r w:rsidR="000A5E44">
        <w:rPr>
          <w:rFonts w:cs="Arial"/>
          <w:color w:val="000000"/>
          <w:szCs w:val="24"/>
        </w:rPr>
        <w:t xml:space="preserve">geographic </w:t>
      </w:r>
      <w:r w:rsidR="00355196" w:rsidRPr="00415C14">
        <w:rPr>
          <w:rFonts w:cs="Arial"/>
          <w:color w:val="000000"/>
          <w:szCs w:val="24"/>
        </w:rPr>
        <w:t xml:space="preserve">region based on the highest FRPM data. </w:t>
      </w:r>
      <w:r w:rsidR="00355196" w:rsidRPr="00415C14">
        <w:rPr>
          <w:rFonts w:cs="Arial"/>
          <w:color w:val="000000"/>
        </w:rPr>
        <w:t xml:space="preserve">Applicants will only compete for funding against other </w:t>
      </w:r>
      <w:r w:rsidR="00524240">
        <w:rPr>
          <w:rFonts w:cs="Arial"/>
          <w:color w:val="000000"/>
        </w:rPr>
        <w:t>A</w:t>
      </w:r>
      <w:r w:rsidR="00355196" w:rsidRPr="00415C14">
        <w:rPr>
          <w:rFonts w:cs="Arial"/>
          <w:color w:val="000000"/>
        </w:rPr>
        <w:t>pplicants in their region.</w:t>
      </w:r>
      <w:r w:rsidR="00355196" w:rsidRPr="00415C14">
        <w:rPr>
          <w:rFonts w:cs="Arial"/>
          <w:color w:val="000000"/>
          <w:szCs w:val="24"/>
        </w:rPr>
        <w:t xml:space="preserve"> (See Grant Award Determination section for more detail.)</w:t>
      </w:r>
    </w:p>
    <w:p w14:paraId="055393E6" w14:textId="77777777" w:rsidR="00A75166" w:rsidRDefault="00A75166" w:rsidP="00A75166">
      <w:pPr>
        <w:ind w:left="720"/>
        <w:rPr>
          <w:rFonts w:cs="Arial"/>
          <w:b/>
          <w:color w:val="000000"/>
          <w:szCs w:val="24"/>
        </w:rPr>
      </w:pPr>
    </w:p>
    <w:p w14:paraId="23A33A83" w14:textId="544394A9" w:rsidR="005701B1" w:rsidRDefault="005701B1" w:rsidP="00A75166">
      <w:pPr>
        <w:ind w:left="720"/>
        <w:rPr>
          <w:rFonts w:cs="Arial"/>
          <w:color w:val="000000"/>
          <w:szCs w:val="24"/>
        </w:rPr>
      </w:pPr>
      <w:r w:rsidRPr="005701B1">
        <w:rPr>
          <w:rFonts w:cs="Arial"/>
          <w:b/>
          <w:color w:val="000000"/>
          <w:szCs w:val="24"/>
        </w:rPr>
        <w:t>Funding Categories</w:t>
      </w:r>
      <w:r>
        <w:rPr>
          <w:rFonts w:cs="Arial"/>
          <w:b/>
          <w:color w:val="000000"/>
          <w:szCs w:val="24"/>
        </w:rPr>
        <w:t xml:space="preserve">: </w:t>
      </w:r>
      <w:r w:rsidR="00355196" w:rsidRPr="00355196">
        <w:rPr>
          <w:rFonts w:cs="Arial"/>
          <w:color w:val="000000"/>
          <w:szCs w:val="24"/>
        </w:rPr>
        <w:t xml:space="preserve">The </w:t>
      </w:r>
      <w:r w:rsidR="00A76083">
        <w:rPr>
          <w:rFonts w:cs="Arial"/>
          <w:color w:val="000000"/>
          <w:szCs w:val="24"/>
        </w:rPr>
        <w:t>funding categories</w:t>
      </w:r>
      <w:r w:rsidR="00355196" w:rsidRPr="00355196">
        <w:rPr>
          <w:rFonts w:cs="Arial"/>
          <w:color w:val="000000"/>
          <w:szCs w:val="24"/>
        </w:rPr>
        <w:t xml:space="preserve"> lis</w:t>
      </w:r>
      <w:r w:rsidR="00355196">
        <w:rPr>
          <w:rFonts w:cs="Arial"/>
          <w:color w:val="000000"/>
          <w:szCs w:val="24"/>
        </w:rPr>
        <w:t xml:space="preserve">ted below are the maximum </w:t>
      </w:r>
      <w:r w:rsidR="009441FE">
        <w:rPr>
          <w:rFonts w:cs="Arial"/>
          <w:color w:val="000000"/>
          <w:szCs w:val="24"/>
        </w:rPr>
        <w:t>two-</w:t>
      </w:r>
      <w:r w:rsidR="000A5E44">
        <w:rPr>
          <w:rFonts w:cs="Arial"/>
          <w:color w:val="000000"/>
          <w:szCs w:val="24"/>
        </w:rPr>
        <w:t>year</w:t>
      </w:r>
      <w:r w:rsidR="00355196" w:rsidRPr="00355196">
        <w:rPr>
          <w:rFonts w:cs="Arial"/>
          <w:color w:val="000000"/>
          <w:szCs w:val="24"/>
        </w:rPr>
        <w:t xml:space="preserve"> grant amounts</w:t>
      </w:r>
      <w:r w:rsidR="00355196">
        <w:rPr>
          <w:rFonts w:cs="Arial"/>
          <w:color w:val="000000"/>
          <w:szCs w:val="24"/>
        </w:rPr>
        <w:t xml:space="preserve"> per </w:t>
      </w:r>
      <w:r w:rsidR="00A37024">
        <w:rPr>
          <w:rFonts w:cs="Arial"/>
          <w:color w:val="000000"/>
          <w:szCs w:val="24"/>
        </w:rPr>
        <w:t xml:space="preserve">school </w:t>
      </w:r>
      <w:r w:rsidR="00355196">
        <w:rPr>
          <w:rFonts w:cs="Arial"/>
          <w:color w:val="000000"/>
          <w:szCs w:val="24"/>
        </w:rPr>
        <w:t>site determined by school enrollment</w:t>
      </w:r>
      <w:r w:rsidR="00D646CB">
        <w:rPr>
          <w:rFonts w:cs="Arial"/>
          <w:color w:val="000000"/>
          <w:szCs w:val="24"/>
        </w:rPr>
        <w:t xml:space="preserve"> for grades </w:t>
      </w:r>
      <w:r w:rsidR="00B470DB">
        <w:rPr>
          <w:rFonts w:cs="Arial"/>
          <w:color w:val="000000"/>
          <w:szCs w:val="24"/>
        </w:rPr>
        <w:t>kindergarten through eight (</w:t>
      </w:r>
      <w:r w:rsidR="00D646CB">
        <w:rPr>
          <w:rFonts w:cs="Arial"/>
          <w:color w:val="000000"/>
          <w:szCs w:val="24"/>
        </w:rPr>
        <w:t>K</w:t>
      </w:r>
      <w:r w:rsidR="00C30845">
        <w:rPr>
          <w:rFonts w:cs="Arial"/>
          <w:color w:val="000000"/>
          <w:szCs w:val="24"/>
        </w:rPr>
        <w:t>–</w:t>
      </w:r>
      <w:r w:rsidR="00D646CB">
        <w:rPr>
          <w:rFonts w:cs="Arial"/>
          <w:color w:val="000000"/>
          <w:szCs w:val="24"/>
        </w:rPr>
        <w:t>8</w:t>
      </w:r>
      <w:r w:rsidR="00B470DB">
        <w:rPr>
          <w:rFonts w:cs="Arial"/>
          <w:color w:val="000000"/>
          <w:szCs w:val="24"/>
        </w:rPr>
        <w:t>)</w:t>
      </w:r>
      <w:r w:rsidR="000A5E44">
        <w:rPr>
          <w:rFonts w:cs="Arial"/>
          <w:color w:val="000000"/>
          <w:szCs w:val="24"/>
        </w:rPr>
        <w:t xml:space="preserve"> and </w:t>
      </w:r>
      <w:r w:rsidR="00B470DB">
        <w:rPr>
          <w:rFonts w:cs="Arial"/>
          <w:color w:val="000000"/>
          <w:szCs w:val="24"/>
        </w:rPr>
        <w:t>grades nine through twelve (</w:t>
      </w:r>
      <w:r w:rsidR="000A5E44">
        <w:rPr>
          <w:rFonts w:cs="Arial"/>
          <w:color w:val="000000"/>
          <w:szCs w:val="24"/>
        </w:rPr>
        <w:t>9</w:t>
      </w:r>
      <w:r w:rsidR="00B470DB">
        <w:rPr>
          <w:rFonts w:cs="Arial"/>
          <w:color w:val="000000"/>
          <w:szCs w:val="24"/>
        </w:rPr>
        <w:t>–</w:t>
      </w:r>
      <w:r w:rsidR="000A5E44">
        <w:rPr>
          <w:rFonts w:cs="Arial"/>
          <w:color w:val="000000"/>
          <w:szCs w:val="24"/>
        </w:rPr>
        <w:t>12</w:t>
      </w:r>
      <w:r w:rsidR="00B470DB">
        <w:rPr>
          <w:rFonts w:cs="Arial"/>
          <w:color w:val="000000"/>
          <w:szCs w:val="24"/>
        </w:rPr>
        <w:t>)</w:t>
      </w:r>
      <w:r w:rsidR="000A5E44">
        <w:rPr>
          <w:rFonts w:cs="Arial"/>
          <w:color w:val="000000"/>
          <w:szCs w:val="24"/>
        </w:rPr>
        <w:t xml:space="preserve">. </w:t>
      </w:r>
      <w:r w:rsidR="00C30845">
        <w:rPr>
          <w:rFonts w:cs="Arial"/>
          <w:color w:val="000000"/>
          <w:szCs w:val="24"/>
        </w:rPr>
        <w:t>In the case of K–12 schools, grades K–</w:t>
      </w:r>
      <w:r w:rsidR="00D646CB">
        <w:rPr>
          <w:rFonts w:cs="Arial"/>
          <w:color w:val="000000"/>
          <w:szCs w:val="24"/>
        </w:rPr>
        <w:t>9 can be counted.</w:t>
      </w:r>
      <w:r w:rsidR="00355196">
        <w:rPr>
          <w:rFonts w:cs="Arial"/>
          <w:color w:val="000000"/>
          <w:szCs w:val="24"/>
        </w:rPr>
        <w:t xml:space="preserve"> </w:t>
      </w:r>
      <w:r w:rsidR="00F95125" w:rsidRPr="0016520B">
        <w:rPr>
          <w:rFonts w:cs="Arial"/>
          <w:color w:val="000000"/>
          <w:szCs w:val="24"/>
        </w:rPr>
        <w:t xml:space="preserve">The CDE will </w:t>
      </w:r>
      <w:r w:rsidR="00F95125" w:rsidRPr="001F429A">
        <w:rPr>
          <w:rFonts w:cs="Arial"/>
          <w:color w:val="000000"/>
          <w:szCs w:val="24"/>
        </w:rPr>
        <w:t xml:space="preserve">use </w:t>
      </w:r>
      <w:r w:rsidR="00C30845" w:rsidRPr="001F429A">
        <w:rPr>
          <w:rFonts w:cs="Arial"/>
          <w:color w:val="000000"/>
          <w:szCs w:val="24"/>
        </w:rPr>
        <w:t>20</w:t>
      </w:r>
      <w:r w:rsidR="000A5E44" w:rsidRPr="001F429A">
        <w:rPr>
          <w:rFonts w:cs="Arial"/>
          <w:color w:val="000000"/>
          <w:szCs w:val="24"/>
        </w:rPr>
        <w:t>2</w:t>
      </w:r>
      <w:r w:rsidR="00882E01" w:rsidRPr="001F429A">
        <w:rPr>
          <w:rFonts w:cs="Arial"/>
          <w:color w:val="000000"/>
          <w:szCs w:val="24"/>
        </w:rPr>
        <w:t>1</w:t>
      </w:r>
      <w:r w:rsidR="006B0CD2" w:rsidRPr="001F429A">
        <w:rPr>
          <w:szCs w:val="24"/>
        </w:rPr>
        <w:t>–</w:t>
      </w:r>
      <w:r w:rsidR="000A5E44" w:rsidRPr="001F429A">
        <w:rPr>
          <w:rFonts w:cs="Arial"/>
          <w:color w:val="000000"/>
          <w:szCs w:val="24"/>
        </w:rPr>
        <w:t>2</w:t>
      </w:r>
      <w:r w:rsidR="00882E01" w:rsidRPr="001F429A">
        <w:rPr>
          <w:rFonts w:cs="Arial"/>
          <w:color w:val="000000"/>
          <w:szCs w:val="24"/>
        </w:rPr>
        <w:t>2</w:t>
      </w:r>
      <w:r w:rsidR="00355196" w:rsidRPr="001F429A">
        <w:rPr>
          <w:rFonts w:cs="Arial"/>
          <w:color w:val="000000"/>
          <w:szCs w:val="24"/>
        </w:rPr>
        <w:t xml:space="preserve"> enrollment numbers from the CDE downloadable file dated </w:t>
      </w:r>
      <w:r w:rsidR="00882E01" w:rsidRPr="001F429A">
        <w:rPr>
          <w:rFonts w:cs="Arial"/>
          <w:color w:val="000000"/>
          <w:szCs w:val="24"/>
        </w:rPr>
        <w:t>April 2022</w:t>
      </w:r>
      <w:r w:rsidR="00F95125" w:rsidRPr="001F429A">
        <w:rPr>
          <w:rFonts w:cs="Arial"/>
          <w:color w:val="000000"/>
          <w:szCs w:val="24"/>
        </w:rPr>
        <w:t xml:space="preserve">. </w:t>
      </w:r>
      <w:r w:rsidR="00184E96" w:rsidRPr="001F429A">
        <w:rPr>
          <w:rFonts w:cs="Arial"/>
          <w:color w:val="000000"/>
          <w:szCs w:val="24"/>
        </w:rPr>
        <w:t>M</w:t>
      </w:r>
      <w:r w:rsidR="00B470DB" w:rsidRPr="001F429A">
        <w:rPr>
          <w:rFonts w:cs="Arial"/>
          <w:color w:val="000000"/>
          <w:szCs w:val="24"/>
        </w:rPr>
        <w:t>ore</w:t>
      </w:r>
      <w:r w:rsidR="00B470DB">
        <w:rPr>
          <w:rFonts w:cs="Arial"/>
          <w:color w:val="000000"/>
          <w:szCs w:val="24"/>
        </w:rPr>
        <w:t xml:space="preserve"> information</w:t>
      </w:r>
      <w:r w:rsidR="00184E96">
        <w:rPr>
          <w:rFonts w:cs="Arial"/>
          <w:color w:val="000000"/>
          <w:szCs w:val="24"/>
        </w:rPr>
        <w:t xml:space="preserve"> can be found on the </w:t>
      </w:r>
      <w:r w:rsidR="00F95125" w:rsidRPr="0016520B">
        <w:rPr>
          <w:rFonts w:cs="Arial"/>
          <w:color w:val="000000"/>
          <w:szCs w:val="24"/>
        </w:rPr>
        <w:t xml:space="preserve">CDE </w:t>
      </w:r>
      <w:r w:rsidR="00EB012D">
        <w:rPr>
          <w:rFonts w:cs="Arial"/>
          <w:color w:val="000000"/>
          <w:szCs w:val="24"/>
        </w:rPr>
        <w:t xml:space="preserve">Annual Enrollment </w:t>
      </w:r>
      <w:r w:rsidR="00F95125" w:rsidRPr="0016520B">
        <w:rPr>
          <w:rFonts w:cs="Arial"/>
          <w:color w:val="000000"/>
          <w:szCs w:val="24"/>
        </w:rPr>
        <w:t>by School web page</w:t>
      </w:r>
      <w:r w:rsidR="00AC7EAD">
        <w:rPr>
          <w:rFonts w:cs="Arial"/>
          <w:color w:val="000000"/>
          <w:szCs w:val="24"/>
        </w:rPr>
        <w:t xml:space="preserve"> located</w:t>
      </w:r>
      <w:r w:rsidR="00F95125" w:rsidRPr="0016520B">
        <w:rPr>
          <w:rFonts w:cs="Arial"/>
          <w:color w:val="000000"/>
          <w:szCs w:val="24"/>
        </w:rPr>
        <w:t xml:space="preserve"> at </w:t>
      </w:r>
      <w:hyperlink r:id="rId23" w:tooltip="CDE Enrollment by School web page link." w:history="1">
        <w:r w:rsidR="00F95125" w:rsidRPr="0016520B">
          <w:rPr>
            <w:rStyle w:val="Hyperlink"/>
            <w:rFonts w:cs="Arial"/>
            <w:szCs w:val="24"/>
          </w:rPr>
          <w:t>https://www.cde.ca.gov/ds/sd/sd/filesenr.asp</w:t>
        </w:r>
      </w:hyperlink>
      <w:r w:rsidR="00F95125" w:rsidRPr="0016520B">
        <w:rPr>
          <w:rFonts w:cs="Arial"/>
          <w:color w:val="000000"/>
          <w:szCs w:val="24"/>
        </w:rPr>
        <w:t>.</w:t>
      </w:r>
      <w:r w:rsidR="00F95125">
        <w:rPr>
          <w:rFonts w:cs="Arial"/>
          <w:color w:val="000000"/>
          <w:szCs w:val="24"/>
        </w:rPr>
        <w:t xml:space="preserve"> </w:t>
      </w:r>
    </w:p>
    <w:p w14:paraId="3D61563C" w14:textId="02AC44F1" w:rsidR="000A5E44" w:rsidRDefault="000A5E44" w:rsidP="00004D75">
      <w:pPr>
        <w:spacing w:after="240"/>
        <w:ind w:left="720"/>
        <w:rPr>
          <w:rFonts w:cs="Arial"/>
          <w:szCs w:val="24"/>
        </w:rPr>
      </w:pPr>
      <w:bookmarkStart w:id="5" w:name="_Toc432411171"/>
      <w:bookmarkStart w:id="6" w:name="_Toc364411690"/>
      <w:bookmarkStart w:id="7" w:name="_Ref367706883"/>
      <w:bookmarkStart w:id="8" w:name="_Toc414365040"/>
      <w:r>
        <w:rPr>
          <w:rFonts w:cs="Arial"/>
          <w:szCs w:val="24"/>
        </w:rPr>
        <w:t>Elementary/Middle and High School</w:t>
      </w:r>
      <w:r w:rsidR="00A37024">
        <w:rPr>
          <w:rFonts w:cs="Arial"/>
          <w:szCs w:val="24"/>
        </w:rPr>
        <w:t xml:space="preserve"> Two</w:t>
      </w:r>
      <w:r w:rsidR="00EF7B98">
        <w:rPr>
          <w:rFonts w:cs="Arial"/>
          <w:szCs w:val="24"/>
        </w:rPr>
        <w:t>-</w:t>
      </w:r>
      <w:r w:rsidR="00A37024">
        <w:rPr>
          <w:rFonts w:cs="Arial"/>
          <w:szCs w:val="24"/>
        </w:rPr>
        <w:t>Year Grant Amounts</w:t>
      </w:r>
    </w:p>
    <w:p w14:paraId="5A360F0A" w14:textId="77777777" w:rsidR="000A5E44" w:rsidRPr="008901CD" w:rsidRDefault="000A5E44" w:rsidP="00004D75">
      <w:pPr>
        <w:pStyle w:val="ListParagraph"/>
        <w:numPr>
          <w:ilvl w:val="0"/>
          <w:numId w:val="25"/>
        </w:numPr>
        <w:ind w:left="1800"/>
        <w:rPr>
          <w:rFonts w:cs="Arial"/>
          <w:szCs w:val="24"/>
        </w:rPr>
      </w:pPr>
      <w:r>
        <w:t>Up to 600 enrollment—$60,000</w:t>
      </w:r>
    </w:p>
    <w:p w14:paraId="66EBEB44" w14:textId="77777777" w:rsidR="000A5E44" w:rsidRDefault="000A5E44" w:rsidP="00004D75">
      <w:pPr>
        <w:pStyle w:val="ListParagraph"/>
        <w:numPr>
          <w:ilvl w:val="0"/>
          <w:numId w:val="25"/>
        </w:numPr>
        <w:ind w:left="1800"/>
      </w:pPr>
      <w:r>
        <w:t xml:space="preserve">601–899 enrollment—$75,000 </w:t>
      </w:r>
    </w:p>
    <w:p w14:paraId="03AD7A7B" w14:textId="77777777" w:rsidR="000A5E44" w:rsidRDefault="000A5E44" w:rsidP="00004D75">
      <w:pPr>
        <w:pStyle w:val="ListParagraph"/>
        <w:numPr>
          <w:ilvl w:val="0"/>
          <w:numId w:val="25"/>
        </w:numPr>
        <w:spacing w:after="360"/>
        <w:ind w:left="1800"/>
      </w:pPr>
      <w:r>
        <w:t>900 + enrollment—$100,000</w:t>
      </w:r>
    </w:p>
    <w:p w14:paraId="0B649558" w14:textId="77777777" w:rsidR="00406D50" w:rsidRPr="000E75D5" w:rsidRDefault="00406D50" w:rsidP="00E7484B">
      <w:pPr>
        <w:pStyle w:val="Heading2"/>
        <w:numPr>
          <w:ilvl w:val="0"/>
          <w:numId w:val="13"/>
        </w:numPr>
        <w:spacing w:after="480"/>
        <w:ind w:left="360"/>
      </w:pPr>
      <w:bookmarkStart w:id="9" w:name="_Toc100753989"/>
      <w:r w:rsidRPr="000E75D5">
        <w:rPr>
          <w:rStyle w:val="Heading2Char"/>
          <w:b/>
          <w:szCs w:val="24"/>
        </w:rPr>
        <w:lastRenderedPageBreak/>
        <w:t>Administrative Program Requirements</w:t>
      </w:r>
      <w:bookmarkEnd w:id="5"/>
      <w:bookmarkEnd w:id="6"/>
      <w:bookmarkEnd w:id="7"/>
      <w:bookmarkEnd w:id="8"/>
      <w:bookmarkEnd w:id="9"/>
    </w:p>
    <w:p w14:paraId="2CC20F03" w14:textId="6EB709F2" w:rsidR="00406D50" w:rsidRPr="00A76083" w:rsidRDefault="00406D50" w:rsidP="0056789E">
      <w:pPr>
        <w:pStyle w:val="Heading3"/>
        <w:numPr>
          <w:ilvl w:val="0"/>
          <w:numId w:val="30"/>
        </w:numPr>
        <w:ind w:left="720"/>
      </w:pPr>
      <w:bookmarkStart w:id="10" w:name="_Toc100753990"/>
      <w:r w:rsidRPr="00FA6126">
        <w:t>Reporting</w:t>
      </w:r>
      <w:r w:rsidR="005A0D6F" w:rsidRPr="00A76083">
        <w:t xml:space="preserve"> Requirements</w:t>
      </w:r>
      <w:bookmarkEnd w:id="10"/>
    </w:p>
    <w:p w14:paraId="2BC6A8DA" w14:textId="44D7A912" w:rsidR="005A0D6F" w:rsidRPr="00005A8C" w:rsidRDefault="00A76083" w:rsidP="00005A8C">
      <w:pPr>
        <w:spacing w:after="240"/>
        <w:ind w:left="720"/>
        <w:rPr>
          <w:rFonts w:cs="Arial"/>
          <w:szCs w:val="24"/>
        </w:rPr>
      </w:pPr>
      <w:r w:rsidRPr="00BB7B37">
        <w:rPr>
          <w:rFonts w:cs="Arial"/>
          <w:szCs w:val="24"/>
        </w:rPr>
        <w:t>Attendance and expenditure reports are due</w:t>
      </w:r>
      <w:r w:rsidR="005A0D6F" w:rsidRPr="00BB7B37">
        <w:rPr>
          <w:rFonts w:cs="Arial"/>
          <w:szCs w:val="24"/>
        </w:rPr>
        <w:t xml:space="preserve"> each year </w:t>
      </w:r>
      <w:r w:rsidRPr="00BB7B37">
        <w:rPr>
          <w:rFonts w:cs="Arial"/>
          <w:szCs w:val="24"/>
        </w:rPr>
        <w:t>by</w:t>
      </w:r>
      <w:r w:rsidR="005A0D6F" w:rsidRPr="00BB7B37">
        <w:rPr>
          <w:rFonts w:cs="Arial"/>
          <w:szCs w:val="24"/>
        </w:rPr>
        <w:t xml:space="preserve"> </w:t>
      </w:r>
      <w:r w:rsidR="005A0D6F" w:rsidRPr="00BB7B37">
        <w:rPr>
          <w:rFonts w:cs="Arial"/>
          <w:b/>
          <w:szCs w:val="24"/>
        </w:rPr>
        <w:t>July 31</w:t>
      </w:r>
      <w:r w:rsidR="005A0D6F" w:rsidRPr="00BB7B37">
        <w:rPr>
          <w:rFonts w:cs="Arial"/>
          <w:szCs w:val="24"/>
        </w:rPr>
        <w:t xml:space="preserve"> for each site funded. </w:t>
      </w:r>
      <w:r w:rsidR="00B64141" w:rsidRPr="00BB7B37">
        <w:rPr>
          <w:rFonts w:cs="Arial"/>
          <w:szCs w:val="24"/>
        </w:rPr>
        <w:t xml:space="preserve">The CDE will </w:t>
      </w:r>
      <w:r w:rsidR="00B64141" w:rsidRPr="00BB7B37">
        <w:rPr>
          <w:rFonts w:cs="Arial"/>
          <w:b/>
          <w:szCs w:val="24"/>
        </w:rPr>
        <w:t>withhold</w:t>
      </w:r>
      <w:r w:rsidR="00B64141" w:rsidRPr="00BB7B37">
        <w:rPr>
          <w:rFonts w:cs="Arial"/>
          <w:szCs w:val="24"/>
        </w:rPr>
        <w:t xml:space="preserve"> </w:t>
      </w:r>
      <w:r w:rsidR="008901CD" w:rsidRPr="00BB7B37">
        <w:rPr>
          <w:rFonts w:cs="Arial"/>
          <w:szCs w:val="24"/>
        </w:rPr>
        <w:t>ESSER III Summer</w:t>
      </w:r>
      <w:r w:rsidR="008823DD" w:rsidRPr="00BB7B37">
        <w:rPr>
          <w:rFonts w:cs="Arial"/>
          <w:szCs w:val="24"/>
        </w:rPr>
        <w:t xml:space="preserve"> </w:t>
      </w:r>
      <w:r w:rsidR="00AA3701">
        <w:rPr>
          <w:rFonts w:cs="Arial"/>
          <w:szCs w:val="24"/>
        </w:rPr>
        <w:t xml:space="preserve">Grant </w:t>
      </w:r>
      <w:r w:rsidR="008901CD" w:rsidRPr="00BB7B37">
        <w:rPr>
          <w:rFonts w:cs="Arial"/>
          <w:szCs w:val="24"/>
        </w:rPr>
        <w:t xml:space="preserve">Program </w:t>
      </w:r>
      <w:r w:rsidR="00B64141" w:rsidRPr="00BB7B37">
        <w:rPr>
          <w:rFonts w:cs="Arial"/>
          <w:szCs w:val="24"/>
        </w:rPr>
        <w:t xml:space="preserve">payments in a manner consistent with their qualifying </w:t>
      </w:r>
      <w:r w:rsidR="00AC7EAD">
        <w:rPr>
          <w:rFonts w:cs="Arial"/>
          <w:szCs w:val="24"/>
        </w:rPr>
        <w:t>A</w:t>
      </w:r>
      <w:r w:rsidR="00B64141" w:rsidRPr="00BB7B37">
        <w:rPr>
          <w:rFonts w:cs="Arial"/>
          <w:szCs w:val="24"/>
        </w:rPr>
        <w:t xml:space="preserve">SES Program </w:t>
      </w:r>
      <w:r w:rsidR="00B021DB" w:rsidRPr="00BB7B37">
        <w:rPr>
          <w:rFonts w:cs="Arial"/>
          <w:szCs w:val="24"/>
        </w:rPr>
        <w:t xml:space="preserve">funding </w:t>
      </w:r>
      <w:r w:rsidR="00B64141" w:rsidRPr="00BB7B37">
        <w:rPr>
          <w:rFonts w:cs="Arial"/>
          <w:szCs w:val="24"/>
        </w:rPr>
        <w:t xml:space="preserve">if reports are not submitted. </w:t>
      </w:r>
      <w:r w:rsidR="006F678F" w:rsidRPr="00BB7B37">
        <w:rPr>
          <w:rFonts w:cs="Arial"/>
          <w:szCs w:val="24"/>
        </w:rPr>
        <w:t xml:space="preserve">Grants may be </w:t>
      </w:r>
      <w:r w:rsidR="006F678F" w:rsidRPr="00BB7B37">
        <w:rPr>
          <w:rFonts w:cs="Arial"/>
          <w:b/>
          <w:szCs w:val="24"/>
        </w:rPr>
        <w:t>terminated</w:t>
      </w:r>
      <w:r w:rsidR="006F678F" w:rsidRPr="00BB7B37">
        <w:rPr>
          <w:rFonts w:cs="Arial"/>
          <w:szCs w:val="24"/>
        </w:rPr>
        <w:t xml:space="preserve"> when a site or program does not comply with reporting requirements </w:t>
      </w:r>
      <w:r w:rsidR="00410021" w:rsidRPr="009D0BF7">
        <w:rPr>
          <w:rFonts w:cs="Arial"/>
          <w:szCs w:val="24"/>
        </w:rPr>
        <w:t>(</w:t>
      </w:r>
      <w:r w:rsidR="00410021" w:rsidRPr="009D0BF7">
        <w:rPr>
          <w:rFonts w:cs="Arial"/>
          <w:i/>
          <w:szCs w:val="24"/>
        </w:rPr>
        <w:t>EC</w:t>
      </w:r>
      <w:r w:rsidR="00410021" w:rsidRPr="009D0BF7">
        <w:rPr>
          <w:rFonts w:cs="Arial"/>
          <w:szCs w:val="24"/>
        </w:rPr>
        <w:t xml:space="preserve"> </w:t>
      </w:r>
      <w:r w:rsidR="006932C9">
        <w:rPr>
          <w:rFonts w:cs="Arial"/>
          <w:szCs w:val="24"/>
        </w:rPr>
        <w:t>s</w:t>
      </w:r>
      <w:r w:rsidR="00410021" w:rsidRPr="009D0BF7">
        <w:rPr>
          <w:rFonts w:cs="Arial"/>
          <w:szCs w:val="24"/>
        </w:rPr>
        <w:t>ection</w:t>
      </w:r>
      <w:r w:rsidR="006932C9">
        <w:rPr>
          <w:rFonts w:cs="Arial"/>
          <w:szCs w:val="24"/>
        </w:rPr>
        <w:t>s</w:t>
      </w:r>
      <w:r w:rsidR="00410021" w:rsidRPr="009D0BF7">
        <w:rPr>
          <w:rFonts w:cs="Arial"/>
          <w:szCs w:val="24"/>
        </w:rPr>
        <w:t xml:space="preserve"> </w:t>
      </w:r>
      <w:r w:rsidR="00042BC4">
        <w:rPr>
          <w:rFonts w:cs="Arial"/>
          <w:szCs w:val="24"/>
        </w:rPr>
        <w:t xml:space="preserve">8426[i], 8483.7[a][1][G], and </w:t>
      </w:r>
      <w:r w:rsidR="00410021" w:rsidRPr="009D0BF7">
        <w:rPr>
          <w:rFonts w:cs="Arial"/>
          <w:szCs w:val="24"/>
        </w:rPr>
        <w:t>8484.8[b][3]</w:t>
      </w:r>
      <w:r w:rsidR="00410021">
        <w:rPr>
          <w:rFonts w:cs="Arial"/>
          <w:szCs w:val="24"/>
        </w:rPr>
        <w:t xml:space="preserve">). </w:t>
      </w:r>
    </w:p>
    <w:p w14:paraId="2FE38114" w14:textId="74BF113F" w:rsidR="00A76083" w:rsidRPr="00A76083" w:rsidRDefault="002366CF" w:rsidP="0056789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rPr>
          <w:rFonts w:ascii="Arial" w:hAnsi="Arial" w:cs="Arial"/>
          <w:szCs w:val="24"/>
        </w:rPr>
      </w:pPr>
      <w:r>
        <w:rPr>
          <w:rFonts w:ascii="Arial" w:hAnsi="Arial" w:cs="Arial"/>
          <w:szCs w:val="24"/>
        </w:rPr>
        <w:t>A</w:t>
      </w:r>
      <w:r w:rsidR="00A76083" w:rsidRPr="00792D7D">
        <w:rPr>
          <w:rFonts w:ascii="Arial" w:hAnsi="Arial" w:cs="Arial"/>
          <w:szCs w:val="24"/>
        </w:rPr>
        <w:t>ttendance and expenditure</w:t>
      </w:r>
      <w:r>
        <w:rPr>
          <w:rFonts w:ascii="Arial" w:hAnsi="Arial" w:cs="Arial"/>
          <w:szCs w:val="24"/>
        </w:rPr>
        <w:t>s</w:t>
      </w:r>
      <w:r w:rsidR="00A76083" w:rsidRPr="00792D7D">
        <w:rPr>
          <w:rFonts w:ascii="Arial" w:hAnsi="Arial" w:cs="Arial"/>
          <w:szCs w:val="24"/>
        </w:rPr>
        <w:t xml:space="preserve"> for </w:t>
      </w:r>
      <w:r w:rsidR="00A76083">
        <w:rPr>
          <w:rFonts w:ascii="Arial" w:hAnsi="Arial" w:cs="Arial"/>
          <w:szCs w:val="24"/>
        </w:rPr>
        <w:t xml:space="preserve">the </w:t>
      </w:r>
      <w:r w:rsidR="008901CD">
        <w:rPr>
          <w:rFonts w:ascii="Arial" w:hAnsi="Arial" w:cs="Arial"/>
          <w:szCs w:val="24"/>
        </w:rPr>
        <w:t xml:space="preserve">ESSER III Summer </w:t>
      </w:r>
      <w:r w:rsidR="00AA3701">
        <w:rPr>
          <w:rFonts w:ascii="Arial" w:hAnsi="Arial" w:cs="Arial"/>
          <w:szCs w:val="24"/>
        </w:rPr>
        <w:t xml:space="preserve">Grant </w:t>
      </w:r>
      <w:r w:rsidR="008901CD">
        <w:rPr>
          <w:rFonts w:ascii="Arial" w:hAnsi="Arial" w:cs="Arial"/>
          <w:szCs w:val="24"/>
        </w:rPr>
        <w:t xml:space="preserve">Program </w:t>
      </w:r>
      <w:r w:rsidR="00A76083" w:rsidRPr="00792D7D">
        <w:rPr>
          <w:rFonts w:ascii="Arial" w:hAnsi="Arial" w:cs="Arial"/>
          <w:szCs w:val="24"/>
        </w:rPr>
        <w:t xml:space="preserve">must be tracked </w:t>
      </w:r>
      <w:r w:rsidR="00A76083">
        <w:rPr>
          <w:rFonts w:ascii="Arial" w:hAnsi="Arial" w:cs="Arial"/>
          <w:szCs w:val="24"/>
        </w:rPr>
        <w:t xml:space="preserve">and submitted </w:t>
      </w:r>
      <w:r w:rsidR="00A76083" w:rsidRPr="00792D7D">
        <w:rPr>
          <w:rFonts w:ascii="Arial" w:hAnsi="Arial" w:cs="Arial"/>
          <w:szCs w:val="24"/>
        </w:rPr>
        <w:t xml:space="preserve">separately from </w:t>
      </w:r>
      <w:r w:rsidR="008901CD">
        <w:rPr>
          <w:rFonts w:ascii="Arial" w:hAnsi="Arial" w:cs="Arial"/>
          <w:szCs w:val="24"/>
        </w:rPr>
        <w:t>existing</w:t>
      </w:r>
      <w:r w:rsidR="00AC7EAD">
        <w:rPr>
          <w:rFonts w:ascii="Arial" w:hAnsi="Arial" w:cs="Arial"/>
          <w:szCs w:val="24"/>
        </w:rPr>
        <w:t xml:space="preserve"> </w:t>
      </w:r>
      <w:r w:rsidR="008901CD">
        <w:rPr>
          <w:rFonts w:ascii="Arial" w:hAnsi="Arial" w:cs="Arial"/>
          <w:szCs w:val="24"/>
        </w:rPr>
        <w:t>ASES</w:t>
      </w:r>
      <w:r w:rsidR="00D721C6">
        <w:rPr>
          <w:rFonts w:ascii="Arial" w:hAnsi="Arial" w:cs="Arial"/>
          <w:szCs w:val="24"/>
        </w:rPr>
        <w:t>,</w:t>
      </w:r>
      <w:r w:rsidR="008F7AC6">
        <w:rPr>
          <w:rFonts w:ascii="Arial" w:hAnsi="Arial" w:cs="Arial"/>
          <w:szCs w:val="24"/>
        </w:rPr>
        <w:t xml:space="preserve"> </w:t>
      </w:r>
      <w:r w:rsidR="008901CD">
        <w:rPr>
          <w:rFonts w:ascii="Arial" w:hAnsi="Arial" w:cs="Arial"/>
          <w:szCs w:val="24"/>
        </w:rPr>
        <w:t>2</w:t>
      </w:r>
      <w:r w:rsidR="00A61C6A">
        <w:rPr>
          <w:rFonts w:ascii="Arial" w:hAnsi="Arial" w:cs="Arial"/>
          <w:szCs w:val="24"/>
        </w:rPr>
        <w:t>1st</w:t>
      </w:r>
      <w:r w:rsidR="008901CD">
        <w:rPr>
          <w:rFonts w:ascii="Arial" w:hAnsi="Arial" w:cs="Arial"/>
          <w:szCs w:val="24"/>
        </w:rPr>
        <w:t xml:space="preserve"> CCL</w:t>
      </w:r>
      <w:r w:rsidR="008F7AC6">
        <w:rPr>
          <w:rFonts w:ascii="Arial" w:hAnsi="Arial" w:cs="Arial"/>
          <w:szCs w:val="24"/>
        </w:rPr>
        <w:t>C</w:t>
      </w:r>
      <w:r w:rsidR="00D721C6">
        <w:rPr>
          <w:rFonts w:ascii="Arial" w:hAnsi="Arial" w:cs="Arial"/>
          <w:szCs w:val="24"/>
        </w:rPr>
        <w:t xml:space="preserve">, and ASSETs </w:t>
      </w:r>
      <w:r w:rsidR="005A723D">
        <w:rPr>
          <w:rFonts w:ascii="Arial" w:hAnsi="Arial" w:cs="Arial"/>
          <w:szCs w:val="24"/>
        </w:rPr>
        <w:t>grants</w:t>
      </w:r>
      <w:r w:rsidR="008901CD">
        <w:rPr>
          <w:rFonts w:ascii="Arial" w:hAnsi="Arial" w:cs="Arial"/>
          <w:szCs w:val="24"/>
        </w:rPr>
        <w:t>.</w:t>
      </w:r>
      <w:r w:rsidR="00A76083" w:rsidRPr="00792D7D">
        <w:rPr>
          <w:rFonts w:ascii="Arial" w:hAnsi="Arial" w:cs="Arial"/>
          <w:szCs w:val="24"/>
        </w:rPr>
        <w:t xml:space="preserve"> </w:t>
      </w:r>
    </w:p>
    <w:p w14:paraId="7F4886F6" w14:textId="77777777" w:rsidR="005A0D6F" w:rsidRPr="00BB7B37" w:rsidRDefault="005A0D6F" w:rsidP="0056789E">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Arial" w:hAnsi="Arial" w:cs="Arial"/>
          <w:b/>
          <w:szCs w:val="24"/>
        </w:rPr>
      </w:pPr>
      <w:r w:rsidRPr="00BB7B37">
        <w:rPr>
          <w:rFonts w:ascii="Arial" w:hAnsi="Arial" w:cs="Arial"/>
          <w:b/>
          <w:szCs w:val="24"/>
        </w:rPr>
        <w:t>Attendance Reporting</w:t>
      </w:r>
    </w:p>
    <w:p w14:paraId="676DBCE2" w14:textId="3D082951" w:rsidR="00A76083" w:rsidRDefault="00A76083" w:rsidP="00AC7EAD">
      <w:pPr>
        <w:spacing w:after="240"/>
        <w:ind w:left="1080"/>
        <w:rPr>
          <w:rFonts w:cs="Arial"/>
          <w:szCs w:val="24"/>
        </w:rPr>
      </w:pPr>
      <w:r w:rsidRPr="00BB7B37">
        <w:rPr>
          <w:rFonts w:cs="Arial"/>
          <w:szCs w:val="24"/>
        </w:rPr>
        <w:t xml:space="preserve">Grantees will report </w:t>
      </w:r>
      <w:r w:rsidR="008901CD" w:rsidRPr="00BB7B37">
        <w:rPr>
          <w:rFonts w:cs="Arial"/>
          <w:szCs w:val="24"/>
        </w:rPr>
        <w:t>ESSER III Summer</w:t>
      </w:r>
      <w:r w:rsidRPr="00BB7B37">
        <w:rPr>
          <w:rFonts w:cs="Arial"/>
          <w:szCs w:val="24"/>
        </w:rPr>
        <w:t xml:space="preserve"> </w:t>
      </w:r>
      <w:r w:rsidR="00AA3701">
        <w:rPr>
          <w:rFonts w:cs="Arial"/>
          <w:szCs w:val="24"/>
        </w:rPr>
        <w:t xml:space="preserve">Grant </w:t>
      </w:r>
      <w:r w:rsidRPr="00BB7B37">
        <w:rPr>
          <w:rFonts w:cs="Arial"/>
          <w:szCs w:val="24"/>
        </w:rPr>
        <w:t>Program attendance separately from their ASES</w:t>
      </w:r>
      <w:r w:rsidR="00D721C6">
        <w:rPr>
          <w:rFonts w:cs="Arial"/>
          <w:szCs w:val="24"/>
        </w:rPr>
        <w:t>,</w:t>
      </w:r>
      <w:r w:rsidR="008901CD" w:rsidRPr="00BB7B37">
        <w:rPr>
          <w:rFonts w:cs="Arial"/>
          <w:szCs w:val="24"/>
        </w:rPr>
        <w:t xml:space="preserve"> 2</w:t>
      </w:r>
      <w:r w:rsidR="00A61C6A">
        <w:rPr>
          <w:rFonts w:cs="Arial"/>
          <w:szCs w:val="24"/>
        </w:rPr>
        <w:t>1st</w:t>
      </w:r>
      <w:r w:rsidR="008901CD" w:rsidRPr="00BB7B37">
        <w:rPr>
          <w:rFonts w:cs="Arial"/>
          <w:szCs w:val="24"/>
        </w:rPr>
        <w:t xml:space="preserve"> CCLC</w:t>
      </w:r>
      <w:r w:rsidR="005A723D">
        <w:rPr>
          <w:rFonts w:cs="Arial"/>
          <w:szCs w:val="24"/>
        </w:rPr>
        <w:t>, and</w:t>
      </w:r>
      <w:r w:rsidR="00D721C6">
        <w:rPr>
          <w:rFonts w:cs="Arial"/>
          <w:szCs w:val="24"/>
        </w:rPr>
        <w:t xml:space="preserve"> ASSETs Programs</w:t>
      </w:r>
      <w:r w:rsidRPr="00BB7B37">
        <w:rPr>
          <w:rFonts w:cs="Arial"/>
          <w:szCs w:val="24"/>
        </w:rPr>
        <w:t xml:space="preserve"> attendance</w:t>
      </w:r>
      <w:r w:rsidR="002366CF" w:rsidRPr="00BB7B37">
        <w:rPr>
          <w:rFonts w:cs="Arial"/>
          <w:szCs w:val="24"/>
        </w:rPr>
        <w:t xml:space="preserve"> based on the total amount of students involved in </w:t>
      </w:r>
      <w:r w:rsidR="008901CD" w:rsidRPr="00BB7B37">
        <w:rPr>
          <w:rFonts w:cs="Arial"/>
          <w:szCs w:val="24"/>
        </w:rPr>
        <w:t>the program</w:t>
      </w:r>
      <w:r w:rsidRPr="00BB7B37">
        <w:rPr>
          <w:rFonts w:cs="Arial"/>
          <w:szCs w:val="24"/>
        </w:rPr>
        <w:t xml:space="preserve">. </w:t>
      </w:r>
      <w:r w:rsidR="00406D50" w:rsidRPr="00BB7B37">
        <w:rPr>
          <w:rFonts w:cs="Arial"/>
          <w:szCs w:val="24"/>
        </w:rPr>
        <w:t>Accurate attendance records must be kept using a clearly defined r</w:t>
      </w:r>
      <w:r w:rsidR="002366CF" w:rsidRPr="00BB7B37">
        <w:rPr>
          <w:rFonts w:cs="Arial"/>
          <w:szCs w:val="24"/>
        </w:rPr>
        <w:t>ecord keeping procedure. Actual</w:t>
      </w:r>
      <w:r w:rsidRPr="00BB7B37">
        <w:rPr>
          <w:rFonts w:cs="Arial"/>
          <w:szCs w:val="24"/>
        </w:rPr>
        <w:t xml:space="preserve"> </w:t>
      </w:r>
      <w:r w:rsidR="00406D50" w:rsidRPr="00BB7B37">
        <w:rPr>
          <w:rFonts w:cs="Arial"/>
          <w:szCs w:val="24"/>
        </w:rPr>
        <w:t xml:space="preserve">student </w:t>
      </w:r>
      <w:r w:rsidR="002366CF" w:rsidRPr="00BB7B37">
        <w:rPr>
          <w:rFonts w:cs="Arial"/>
          <w:szCs w:val="24"/>
        </w:rPr>
        <w:t xml:space="preserve">program </w:t>
      </w:r>
      <w:r w:rsidR="00406D50" w:rsidRPr="00BB7B37">
        <w:rPr>
          <w:rFonts w:cs="Arial"/>
          <w:szCs w:val="24"/>
        </w:rPr>
        <w:t>attendance must be sent to the EXLD on a</w:t>
      </w:r>
      <w:r w:rsidR="0046014D" w:rsidRPr="00BB7B37">
        <w:rPr>
          <w:rFonts w:cs="Arial"/>
          <w:szCs w:val="24"/>
        </w:rPr>
        <w:t xml:space="preserve"> </w:t>
      </w:r>
      <w:r w:rsidR="00BF5E1A">
        <w:rPr>
          <w:rFonts w:cs="Arial"/>
          <w:szCs w:val="24"/>
        </w:rPr>
        <w:t>bi-</w:t>
      </w:r>
      <w:r w:rsidR="0046014D" w:rsidRPr="00BB7B37">
        <w:rPr>
          <w:rFonts w:cs="Arial"/>
          <w:szCs w:val="24"/>
        </w:rPr>
        <w:t>annual basis broken into two halves per year (first half is for July 1</w:t>
      </w:r>
      <w:r w:rsidR="009F6BE8" w:rsidRPr="00BB7B37">
        <w:rPr>
          <w:rFonts w:cs="Arial"/>
          <w:szCs w:val="24"/>
        </w:rPr>
        <w:t>–</w:t>
      </w:r>
      <w:r w:rsidR="0046014D" w:rsidRPr="00BB7B37">
        <w:rPr>
          <w:rFonts w:cs="Arial"/>
          <w:szCs w:val="24"/>
        </w:rPr>
        <w:t>December 31 and second half is for January 1–</w:t>
      </w:r>
      <w:r w:rsidR="00B64141" w:rsidRPr="00BB7B37">
        <w:rPr>
          <w:rFonts w:cs="Arial"/>
          <w:szCs w:val="24"/>
        </w:rPr>
        <w:t>June 30)</w:t>
      </w:r>
      <w:r w:rsidR="00406D50" w:rsidRPr="00BB7B37">
        <w:rPr>
          <w:rFonts w:cs="Arial"/>
          <w:szCs w:val="24"/>
        </w:rPr>
        <w:t xml:space="preserve"> </w:t>
      </w:r>
      <w:r w:rsidR="005A0D6F" w:rsidRPr="00BB7B37">
        <w:rPr>
          <w:rFonts w:cs="Arial"/>
          <w:szCs w:val="24"/>
        </w:rPr>
        <w:t>via the attendance reporting fo</w:t>
      </w:r>
      <w:r w:rsidR="0091168A" w:rsidRPr="00BB7B37">
        <w:rPr>
          <w:rFonts w:cs="Arial"/>
          <w:szCs w:val="24"/>
        </w:rPr>
        <w:t>rm.</w:t>
      </w:r>
    </w:p>
    <w:p w14:paraId="4F8ABD56" w14:textId="55AAFECE" w:rsidR="00882E01" w:rsidRDefault="00F1521C" w:rsidP="00882E01">
      <w:pPr>
        <w:spacing w:after="360"/>
        <w:ind w:left="1080"/>
        <w:rPr>
          <w:rFonts w:cs="Arial"/>
          <w:iCs/>
          <w:szCs w:val="24"/>
        </w:rPr>
      </w:pPr>
      <w:r w:rsidRPr="00C4685F">
        <w:rPr>
          <w:rFonts w:cs="Arial"/>
          <w:iCs/>
          <w:szCs w:val="24"/>
        </w:rPr>
        <w:t>F</w:t>
      </w:r>
      <w:r w:rsidR="00EA45E4" w:rsidRPr="00C4685F">
        <w:rPr>
          <w:rFonts w:cs="Arial"/>
          <w:iCs/>
          <w:szCs w:val="24"/>
        </w:rPr>
        <w:t xml:space="preserve">unding </w:t>
      </w:r>
      <w:r w:rsidRPr="00C4685F">
        <w:rPr>
          <w:rFonts w:cs="Arial"/>
          <w:iCs/>
          <w:szCs w:val="24"/>
        </w:rPr>
        <w:t xml:space="preserve">may be used </w:t>
      </w:r>
      <w:r w:rsidR="00EA45E4" w:rsidRPr="00C4685F">
        <w:rPr>
          <w:rFonts w:cs="Arial"/>
          <w:iCs/>
          <w:szCs w:val="24"/>
        </w:rPr>
        <w:t>to enhance existing programming without serving additional students or to e</w:t>
      </w:r>
      <w:r w:rsidR="008A4599" w:rsidRPr="00C4685F">
        <w:rPr>
          <w:rFonts w:cs="Arial"/>
          <w:iCs/>
          <w:szCs w:val="24"/>
        </w:rPr>
        <w:t>xpand</w:t>
      </w:r>
      <w:r w:rsidR="00EA45E4" w:rsidRPr="00C4685F">
        <w:rPr>
          <w:rFonts w:cs="Arial"/>
          <w:iCs/>
          <w:szCs w:val="24"/>
        </w:rPr>
        <w:t xml:space="preserve"> programming </w:t>
      </w:r>
      <w:r w:rsidR="00882E01" w:rsidRPr="00C4685F">
        <w:rPr>
          <w:rFonts w:cs="Arial"/>
          <w:iCs/>
          <w:szCs w:val="24"/>
        </w:rPr>
        <w:t xml:space="preserve">while </w:t>
      </w:r>
      <w:r w:rsidR="00EA45E4" w:rsidRPr="00C4685F">
        <w:rPr>
          <w:rFonts w:cs="Arial"/>
          <w:iCs/>
          <w:szCs w:val="24"/>
        </w:rPr>
        <w:t>serv</w:t>
      </w:r>
      <w:r w:rsidR="00882E01" w:rsidRPr="00C4685F">
        <w:rPr>
          <w:rFonts w:cs="Arial"/>
          <w:iCs/>
          <w:szCs w:val="24"/>
        </w:rPr>
        <w:t>ing</w:t>
      </w:r>
      <w:r w:rsidR="00EA45E4" w:rsidRPr="00C4685F">
        <w:rPr>
          <w:rFonts w:cs="Arial"/>
          <w:iCs/>
          <w:szCs w:val="24"/>
        </w:rPr>
        <w:t xml:space="preserve"> additional students. </w:t>
      </w:r>
    </w:p>
    <w:p w14:paraId="416B3041" w14:textId="77777777" w:rsidR="00882E01" w:rsidRDefault="005A0D6F" w:rsidP="00882E01">
      <w:pPr>
        <w:spacing w:after="360"/>
        <w:ind w:left="1080"/>
        <w:rPr>
          <w:rFonts w:cs="Arial"/>
          <w:b/>
          <w:szCs w:val="24"/>
        </w:rPr>
      </w:pPr>
      <w:r w:rsidRPr="00195F66">
        <w:rPr>
          <w:rFonts w:cs="Arial"/>
          <w:b/>
          <w:szCs w:val="24"/>
        </w:rPr>
        <w:t>Expenditure Reporting</w:t>
      </w:r>
    </w:p>
    <w:p w14:paraId="36C27A23" w14:textId="2B679FD3" w:rsidR="0003708F" w:rsidRPr="00195F66" w:rsidRDefault="00406D50" w:rsidP="00882E01">
      <w:pPr>
        <w:spacing w:after="360"/>
        <w:ind w:left="1080"/>
        <w:rPr>
          <w:rFonts w:cs="Arial"/>
          <w:szCs w:val="24"/>
        </w:rPr>
      </w:pPr>
      <w:r w:rsidRPr="00195F66">
        <w:rPr>
          <w:rFonts w:cs="Arial"/>
          <w:szCs w:val="24"/>
        </w:rPr>
        <w:t xml:space="preserve">Grantees will report </w:t>
      </w:r>
      <w:r w:rsidR="008901CD" w:rsidRPr="00195F66">
        <w:rPr>
          <w:rFonts w:cs="Arial"/>
          <w:szCs w:val="24"/>
        </w:rPr>
        <w:t>ESSER III Summer</w:t>
      </w:r>
      <w:r w:rsidR="008823DD" w:rsidRPr="00195F66">
        <w:rPr>
          <w:rFonts w:cs="Arial"/>
          <w:szCs w:val="24"/>
        </w:rPr>
        <w:t xml:space="preserve"> </w:t>
      </w:r>
      <w:r w:rsidR="00AA3701">
        <w:rPr>
          <w:rFonts w:cs="Arial"/>
          <w:szCs w:val="24"/>
        </w:rPr>
        <w:t xml:space="preserve">Grant </w:t>
      </w:r>
      <w:r w:rsidRPr="00195F66">
        <w:rPr>
          <w:rFonts w:cs="Arial"/>
          <w:szCs w:val="24"/>
        </w:rPr>
        <w:t>Program expenditures separately from their qualifying ASES</w:t>
      </w:r>
      <w:r w:rsidR="005A723D">
        <w:rPr>
          <w:rFonts w:cs="Arial"/>
          <w:szCs w:val="24"/>
        </w:rPr>
        <w:t>,</w:t>
      </w:r>
      <w:r w:rsidR="008901CD" w:rsidRPr="00195F66">
        <w:rPr>
          <w:rFonts w:cs="Arial"/>
          <w:szCs w:val="24"/>
        </w:rPr>
        <w:t xml:space="preserve"> 2</w:t>
      </w:r>
      <w:r w:rsidR="00AE4716">
        <w:rPr>
          <w:rFonts w:cs="Arial"/>
          <w:szCs w:val="24"/>
        </w:rPr>
        <w:t>1st</w:t>
      </w:r>
      <w:r w:rsidR="008901CD" w:rsidRPr="00195F66">
        <w:rPr>
          <w:rFonts w:cs="Arial"/>
          <w:szCs w:val="24"/>
        </w:rPr>
        <w:t xml:space="preserve"> CCLC</w:t>
      </w:r>
      <w:r w:rsidR="005A723D">
        <w:rPr>
          <w:rFonts w:cs="Arial"/>
          <w:szCs w:val="24"/>
        </w:rPr>
        <w:t>, and ASSETs</w:t>
      </w:r>
      <w:r w:rsidR="008901CD" w:rsidRPr="00195F66">
        <w:rPr>
          <w:rFonts w:cs="Arial"/>
          <w:szCs w:val="24"/>
        </w:rPr>
        <w:t xml:space="preserve"> </w:t>
      </w:r>
      <w:r w:rsidRPr="00195F66">
        <w:rPr>
          <w:rFonts w:cs="Arial"/>
          <w:szCs w:val="24"/>
        </w:rPr>
        <w:t>Program expenditures</w:t>
      </w:r>
      <w:r w:rsidRPr="00BB7B37">
        <w:rPr>
          <w:rFonts w:cs="Arial"/>
          <w:szCs w:val="24"/>
        </w:rPr>
        <w:t>.</w:t>
      </w:r>
      <w:r w:rsidR="006F678F" w:rsidRPr="00BB7B37">
        <w:rPr>
          <w:rFonts w:cs="Arial"/>
          <w:szCs w:val="24"/>
        </w:rPr>
        <w:t xml:space="preserve"> Each site will submit</w:t>
      </w:r>
      <w:r w:rsidR="00CA6FEC">
        <w:rPr>
          <w:rFonts w:cs="Arial"/>
          <w:szCs w:val="24"/>
        </w:rPr>
        <w:t xml:space="preserve"> on a</w:t>
      </w:r>
      <w:r w:rsidR="006F678F" w:rsidRPr="00BB7B37">
        <w:rPr>
          <w:rFonts w:cs="Arial"/>
          <w:szCs w:val="24"/>
        </w:rPr>
        <w:t xml:space="preserve"> </w:t>
      </w:r>
      <w:r w:rsidR="00CA6FEC">
        <w:rPr>
          <w:rFonts w:cs="Arial"/>
          <w:szCs w:val="24"/>
        </w:rPr>
        <w:t xml:space="preserve">quarterly </w:t>
      </w:r>
      <w:r w:rsidR="006F678F" w:rsidRPr="00BC4874">
        <w:rPr>
          <w:rFonts w:cs="Arial"/>
          <w:szCs w:val="24"/>
        </w:rPr>
        <w:t>basis</w:t>
      </w:r>
      <w:r w:rsidR="008F7AC6">
        <w:rPr>
          <w:rFonts w:cs="Arial"/>
          <w:szCs w:val="24"/>
        </w:rPr>
        <w:t>,</w:t>
      </w:r>
      <w:r w:rsidR="006F678F" w:rsidRPr="00BC4874">
        <w:rPr>
          <w:rFonts w:cs="Arial"/>
          <w:szCs w:val="24"/>
        </w:rPr>
        <w:t xml:space="preserve"> expenditure reports </w:t>
      </w:r>
      <w:r w:rsidR="0046014D" w:rsidRPr="00BC4874">
        <w:rPr>
          <w:rFonts w:cs="Arial"/>
          <w:szCs w:val="24"/>
        </w:rPr>
        <w:t>broken</w:t>
      </w:r>
      <w:r w:rsidR="0046014D" w:rsidRPr="00BB7B37">
        <w:rPr>
          <w:rFonts w:cs="Arial"/>
          <w:szCs w:val="24"/>
        </w:rPr>
        <w:t xml:space="preserve"> into four quarters (July 1–September 30, October 1–December 31, January 1–March 31</w:t>
      </w:r>
      <w:r w:rsidR="00A43762" w:rsidRPr="00BB7B37">
        <w:rPr>
          <w:rFonts w:cs="Arial"/>
          <w:szCs w:val="24"/>
        </w:rPr>
        <w:t>,</w:t>
      </w:r>
      <w:r w:rsidR="0046014D" w:rsidRPr="00BB7B37">
        <w:rPr>
          <w:rFonts w:cs="Arial"/>
          <w:szCs w:val="24"/>
        </w:rPr>
        <w:t xml:space="preserve"> and April 10–</w:t>
      </w:r>
      <w:r w:rsidR="005E2B08" w:rsidRPr="00BB7B37">
        <w:rPr>
          <w:rFonts w:cs="Arial"/>
          <w:szCs w:val="24"/>
        </w:rPr>
        <w:t xml:space="preserve">June 30) via </w:t>
      </w:r>
      <w:r w:rsidR="00426D59">
        <w:rPr>
          <w:rFonts w:cs="Arial"/>
          <w:szCs w:val="24"/>
        </w:rPr>
        <w:t>the A</w:t>
      </w:r>
      <w:r w:rsidR="00BB7B37">
        <w:rPr>
          <w:rFonts w:cs="Arial"/>
          <w:szCs w:val="24"/>
        </w:rPr>
        <w:t>SSIST.</w:t>
      </w:r>
    </w:p>
    <w:p w14:paraId="2C2961BE" w14:textId="32071797" w:rsidR="009C25B0" w:rsidRPr="00C4685F" w:rsidRDefault="008901CD" w:rsidP="00426D5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80"/>
        <w:ind w:left="1080"/>
        <w:rPr>
          <w:rFonts w:ascii="Arial" w:hAnsi="Arial" w:cs="Arial"/>
          <w:szCs w:val="24"/>
        </w:rPr>
      </w:pPr>
      <w:r w:rsidRPr="00C4685F">
        <w:rPr>
          <w:rFonts w:ascii="Arial" w:hAnsi="Arial" w:cs="Arial"/>
          <w:szCs w:val="24"/>
        </w:rPr>
        <w:t xml:space="preserve">ESSER III Summer </w:t>
      </w:r>
      <w:r w:rsidR="00AA3701" w:rsidRPr="00C4685F">
        <w:rPr>
          <w:rFonts w:ascii="Arial" w:hAnsi="Arial" w:cs="Arial"/>
          <w:szCs w:val="24"/>
        </w:rPr>
        <w:t xml:space="preserve">Grant </w:t>
      </w:r>
      <w:r w:rsidRPr="00C4685F">
        <w:rPr>
          <w:rFonts w:ascii="Arial" w:hAnsi="Arial" w:cs="Arial"/>
          <w:szCs w:val="24"/>
        </w:rPr>
        <w:t>Program</w:t>
      </w:r>
      <w:r w:rsidR="00016AB6">
        <w:rPr>
          <w:rFonts w:cs="Arial"/>
          <w:szCs w:val="24"/>
        </w:rPr>
        <w:t xml:space="preserve"> </w:t>
      </w:r>
      <w:r w:rsidR="00C4685F" w:rsidRPr="00C4685F">
        <w:rPr>
          <w:rFonts w:ascii="Arial" w:hAnsi="Arial" w:cs="Arial"/>
          <w:szCs w:val="24"/>
        </w:rPr>
        <w:t>performance period will be July 1, 2022 through September 30, 202</w:t>
      </w:r>
      <w:r w:rsidR="00016AB6">
        <w:rPr>
          <w:rFonts w:ascii="Arial" w:hAnsi="Arial" w:cs="Arial"/>
          <w:szCs w:val="24"/>
        </w:rPr>
        <w:t>4</w:t>
      </w:r>
      <w:r w:rsidR="00C4685F" w:rsidRPr="00C4685F">
        <w:rPr>
          <w:rFonts w:ascii="Arial" w:hAnsi="Arial" w:cs="Arial"/>
          <w:szCs w:val="24"/>
        </w:rPr>
        <w:t xml:space="preserve">. </w:t>
      </w:r>
    </w:p>
    <w:p w14:paraId="133D28FC" w14:textId="2AC53301" w:rsidR="00406D50" w:rsidRPr="005C2C3D" w:rsidRDefault="00406D50" w:rsidP="0056789E">
      <w:pPr>
        <w:pStyle w:val="Heading3"/>
      </w:pPr>
      <w:bookmarkStart w:id="11" w:name="_Toc100753991"/>
      <w:bookmarkStart w:id="12" w:name="_Toc414365046"/>
      <w:bookmarkStart w:id="13" w:name="_Toc432411173"/>
      <w:r w:rsidRPr="005C2C3D">
        <w:lastRenderedPageBreak/>
        <w:t>Operational Requirements</w:t>
      </w:r>
      <w:bookmarkEnd w:id="11"/>
    </w:p>
    <w:p w14:paraId="2C5A1248" w14:textId="626995EC" w:rsidR="00406D50" w:rsidRPr="003504C7" w:rsidRDefault="00406D50" w:rsidP="00C13E1C">
      <w:pPr>
        <w:pStyle w:val="ListParagraph"/>
        <w:numPr>
          <w:ilvl w:val="0"/>
          <w:numId w:val="11"/>
        </w:numPr>
        <w:spacing w:after="240"/>
        <w:rPr>
          <w:rFonts w:cs="Arial"/>
          <w:szCs w:val="24"/>
        </w:rPr>
      </w:pPr>
      <w:r w:rsidRPr="003504C7">
        <w:rPr>
          <w:rFonts w:cs="Arial"/>
          <w:szCs w:val="24"/>
        </w:rPr>
        <w:t xml:space="preserve">The program site is the physical location where the </w:t>
      </w:r>
      <w:r w:rsidR="008901CD" w:rsidRPr="00BB7B37">
        <w:rPr>
          <w:rFonts w:cs="Arial"/>
          <w:szCs w:val="24"/>
        </w:rPr>
        <w:t>ESSER III Summer</w:t>
      </w:r>
      <w:r w:rsidR="008823DD" w:rsidRPr="00BB7B37">
        <w:rPr>
          <w:rFonts w:cs="Arial"/>
          <w:szCs w:val="24"/>
        </w:rPr>
        <w:t xml:space="preserve"> </w:t>
      </w:r>
      <w:r w:rsidR="00AA3701">
        <w:rPr>
          <w:rFonts w:cs="Arial"/>
          <w:szCs w:val="24"/>
        </w:rPr>
        <w:t xml:space="preserve">Grant </w:t>
      </w:r>
      <w:r w:rsidR="008901CD" w:rsidRPr="00BB7B37">
        <w:rPr>
          <w:rFonts w:cs="Arial"/>
          <w:szCs w:val="24"/>
        </w:rPr>
        <w:t>Program</w:t>
      </w:r>
      <w:r w:rsidRPr="003504C7">
        <w:rPr>
          <w:rFonts w:cs="Arial"/>
          <w:szCs w:val="24"/>
        </w:rPr>
        <w:t xml:space="preserve"> activities and services are provided</w:t>
      </w:r>
      <w:r w:rsidR="00CA6FEC">
        <w:rPr>
          <w:rFonts w:cs="Arial"/>
          <w:szCs w:val="24"/>
        </w:rPr>
        <w:t>, and</w:t>
      </w:r>
      <w:r w:rsidR="005A723D">
        <w:rPr>
          <w:rFonts w:cs="Arial"/>
          <w:szCs w:val="24"/>
        </w:rPr>
        <w:t xml:space="preserve"> a site that is </w:t>
      </w:r>
      <w:r w:rsidR="00CA6FEC">
        <w:rPr>
          <w:rFonts w:cs="Arial"/>
          <w:szCs w:val="24"/>
        </w:rPr>
        <w:t>approved by the CDE</w:t>
      </w:r>
      <w:r w:rsidRPr="003504C7">
        <w:rPr>
          <w:rFonts w:cs="Arial"/>
          <w:szCs w:val="24"/>
        </w:rPr>
        <w:t>.</w:t>
      </w:r>
      <w:r w:rsidR="007F6964">
        <w:rPr>
          <w:rFonts w:cs="Arial"/>
          <w:szCs w:val="24"/>
        </w:rPr>
        <w:t xml:space="preserve"> </w:t>
      </w:r>
    </w:p>
    <w:p w14:paraId="29C2D12D" w14:textId="5E498022" w:rsidR="00E90BFE" w:rsidRDefault="00406D50" w:rsidP="00DB64DE">
      <w:pPr>
        <w:pStyle w:val="ListParagraph"/>
        <w:numPr>
          <w:ilvl w:val="0"/>
          <w:numId w:val="11"/>
        </w:numPr>
        <w:tabs>
          <w:tab w:val="left" w:pos="1170"/>
        </w:tabs>
        <w:spacing w:after="240"/>
        <w:rPr>
          <w:rFonts w:cs="Arial"/>
          <w:szCs w:val="24"/>
        </w:rPr>
      </w:pPr>
      <w:r w:rsidRPr="00E90BFE">
        <w:rPr>
          <w:rFonts w:cs="Arial"/>
          <w:szCs w:val="24"/>
        </w:rPr>
        <w:t xml:space="preserve">Grant funds should be used to establish </w:t>
      </w:r>
      <w:r w:rsidR="008901CD" w:rsidRPr="00E90BFE">
        <w:rPr>
          <w:rFonts w:cs="Arial"/>
          <w:szCs w:val="24"/>
        </w:rPr>
        <w:t xml:space="preserve">and/or enhance Summer </w:t>
      </w:r>
      <w:r w:rsidR="00426D59" w:rsidRPr="0004573D">
        <w:rPr>
          <w:rFonts w:cs="Arial"/>
          <w:szCs w:val="24"/>
        </w:rPr>
        <w:t>E</w:t>
      </w:r>
      <w:r w:rsidR="008901CD" w:rsidRPr="0004573D">
        <w:rPr>
          <w:rFonts w:cs="Arial"/>
          <w:szCs w:val="24"/>
        </w:rPr>
        <w:t xml:space="preserve">xpanded </w:t>
      </w:r>
      <w:r w:rsidR="00426D59" w:rsidRPr="0004573D">
        <w:rPr>
          <w:rFonts w:cs="Arial"/>
          <w:szCs w:val="24"/>
        </w:rPr>
        <w:t>L</w:t>
      </w:r>
      <w:r w:rsidR="008901CD" w:rsidRPr="0004573D">
        <w:rPr>
          <w:rFonts w:cs="Arial"/>
          <w:szCs w:val="24"/>
        </w:rPr>
        <w:t xml:space="preserve">earning </w:t>
      </w:r>
      <w:r w:rsidR="00426D59" w:rsidRPr="0004573D">
        <w:rPr>
          <w:rFonts w:cs="Arial"/>
          <w:szCs w:val="24"/>
        </w:rPr>
        <w:t>P</w:t>
      </w:r>
      <w:r w:rsidR="008901CD" w:rsidRPr="0004573D">
        <w:rPr>
          <w:rFonts w:cs="Arial"/>
          <w:szCs w:val="24"/>
        </w:rPr>
        <w:t>rograms during summer, vacation</w:t>
      </w:r>
      <w:r w:rsidR="00DB64DE">
        <w:rPr>
          <w:rFonts w:cs="Arial"/>
          <w:szCs w:val="24"/>
        </w:rPr>
        <w:t>,</w:t>
      </w:r>
      <w:r w:rsidR="008901CD" w:rsidRPr="0004573D">
        <w:rPr>
          <w:rFonts w:cs="Arial"/>
          <w:szCs w:val="24"/>
        </w:rPr>
        <w:t xml:space="preserve"> and intersession time periods.</w:t>
      </w:r>
    </w:p>
    <w:p w14:paraId="1F5E8C5D" w14:textId="207DDEF3" w:rsidR="00D559E4" w:rsidRPr="0004573D" w:rsidRDefault="00D559E4" w:rsidP="00E90BFE">
      <w:pPr>
        <w:pStyle w:val="ListParagraph"/>
        <w:numPr>
          <w:ilvl w:val="0"/>
          <w:numId w:val="11"/>
        </w:numPr>
        <w:tabs>
          <w:tab w:val="left" w:pos="1170"/>
        </w:tabs>
        <w:spacing w:after="480"/>
        <w:rPr>
          <w:rFonts w:cs="Arial"/>
          <w:szCs w:val="24"/>
        </w:rPr>
      </w:pPr>
      <w:r w:rsidRPr="00E90BFE">
        <w:rPr>
          <w:rFonts w:cs="Arial"/>
          <w:color w:val="333333"/>
          <w:szCs w:val="24"/>
          <w:shd w:val="clear" w:color="auto" w:fill="FFFFFF"/>
        </w:rPr>
        <w:t xml:space="preserve">A grantee that operates a </w:t>
      </w:r>
      <w:r w:rsidR="00E90BFE" w:rsidRPr="00E90BFE">
        <w:rPr>
          <w:rFonts w:cs="Arial"/>
          <w:color w:val="333333"/>
          <w:szCs w:val="24"/>
          <w:shd w:val="clear" w:color="auto" w:fill="FFFFFF"/>
        </w:rPr>
        <w:t xml:space="preserve">Summer/Supplemental </w:t>
      </w:r>
      <w:r w:rsidR="00DB64DE">
        <w:rPr>
          <w:rFonts w:cs="Arial"/>
          <w:color w:val="333333"/>
          <w:szCs w:val="24"/>
          <w:shd w:val="clear" w:color="auto" w:fill="FFFFFF"/>
        </w:rPr>
        <w:t>P</w:t>
      </w:r>
      <w:r w:rsidRPr="00E90BFE">
        <w:rPr>
          <w:rFonts w:cs="Arial"/>
          <w:color w:val="333333"/>
          <w:szCs w:val="24"/>
          <w:shd w:val="clear" w:color="auto" w:fill="FFFFFF"/>
        </w:rPr>
        <w:t>rogram may open eligibility to every pupil attending a school in the school district. Priority for enrollment shall be given to the pupils enrolled in the school that receives the grant.</w:t>
      </w:r>
      <w:r w:rsidR="00DA3EE5">
        <w:rPr>
          <w:rFonts w:cs="Arial"/>
          <w:color w:val="333333"/>
          <w:szCs w:val="24"/>
          <w:shd w:val="clear" w:color="auto" w:fill="FFFFFF"/>
        </w:rPr>
        <w:t xml:space="preserve"> (</w:t>
      </w:r>
      <w:r w:rsidR="00DA3EE5" w:rsidRPr="00005A8C">
        <w:rPr>
          <w:rFonts w:cs="Arial"/>
          <w:i/>
          <w:color w:val="333333"/>
          <w:szCs w:val="24"/>
          <w:shd w:val="clear" w:color="auto" w:fill="FFFFFF"/>
        </w:rPr>
        <w:t>E</w:t>
      </w:r>
      <w:r w:rsidR="007F6964" w:rsidRPr="00005A8C">
        <w:rPr>
          <w:rFonts w:cs="Arial"/>
          <w:i/>
          <w:color w:val="333333"/>
          <w:szCs w:val="24"/>
          <w:shd w:val="clear" w:color="auto" w:fill="FFFFFF"/>
        </w:rPr>
        <w:t>C</w:t>
      </w:r>
      <w:r w:rsidR="007F6964">
        <w:rPr>
          <w:rFonts w:cs="Arial"/>
          <w:color w:val="333333"/>
          <w:szCs w:val="24"/>
          <w:shd w:val="clear" w:color="auto" w:fill="FFFFFF"/>
        </w:rPr>
        <w:t xml:space="preserve"> </w:t>
      </w:r>
      <w:r w:rsidR="005A723D">
        <w:rPr>
          <w:rFonts w:cs="Arial"/>
          <w:color w:val="333333"/>
          <w:szCs w:val="24"/>
          <w:shd w:val="clear" w:color="auto" w:fill="FFFFFF"/>
        </w:rPr>
        <w:t>s</w:t>
      </w:r>
      <w:r w:rsidR="007F6964">
        <w:rPr>
          <w:rFonts w:cs="Arial"/>
          <w:color w:val="333333"/>
          <w:szCs w:val="24"/>
          <w:shd w:val="clear" w:color="auto" w:fill="FFFFFF"/>
        </w:rPr>
        <w:t>ection</w:t>
      </w:r>
      <w:r w:rsidR="005A723D">
        <w:rPr>
          <w:rFonts w:cs="Arial"/>
          <w:color w:val="333333"/>
          <w:szCs w:val="24"/>
          <w:shd w:val="clear" w:color="auto" w:fill="FFFFFF"/>
        </w:rPr>
        <w:t>s</w:t>
      </w:r>
      <w:r w:rsidR="008A0C77">
        <w:rPr>
          <w:rFonts w:cs="Arial"/>
          <w:color w:val="333333"/>
          <w:szCs w:val="24"/>
          <w:shd w:val="clear" w:color="auto" w:fill="FFFFFF"/>
        </w:rPr>
        <w:t xml:space="preserve"> 8422[c]</w:t>
      </w:r>
      <w:r w:rsidR="00DA3EE5">
        <w:rPr>
          <w:rFonts w:cs="Arial"/>
          <w:color w:val="333333"/>
          <w:szCs w:val="24"/>
          <w:shd w:val="clear" w:color="auto" w:fill="FFFFFF"/>
        </w:rPr>
        <w:t xml:space="preserve"> </w:t>
      </w:r>
      <w:r w:rsidR="008A0C77">
        <w:rPr>
          <w:rFonts w:cs="Arial"/>
          <w:color w:val="333333"/>
          <w:szCs w:val="24"/>
          <w:shd w:val="clear" w:color="auto" w:fill="FFFFFF"/>
        </w:rPr>
        <w:t xml:space="preserve">and </w:t>
      </w:r>
      <w:r w:rsidR="00DA3EE5">
        <w:rPr>
          <w:rFonts w:cs="Arial"/>
          <w:color w:val="333333"/>
          <w:szCs w:val="24"/>
          <w:shd w:val="clear" w:color="auto" w:fill="FFFFFF"/>
        </w:rPr>
        <w:t>8483.76</w:t>
      </w:r>
      <w:r w:rsidR="00CB5EB7">
        <w:rPr>
          <w:rFonts w:cs="Arial"/>
          <w:color w:val="333333"/>
          <w:szCs w:val="24"/>
          <w:shd w:val="clear" w:color="auto" w:fill="FFFFFF"/>
        </w:rPr>
        <w:t>[</w:t>
      </w:r>
      <w:r w:rsidR="00DA3EE5">
        <w:rPr>
          <w:rFonts w:cs="Arial"/>
          <w:color w:val="333333"/>
          <w:szCs w:val="24"/>
          <w:shd w:val="clear" w:color="auto" w:fill="FFFFFF"/>
        </w:rPr>
        <w:t>d</w:t>
      </w:r>
      <w:r w:rsidR="00CB5EB7">
        <w:rPr>
          <w:rFonts w:cs="Arial"/>
          <w:color w:val="333333"/>
          <w:szCs w:val="24"/>
          <w:shd w:val="clear" w:color="auto" w:fill="FFFFFF"/>
        </w:rPr>
        <w:t>]</w:t>
      </w:r>
      <w:r w:rsidR="007F6964">
        <w:rPr>
          <w:rFonts w:cs="Arial"/>
          <w:color w:val="333333"/>
          <w:szCs w:val="24"/>
          <w:shd w:val="clear" w:color="auto" w:fill="FFFFFF"/>
        </w:rPr>
        <w:t>)</w:t>
      </w:r>
      <w:r w:rsidR="00CA6FEC">
        <w:rPr>
          <w:rFonts w:cs="Arial"/>
          <w:color w:val="333333"/>
          <w:szCs w:val="24"/>
          <w:shd w:val="clear" w:color="auto" w:fill="FFFFFF"/>
        </w:rPr>
        <w:t xml:space="preserve"> </w:t>
      </w:r>
    </w:p>
    <w:p w14:paraId="26A1226E" w14:textId="31CBE439" w:rsidR="00406D50" w:rsidRPr="009C25B0" w:rsidRDefault="00406D50" w:rsidP="0056789E">
      <w:pPr>
        <w:pStyle w:val="Heading3"/>
      </w:pPr>
      <w:bookmarkStart w:id="14" w:name="_Toc100753992"/>
      <w:r w:rsidRPr="009C25B0">
        <w:t>Program Requirements</w:t>
      </w:r>
      <w:bookmarkEnd w:id="14"/>
      <w:r w:rsidR="008D654E">
        <w:t xml:space="preserve"> </w:t>
      </w:r>
    </w:p>
    <w:bookmarkEnd w:id="12"/>
    <w:bookmarkEnd w:id="13"/>
    <w:p w14:paraId="0A2EF96A" w14:textId="1F656523" w:rsidR="00631A4F" w:rsidRDefault="00631A4F" w:rsidP="0056789E">
      <w:pPr>
        <w:pStyle w:val="NormalWeb"/>
        <w:shd w:val="clear" w:color="auto" w:fill="FFFFFF"/>
        <w:spacing w:before="0" w:beforeAutospacing="0" w:after="240" w:afterAutospacing="0"/>
        <w:ind w:left="720"/>
        <w:textAlignment w:val="baseline"/>
        <w:rPr>
          <w:rFonts w:ascii="Arial" w:hAnsi="Arial"/>
          <w:color w:val="333333"/>
        </w:rPr>
      </w:pPr>
      <w:r>
        <w:rPr>
          <w:rFonts w:ascii="Arial" w:hAnsi="Arial"/>
          <w:color w:val="333333"/>
        </w:rPr>
        <w:t>Each component of a</w:t>
      </w:r>
      <w:r w:rsidR="00036CFC">
        <w:rPr>
          <w:rFonts w:ascii="Arial" w:hAnsi="Arial"/>
          <w:color w:val="333333"/>
        </w:rPr>
        <w:t>n ASES</w:t>
      </w:r>
      <w:r w:rsidR="008A0C77">
        <w:rPr>
          <w:rFonts w:ascii="Arial" w:hAnsi="Arial"/>
          <w:color w:val="333333"/>
        </w:rPr>
        <w:t xml:space="preserve"> and </w:t>
      </w:r>
      <w:r w:rsidR="00036CFC">
        <w:rPr>
          <w:rFonts w:ascii="Arial" w:hAnsi="Arial"/>
          <w:color w:val="333333"/>
        </w:rPr>
        <w:t>2</w:t>
      </w:r>
      <w:r w:rsidR="00AE4716">
        <w:rPr>
          <w:rFonts w:ascii="Arial" w:hAnsi="Arial"/>
          <w:color w:val="333333"/>
        </w:rPr>
        <w:t>1st</w:t>
      </w:r>
      <w:r w:rsidR="00036CFC">
        <w:rPr>
          <w:rFonts w:ascii="Arial" w:hAnsi="Arial"/>
          <w:color w:val="333333"/>
        </w:rPr>
        <w:t xml:space="preserve"> CCLC</w:t>
      </w:r>
      <w:r>
        <w:rPr>
          <w:rFonts w:ascii="Arial" w:hAnsi="Arial"/>
          <w:color w:val="333333"/>
        </w:rPr>
        <w:t xml:space="preserve"> </w:t>
      </w:r>
      <w:r w:rsidR="00036CFC">
        <w:rPr>
          <w:rFonts w:ascii="Arial" w:hAnsi="Arial"/>
          <w:color w:val="333333"/>
        </w:rPr>
        <w:t xml:space="preserve">(elementary school) </w:t>
      </w:r>
      <w:r>
        <w:rPr>
          <w:rFonts w:ascii="Arial" w:hAnsi="Arial"/>
          <w:color w:val="333333"/>
        </w:rPr>
        <w:t>program shall consist of the following two elements:</w:t>
      </w:r>
    </w:p>
    <w:p w14:paraId="24F667E7" w14:textId="102B108D" w:rsidR="00631A4F" w:rsidRDefault="00631A4F" w:rsidP="00DD4B82">
      <w:pPr>
        <w:pStyle w:val="NormalWeb"/>
        <w:numPr>
          <w:ilvl w:val="0"/>
          <w:numId w:val="29"/>
        </w:numPr>
        <w:shd w:val="clear" w:color="auto" w:fill="FFFFFF"/>
        <w:spacing w:before="0" w:beforeAutospacing="0" w:after="240" w:afterAutospacing="0"/>
        <w:textAlignment w:val="baseline"/>
        <w:rPr>
          <w:rFonts w:ascii="Arial" w:hAnsi="Arial"/>
          <w:color w:val="333333"/>
        </w:rPr>
      </w:pPr>
      <w:r>
        <w:rPr>
          <w:rFonts w:ascii="Arial" w:hAnsi="Arial"/>
          <w:color w:val="333333"/>
        </w:rPr>
        <w:t>An educational and literacy element in which tutoring or homework assistance is provided in one or more of the following areas: language arts, mathematics, history and social science, computer training, or science.</w:t>
      </w:r>
      <w:r w:rsidR="008D654E">
        <w:rPr>
          <w:rFonts w:ascii="Arial" w:hAnsi="Arial"/>
          <w:color w:val="333333"/>
        </w:rPr>
        <w:t xml:space="preserve"> </w:t>
      </w:r>
      <w:r w:rsidR="00AA08F9">
        <w:rPr>
          <w:rFonts w:ascii="Arial" w:hAnsi="Arial"/>
          <w:color w:val="333333"/>
        </w:rPr>
        <w:t>(</w:t>
      </w:r>
      <w:r w:rsidR="008D654E" w:rsidRPr="00005A8C">
        <w:rPr>
          <w:rFonts w:ascii="Arial" w:hAnsi="Arial"/>
          <w:i/>
          <w:color w:val="333333"/>
        </w:rPr>
        <w:t>E</w:t>
      </w:r>
      <w:r w:rsidR="002F2972" w:rsidRPr="00005A8C">
        <w:rPr>
          <w:rFonts w:ascii="Arial" w:hAnsi="Arial"/>
          <w:i/>
          <w:color w:val="333333"/>
        </w:rPr>
        <w:t>C</w:t>
      </w:r>
      <w:r w:rsidR="008D654E">
        <w:rPr>
          <w:rFonts w:ascii="Arial" w:hAnsi="Arial"/>
          <w:color w:val="333333"/>
        </w:rPr>
        <w:t xml:space="preserve"> </w:t>
      </w:r>
      <w:r w:rsidR="00B124CA">
        <w:rPr>
          <w:rFonts w:ascii="Arial" w:hAnsi="Arial"/>
          <w:color w:val="333333"/>
        </w:rPr>
        <w:t xml:space="preserve">Section </w:t>
      </w:r>
      <w:r w:rsidR="00407F49">
        <w:rPr>
          <w:rFonts w:ascii="Arial" w:hAnsi="Arial"/>
          <w:color w:val="333333"/>
        </w:rPr>
        <w:t>8482.3</w:t>
      </w:r>
      <w:r w:rsidR="00AA08F9">
        <w:rPr>
          <w:rFonts w:ascii="Arial" w:hAnsi="Arial"/>
          <w:color w:val="333333"/>
        </w:rPr>
        <w:t>[</w:t>
      </w:r>
      <w:r w:rsidR="00407F49">
        <w:rPr>
          <w:rFonts w:ascii="Arial" w:hAnsi="Arial"/>
          <w:color w:val="333333"/>
        </w:rPr>
        <w:t>c</w:t>
      </w:r>
      <w:r w:rsidR="00AA08F9">
        <w:rPr>
          <w:rFonts w:ascii="Arial" w:hAnsi="Arial"/>
          <w:color w:val="333333"/>
        </w:rPr>
        <w:t>][</w:t>
      </w:r>
      <w:r w:rsidR="00407F49">
        <w:rPr>
          <w:rFonts w:ascii="Arial" w:hAnsi="Arial"/>
          <w:color w:val="333333"/>
        </w:rPr>
        <w:t>1</w:t>
      </w:r>
      <w:r w:rsidR="00AA08F9">
        <w:rPr>
          <w:rFonts w:ascii="Arial" w:hAnsi="Arial"/>
          <w:color w:val="333333"/>
        </w:rPr>
        <w:t>][</w:t>
      </w:r>
      <w:r w:rsidR="00407F49">
        <w:rPr>
          <w:rFonts w:ascii="Arial" w:hAnsi="Arial"/>
          <w:color w:val="333333"/>
        </w:rPr>
        <w:t>A</w:t>
      </w:r>
      <w:r w:rsidR="00AA08F9">
        <w:rPr>
          <w:rFonts w:ascii="Arial" w:hAnsi="Arial"/>
          <w:color w:val="333333"/>
        </w:rPr>
        <w:t>])</w:t>
      </w:r>
    </w:p>
    <w:p w14:paraId="2CF237F1" w14:textId="7F51FFAA" w:rsidR="008D654E" w:rsidRDefault="00631A4F" w:rsidP="00004D75">
      <w:pPr>
        <w:pStyle w:val="NormalWeb"/>
        <w:numPr>
          <w:ilvl w:val="0"/>
          <w:numId w:val="29"/>
        </w:numPr>
        <w:shd w:val="clear" w:color="auto" w:fill="FFFFFF"/>
        <w:spacing w:before="0" w:beforeAutospacing="0" w:after="240" w:afterAutospacing="0"/>
        <w:textAlignment w:val="baseline"/>
        <w:rPr>
          <w:rFonts w:ascii="Arial" w:hAnsi="Arial"/>
          <w:color w:val="333333"/>
        </w:rPr>
      </w:pPr>
      <w:r>
        <w:rPr>
          <w:rFonts w:ascii="Arial" w:hAnsi="Arial"/>
          <w:color w:val="333333"/>
        </w:rPr>
        <w:t>An educational enrichment element that may include, but need not be limited to, fine arts, career technical education, recreation, physical fitness, and prevention activities.</w:t>
      </w:r>
      <w:r w:rsidR="00407F49">
        <w:rPr>
          <w:rFonts w:ascii="Arial" w:hAnsi="Arial"/>
          <w:color w:val="333333"/>
        </w:rPr>
        <w:t xml:space="preserve"> </w:t>
      </w:r>
      <w:r w:rsidR="00AA08F9">
        <w:rPr>
          <w:rFonts w:ascii="Arial" w:hAnsi="Arial"/>
          <w:color w:val="333333"/>
        </w:rPr>
        <w:t>(</w:t>
      </w:r>
      <w:r w:rsidR="00407F49" w:rsidRPr="00005A8C">
        <w:rPr>
          <w:rFonts w:ascii="Arial" w:hAnsi="Arial"/>
          <w:i/>
          <w:color w:val="333333"/>
        </w:rPr>
        <w:t>E</w:t>
      </w:r>
      <w:r w:rsidR="002F2972" w:rsidRPr="00005A8C">
        <w:rPr>
          <w:rFonts w:ascii="Arial" w:hAnsi="Arial"/>
          <w:i/>
          <w:color w:val="333333"/>
        </w:rPr>
        <w:t>C</w:t>
      </w:r>
      <w:r w:rsidR="002F2972">
        <w:rPr>
          <w:rFonts w:ascii="Arial" w:hAnsi="Arial"/>
          <w:color w:val="333333"/>
        </w:rPr>
        <w:t xml:space="preserve"> </w:t>
      </w:r>
      <w:r w:rsidR="00407F49">
        <w:rPr>
          <w:rFonts w:ascii="Arial" w:hAnsi="Arial"/>
          <w:color w:val="333333"/>
        </w:rPr>
        <w:t>Section 8482.3</w:t>
      </w:r>
      <w:r w:rsidR="00AA08F9">
        <w:rPr>
          <w:rFonts w:ascii="Arial" w:hAnsi="Arial"/>
          <w:color w:val="333333"/>
        </w:rPr>
        <w:t>[</w:t>
      </w:r>
      <w:r w:rsidR="00407F49">
        <w:rPr>
          <w:rFonts w:ascii="Arial" w:hAnsi="Arial"/>
          <w:color w:val="333333"/>
        </w:rPr>
        <w:t>c</w:t>
      </w:r>
      <w:r w:rsidR="00AA08F9">
        <w:rPr>
          <w:rFonts w:ascii="Arial" w:hAnsi="Arial"/>
          <w:color w:val="333333"/>
        </w:rPr>
        <w:t>][</w:t>
      </w:r>
      <w:r w:rsidR="00407F49">
        <w:rPr>
          <w:rFonts w:ascii="Arial" w:hAnsi="Arial"/>
          <w:color w:val="333333"/>
        </w:rPr>
        <w:t>1</w:t>
      </w:r>
      <w:r w:rsidR="00AA08F9">
        <w:rPr>
          <w:rFonts w:ascii="Arial" w:hAnsi="Arial"/>
          <w:color w:val="333333"/>
        </w:rPr>
        <w:t>][</w:t>
      </w:r>
      <w:r w:rsidR="00407F49">
        <w:rPr>
          <w:rFonts w:ascii="Arial" w:hAnsi="Arial"/>
          <w:color w:val="333333"/>
        </w:rPr>
        <w:t>B</w:t>
      </w:r>
      <w:r w:rsidR="00AA08F9">
        <w:rPr>
          <w:rFonts w:ascii="Arial" w:hAnsi="Arial"/>
          <w:color w:val="333333"/>
        </w:rPr>
        <w:t>])</w:t>
      </w:r>
    </w:p>
    <w:p w14:paraId="062BB83B" w14:textId="098B0EC3" w:rsidR="00036CFC" w:rsidRDefault="00036CFC" w:rsidP="00004D75">
      <w:pPr>
        <w:pStyle w:val="NormalWeb"/>
        <w:shd w:val="clear" w:color="auto" w:fill="FFFFFF"/>
        <w:spacing w:before="0" w:beforeAutospacing="0" w:after="240" w:afterAutospacing="0"/>
        <w:ind w:left="720"/>
        <w:textAlignment w:val="baseline"/>
        <w:rPr>
          <w:rFonts w:ascii="Arial" w:hAnsi="Arial"/>
          <w:color w:val="333333"/>
        </w:rPr>
      </w:pPr>
      <w:r>
        <w:rPr>
          <w:rFonts w:ascii="Arial" w:hAnsi="Arial"/>
          <w:color w:val="333333"/>
        </w:rPr>
        <w:t xml:space="preserve">Each component of an ASSETs (high school) program shall include the following two elements: </w:t>
      </w:r>
    </w:p>
    <w:p w14:paraId="483408C5" w14:textId="5B924D8B" w:rsidR="00036CFC" w:rsidRDefault="00036CFC" w:rsidP="00004D75">
      <w:pPr>
        <w:pStyle w:val="NormalWeb"/>
        <w:numPr>
          <w:ilvl w:val="0"/>
          <w:numId w:val="29"/>
        </w:numPr>
        <w:shd w:val="clear" w:color="auto" w:fill="FFFFFF"/>
        <w:spacing w:before="0" w:beforeAutospacing="0" w:after="240" w:afterAutospacing="0"/>
        <w:textAlignment w:val="baseline"/>
        <w:rPr>
          <w:rFonts w:ascii="Arial" w:hAnsi="Arial"/>
          <w:color w:val="333333"/>
        </w:rPr>
      </w:pPr>
      <w:r>
        <w:rPr>
          <w:rFonts w:ascii="Arial" w:hAnsi="Arial"/>
          <w:color w:val="333333"/>
        </w:rPr>
        <w:t xml:space="preserve">An academic assistance element that includes, but need not be limited to, at least the following: tutoring, career exploration homework assistance, or college preparation, including information about the Cal Grant Program. </w:t>
      </w:r>
      <w:r w:rsidR="00AA08F9">
        <w:rPr>
          <w:rFonts w:ascii="Arial" w:hAnsi="Arial"/>
          <w:color w:val="333333"/>
        </w:rPr>
        <w:t>(</w:t>
      </w:r>
      <w:r w:rsidRPr="00004D75">
        <w:rPr>
          <w:rFonts w:ascii="Arial" w:hAnsi="Arial"/>
          <w:i/>
          <w:color w:val="333333"/>
        </w:rPr>
        <w:t>E</w:t>
      </w:r>
      <w:r w:rsidR="002F2972" w:rsidRPr="00004D75">
        <w:rPr>
          <w:rFonts w:ascii="Arial" w:hAnsi="Arial"/>
          <w:i/>
          <w:color w:val="333333"/>
        </w:rPr>
        <w:t>C</w:t>
      </w:r>
      <w:r>
        <w:rPr>
          <w:rFonts w:ascii="Arial" w:hAnsi="Arial"/>
          <w:color w:val="333333"/>
        </w:rPr>
        <w:t xml:space="preserve"> Section 8421</w:t>
      </w:r>
      <w:r w:rsidR="00CB5EB7">
        <w:rPr>
          <w:rFonts w:ascii="Arial" w:hAnsi="Arial"/>
          <w:color w:val="333333"/>
        </w:rPr>
        <w:t>[</w:t>
      </w:r>
      <w:r>
        <w:rPr>
          <w:rFonts w:ascii="Arial" w:hAnsi="Arial"/>
          <w:color w:val="333333"/>
        </w:rPr>
        <w:t>b</w:t>
      </w:r>
      <w:r w:rsidR="00CB5EB7">
        <w:rPr>
          <w:rFonts w:ascii="Arial" w:hAnsi="Arial"/>
          <w:color w:val="333333"/>
        </w:rPr>
        <w:t>]</w:t>
      </w:r>
      <w:r w:rsidR="00AA08F9">
        <w:rPr>
          <w:rFonts w:ascii="Arial" w:hAnsi="Arial"/>
          <w:color w:val="333333"/>
        </w:rPr>
        <w:t>[</w:t>
      </w:r>
      <w:r>
        <w:rPr>
          <w:rFonts w:ascii="Arial" w:hAnsi="Arial"/>
          <w:color w:val="333333"/>
        </w:rPr>
        <w:t>1</w:t>
      </w:r>
      <w:r w:rsidR="00AA08F9">
        <w:rPr>
          <w:rFonts w:ascii="Arial" w:hAnsi="Arial"/>
          <w:color w:val="333333"/>
        </w:rPr>
        <w:t>][</w:t>
      </w:r>
      <w:r>
        <w:rPr>
          <w:rFonts w:ascii="Arial" w:hAnsi="Arial"/>
          <w:color w:val="333333"/>
        </w:rPr>
        <w:t>A</w:t>
      </w:r>
      <w:r w:rsidR="00AA08F9">
        <w:rPr>
          <w:rFonts w:ascii="Arial" w:hAnsi="Arial"/>
          <w:color w:val="333333"/>
        </w:rPr>
        <w:t>])</w:t>
      </w:r>
    </w:p>
    <w:p w14:paraId="36C20D7B" w14:textId="2E01B612" w:rsidR="00036CFC" w:rsidRPr="00036CFC" w:rsidRDefault="00036CFC" w:rsidP="00036CFC">
      <w:pPr>
        <w:pStyle w:val="NormalWeb"/>
        <w:numPr>
          <w:ilvl w:val="0"/>
          <w:numId w:val="29"/>
        </w:numPr>
        <w:shd w:val="clear" w:color="auto" w:fill="FFFFFF"/>
        <w:spacing w:before="0" w:beforeAutospacing="0" w:after="480" w:afterAutospacing="0"/>
        <w:textAlignment w:val="baseline"/>
        <w:rPr>
          <w:rFonts w:ascii="Arial" w:hAnsi="Arial"/>
          <w:color w:val="333333"/>
        </w:rPr>
      </w:pPr>
      <w:r>
        <w:rPr>
          <w:rFonts w:ascii="Arial" w:hAnsi="Arial"/>
          <w:color w:val="333333"/>
        </w:rPr>
        <w:t xml:space="preserve">An enrichment element that may include, but need not be limited to, community service, career and technical education, job readiness, opportunities for mentoring and tutoring younger pupils, service learning, arts, computer and technology training, physical fitness, and recreation activities. </w:t>
      </w:r>
      <w:r w:rsidR="00AA08F9">
        <w:rPr>
          <w:rFonts w:ascii="Arial" w:hAnsi="Arial"/>
          <w:color w:val="333333"/>
        </w:rPr>
        <w:t>(</w:t>
      </w:r>
      <w:r w:rsidRPr="00004D75">
        <w:rPr>
          <w:rFonts w:ascii="Arial" w:hAnsi="Arial"/>
          <w:i/>
          <w:color w:val="333333"/>
        </w:rPr>
        <w:t>E</w:t>
      </w:r>
      <w:r w:rsidR="002F2972" w:rsidRPr="00004D75">
        <w:rPr>
          <w:rFonts w:ascii="Arial" w:hAnsi="Arial"/>
          <w:i/>
          <w:color w:val="333333"/>
        </w:rPr>
        <w:t>C</w:t>
      </w:r>
      <w:r>
        <w:rPr>
          <w:rFonts w:ascii="Arial" w:hAnsi="Arial"/>
          <w:color w:val="333333"/>
        </w:rPr>
        <w:t xml:space="preserve"> Section 8421</w:t>
      </w:r>
      <w:r w:rsidR="00AA08F9">
        <w:rPr>
          <w:rFonts w:ascii="Arial" w:hAnsi="Arial"/>
          <w:color w:val="333333"/>
        </w:rPr>
        <w:t>[</w:t>
      </w:r>
      <w:r>
        <w:rPr>
          <w:rFonts w:ascii="Arial" w:hAnsi="Arial"/>
          <w:color w:val="333333"/>
        </w:rPr>
        <w:t>b</w:t>
      </w:r>
      <w:r w:rsidR="00AA08F9">
        <w:rPr>
          <w:rFonts w:ascii="Arial" w:hAnsi="Arial"/>
          <w:color w:val="333333"/>
        </w:rPr>
        <w:t>][</w:t>
      </w:r>
      <w:r>
        <w:rPr>
          <w:rFonts w:ascii="Arial" w:hAnsi="Arial"/>
          <w:color w:val="333333"/>
        </w:rPr>
        <w:t>2</w:t>
      </w:r>
      <w:r w:rsidR="00AA08F9">
        <w:rPr>
          <w:rFonts w:ascii="Arial" w:hAnsi="Arial"/>
          <w:color w:val="333333"/>
        </w:rPr>
        <w:t>])</w:t>
      </w:r>
    </w:p>
    <w:p w14:paraId="406A303E" w14:textId="7BB47F28" w:rsidR="00406D50" w:rsidRPr="005C2C3D" w:rsidRDefault="00406D50" w:rsidP="0056789E">
      <w:pPr>
        <w:pStyle w:val="Heading3"/>
      </w:pPr>
      <w:bookmarkStart w:id="15" w:name="_Toc100753993"/>
      <w:r w:rsidRPr="005C2C3D">
        <w:lastRenderedPageBreak/>
        <w:t>Allowable Expenditures</w:t>
      </w:r>
      <w:bookmarkEnd w:id="15"/>
      <w:r w:rsidR="00403828">
        <w:t xml:space="preserve"> </w:t>
      </w:r>
    </w:p>
    <w:p w14:paraId="217F60DA" w14:textId="4EE76908" w:rsidR="00BF393B" w:rsidRPr="00811566" w:rsidRDefault="00BF393B" w:rsidP="0056789E">
      <w:pPr>
        <w:spacing w:after="240"/>
        <w:ind w:left="720"/>
        <w:rPr>
          <w:rFonts w:cs="Arial"/>
          <w:szCs w:val="24"/>
        </w:rPr>
      </w:pPr>
      <w:r w:rsidRPr="00811566">
        <w:rPr>
          <w:rFonts w:cs="Arial"/>
          <w:szCs w:val="24"/>
        </w:rPr>
        <w:t>Funds must supplement, not supplant, existing services and may not be used to supplant federal, state, local, or nonfederal funds</w:t>
      </w:r>
      <w:r w:rsidR="001F3E3A">
        <w:rPr>
          <w:rFonts w:cs="Arial"/>
          <w:szCs w:val="24"/>
        </w:rPr>
        <w:t xml:space="preserve"> (</w:t>
      </w:r>
      <w:r w:rsidR="001F3E3A" w:rsidRPr="00004D75">
        <w:rPr>
          <w:rFonts w:cs="Arial"/>
          <w:i/>
          <w:szCs w:val="24"/>
        </w:rPr>
        <w:t>E</w:t>
      </w:r>
      <w:r w:rsidR="002F2972" w:rsidRPr="00004D75">
        <w:rPr>
          <w:rFonts w:cs="Arial"/>
          <w:i/>
          <w:szCs w:val="24"/>
        </w:rPr>
        <w:t>C</w:t>
      </w:r>
      <w:r w:rsidR="001F3E3A">
        <w:rPr>
          <w:rFonts w:cs="Arial"/>
          <w:szCs w:val="24"/>
        </w:rPr>
        <w:t xml:space="preserve"> sections 8426[g][1]</w:t>
      </w:r>
      <w:r w:rsidR="008A0C77">
        <w:rPr>
          <w:rFonts w:cs="Arial"/>
          <w:szCs w:val="24"/>
        </w:rPr>
        <w:t xml:space="preserve"> and 8483.7[b]). </w:t>
      </w:r>
      <w:r w:rsidRPr="00811566">
        <w:rPr>
          <w:rFonts w:cs="Arial"/>
          <w:szCs w:val="24"/>
        </w:rPr>
        <w:t xml:space="preserve">Programs may not use </w:t>
      </w:r>
      <w:r w:rsidR="008823DD">
        <w:rPr>
          <w:rFonts w:cs="Arial"/>
          <w:szCs w:val="24"/>
        </w:rPr>
        <w:t xml:space="preserve">ESSER III Summer </w:t>
      </w:r>
      <w:r w:rsidR="00AA3701">
        <w:rPr>
          <w:rFonts w:cs="Arial"/>
          <w:szCs w:val="24"/>
        </w:rPr>
        <w:t xml:space="preserve">Grant Program </w:t>
      </w:r>
      <w:r w:rsidRPr="00811566">
        <w:rPr>
          <w:rFonts w:cs="Arial"/>
          <w:szCs w:val="24"/>
        </w:rPr>
        <w:t xml:space="preserve">funds to pay for existing levels of service funded from any other source. An agency must ensure that each of those schools receives all of the federal, state, and local funds it would have received in the absence of the </w:t>
      </w:r>
      <w:r w:rsidR="008823DD">
        <w:rPr>
          <w:rFonts w:cs="Arial"/>
          <w:szCs w:val="24"/>
        </w:rPr>
        <w:t>ESSER III Summer</w:t>
      </w:r>
      <w:r w:rsidR="005658E2">
        <w:rPr>
          <w:rFonts w:cs="Arial"/>
          <w:szCs w:val="24"/>
        </w:rPr>
        <w:t xml:space="preserve"> Grant Program</w:t>
      </w:r>
      <w:r w:rsidRPr="00811566">
        <w:rPr>
          <w:rFonts w:cs="Arial"/>
          <w:szCs w:val="24"/>
        </w:rPr>
        <w:t xml:space="preserve"> funds. The </w:t>
      </w:r>
      <w:r w:rsidR="008823DD">
        <w:rPr>
          <w:rFonts w:cs="Arial"/>
          <w:szCs w:val="24"/>
        </w:rPr>
        <w:t>ESSER III Summer</w:t>
      </w:r>
      <w:r w:rsidRPr="00811566">
        <w:rPr>
          <w:rFonts w:cs="Arial"/>
          <w:szCs w:val="24"/>
        </w:rPr>
        <w:t xml:space="preserve"> </w:t>
      </w:r>
      <w:r w:rsidR="005658E2">
        <w:rPr>
          <w:rFonts w:cs="Arial"/>
          <w:szCs w:val="24"/>
        </w:rPr>
        <w:t xml:space="preserve">Grant Program </w:t>
      </w:r>
      <w:r w:rsidRPr="00811566">
        <w:rPr>
          <w:rFonts w:cs="Arial"/>
          <w:szCs w:val="24"/>
        </w:rPr>
        <w:t xml:space="preserve">funds may not be used for new construction, entertainment, </w:t>
      </w:r>
      <w:r>
        <w:rPr>
          <w:rFonts w:cs="Arial"/>
          <w:szCs w:val="24"/>
        </w:rPr>
        <w:t>or</w:t>
      </w:r>
      <w:r w:rsidRPr="00811566">
        <w:rPr>
          <w:rFonts w:cs="Arial"/>
          <w:szCs w:val="24"/>
        </w:rPr>
        <w:t xml:space="preserve"> purchases not directly related to requirements of the grant. All purchases mu</w:t>
      </w:r>
      <w:r>
        <w:rPr>
          <w:rFonts w:cs="Arial"/>
          <w:szCs w:val="24"/>
        </w:rPr>
        <w:t>st be reasonable and necessary.</w:t>
      </w:r>
    </w:p>
    <w:p w14:paraId="23AF2491" w14:textId="4CC8744C" w:rsidR="00BF393B" w:rsidRPr="003504C7" w:rsidRDefault="00BF393B" w:rsidP="00DB64DE">
      <w:pPr>
        <w:spacing w:after="240"/>
        <w:ind w:left="720"/>
        <w:rPr>
          <w:rFonts w:cs="Arial"/>
          <w:bCs/>
          <w:szCs w:val="24"/>
        </w:rPr>
      </w:pPr>
      <w:r w:rsidRPr="00E46ED3">
        <w:rPr>
          <w:rFonts w:cs="Arial"/>
          <w:szCs w:val="24"/>
        </w:rPr>
        <w:t xml:space="preserve">For additional allowable costs, please visit the CDE Direct Services and Administrative Cost Guidance </w:t>
      </w:r>
      <w:r>
        <w:rPr>
          <w:rFonts w:cs="Arial"/>
          <w:szCs w:val="24"/>
        </w:rPr>
        <w:t xml:space="preserve">web page </w:t>
      </w:r>
      <w:r w:rsidRPr="00E46ED3">
        <w:rPr>
          <w:rFonts w:cs="Arial"/>
          <w:szCs w:val="24"/>
        </w:rPr>
        <w:t>about direct services</w:t>
      </w:r>
      <w:r>
        <w:rPr>
          <w:rFonts w:cs="Arial"/>
          <w:szCs w:val="24"/>
        </w:rPr>
        <w:t xml:space="preserve"> and</w:t>
      </w:r>
      <w:r w:rsidRPr="00E46ED3">
        <w:rPr>
          <w:rFonts w:cs="Arial"/>
          <w:szCs w:val="24"/>
        </w:rPr>
        <w:t xml:space="preserve"> administrative costs</w:t>
      </w:r>
      <w:r>
        <w:rPr>
          <w:rFonts w:cs="Arial"/>
          <w:szCs w:val="24"/>
        </w:rPr>
        <w:t xml:space="preserve"> located </w:t>
      </w:r>
      <w:r w:rsidRPr="00E46ED3">
        <w:rPr>
          <w:rFonts w:cs="Arial"/>
          <w:szCs w:val="24"/>
        </w:rPr>
        <w:t xml:space="preserve">at </w:t>
      </w:r>
      <w:hyperlink r:id="rId24" w:tooltip="CDE Direct Services and Administrative Cost Guidance  web page link" w:history="1">
        <w:r w:rsidRPr="00236627">
          <w:rPr>
            <w:rStyle w:val="Hyperlink"/>
          </w:rPr>
          <w:t>https://www.cde.ca.gov/ls/ex/dirctservguidance.asp</w:t>
        </w:r>
      </w:hyperlink>
      <w:r>
        <w:t>, as well as the</w:t>
      </w:r>
      <w:r w:rsidRPr="00811566">
        <w:rPr>
          <w:rFonts w:cs="Arial"/>
          <w:szCs w:val="24"/>
        </w:rPr>
        <w:t xml:space="preserve"> CDE Field Trip and Recognition Guidance</w:t>
      </w:r>
      <w:r>
        <w:rPr>
          <w:rFonts w:cs="Arial"/>
          <w:szCs w:val="24"/>
        </w:rPr>
        <w:t xml:space="preserve"> w</w:t>
      </w:r>
      <w:r w:rsidRPr="00811566">
        <w:rPr>
          <w:rFonts w:cs="Arial"/>
          <w:szCs w:val="24"/>
        </w:rPr>
        <w:t>eb page</w:t>
      </w:r>
      <w:r>
        <w:rPr>
          <w:rFonts w:cs="Arial"/>
          <w:szCs w:val="24"/>
        </w:rPr>
        <w:t xml:space="preserve"> located</w:t>
      </w:r>
      <w:r w:rsidRPr="00811566">
        <w:rPr>
          <w:rFonts w:cs="Arial"/>
          <w:szCs w:val="24"/>
        </w:rPr>
        <w:t xml:space="preserve"> at </w:t>
      </w:r>
      <w:hyperlink r:id="rId25" w:tooltip="CDE Field Trip and Recognition Guidance web page link" w:history="1">
        <w:r w:rsidRPr="00236627">
          <w:rPr>
            <w:rStyle w:val="Hyperlink"/>
          </w:rPr>
          <w:t>https://www.cde.ca.gov/ls/ex/fieldtripguide.asp</w:t>
        </w:r>
      </w:hyperlink>
      <w:r w:rsidRPr="00236627">
        <w:rPr>
          <w:rFonts w:cs="Arial"/>
          <w:szCs w:val="24"/>
        </w:rPr>
        <w:t>.</w:t>
      </w:r>
    </w:p>
    <w:p w14:paraId="23C0DBD7" w14:textId="712B1BD8" w:rsidR="00406D50" w:rsidRPr="003B4BF9" w:rsidRDefault="00406D50" w:rsidP="0056789E">
      <w:pPr>
        <w:pStyle w:val="BodyTextIndent"/>
        <w:spacing w:after="480"/>
        <w:ind w:left="720"/>
        <w:rPr>
          <w:rFonts w:cs="Arial"/>
          <w:b/>
          <w:bCs/>
          <w:szCs w:val="24"/>
        </w:rPr>
      </w:pPr>
      <w:r w:rsidRPr="003B4BF9">
        <w:rPr>
          <w:rFonts w:cs="Arial"/>
          <w:b/>
          <w:bCs/>
          <w:i/>
          <w:szCs w:val="24"/>
        </w:rPr>
        <w:t>N</w:t>
      </w:r>
      <w:r w:rsidR="000941CA" w:rsidRPr="003B4BF9">
        <w:rPr>
          <w:rFonts w:cs="Arial"/>
          <w:b/>
          <w:bCs/>
          <w:i/>
          <w:szCs w:val="24"/>
        </w:rPr>
        <w:t>OTE</w:t>
      </w:r>
      <w:r w:rsidRPr="003B4BF9">
        <w:rPr>
          <w:rFonts w:cs="Arial"/>
          <w:b/>
          <w:bCs/>
          <w:szCs w:val="24"/>
        </w:rPr>
        <w:t>: Capital Outlay Expenditures are not allowed.</w:t>
      </w:r>
      <w:r w:rsidR="002366CF" w:rsidRPr="003B4BF9">
        <w:rPr>
          <w:rFonts w:cs="Arial"/>
          <w:b/>
          <w:bCs/>
          <w:szCs w:val="24"/>
        </w:rPr>
        <w:t xml:space="preserve"> </w:t>
      </w:r>
      <w:r w:rsidR="00A43762" w:rsidRPr="003B4BF9">
        <w:rPr>
          <w:rFonts w:cs="Arial"/>
          <w:b/>
          <w:szCs w:val="24"/>
        </w:rPr>
        <w:t>Local Educational Agenc</w:t>
      </w:r>
      <w:r w:rsidR="00DB64DE">
        <w:rPr>
          <w:rFonts w:cs="Arial"/>
          <w:b/>
          <w:szCs w:val="24"/>
        </w:rPr>
        <w:t>ies</w:t>
      </w:r>
      <w:r w:rsidR="00A43762" w:rsidRPr="003B4BF9">
        <w:rPr>
          <w:rFonts w:cs="Arial"/>
          <w:b/>
          <w:szCs w:val="24"/>
        </w:rPr>
        <w:t xml:space="preserve"> (</w:t>
      </w:r>
      <w:r w:rsidR="002366CF" w:rsidRPr="003B4BF9">
        <w:rPr>
          <w:rFonts w:cs="Arial"/>
          <w:b/>
          <w:bCs/>
          <w:szCs w:val="24"/>
        </w:rPr>
        <w:t>LEA</w:t>
      </w:r>
      <w:r w:rsidR="00A43762" w:rsidRPr="003B4BF9">
        <w:rPr>
          <w:rFonts w:cs="Arial"/>
          <w:b/>
          <w:bCs/>
          <w:szCs w:val="24"/>
        </w:rPr>
        <w:t>)</w:t>
      </w:r>
      <w:r w:rsidR="002366CF" w:rsidRPr="003B4BF9">
        <w:rPr>
          <w:rFonts w:cs="Arial"/>
          <w:b/>
          <w:bCs/>
          <w:szCs w:val="24"/>
        </w:rPr>
        <w:t>s should consult with their appropriate finance/budget officers.</w:t>
      </w:r>
    </w:p>
    <w:p w14:paraId="38BE9448" w14:textId="77777777" w:rsidR="00406D50" w:rsidRPr="002366CF" w:rsidRDefault="00406D50" w:rsidP="0056789E">
      <w:pPr>
        <w:pStyle w:val="Heading3"/>
      </w:pPr>
      <w:bookmarkStart w:id="16" w:name="_Toc100753994"/>
      <w:r w:rsidRPr="002366CF">
        <w:t>Determining Maximum Indirect Expenditures</w:t>
      </w:r>
      <w:bookmarkEnd w:id="16"/>
    </w:p>
    <w:p w14:paraId="024B6B72" w14:textId="0E5E9151" w:rsidR="00406D50" w:rsidRPr="009D0BF7" w:rsidRDefault="00BD572D" w:rsidP="0056789E">
      <w:pPr>
        <w:pStyle w:val="BodyTextIndent"/>
        <w:spacing w:after="240"/>
        <w:ind w:left="720"/>
        <w:rPr>
          <w:rFonts w:cs="Arial"/>
          <w:szCs w:val="24"/>
        </w:rPr>
      </w:pPr>
      <w:r>
        <w:rPr>
          <w:rFonts w:cs="Arial"/>
          <w:szCs w:val="24"/>
        </w:rPr>
        <w:t>I</w:t>
      </w:r>
      <w:r w:rsidR="00406D50" w:rsidRPr="009D0BF7">
        <w:rPr>
          <w:rFonts w:cs="Arial"/>
          <w:szCs w:val="24"/>
        </w:rPr>
        <w:t xml:space="preserve">ndirect costs </w:t>
      </w:r>
      <w:r w:rsidR="001F429A">
        <w:rPr>
          <w:rFonts w:cs="Arial"/>
          <w:szCs w:val="24"/>
        </w:rPr>
        <w:t xml:space="preserve">rate is set at </w:t>
      </w:r>
      <w:r w:rsidR="004441FE">
        <w:rPr>
          <w:rFonts w:cs="Arial"/>
          <w:szCs w:val="24"/>
        </w:rPr>
        <w:t>5</w:t>
      </w:r>
      <w:r w:rsidR="00AE4716">
        <w:rPr>
          <w:rFonts w:cs="Arial"/>
          <w:szCs w:val="24"/>
        </w:rPr>
        <w:t xml:space="preserve"> percent</w:t>
      </w:r>
      <w:r w:rsidR="004441FE">
        <w:rPr>
          <w:rFonts w:cs="Arial"/>
          <w:szCs w:val="24"/>
        </w:rPr>
        <w:t xml:space="preserve"> or </w:t>
      </w:r>
      <w:r>
        <w:rPr>
          <w:rFonts w:cs="Arial"/>
          <w:szCs w:val="24"/>
        </w:rPr>
        <w:t xml:space="preserve">the </w:t>
      </w:r>
      <w:r w:rsidR="00406D50" w:rsidRPr="009D0BF7">
        <w:rPr>
          <w:rFonts w:cs="Arial"/>
          <w:szCs w:val="24"/>
        </w:rPr>
        <w:t xml:space="preserve">lesser </w:t>
      </w:r>
      <w:r w:rsidR="006E1BC1">
        <w:rPr>
          <w:rFonts w:cs="Arial"/>
          <w:szCs w:val="24"/>
        </w:rPr>
        <w:t>based on</w:t>
      </w:r>
      <w:r w:rsidR="00406D50" w:rsidRPr="009D0BF7">
        <w:rPr>
          <w:rFonts w:cs="Arial"/>
          <w:szCs w:val="24"/>
        </w:rPr>
        <w:t xml:space="preserve"> the following:</w:t>
      </w:r>
    </w:p>
    <w:p w14:paraId="2265AD5D" w14:textId="77777777" w:rsidR="00406D50" w:rsidRPr="009D0BF7" w:rsidRDefault="00406D50" w:rsidP="00C13E1C">
      <w:pPr>
        <w:pStyle w:val="BodyTextIndent"/>
        <w:numPr>
          <w:ilvl w:val="0"/>
          <w:numId w:val="8"/>
        </w:numPr>
        <w:spacing w:after="240"/>
        <w:ind w:left="1440"/>
        <w:rPr>
          <w:rFonts w:cs="Arial"/>
          <w:szCs w:val="24"/>
        </w:rPr>
      </w:pPr>
      <w:r w:rsidRPr="009D0BF7">
        <w:rPr>
          <w:rFonts w:cs="Arial"/>
          <w:szCs w:val="24"/>
        </w:rPr>
        <w:t>The school district's indirect cost rate as approved by</w:t>
      </w:r>
      <w:r w:rsidR="00BD572D">
        <w:rPr>
          <w:rFonts w:cs="Arial"/>
          <w:szCs w:val="24"/>
        </w:rPr>
        <w:t xml:space="preserve"> the CDE for the appropriate fiscal year</w:t>
      </w:r>
      <w:r w:rsidRPr="009D0BF7">
        <w:rPr>
          <w:rFonts w:cs="Arial"/>
          <w:szCs w:val="24"/>
        </w:rPr>
        <w:t>.</w:t>
      </w:r>
    </w:p>
    <w:p w14:paraId="31B87E10" w14:textId="2B9517C8" w:rsidR="00406D50" w:rsidRPr="009D0BF7" w:rsidRDefault="00406D50" w:rsidP="00C13E1C">
      <w:pPr>
        <w:pStyle w:val="BodyTextIndent"/>
        <w:numPr>
          <w:ilvl w:val="0"/>
          <w:numId w:val="8"/>
        </w:numPr>
        <w:spacing w:after="240"/>
        <w:ind w:left="1440"/>
        <w:rPr>
          <w:rFonts w:cs="Arial"/>
          <w:szCs w:val="24"/>
        </w:rPr>
      </w:pPr>
      <w:r w:rsidRPr="009D0BF7">
        <w:rPr>
          <w:rFonts w:cs="Arial"/>
          <w:szCs w:val="24"/>
        </w:rPr>
        <w:t>Five percent of the state program funding received pursuant to this article (</w:t>
      </w:r>
      <w:r w:rsidRPr="009D0BF7">
        <w:rPr>
          <w:rFonts w:cs="Arial"/>
          <w:i/>
          <w:szCs w:val="24"/>
        </w:rPr>
        <w:t>EC</w:t>
      </w:r>
      <w:r w:rsidRPr="009D0BF7">
        <w:rPr>
          <w:rFonts w:cs="Arial"/>
          <w:szCs w:val="24"/>
        </w:rPr>
        <w:t xml:space="preserve"> </w:t>
      </w:r>
      <w:r w:rsidR="00AA08F9">
        <w:rPr>
          <w:rFonts w:cs="Arial"/>
          <w:szCs w:val="24"/>
        </w:rPr>
        <w:t>s</w:t>
      </w:r>
      <w:r w:rsidRPr="009D0BF7">
        <w:rPr>
          <w:rFonts w:cs="Arial"/>
          <w:szCs w:val="24"/>
        </w:rPr>
        <w:t>ection</w:t>
      </w:r>
      <w:r w:rsidR="00AA08F9">
        <w:rPr>
          <w:rFonts w:cs="Arial"/>
          <w:szCs w:val="24"/>
        </w:rPr>
        <w:t>s</w:t>
      </w:r>
      <w:r w:rsidRPr="009D0BF7">
        <w:rPr>
          <w:rFonts w:cs="Arial"/>
          <w:szCs w:val="24"/>
        </w:rPr>
        <w:t xml:space="preserve"> </w:t>
      </w:r>
      <w:r w:rsidR="00AA08F9">
        <w:rPr>
          <w:rFonts w:cs="Arial"/>
          <w:szCs w:val="24"/>
        </w:rPr>
        <w:t>84</w:t>
      </w:r>
      <w:r w:rsidR="000A5DEC">
        <w:rPr>
          <w:rFonts w:cs="Arial"/>
          <w:szCs w:val="24"/>
        </w:rPr>
        <w:t>26[c][1][B]</w:t>
      </w:r>
      <w:r w:rsidR="008A0C77">
        <w:rPr>
          <w:rFonts w:cs="Arial"/>
          <w:szCs w:val="24"/>
        </w:rPr>
        <w:t xml:space="preserve"> and </w:t>
      </w:r>
      <w:r w:rsidR="008A0C77" w:rsidRPr="009D0BF7">
        <w:rPr>
          <w:rFonts w:cs="Arial"/>
          <w:szCs w:val="24"/>
        </w:rPr>
        <w:t>8483.9[a]</w:t>
      </w:r>
      <w:r w:rsidR="008A0C77">
        <w:rPr>
          <w:rFonts w:cs="Arial"/>
          <w:szCs w:val="24"/>
        </w:rPr>
        <w:t>[2]</w:t>
      </w:r>
      <w:r w:rsidRPr="009D0BF7">
        <w:rPr>
          <w:rFonts w:cs="Arial"/>
          <w:szCs w:val="24"/>
        </w:rPr>
        <w:t>).</w:t>
      </w:r>
    </w:p>
    <w:p w14:paraId="0DC8FBEA" w14:textId="11BE0E7A" w:rsidR="00406D50" w:rsidRPr="009D0BF7" w:rsidRDefault="00406D50" w:rsidP="00004D75">
      <w:pPr>
        <w:pStyle w:val="BodyTextIndent"/>
        <w:spacing w:after="480"/>
        <w:ind w:left="720"/>
        <w:rPr>
          <w:rFonts w:cs="Arial"/>
          <w:szCs w:val="24"/>
        </w:rPr>
      </w:pPr>
      <w:r w:rsidRPr="009D0BF7">
        <w:rPr>
          <w:rFonts w:cs="Arial"/>
          <w:szCs w:val="24"/>
        </w:rPr>
        <w:t>Current indirect cost rates fo</w:t>
      </w:r>
      <w:r w:rsidR="00A43762">
        <w:rPr>
          <w:rFonts w:cs="Arial"/>
          <w:szCs w:val="24"/>
        </w:rPr>
        <w:t>r LEA</w:t>
      </w:r>
      <w:r w:rsidRPr="009D0BF7">
        <w:rPr>
          <w:rFonts w:cs="Arial"/>
          <w:szCs w:val="24"/>
        </w:rPr>
        <w:t xml:space="preserve">s are available on the CDE Indirect Cost Rates web page at </w:t>
      </w:r>
      <w:hyperlink r:id="rId26" w:tooltip="CDE Indirect Cost Rates web page link." w:history="1">
        <w:r w:rsidRPr="009D0BF7">
          <w:rPr>
            <w:rStyle w:val="Hyperlink"/>
            <w:rFonts w:cs="Arial"/>
            <w:iCs/>
            <w:szCs w:val="24"/>
          </w:rPr>
          <w:t>https://www.cde.ca.gov/fg/ac/ic</w:t>
        </w:r>
      </w:hyperlink>
      <w:r w:rsidRPr="009D0BF7">
        <w:rPr>
          <w:rFonts w:cs="Arial"/>
          <w:szCs w:val="24"/>
        </w:rPr>
        <w:t>.</w:t>
      </w:r>
    </w:p>
    <w:p w14:paraId="7274FA26" w14:textId="77777777" w:rsidR="00406D50" w:rsidRPr="009D0BF7" w:rsidRDefault="00406D50" w:rsidP="0056789E">
      <w:pPr>
        <w:pStyle w:val="BodyTextIndent"/>
        <w:spacing w:after="240"/>
        <w:ind w:left="720"/>
        <w:rPr>
          <w:rFonts w:cs="Arial"/>
          <w:szCs w:val="24"/>
        </w:rPr>
      </w:pPr>
      <w:r w:rsidRPr="009D0BF7">
        <w:rPr>
          <w:rFonts w:cs="Arial"/>
          <w:b/>
          <w:szCs w:val="24"/>
        </w:rPr>
        <w:t>Indirect</w:t>
      </w:r>
      <w:r w:rsidRPr="009D0BF7">
        <w:rPr>
          <w:rFonts w:cs="Arial"/>
          <w:szCs w:val="24"/>
        </w:rPr>
        <w:t xml:space="preserve"> administrative costs may include general administration services to the program such as:</w:t>
      </w:r>
    </w:p>
    <w:p w14:paraId="0CAD8236" w14:textId="77777777" w:rsidR="00406D50" w:rsidRPr="009D0BF7" w:rsidRDefault="00406D50" w:rsidP="00C13E1C">
      <w:pPr>
        <w:pStyle w:val="BodyTextIndent"/>
        <w:numPr>
          <w:ilvl w:val="0"/>
          <w:numId w:val="10"/>
        </w:numPr>
        <w:spacing w:after="0"/>
        <w:rPr>
          <w:rFonts w:cs="Arial"/>
          <w:szCs w:val="24"/>
        </w:rPr>
      </w:pPr>
      <w:r w:rsidRPr="009D0BF7">
        <w:rPr>
          <w:rFonts w:cs="Arial"/>
          <w:szCs w:val="24"/>
        </w:rPr>
        <w:t>Personnel</w:t>
      </w:r>
    </w:p>
    <w:p w14:paraId="77691593" w14:textId="77777777" w:rsidR="00406D50" w:rsidRPr="009D0BF7" w:rsidRDefault="00406D50" w:rsidP="00C13E1C">
      <w:pPr>
        <w:pStyle w:val="BodyTextIndent"/>
        <w:numPr>
          <w:ilvl w:val="0"/>
          <w:numId w:val="9"/>
        </w:numPr>
        <w:spacing w:after="0"/>
        <w:ind w:left="1440"/>
        <w:rPr>
          <w:rFonts w:cs="Arial"/>
          <w:szCs w:val="24"/>
        </w:rPr>
      </w:pPr>
      <w:r w:rsidRPr="009D0BF7">
        <w:rPr>
          <w:rFonts w:cs="Arial"/>
          <w:szCs w:val="24"/>
        </w:rPr>
        <w:t>Payroll</w:t>
      </w:r>
    </w:p>
    <w:p w14:paraId="156D9EF1" w14:textId="77777777" w:rsidR="00406D50" w:rsidRPr="009D0BF7" w:rsidRDefault="00406D50" w:rsidP="00C13E1C">
      <w:pPr>
        <w:pStyle w:val="BodyTextIndent"/>
        <w:numPr>
          <w:ilvl w:val="0"/>
          <w:numId w:val="9"/>
        </w:numPr>
        <w:spacing w:after="0"/>
        <w:ind w:left="1440"/>
        <w:rPr>
          <w:rFonts w:cs="Arial"/>
          <w:szCs w:val="24"/>
        </w:rPr>
      </w:pPr>
      <w:r w:rsidRPr="009D0BF7">
        <w:rPr>
          <w:rFonts w:cs="Arial"/>
          <w:szCs w:val="24"/>
        </w:rPr>
        <w:t>Accounting</w:t>
      </w:r>
    </w:p>
    <w:p w14:paraId="297744D1" w14:textId="77777777" w:rsidR="00406D50" w:rsidRPr="009D0BF7" w:rsidRDefault="00406D50" w:rsidP="00C13E1C">
      <w:pPr>
        <w:pStyle w:val="BodyTextIndent"/>
        <w:numPr>
          <w:ilvl w:val="0"/>
          <w:numId w:val="9"/>
        </w:numPr>
        <w:spacing w:after="0"/>
        <w:ind w:left="1440"/>
        <w:rPr>
          <w:rFonts w:cs="Arial"/>
          <w:szCs w:val="24"/>
        </w:rPr>
      </w:pPr>
      <w:r w:rsidRPr="009D0BF7">
        <w:rPr>
          <w:rFonts w:cs="Arial"/>
          <w:szCs w:val="24"/>
        </w:rPr>
        <w:t>Procurement</w:t>
      </w:r>
    </w:p>
    <w:p w14:paraId="5F97C16B" w14:textId="77777777" w:rsidR="00406D50" w:rsidRPr="009D0BF7" w:rsidRDefault="00406D50" w:rsidP="00DD4B82">
      <w:pPr>
        <w:pStyle w:val="BodyTextIndent"/>
        <w:numPr>
          <w:ilvl w:val="0"/>
          <w:numId w:val="9"/>
        </w:numPr>
        <w:spacing w:after="480"/>
        <w:ind w:left="1440"/>
        <w:rPr>
          <w:rFonts w:cs="Arial"/>
          <w:szCs w:val="24"/>
        </w:rPr>
      </w:pPr>
      <w:r w:rsidRPr="009D0BF7">
        <w:rPr>
          <w:rFonts w:cs="Arial"/>
          <w:szCs w:val="24"/>
        </w:rPr>
        <w:t>Data processing</w:t>
      </w:r>
    </w:p>
    <w:p w14:paraId="561D6C0B" w14:textId="2BB8D1AB" w:rsidR="00406D50" w:rsidRPr="005C2C3D" w:rsidRDefault="00406D50" w:rsidP="0056789E">
      <w:pPr>
        <w:pStyle w:val="Heading3"/>
      </w:pPr>
      <w:bookmarkStart w:id="17" w:name="_Toc100753995"/>
      <w:r w:rsidRPr="005C2C3D">
        <w:rPr>
          <w:rStyle w:val="Heading3Char"/>
          <w:b/>
          <w:bCs/>
        </w:rPr>
        <w:lastRenderedPageBreak/>
        <w:t>Payments</w:t>
      </w:r>
      <w:bookmarkEnd w:id="17"/>
    </w:p>
    <w:p w14:paraId="41C6D84F" w14:textId="23D7D239" w:rsidR="00406D50" w:rsidRPr="00FD202E" w:rsidRDefault="00406D50" w:rsidP="0056789E">
      <w:pPr>
        <w:spacing w:after="240"/>
        <w:ind w:left="720"/>
        <w:rPr>
          <w:rFonts w:cs="Arial"/>
          <w:szCs w:val="24"/>
        </w:rPr>
      </w:pPr>
      <w:r w:rsidRPr="00FD202E">
        <w:rPr>
          <w:rFonts w:cs="Arial"/>
          <w:szCs w:val="24"/>
        </w:rPr>
        <w:t>Payment</w:t>
      </w:r>
      <w:r w:rsidR="009C25B0" w:rsidRPr="00FD202E">
        <w:rPr>
          <w:rFonts w:cs="Arial"/>
          <w:szCs w:val="24"/>
        </w:rPr>
        <w:t>s will follow the schedule below:</w:t>
      </w:r>
    </w:p>
    <w:tbl>
      <w:tblPr>
        <w:tblStyle w:val="TableGrid"/>
        <w:tblW w:w="4668" w:type="pct"/>
        <w:tblInd w:w="715" w:type="dxa"/>
        <w:tblLook w:val="01E0" w:firstRow="1" w:lastRow="1" w:firstColumn="1" w:lastColumn="1" w:noHBand="0" w:noVBand="0"/>
        <w:tblDescription w:val="Table explains the percent of the total funded grant amount with date issued and reporting requirements."/>
      </w:tblPr>
      <w:tblGrid>
        <w:gridCol w:w="1980"/>
        <w:gridCol w:w="6749"/>
      </w:tblGrid>
      <w:tr w:rsidR="00406D50" w:rsidRPr="00FD202E" w14:paraId="207723D5" w14:textId="77777777" w:rsidTr="00DB64DE">
        <w:trPr>
          <w:cantSplit/>
          <w:trHeight w:val="620"/>
          <w:tblHeader/>
        </w:trPr>
        <w:tc>
          <w:tcPr>
            <w:tcW w:w="1134" w:type="pct"/>
          </w:tcPr>
          <w:p w14:paraId="04652146" w14:textId="77777777" w:rsidR="00406D50" w:rsidRPr="00FD202E" w:rsidRDefault="00406D50" w:rsidP="0048787F">
            <w:pPr>
              <w:ind w:left="41"/>
              <w:jc w:val="center"/>
              <w:rPr>
                <w:rFonts w:ascii="Arial" w:hAnsi="Arial" w:cs="Arial"/>
                <w:b/>
                <w:sz w:val="24"/>
                <w:szCs w:val="24"/>
              </w:rPr>
            </w:pPr>
            <w:r w:rsidRPr="00FD202E">
              <w:rPr>
                <w:rFonts w:ascii="Arial" w:hAnsi="Arial" w:cs="Arial"/>
                <w:b/>
                <w:sz w:val="24"/>
                <w:szCs w:val="24"/>
              </w:rPr>
              <w:t>Percent of the Total Funded Grant Amount</w:t>
            </w:r>
          </w:p>
        </w:tc>
        <w:tc>
          <w:tcPr>
            <w:tcW w:w="3866" w:type="pct"/>
          </w:tcPr>
          <w:p w14:paraId="36BA345A" w14:textId="77777777" w:rsidR="00406D50" w:rsidRPr="00FD202E" w:rsidRDefault="00406D50" w:rsidP="0048787F">
            <w:pPr>
              <w:ind w:left="41"/>
              <w:jc w:val="center"/>
              <w:rPr>
                <w:rFonts w:ascii="Arial" w:hAnsi="Arial" w:cs="Arial"/>
                <w:b/>
                <w:sz w:val="24"/>
                <w:szCs w:val="24"/>
              </w:rPr>
            </w:pPr>
            <w:r w:rsidRPr="00FD202E">
              <w:rPr>
                <w:rFonts w:ascii="Arial" w:hAnsi="Arial" w:cs="Arial"/>
                <w:b/>
                <w:sz w:val="24"/>
                <w:szCs w:val="24"/>
              </w:rPr>
              <w:t>Date Issued and Reporting Requirements</w:t>
            </w:r>
          </w:p>
        </w:tc>
      </w:tr>
      <w:tr w:rsidR="00406D50" w:rsidRPr="00FD202E" w14:paraId="61D47AD6" w14:textId="77777777" w:rsidTr="00DB64DE">
        <w:trPr>
          <w:cantSplit/>
          <w:trHeight w:val="540"/>
          <w:tblHeader/>
        </w:trPr>
        <w:tc>
          <w:tcPr>
            <w:tcW w:w="1134" w:type="pct"/>
            <w:vAlign w:val="center"/>
          </w:tcPr>
          <w:p w14:paraId="15A672A1" w14:textId="18187E3F" w:rsidR="00406D50" w:rsidRPr="00FD202E" w:rsidRDefault="00195F66" w:rsidP="00566F09">
            <w:pPr>
              <w:ind w:left="41"/>
              <w:jc w:val="center"/>
              <w:rPr>
                <w:rFonts w:ascii="Arial" w:hAnsi="Arial" w:cs="Arial"/>
                <w:sz w:val="24"/>
                <w:szCs w:val="24"/>
              </w:rPr>
            </w:pPr>
            <w:r w:rsidRPr="00FD202E">
              <w:rPr>
                <w:rFonts w:ascii="Arial" w:hAnsi="Arial" w:cs="Arial"/>
                <w:sz w:val="24"/>
                <w:szCs w:val="24"/>
              </w:rPr>
              <w:t>8</w:t>
            </w:r>
            <w:r w:rsidR="00406D50" w:rsidRPr="00FD202E">
              <w:rPr>
                <w:rFonts w:ascii="Arial" w:hAnsi="Arial" w:cs="Arial"/>
                <w:sz w:val="24"/>
                <w:szCs w:val="24"/>
              </w:rPr>
              <w:t>0</w:t>
            </w:r>
          </w:p>
        </w:tc>
        <w:tc>
          <w:tcPr>
            <w:tcW w:w="3866" w:type="pct"/>
          </w:tcPr>
          <w:p w14:paraId="2D885292" w14:textId="1DD8134C" w:rsidR="00406D50" w:rsidRPr="00FD202E" w:rsidRDefault="00406D50" w:rsidP="0078300E">
            <w:pPr>
              <w:ind w:left="41"/>
              <w:rPr>
                <w:rFonts w:ascii="Arial" w:hAnsi="Arial" w:cs="Arial"/>
                <w:sz w:val="24"/>
                <w:szCs w:val="24"/>
              </w:rPr>
            </w:pPr>
            <w:r w:rsidRPr="00FD202E">
              <w:rPr>
                <w:rFonts w:ascii="Arial" w:hAnsi="Arial" w:cs="Arial"/>
                <w:sz w:val="24"/>
                <w:szCs w:val="24"/>
              </w:rPr>
              <w:t xml:space="preserve">On receipt of </w:t>
            </w:r>
            <w:r w:rsidR="0078300E" w:rsidRPr="00FD202E">
              <w:rPr>
                <w:rFonts w:ascii="Arial" w:hAnsi="Arial" w:cs="Arial"/>
                <w:sz w:val="24"/>
                <w:szCs w:val="24"/>
              </w:rPr>
              <w:t>the signed original grant award letter (AO-400)</w:t>
            </w:r>
            <w:r w:rsidR="00DB64DE">
              <w:rPr>
                <w:rFonts w:ascii="Arial" w:hAnsi="Arial" w:cs="Arial"/>
                <w:sz w:val="24"/>
                <w:szCs w:val="24"/>
              </w:rPr>
              <w:t>.</w:t>
            </w:r>
          </w:p>
        </w:tc>
      </w:tr>
      <w:tr w:rsidR="00406D50" w:rsidRPr="00566F09" w14:paraId="6EA6C74C" w14:textId="77777777" w:rsidTr="00DB64DE">
        <w:trPr>
          <w:cantSplit/>
          <w:trHeight w:val="555"/>
          <w:tblHeader/>
        </w:trPr>
        <w:tc>
          <w:tcPr>
            <w:tcW w:w="1134" w:type="pct"/>
            <w:vAlign w:val="center"/>
          </w:tcPr>
          <w:p w14:paraId="2CBA95F2" w14:textId="190D338B" w:rsidR="00406D50" w:rsidRPr="00FD202E" w:rsidRDefault="00406D50" w:rsidP="00566F09">
            <w:pPr>
              <w:ind w:left="41"/>
              <w:jc w:val="center"/>
              <w:rPr>
                <w:rFonts w:ascii="Arial" w:hAnsi="Arial" w:cs="Arial"/>
                <w:sz w:val="24"/>
                <w:szCs w:val="24"/>
              </w:rPr>
            </w:pPr>
            <w:r w:rsidRPr="00FD202E">
              <w:rPr>
                <w:rFonts w:ascii="Arial" w:hAnsi="Arial" w:cs="Arial"/>
                <w:sz w:val="24"/>
                <w:szCs w:val="24"/>
              </w:rPr>
              <w:t xml:space="preserve">20 </w:t>
            </w:r>
          </w:p>
        </w:tc>
        <w:tc>
          <w:tcPr>
            <w:tcW w:w="3866" w:type="pct"/>
          </w:tcPr>
          <w:p w14:paraId="24ABFF2B" w14:textId="77581470" w:rsidR="00BD572D" w:rsidRPr="00FD202E" w:rsidRDefault="00195F66" w:rsidP="0078300E">
            <w:pPr>
              <w:ind w:left="41"/>
              <w:rPr>
                <w:rFonts w:ascii="Arial" w:hAnsi="Arial" w:cs="Arial"/>
                <w:sz w:val="24"/>
                <w:szCs w:val="24"/>
              </w:rPr>
            </w:pPr>
            <w:r w:rsidRPr="00FD202E">
              <w:rPr>
                <w:rFonts w:ascii="Arial" w:hAnsi="Arial" w:cs="Arial"/>
                <w:sz w:val="24"/>
                <w:szCs w:val="24"/>
              </w:rPr>
              <w:t>20</w:t>
            </w:r>
            <w:r w:rsidR="00BD572D" w:rsidRPr="00FD202E">
              <w:rPr>
                <w:rFonts w:ascii="Arial" w:hAnsi="Arial" w:cs="Arial"/>
                <w:sz w:val="24"/>
                <w:szCs w:val="24"/>
              </w:rPr>
              <w:t xml:space="preserve"> percent will be withheld until the final attendance and expenditure reports are received.</w:t>
            </w:r>
          </w:p>
          <w:p w14:paraId="7568E504" w14:textId="77777777" w:rsidR="00BD572D" w:rsidRPr="00FD202E" w:rsidRDefault="00BD572D" w:rsidP="0078300E">
            <w:pPr>
              <w:ind w:left="41"/>
              <w:rPr>
                <w:rFonts w:ascii="Arial" w:hAnsi="Arial" w:cs="Arial"/>
                <w:sz w:val="24"/>
                <w:szCs w:val="24"/>
              </w:rPr>
            </w:pPr>
          </w:p>
          <w:p w14:paraId="5426C6D5" w14:textId="46F39FD9" w:rsidR="0078300E" w:rsidRPr="00FD202E" w:rsidRDefault="00B338BE" w:rsidP="0078300E">
            <w:pPr>
              <w:ind w:left="41"/>
              <w:rPr>
                <w:rFonts w:ascii="Arial" w:hAnsi="Arial" w:cs="Arial"/>
                <w:sz w:val="24"/>
                <w:szCs w:val="24"/>
              </w:rPr>
            </w:pPr>
            <w:r w:rsidRPr="00FD202E">
              <w:rPr>
                <w:rFonts w:ascii="Arial" w:hAnsi="Arial" w:cs="Arial"/>
                <w:sz w:val="24"/>
                <w:szCs w:val="24"/>
              </w:rPr>
              <w:t xml:space="preserve">Payments will only be made up to the amount expended through the </w:t>
            </w:r>
            <w:r w:rsidR="009C25B0" w:rsidRPr="00FD202E">
              <w:rPr>
                <w:rFonts w:ascii="Arial" w:hAnsi="Arial" w:cs="Arial"/>
                <w:sz w:val="24"/>
                <w:szCs w:val="24"/>
              </w:rPr>
              <w:t xml:space="preserve">ESSER III Summer </w:t>
            </w:r>
            <w:r w:rsidR="005658E2">
              <w:rPr>
                <w:rFonts w:ascii="Arial" w:hAnsi="Arial" w:cs="Arial"/>
                <w:sz w:val="24"/>
                <w:szCs w:val="24"/>
              </w:rPr>
              <w:t xml:space="preserve">Grant </w:t>
            </w:r>
            <w:r w:rsidR="000941CA">
              <w:rPr>
                <w:rFonts w:ascii="Arial" w:hAnsi="Arial" w:cs="Arial"/>
                <w:sz w:val="24"/>
                <w:szCs w:val="24"/>
              </w:rPr>
              <w:t>P</w:t>
            </w:r>
            <w:r w:rsidRPr="00FD202E">
              <w:rPr>
                <w:rFonts w:ascii="Arial" w:hAnsi="Arial" w:cs="Arial"/>
                <w:sz w:val="24"/>
                <w:szCs w:val="24"/>
              </w:rPr>
              <w:t>rogram.</w:t>
            </w:r>
            <w:r w:rsidR="0078300E" w:rsidRPr="00FD202E">
              <w:rPr>
                <w:rFonts w:ascii="Arial" w:hAnsi="Arial" w:cs="Arial"/>
                <w:sz w:val="24"/>
                <w:szCs w:val="24"/>
              </w:rPr>
              <w:t xml:space="preserve"> </w:t>
            </w:r>
          </w:p>
        </w:tc>
      </w:tr>
    </w:tbl>
    <w:p w14:paraId="0F389A5C" w14:textId="4029419E" w:rsidR="00406D50" w:rsidRDefault="00406D50" w:rsidP="00DB64DE">
      <w:pPr>
        <w:spacing w:before="240" w:after="480"/>
        <w:ind w:left="720"/>
        <w:rPr>
          <w:rFonts w:cs="Arial"/>
          <w:szCs w:val="24"/>
        </w:rPr>
      </w:pPr>
      <w:r w:rsidRPr="00BD572D">
        <w:rPr>
          <w:rFonts w:cs="Arial"/>
          <w:szCs w:val="24"/>
        </w:rPr>
        <w:t>Payments will be withheld if reporting requirements are not met or if the grantee has invoices outstanding of more than 90 days (</w:t>
      </w:r>
      <w:r w:rsidRPr="00BD572D">
        <w:rPr>
          <w:rFonts w:cs="Arial"/>
          <w:i/>
          <w:szCs w:val="24"/>
        </w:rPr>
        <w:t>EC</w:t>
      </w:r>
      <w:r w:rsidRPr="00BD572D">
        <w:rPr>
          <w:rFonts w:cs="Arial"/>
          <w:szCs w:val="24"/>
        </w:rPr>
        <w:t xml:space="preserve"> </w:t>
      </w:r>
      <w:r w:rsidRPr="00BD572D">
        <w:rPr>
          <w:rStyle w:val="Strong"/>
          <w:rFonts w:cs="Arial"/>
          <w:b w:val="0"/>
          <w:szCs w:val="24"/>
        </w:rPr>
        <w:t xml:space="preserve">sections </w:t>
      </w:r>
      <w:r w:rsidR="00253653">
        <w:rPr>
          <w:rFonts w:cs="Arial"/>
          <w:szCs w:val="24"/>
        </w:rPr>
        <w:t>8426[h], 8426[i]</w:t>
      </w:r>
      <w:r w:rsidR="00253653">
        <w:rPr>
          <w:rStyle w:val="Strong"/>
          <w:rFonts w:cs="Arial"/>
          <w:b w:val="0"/>
          <w:szCs w:val="24"/>
        </w:rPr>
        <w:t xml:space="preserve">, </w:t>
      </w:r>
      <w:r w:rsidRPr="00BD572D">
        <w:rPr>
          <w:rStyle w:val="Strong"/>
          <w:rFonts w:cs="Arial"/>
          <w:b w:val="0"/>
          <w:szCs w:val="24"/>
        </w:rPr>
        <w:t>8483.7[a][1][</w:t>
      </w:r>
      <w:r w:rsidR="00A04BD9">
        <w:rPr>
          <w:rStyle w:val="Strong"/>
          <w:rFonts w:cs="Arial"/>
          <w:b w:val="0"/>
          <w:szCs w:val="24"/>
        </w:rPr>
        <w:t>G</w:t>
      </w:r>
      <w:r w:rsidRPr="00BD572D">
        <w:rPr>
          <w:rStyle w:val="Strong"/>
          <w:rFonts w:cs="Arial"/>
          <w:b w:val="0"/>
          <w:szCs w:val="24"/>
        </w:rPr>
        <w:t>]</w:t>
      </w:r>
      <w:r w:rsidR="00A04BD9">
        <w:rPr>
          <w:rFonts w:cs="Arial"/>
          <w:szCs w:val="24"/>
        </w:rPr>
        <w:t>,</w:t>
      </w:r>
      <w:r w:rsidR="00253653">
        <w:rPr>
          <w:rFonts w:cs="Arial"/>
          <w:szCs w:val="24"/>
        </w:rPr>
        <w:t xml:space="preserve"> and </w:t>
      </w:r>
      <w:r w:rsidRPr="001E0AD8">
        <w:rPr>
          <w:rFonts w:cs="Arial"/>
          <w:szCs w:val="24"/>
        </w:rPr>
        <w:t>8483.8[a]).</w:t>
      </w:r>
    </w:p>
    <w:p w14:paraId="067E7DF3" w14:textId="5CBCF6F4" w:rsidR="009C25B0" w:rsidRPr="00922C64" w:rsidRDefault="00BB7B37" w:rsidP="00E7484B">
      <w:pPr>
        <w:pStyle w:val="Heading2"/>
        <w:numPr>
          <w:ilvl w:val="0"/>
          <w:numId w:val="13"/>
        </w:numPr>
        <w:spacing w:after="480"/>
        <w:ind w:left="360"/>
      </w:pPr>
      <w:bookmarkStart w:id="18" w:name="_Toc100753996"/>
      <w:r w:rsidRPr="00922C64">
        <w:t>Program Monitoring and Annual Audit</w:t>
      </w:r>
      <w:bookmarkEnd w:id="18"/>
    </w:p>
    <w:p w14:paraId="7FAB74C3" w14:textId="77777777" w:rsidR="00BB7B37" w:rsidRPr="00C92B6A" w:rsidRDefault="00BB7B37" w:rsidP="0056789E">
      <w:pPr>
        <w:pStyle w:val="Heading3"/>
        <w:numPr>
          <w:ilvl w:val="0"/>
          <w:numId w:val="38"/>
        </w:numPr>
        <w:tabs>
          <w:tab w:val="left" w:pos="9360"/>
        </w:tabs>
      </w:pPr>
      <w:bookmarkStart w:id="19" w:name="_Toc425854859"/>
      <w:bookmarkStart w:id="20" w:name="_Toc425855411"/>
      <w:bookmarkStart w:id="21" w:name="_Toc425855975"/>
      <w:bookmarkStart w:id="22" w:name="_Toc518569537"/>
      <w:bookmarkStart w:id="23" w:name="_Toc57104375"/>
      <w:bookmarkStart w:id="24" w:name="_Toc100753997"/>
      <w:r w:rsidRPr="00C92B6A">
        <w:t>Program Monitoring</w:t>
      </w:r>
      <w:bookmarkEnd w:id="19"/>
      <w:bookmarkEnd w:id="20"/>
      <w:bookmarkEnd w:id="21"/>
      <w:bookmarkEnd w:id="22"/>
      <w:bookmarkEnd w:id="23"/>
      <w:bookmarkEnd w:id="24"/>
    </w:p>
    <w:p w14:paraId="67D8404A" w14:textId="22FD9E37" w:rsidR="00BB7B37" w:rsidRDefault="00BB7B37" w:rsidP="0056789E">
      <w:pPr>
        <w:pStyle w:val="BodyText"/>
        <w:spacing w:after="480"/>
        <w:ind w:left="720"/>
        <w:rPr>
          <w:rFonts w:cs="Arial"/>
          <w:szCs w:val="24"/>
        </w:rPr>
      </w:pPr>
      <w:r w:rsidRPr="00944C55">
        <w:rPr>
          <w:rFonts w:cs="Arial"/>
          <w:szCs w:val="24"/>
        </w:rPr>
        <w:t xml:space="preserve">State law requires the CDE to systematically monitor the implementation of funded programs, including the </w:t>
      </w:r>
      <w:r w:rsidR="00CE53BA">
        <w:rPr>
          <w:rFonts w:cs="Arial"/>
          <w:szCs w:val="24"/>
        </w:rPr>
        <w:t>ESSER III Summer</w:t>
      </w:r>
      <w:r w:rsidRPr="00944C55">
        <w:rPr>
          <w:rFonts w:cs="Arial"/>
          <w:szCs w:val="24"/>
        </w:rPr>
        <w:t xml:space="preserve"> </w:t>
      </w:r>
      <w:r w:rsidR="005658E2">
        <w:rPr>
          <w:rFonts w:cs="Arial"/>
          <w:szCs w:val="24"/>
        </w:rPr>
        <w:t xml:space="preserve">Grant </w:t>
      </w:r>
      <w:r w:rsidRPr="00944C55">
        <w:rPr>
          <w:rFonts w:cs="Arial"/>
          <w:szCs w:val="24"/>
        </w:rPr>
        <w:t xml:space="preserve">Program. </w:t>
      </w:r>
      <w:r w:rsidR="00202346">
        <w:rPr>
          <w:rFonts w:cs="Arial"/>
          <w:szCs w:val="24"/>
        </w:rPr>
        <w:t>If selected, g</w:t>
      </w:r>
      <w:r w:rsidR="00202346" w:rsidRPr="00944C55">
        <w:rPr>
          <w:rFonts w:cs="Arial"/>
          <w:szCs w:val="24"/>
        </w:rPr>
        <w:t xml:space="preserve">rantees </w:t>
      </w:r>
      <w:r w:rsidRPr="00944C55">
        <w:rPr>
          <w:rFonts w:cs="Arial"/>
          <w:szCs w:val="24"/>
        </w:rPr>
        <w:t xml:space="preserve">operating an </w:t>
      </w:r>
      <w:r w:rsidR="00CE53BA">
        <w:rPr>
          <w:rFonts w:cs="Arial"/>
          <w:szCs w:val="24"/>
        </w:rPr>
        <w:t>ESSER III Summer</w:t>
      </w:r>
      <w:r w:rsidRPr="00944C55">
        <w:rPr>
          <w:rFonts w:cs="Arial"/>
          <w:szCs w:val="24"/>
        </w:rPr>
        <w:t xml:space="preserve"> </w:t>
      </w:r>
      <w:r w:rsidR="005658E2">
        <w:rPr>
          <w:rFonts w:cs="Arial"/>
          <w:szCs w:val="24"/>
        </w:rPr>
        <w:t xml:space="preserve">Grant </w:t>
      </w:r>
      <w:r w:rsidRPr="00944C55">
        <w:rPr>
          <w:rFonts w:cs="Arial"/>
          <w:szCs w:val="24"/>
        </w:rPr>
        <w:t>Program must</w:t>
      </w:r>
      <w:r w:rsidRPr="00C92B6A">
        <w:rPr>
          <w:rFonts w:cs="Arial"/>
          <w:szCs w:val="24"/>
        </w:rPr>
        <w:t xml:space="preserve"> participate in the CDE’s program monitoring process. This state oversight is accomplished in part by conducting on-site and online monitoring reviews. The purpose of the review is to verify compliance with the statutory requirements of each program and to ensure that program funds are spent according to program requirements.</w:t>
      </w:r>
    </w:p>
    <w:p w14:paraId="54F59ECE" w14:textId="768EFBBD" w:rsidR="00BB7B37" w:rsidRPr="00BB7B37" w:rsidRDefault="00BB7B37" w:rsidP="0056789E">
      <w:pPr>
        <w:pStyle w:val="Heading3"/>
      </w:pPr>
      <w:bookmarkStart w:id="25" w:name="_Toc100753998"/>
      <w:r w:rsidRPr="00BB7B37">
        <w:t>Annual Fiscal Audit</w:t>
      </w:r>
      <w:bookmarkEnd w:id="25"/>
    </w:p>
    <w:p w14:paraId="38D5E48E" w14:textId="4271F9E3" w:rsidR="009C25B0" w:rsidRPr="004147D6" w:rsidRDefault="00BB7B37" w:rsidP="0056789E">
      <w:pPr>
        <w:pStyle w:val="BodyText"/>
        <w:spacing w:after="480"/>
        <w:ind w:left="720"/>
      </w:pPr>
      <w:r w:rsidRPr="00BB7B37">
        <w:t xml:space="preserve">All entities that receive </w:t>
      </w:r>
      <w:r w:rsidR="00CE53BA">
        <w:t xml:space="preserve">ESSER III </w:t>
      </w:r>
      <w:r w:rsidR="005658E2">
        <w:t xml:space="preserve">Summer Grant </w:t>
      </w:r>
      <w:r w:rsidRPr="00BB7B37">
        <w:t xml:space="preserve">Program funds must undergo an annual financial and compliance audit as well as keep adequate and accurate records for the </w:t>
      </w:r>
      <w:r w:rsidR="00CE53BA">
        <w:t>ESSER III Summer</w:t>
      </w:r>
      <w:r w:rsidRPr="00BB7B37">
        <w:t xml:space="preserve"> </w:t>
      </w:r>
      <w:r w:rsidR="005658E2">
        <w:t xml:space="preserve">Grant </w:t>
      </w:r>
      <w:r w:rsidRPr="00BB7B37">
        <w:t>Program. The funded program shall abide by generally accepted accounting principles and recordkeeping requirements (</w:t>
      </w:r>
      <w:r w:rsidRPr="00BB7B37">
        <w:rPr>
          <w:i/>
        </w:rPr>
        <w:t>EC</w:t>
      </w:r>
      <w:r w:rsidRPr="00BB7B37">
        <w:t xml:space="preserve"> sections 8448[a][1], 8448[d], and 41020[b][4]). The LEA</w:t>
      </w:r>
      <w:r w:rsidR="00CE53BA">
        <w:t xml:space="preserve">s </w:t>
      </w:r>
      <w:r w:rsidRPr="00BB7B37">
        <w:t>are required to maintain auditable records, which must be made available upon request to auditors and other governmental agencies for monitoring, reviews, and audits. All records must be maintained until the audit is resolved by the state.</w:t>
      </w:r>
    </w:p>
    <w:p w14:paraId="098676B2" w14:textId="7FCA242D" w:rsidR="00406D50" w:rsidRDefault="00406D50" w:rsidP="00E7484B">
      <w:pPr>
        <w:pStyle w:val="Heading2"/>
        <w:numPr>
          <w:ilvl w:val="0"/>
          <w:numId w:val="39"/>
        </w:numPr>
        <w:ind w:left="360"/>
        <w:rPr>
          <w:rStyle w:val="Heading2Char"/>
          <w:b/>
          <w:i/>
          <w:szCs w:val="24"/>
        </w:rPr>
      </w:pPr>
      <w:bookmarkStart w:id="26" w:name="_Toc432411176"/>
      <w:bookmarkStart w:id="27" w:name="_Toc361667290"/>
      <w:bookmarkStart w:id="28" w:name="_Toc364411689"/>
      <w:bookmarkStart w:id="29" w:name="_Ref367706860"/>
      <w:bookmarkStart w:id="30" w:name="_Toc414365039"/>
      <w:bookmarkStart w:id="31" w:name="_Toc100753999"/>
      <w:bookmarkStart w:id="32" w:name="_Toc361667287"/>
      <w:r w:rsidRPr="00B77B56">
        <w:rPr>
          <w:rStyle w:val="Heading2Char"/>
          <w:b/>
          <w:szCs w:val="24"/>
        </w:rPr>
        <w:lastRenderedPageBreak/>
        <w:t>Eligibility Criteria and Determination</w:t>
      </w:r>
      <w:r w:rsidR="00436DC2">
        <w:rPr>
          <w:rStyle w:val="Heading2Char"/>
          <w:b/>
          <w:szCs w:val="24"/>
        </w:rPr>
        <w:t>—</w:t>
      </w:r>
      <w:r w:rsidRPr="00A43762">
        <w:rPr>
          <w:rStyle w:val="Heading2Char"/>
          <w:b/>
          <w:i/>
          <w:szCs w:val="24"/>
        </w:rPr>
        <w:t>Who May Apply</w:t>
      </w:r>
      <w:bookmarkEnd w:id="26"/>
      <w:bookmarkEnd w:id="27"/>
      <w:bookmarkEnd w:id="28"/>
      <w:bookmarkEnd w:id="29"/>
      <w:bookmarkEnd w:id="30"/>
      <w:bookmarkEnd w:id="31"/>
    </w:p>
    <w:p w14:paraId="29FEB845" w14:textId="650129E9" w:rsidR="00053CF3" w:rsidRPr="00414F47" w:rsidRDefault="00404E2E" w:rsidP="00053CF3">
      <w:pPr>
        <w:pStyle w:val="ListParagraph"/>
        <w:numPr>
          <w:ilvl w:val="0"/>
          <w:numId w:val="47"/>
        </w:numPr>
        <w:rPr>
          <w:rFonts w:cs="Arial"/>
          <w:szCs w:val="24"/>
        </w:rPr>
      </w:pPr>
      <w:r w:rsidRPr="00414F47">
        <w:t xml:space="preserve">For </w:t>
      </w:r>
      <w:r w:rsidR="00E10001" w:rsidRPr="00414F47">
        <w:t xml:space="preserve">ASES Summer Funding: </w:t>
      </w:r>
      <w:r w:rsidR="00E10001" w:rsidRPr="00414F47">
        <w:rPr>
          <w:rFonts w:cs="Arial"/>
          <w:szCs w:val="24"/>
        </w:rPr>
        <w:t>only existing ASES grantees are eligible to apply</w:t>
      </w:r>
      <w:r w:rsidR="00AE4716">
        <w:rPr>
          <w:rFonts w:cs="Arial"/>
          <w:szCs w:val="24"/>
        </w:rPr>
        <w:t>.</w:t>
      </w:r>
      <w:r w:rsidR="00053CF3" w:rsidRPr="00414F47">
        <w:t xml:space="preserve"> </w:t>
      </w:r>
      <w:r w:rsidR="00053CF3" w:rsidRPr="00414F47">
        <w:rPr>
          <w:rFonts w:cs="Arial"/>
          <w:szCs w:val="24"/>
        </w:rPr>
        <w:t xml:space="preserve">If </w:t>
      </w:r>
      <w:r w:rsidR="00AE4716">
        <w:rPr>
          <w:rFonts w:cs="Arial"/>
          <w:szCs w:val="24"/>
        </w:rPr>
        <w:t>there is</w:t>
      </w:r>
      <w:r w:rsidR="00053CF3" w:rsidRPr="00414F47">
        <w:rPr>
          <w:rFonts w:cs="Arial"/>
          <w:szCs w:val="24"/>
        </w:rPr>
        <w:t xml:space="preserve"> a current </w:t>
      </w:r>
      <w:r w:rsidRPr="00414F47">
        <w:rPr>
          <w:rFonts w:cs="Arial"/>
          <w:szCs w:val="24"/>
        </w:rPr>
        <w:t>s</w:t>
      </w:r>
      <w:r w:rsidR="00053CF3" w:rsidRPr="00414F47">
        <w:rPr>
          <w:rFonts w:cs="Arial"/>
          <w:szCs w:val="24"/>
        </w:rPr>
        <w:t>ummer/</w:t>
      </w:r>
      <w:r w:rsidRPr="00414F47">
        <w:rPr>
          <w:rFonts w:cs="Arial"/>
          <w:szCs w:val="24"/>
        </w:rPr>
        <w:t>s</w:t>
      </w:r>
      <w:r w:rsidR="00053CF3" w:rsidRPr="00414F47">
        <w:rPr>
          <w:rFonts w:cs="Arial"/>
          <w:szCs w:val="24"/>
        </w:rPr>
        <w:t>upplemental funding</w:t>
      </w:r>
      <w:r w:rsidR="00AD5E0B">
        <w:rPr>
          <w:rFonts w:cs="Arial"/>
          <w:szCs w:val="24"/>
        </w:rPr>
        <w:t>, the grantee is</w:t>
      </w:r>
      <w:r w:rsidR="00053CF3" w:rsidRPr="00414F47">
        <w:rPr>
          <w:rFonts w:cs="Arial"/>
          <w:szCs w:val="24"/>
        </w:rPr>
        <w:t xml:space="preserve"> eligible to apply for these funds </w:t>
      </w:r>
      <w:r w:rsidRPr="00414F47">
        <w:rPr>
          <w:rFonts w:cs="Arial"/>
          <w:szCs w:val="24"/>
        </w:rPr>
        <w:t xml:space="preserve">as well </w:t>
      </w:r>
      <w:r w:rsidR="00053CF3" w:rsidRPr="00414F47">
        <w:rPr>
          <w:rFonts w:cs="Arial"/>
          <w:szCs w:val="24"/>
        </w:rPr>
        <w:t>to expand or enhance the current progra</w:t>
      </w:r>
      <w:r w:rsidRPr="00414F47">
        <w:rPr>
          <w:rFonts w:cs="Arial"/>
          <w:szCs w:val="24"/>
        </w:rPr>
        <w:t>m(s)</w:t>
      </w:r>
      <w:r w:rsidR="00053CF3" w:rsidRPr="00414F47">
        <w:rPr>
          <w:rFonts w:cs="Arial"/>
          <w:szCs w:val="24"/>
        </w:rPr>
        <w:t>.</w:t>
      </w:r>
      <w:r w:rsidR="00053CF3" w:rsidRPr="00414F47">
        <w:rPr>
          <w:rFonts w:cs="Arial"/>
          <w:szCs w:val="24"/>
        </w:rPr>
        <w:br/>
      </w:r>
    </w:p>
    <w:p w14:paraId="61A1371B" w14:textId="33D9FFE0" w:rsidR="00E10001" w:rsidRPr="00414F47" w:rsidRDefault="00404E2E" w:rsidP="00E10001">
      <w:pPr>
        <w:pStyle w:val="ListParagraph"/>
        <w:numPr>
          <w:ilvl w:val="0"/>
          <w:numId w:val="47"/>
        </w:numPr>
        <w:spacing w:after="240"/>
        <w:rPr>
          <w:rFonts w:cs="Arial"/>
          <w:szCs w:val="24"/>
        </w:rPr>
      </w:pPr>
      <w:r w:rsidRPr="00414F47">
        <w:t xml:space="preserve">For </w:t>
      </w:r>
      <w:r w:rsidR="00E10001" w:rsidRPr="00414F47">
        <w:t>2</w:t>
      </w:r>
      <w:r w:rsidR="00A61C6A">
        <w:t>1st</w:t>
      </w:r>
      <w:r w:rsidR="00E10001" w:rsidRPr="00414F47">
        <w:t xml:space="preserve"> CCLC</w:t>
      </w:r>
      <w:r w:rsidR="00833509" w:rsidRPr="00414F47">
        <w:t xml:space="preserve"> and ASSETs</w:t>
      </w:r>
      <w:r w:rsidR="00E10001" w:rsidRPr="00414F47">
        <w:t xml:space="preserve"> Summer Funding:</w:t>
      </w:r>
      <w:r w:rsidR="00E10001" w:rsidRPr="00414F47">
        <w:rPr>
          <w:rFonts w:cs="Arial"/>
          <w:szCs w:val="24"/>
        </w:rPr>
        <w:t xml:space="preserve"> </w:t>
      </w:r>
      <w:r w:rsidRPr="00414F47">
        <w:rPr>
          <w:rFonts w:cs="Arial"/>
          <w:szCs w:val="24"/>
        </w:rPr>
        <w:t>o</w:t>
      </w:r>
      <w:r w:rsidR="00E10001" w:rsidRPr="00414F47">
        <w:rPr>
          <w:rFonts w:cs="Arial"/>
          <w:szCs w:val="24"/>
        </w:rPr>
        <w:t>nly existing 2</w:t>
      </w:r>
      <w:r w:rsidR="00A61C6A">
        <w:rPr>
          <w:rFonts w:cs="Arial"/>
          <w:szCs w:val="24"/>
        </w:rPr>
        <w:t>1st</w:t>
      </w:r>
      <w:r w:rsidR="00E10001" w:rsidRPr="00414F47">
        <w:rPr>
          <w:rFonts w:cs="Arial"/>
          <w:szCs w:val="24"/>
        </w:rPr>
        <w:t xml:space="preserve"> CCLC </w:t>
      </w:r>
      <w:r w:rsidR="00053CF3" w:rsidRPr="00414F47">
        <w:rPr>
          <w:rFonts w:cs="Arial"/>
          <w:szCs w:val="24"/>
        </w:rPr>
        <w:t xml:space="preserve">and ASSETs </w:t>
      </w:r>
      <w:r w:rsidR="00E10001" w:rsidRPr="00414F47">
        <w:rPr>
          <w:rFonts w:cs="Arial"/>
          <w:szCs w:val="24"/>
        </w:rPr>
        <w:t>grantees are eligible to apply</w:t>
      </w:r>
      <w:r w:rsidR="00871D5E">
        <w:rPr>
          <w:rFonts w:cs="Arial"/>
          <w:szCs w:val="24"/>
        </w:rPr>
        <w:t>.</w:t>
      </w:r>
      <w:r w:rsidR="00053CF3" w:rsidRPr="00414F47">
        <w:rPr>
          <w:rFonts w:cs="Arial"/>
          <w:szCs w:val="24"/>
        </w:rPr>
        <w:t xml:space="preserve"> </w:t>
      </w:r>
      <w:bookmarkStart w:id="33" w:name="_Hlk99357566"/>
      <w:r w:rsidR="00053CF3" w:rsidRPr="00414F47">
        <w:rPr>
          <w:rFonts w:cs="Arial"/>
          <w:szCs w:val="24"/>
        </w:rPr>
        <w:t xml:space="preserve">If </w:t>
      </w:r>
      <w:r w:rsidR="00871D5E">
        <w:rPr>
          <w:rFonts w:cs="Arial"/>
          <w:szCs w:val="24"/>
        </w:rPr>
        <w:t>there is</w:t>
      </w:r>
      <w:r w:rsidR="00053CF3" w:rsidRPr="00414F47">
        <w:rPr>
          <w:rFonts w:cs="Arial"/>
          <w:szCs w:val="24"/>
        </w:rPr>
        <w:t xml:space="preserve"> a current </w:t>
      </w:r>
      <w:r w:rsidRPr="00414F47">
        <w:rPr>
          <w:rFonts w:cs="Arial"/>
          <w:szCs w:val="24"/>
        </w:rPr>
        <w:t>s</w:t>
      </w:r>
      <w:r w:rsidR="00053CF3" w:rsidRPr="00414F47">
        <w:rPr>
          <w:rFonts w:cs="Arial"/>
          <w:szCs w:val="24"/>
        </w:rPr>
        <w:t>ummer/</w:t>
      </w:r>
      <w:r w:rsidRPr="00414F47">
        <w:rPr>
          <w:rFonts w:cs="Arial"/>
          <w:szCs w:val="24"/>
        </w:rPr>
        <w:t>s</w:t>
      </w:r>
      <w:r w:rsidR="00053CF3" w:rsidRPr="00414F47">
        <w:rPr>
          <w:rFonts w:cs="Arial"/>
          <w:szCs w:val="24"/>
        </w:rPr>
        <w:t>upplemental funding</w:t>
      </w:r>
      <w:r w:rsidR="00871D5E">
        <w:rPr>
          <w:rFonts w:cs="Arial"/>
          <w:szCs w:val="24"/>
        </w:rPr>
        <w:t>, the grantee is</w:t>
      </w:r>
      <w:r w:rsidR="00053CF3" w:rsidRPr="00414F47">
        <w:rPr>
          <w:rFonts w:cs="Arial"/>
          <w:szCs w:val="24"/>
        </w:rPr>
        <w:t xml:space="preserve"> eligible to apply for these funds </w:t>
      </w:r>
      <w:r w:rsidRPr="00414F47">
        <w:rPr>
          <w:rFonts w:cs="Arial"/>
          <w:szCs w:val="24"/>
        </w:rPr>
        <w:t xml:space="preserve">as well </w:t>
      </w:r>
      <w:r w:rsidR="00053CF3" w:rsidRPr="00414F47">
        <w:rPr>
          <w:rFonts w:cs="Arial"/>
          <w:szCs w:val="24"/>
        </w:rPr>
        <w:t xml:space="preserve">to expand or enhance </w:t>
      </w:r>
      <w:r w:rsidR="00871D5E">
        <w:rPr>
          <w:rFonts w:cs="Arial"/>
          <w:szCs w:val="24"/>
        </w:rPr>
        <w:t>the</w:t>
      </w:r>
      <w:r w:rsidR="00053CF3" w:rsidRPr="00414F47">
        <w:rPr>
          <w:rFonts w:cs="Arial"/>
          <w:szCs w:val="24"/>
        </w:rPr>
        <w:t xml:space="preserve"> current program</w:t>
      </w:r>
      <w:r w:rsidRPr="00414F47">
        <w:rPr>
          <w:rFonts w:cs="Arial"/>
          <w:szCs w:val="24"/>
        </w:rPr>
        <w:t>(s)</w:t>
      </w:r>
      <w:r w:rsidR="00053CF3" w:rsidRPr="00414F47">
        <w:rPr>
          <w:rFonts w:cs="Arial"/>
          <w:szCs w:val="24"/>
        </w:rPr>
        <w:t>.</w:t>
      </w:r>
    </w:p>
    <w:bookmarkEnd w:id="33"/>
    <w:p w14:paraId="068431C8" w14:textId="621707FC" w:rsidR="00406D50" w:rsidRPr="009D0BF7" w:rsidRDefault="00406D50" w:rsidP="0056789E">
      <w:pPr>
        <w:pStyle w:val="BodyTextIndent"/>
        <w:spacing w:after="240"/>
        <w:rPr>
          <w:rFonts w:cs="Arial"/>
          <w:szCs w:val="24"/>
        </w:rPr>
      </w:pPr>
      <w:r w:rsidRPr="009D0BF7">
        <w:rPr>
          <w:rFonts w:cs="Arial"/>
          <w:szCs w:val="24"/>
        </w:rPr>
        <w:t xml:space="preserve">Entities </w:t>
      </w:r>
      <w:r w:rsidRPr="009D0BF7">
        <w:rPr>
          <w:rFonts w:cs="Arial"/>
          <w:b/>
          <w:szCs w:val="24"/>
        </w:rPr>
        <w:t>eligible to apply</w:t>
      </w:r>
      <w:r w:rsidR="000E75D5">
        <w:rPr>
          <w:rFonts w:cs="Arial"/>
          <w:szCs w:val="24"/>
        </w:rPr>
        <w:t xml:space="preserve"> for </w:t>
      </w:r>
      <w:r w:rsidR="00A3004A">
        <w:rPr>
          <w:rFonts w:cs="Arial"/>
          <w:szCs w:val="24"/>
        </w:rPr>
        <w:t>the ESSER III Summer</w:t>
      </w:r>
      <w:r w:rsidR="000E75D5">
        <w:rPr>
          <w:rFonts w:cs="Arial"/>
          <w:szCs w:val="24"/>
        </w:rPr>
        <w:t xml:space="preserve"> </w:t>
      </w:r>
      <w:r w:rsidR="005658E2">
        <w:rPr>
          <w:rFonts w:cs="Arial"/>
          <w:szCs w:val="24"/>
        </w:rPr>
        <w:t xml:space="preserve">Grant </w:t>
      </w:r>
      <w:r w:rsidRPr="009D0BF7">
        <w:rPr>
          <w:rFonts w:cs="Arial"/>
          <w:szCs w:val="24"/>
        </w:rPr>
        <w:t>Program funds must satisfy all of the following requirements:</w:t>
      </w:r>
    </w:p>
    <w:p w14:paraId="2C020DB6" w14:textId="7CF1CD2F" w:rsidR="00A3004A" w:rsidRPr="00A3004A" w:rsidRDefault="00A3004A" w:rsidP="00A3004A">
      <w:pPr>
        <w:pStyle w:val="ListParagraph"/>
        <w:numPr>
          <w:ilvl w:val="0"/>
          <w:numId w:val="2"/>
        </w:numPr>
        <w:spacing w:after="240"/>
        <w:rPr>
          <w:rFonts w:cs="Arial"/>
          <w:szCs w:val="24"/>
        </w:rPr>
      </w:pPr>
      <w:r w:rsidRPr="00A3004A">
        <w:rPr>
          <w:rFonts w:cs="Arial"/>
          <w:szCs w:val="24"/>
        </w:rPr>
        <w:t>The application should propose to provide services to schools that enroll students who may be</w:t>
      </w:r>
      <w:r w:rsidRPr="00A3004A">
        <w:rPr>
          <w:rFonts w:cs="Arial"/>
          <w:b/>
          <w:szCs w:val="24"/>
        </w:rPr>
        <w:t xml:space="preserve"> </w:t>
      </w:r>
      <w:r w:rsidRPr="00A3004A">
        <w:rPr>
          <w:rFonts w:cs="Arial"/>
          <w:szCs w:val="24"/>
        </w:rPr>
        <w:t>at risk for academic failure, dropping out of school, involve</w:t>
      </w:r>
      <w:r w:rsidR="002350BB">
        <w:rPr>
          <w:rFonts w:cs="Arial"/>
          <w:szCs w:val="24"/>
        </w:rPr>
        <w:t>d</w:t>
      </w:r>
      <w:r w:rsidRPr="00A3004A">
        <w:rPr>
          <w:rFonts w:cs="Arial"/>
          <w:szCs w:val="24"/>
        </w:rPr>
        <w:t xml:space="preserve"> in criminal or delinquent activities, or who lack strong positive role models, and to serve families of such students.</w:t>
      </w:r>
    </w:p>
    <w:p w14:paraId="1FE33895" w14:textId="77777777" w:rsidR="00CE53BA" w:rsidRPr="00CE53BA" w:rsidRDefault="00A3004A" w:rsidP="005658E2">
      <w:pPr>
        <w:pStyle w:val="ListParagraph"/>
        <w:widowControl w:val="0"/>
        <w:numPr>
          <w:ilvl w:val="0"/>
          <w:numId w:val="2"/>
        </w:numPr>
        <w:adjustRightInd w:val="0"/>
        <w:spacing w:after="360"/>
        <w:textAlignment w:val="baseline"/>
        <w:rPr>
          <w:rFonts w:cs="Arial"/>
          <w:bCs/>
          <w:szCs w:val="24"/>
        </w:rPr>
      </w:pPr>
      <w:r w:rsidRPr="00CE53BA">
        <w:rPr>
          <w:rFonts w:cs="Arial"/>
          <w:szCs w:val="24"/>
        </w:rPr>
        <w:t>A grant application may propose to serve more than one school site; however, a school site may be included in only one application. If a school site is included in multiple applications by error, then the CDE will contact the Applicant and the school site principal, and will select the appropriate application based on the Applicant’s and school site principal’s designation.</w:t>
      </w:r>
    </w:p>
    <w:p w14:paraId="1303AB2F" w14:textId="14330DB7" w:rsidR="00406D50" w:rsidRPr="00CE53BA" w:rsidRDefault="00406D50" w:rsidP="00D11D43">
      <w:pPr>
        <w:pStyle w:val="ListParagraph"/>
        <w:widowControl w:val="0"/>
        <w:numPr>
          <w:ilvl w:val="0"/>
          <w:numId w:val="2"/>
        </w:numPr>
        <w:adjustRightInd w:val="0"/>
        <w:spacing w:after="480"/>
        <w:ind w:left="1267"/>
        <w:textAlignment w:val="baseline"/>
        <w:rPr>
          <w:rFonts w:cs="Arial"/>
          <w:bCs/>
          <w:szCs w:val="24"/>
        </w:rPr>
      </w:pPr>
      <w:r w:rsidRPr="001F429A">
        <w:rPr>
          <w:rFonts w:cs="Arial"/>
          <w:szCs w:val="24"/>
        </w:rPr>
        <w:t xml:space="preserve">Schools must have verifiable FRPM data </w:t>
      </w:r>
      <w:r w:rsidR="00E245AD" w:rsidRPr="001F429A">
        <w:rPr>
          <w:rFonts w:cs="Arial"/>
          <w:szCs w:val="24"/>
        </w:rPr>
        <w:t>for 20</w:t>
      </w:r>
      <w:r w:rsidR="00A3004A" w:rsidRPr="001F429A">
        <w:rPr>
          <w:rFonts w:cs="Arial"/>
          <w:szCs w:val="24"/>
        </w:rPr>
        <w:t>2</w:t>
      </w:r>
      <w:r w:rsidR="00882E01" w:rsidRPr="001F429A">
        <w:rPr>
          <w:rFonts w:cs="Arial"/>
          <w:szCs w:val="24"/>
        </w:rPr>
        <w:t>1</w:t>
      </w:r>
      <w:r w:rsidR="00E245AD" w:rsidRPr="001F429A">
        <w:rPr>
          <w:rFonts w:cs="Arial"/>
          <w:szCs w:val="24"/>
        </w:rPr>
        <w:t>–</w:t>
      </w:r>
      <w:r w:rsidR="00A3004A" w:rsidRPr="001F429A">
        <w:rPr>
          <w:rFonts w:cs="Arial"/>
          <w:szCs w:val="24"/>
        </w:rPr>
        <w:t>2</w:t>
      </w:r>
      <w:r w:rsidR="00882E01" w:rsidRPr="001F429A">
        <w:rPr>
          <w:rFonts w:cs="Arial"/>
          <w:szCs w:val="24"/>
        </w:rPr>
        <w:t>2</w:t>
      </w:r>
      <w:r w:rsidR="00E245AD" w:rsidRPr="00CE53BA">
        <w:rPr>
          <w:rFonts w:cs="Arial"/>
          <w:szCs w:val="24"/>
        </w:rPr>
        <w:t xml:space="preserve"> </w:t>
      </w:r>
      <w:r w:rsidRPr="00CE53BA">
        <w:rPr>
          <w:rFonts w:cs="Arial"/>
          <w:szCs w:val="24"/>
        </w:rPr>
        <w:t>through</w:t>
      </w:r>
      <w:r w:rsidR="009139A5">
        <w:rPr>
          <w:rFonts w:cs="Arial"/>
          <w:szCs w:val="24"/>
        </w:rPr>
        <w:t xml:space="preserve"> the</w:t>
      </w:r>
      <w:r w:rsidR="00A67AC6" w:rsidRPr="00CE53BA">
        <w:rPr>
          <w:rFonts w:cs="Arial"/>
          <w:szCs w:val="24"/>
        </w:rPr>
        <w:t xml:space="preserve"> California Longitudinal Pupil Achievement Data System (</w:t>
      </w:r>
      <w:r w:rsidRPr="00CE53BA">
        <w:rPr>
          <w:rFonts w:cs="Arial"/>
          <w:szCs w:val="24"/>
        </w:rPr>
        <w:t>CALPADS</w:t>
      </w:r>
      <w:r w:rsidR="00A67AC6" w:rsidRPr="00CE53BA">
        <w:rPr>
          <w:rFonts w:cs="Arial"/>
          <w:szCs w:val="24"/>
        </w:rPr>
        <w:t>)</w:t>
      </w:r>
      <w:r w:rsidRPr="00CE53BA">
        <w:rPr>
          <w:rFonts w:cs="Arial"/>
          <w:szCs w:val="24"/>
        </w:rPr>
        <w:t xml:space="preserve"> to be considere</w:t>
      </w:r>
      <w:r w:rsidR="00A46278" w:rsidRPr="00CE53BA">
        <w:rPr>
          <w:rFonts w:cs="Arial"/>
          <w:szCs w:val="24"/>
        </w:rPr>
        <w:t>d in the funding determination.</w:t>
      </w:r>
      <w:r w:rsidR="00E245AD" w:rsidRPr="00CE53BA">
        <w:rPr>
          <w:rFonts w:cs="Arial"/>
          <w:szCs w:val="24"/>
        </w:rPr>
        <w:t xml:space="preserve"> Please </w:t>
      </w:r>
      <w:r w:rsidR="0003708F" w:rsidRPr="00CE53BA">
        <w:rPr>
          <w:rFonts w:cs="Arial"/>
          <w:szCs w:val="24"/>
        </w:rPr>
        <w:t>vis</w:t>
      </w:r>
      <w:r w:rsidR="00E245AD" w:rsidRPr="00CE53BA">
        <w:rPr>
          <w:rFonts w:cs="Arial"/>
          <w:szCs w:val="24"/>
        </w:rPr>
        <w:t xml:space="preserve">it the CDE Student Poverty FRPM Data web page at </w:t>
      </w:r>
      <w:hyperlink r:id="rId27" w:tooltip="CDE Student Poverty FRPM Data web page link." w:history="1">
        <w:r w:rsidR="00E245AD" w:rsidRPr="00CE53BA">
          <w:rPr>
            <w:rStyle w:val="Hyperlink"/>
            <w:rFonts w:cs="Arial"/>
            <w:szCs w:val="24"/>
          </w:rPr>
          <w:t>https://www.cde.ca.gov/ds/sd/sd/filessp.asp</w:t>
        </w:r>
      </w:hyperlink>
      <w:r w:rsidR="00E245AD" w:rsidRPr="00CE53BA">
        <w:rPr>
          <w:rFonts w:cs="Arial"/>
          <w:szCs w:val="24"/>
        </w:rPr>
        <w:t>.</w:t>
      </w:r>
    </w:p>
    <w:p w14:paraId="0ECAE0DA" w14:textId="78CF13F8" w:rsidR="00406D50" w:rsidRPr="00030B99" w:rsidRDefault="00406D50" w:rsidP="0056789E">
      <w:pPr>
        <w:pStyle w:val="Heading3"/>
        <w:numPr>
          <w:ilvl w:val="0"/>
          <w:numId w:val="15"/>
        </w:numPr>
      </w:pPr>
      <w:bookmarkStart w:id="34" w:name="_Toc100754000"/>
      <w:r w:rsidRPr="00030B99">
        <w:t>Good Standing</w:t>
      </w:r>
      <w:bookmarkEnd w:id="34"/>
    </w:p>
    <w:p w14:paraId="1820B635" w14:textId="5EB0D368" w:rsidR="00406D50" w:rsidRPr="009D0BF7" w:rsidRDefault="00406D50" w:rsidP="0056789E">
      <w:pPr>
        <w:spacing w:after="240"/>
        <w:ind w:left="720"/>
        <w:rPr>
          <w:rFonts w:cs="Arial"/>
          <w:szCs w:val="24"/>
        </w:rPr>
      </w:pPr>
      <w:r w:rsidRPr="009D0BF7">
        <w:rPr>
          <w:rFonts w:cs="Arial"/>
          <w:szCs w:val="24"/>
        </w:rPr>
        <w:t>Currently funded ASES</w:t>
      </w:r>
      <w:r w:rsidR="007F6964">
        <w:rPr>
          <w:rFonts w:cs="Arial"/>
          <w:szCs w:val="24"/>
        </w:rPr>
        <w:t xml:space="preserve">, </w:t>
      </w:r>
      <w:r w:rsidR="00A3004A">
        <w:rPr>
          <w:rFonts w:cs="Arial"/>
          <w:szCs w:val="24"/>
        </w:rPr>
        <w:t>2</w:t>
      </w:r>
      <w:r w:rsidR="00A61C6A">
        <w:rPr>
          <w:rFonts w:cs="Arial"/>
          <w:szCs w:val="24"/>
        </w:rPr>
        <w:t>1st</w:t>
      </w:r>
      <w:r w:rsidR="00A3004A">
        <w:rPr>
          <w:rFonts w:cs="Arial"/>
          <w:szCs w:val="24"/>
        </w:rPr>
        <w:t xml:space="preserve"> CCLC</w:t>
      </w:r>
      <w:r w:rsidR="007F6964">
        <w:rPr>
          <w:rFonts w:cs="Arial"/>
          <w:szCs w:val="24"/>
        </w:rPr>
        <w:t xml:space="preserve"> and ASSETs</w:t>
      </w:r>
      <w:r w:rsidR="00A3004A">
        <w:rPr>
          <w:rFonts w:cs="Arial"/>
          <w:szCs w:val="24"/>
        </w:rPr>
        <w:t xml:space="preserve"> </w:t>
      </w:r>
      <w:r w:rsidRPr="009D0BF7">
        <w:rPr>
          <w:rFonts w:cs="Arial"/>
          <w:szCs w:val="24"/>
        </w:rPr>
        <w:t>program sites must meet the administrat</w:t>
      </w:r>
      <w:r w:rsidR="00C30845">
        <w:rPr>
          <w:rFonts w:cs="Arial"/>
          <w:szCs w:val="24"/>
        </w:rPr>
        <w:t xml:space="preserve">ive reporting requirements for fiscal </w:t>
      </w:r>
      <w:r w:rsidR="00C30845" w:rsidRPr="001F429A">
        <w:rPr>
          <w:rFonts w:cs="Arial"/>
          <w:szCs w:val="24"/>
        </w:rPr>
        <w:t>year</w:t>
      </w:r>
      <w:r w:rsidRPr="001F429A">
        <w:rPr>
          <w:rFonts w:cs="Arial"/>
          <w:szCs w:val="24"/>
        </w:rPr>
        <w:t xml:space="preserve"> 20</w:t>
      </w:r>
      <w:r w:rsidR="00A3004A" w:rsidRPr="001F429A">
        <w:rPr>
          <w:rFonts w:cs="Arial"/>
          <w:szCs w:val="24"/>
        </w:rPr>
        <w:t>2</w:t>
      </w:r>
      <w:r w:rsidR="00882E01" w:rsidRPr="001F429A">
        <w:rPr>
          <w:rFonts w:cs="Arial"/>
          <w:szCs w:val="24"/>
        </w:rPr>
        <w:t>1</w:t>
      </w:r>
      <w:r w:rsidRPr="001F429A">
        <w:rPr>
          <w:rFonts w:cs="Arial"/>
          <w:szCs w:val="24"/>
        </w:rPr>
        <w:t>–</w:t>
      </w:r>
      <w:r w:rsidR="00A3004A" w:rsidRPr="001F429A">
        <w:rPr>
          <w:rFonts w:cs="Arial"/>
          <w:szCs w:val="24"/>
        </w:rPr>
        <w:t>2</w:t>
      </w:r>
      <w:r w:rsidR="00882E01" w:rsidRPr="001F429A">
        <w:rPr>
          <w:rFonts w:cs="Arial"/>
          <w:szCs w:val="24"/>
        </w:rPr>
        <w:t>2</w:t>
      </w:r>
      <w:r w:rsidRPr="009D0BF7">
        <w:rPr>
          <w:rFonts w:cs="Arial"/>
          <w:szCs w:val="24"/>
        </w:rPr>
        <w:t xml:space="preserve"> and be considered in Good Standing</w:t>
      </w:r>
      <w:r w:rsidRPr="009D0BF7">
        <w:rPr>
          <w:rFonts w:cs="Arial"/>
          <w:color w:val="000000"/>
          <w:szCs w:val="24"/>
        </w:rPr>
        <w:t xml:space="preserve"> to be eligible for</w:t>
      </w:r>
      <w:r w:rsidR="00A3004A">
        <w:rPr>
          <w:rFonts w:cs="Arial"/>
          <w:color w:val="000000"/>
          <w:szCs w:val="24"/>
        </w:rPr>
        <w:t xml:space="preserve"> ESSER III Summe</w:t>
      </w:r>
      <w:r w:rsidR="00631A4F">
        <w:rPr>
          <w:rFonts w:cs="Arial"/>
          <w:color w:val="000000"/>
          <w:szCs w:val="24"/>
        </w:rPr>
        <w:t>r</w:t>
      </w:r>
      <w:r w:rsidRPr="009D0BF7">
        <w:rPr>
          <w:rFonts w:cs="Arial"/>
          <w:szCs w:val="24"/>
        </w:rPr>
        <w:t xml:space="preserve"> </w:t>
      </w:r>
      <w:r w:rsidR="005658E2">
        <w:rPr>
          <w:rFonts w:cs="Arial"/>
          <w:szCs w:val="24"/>
        </w:rPr>
        <w:t xml:space="preserve">Grant </w:t>
      </w:r>
      <w:r w:rsidRPr="009D0BF7">
        <w:rPr>
          <w:rFonts w:cs="Arial"/>
          <w:szCs w:val="24"/>
        </w:rPr>
        <w:t xml:space="preserve">Program </w:t>
      </w:r>
      <w:r w:rsidRPr="009D0BF7">
        <w:rPr>
          <w:rFonts w:cs="Arial"/>
          <w:color w:val="000000"/>
          <w:szCs w:val="24"/>
        </w:rPr>
        <w:t>funds.</w:t>
      </w:r>
      <w:r w:rsidRPr="009D0BF7">
        <w:rPr>
          <w:rFonts w:cs="Arial"/>
          <w:szCs w:val="24"/>
        </w:rPr>
        <w:t xml:space="preserve"> </w:t>
      </w:r>
    </w:p>
    <w:p w14:paraId="39FACCC5" w14:textId="471BDA1D" w:rsidR="00406D50" w:rsidRPr="009D0BF7" w:rsidRDefault="00406D50" w:rsidP="0056789E">
      <w:pPr>
        <w:spacing w:after="240"/>
        <w:ind w:left="720"/>
        <w:rPr>
          <w:rFonts w:cs="Arial"/>
          <w:szCs w:val="24"/>
        </w:rPr>
      </w:pPr>
      <w:r w:rsidRPr="009D0BF7">
        <w:rPr>
          <w:rFonts w:cs="Arial"/>
          <w:bCs/>
          <w:szCs w:val="24"/>
        </w:rPr>
        <w:t>Good Standing</w:t>
      </w:r>
      <w:r w:rsidRPr="009D0BF7">
        <w:rPr>
          <w:rFonts w:cs="Arial"/>
          <w:szCs w:val="24"/>
        </w:rPr>
        <w:t xml:space="preserve"> </w:t>
      </w:r>
      <w:r w:rsidR="00CB5EB7">
        <w:rPr>
          <w:rFonts w:cs="Arial"/>
          <w:szCs w:val="24"/>
        </w:rPr>
        <w:t>r</w:t>
      </w:r>
      <w:r w:rsidRPr="009D0BF7">
        <w:rPr>
          <w:rFonts w:cs="Arial"/>
          <w:szCs w:val="24"/>
        </w:rPr>
        <w:t>efers to all of the following conditions:</w:t>
      </w:r>
    </w:p>
    <w:p w14:paraId="658E8046" w14:textId="77DAC5EB" w:rsidR="00406D50" w:rsidRPr="009D0BF7" w:rsidRDefault="00406D50" w:rsidP="00406D50">
      <w:pPr>
        <w:numPr>
          <w:ilvl w:val="0"/>
          <w:numId w:val="3"/>
        </w:numPr>
        <w:tabs>
          <w:tab w:val="clear" w:pos="1620"/>
        </w:tabs>
        <w:spacing w:after="240"/>
        <w:ind w:left="1440"/>
        <w:rPr>
          <w:rFonts w:cs="Arial"/>
          <w:szCs w:val="24"/>
        </w:rPr>
      </w:pPr>
      <w:r w:rsidRPr="009D0BF7">
        <w:rPr>
          <w:rFonts w:cs="Arial"/>
          <w:szCs w:val="24"/>
        </w:rPr>
        <w:t>All attendance reports for grantees have been submitted prior to the reporting deadline and have been f</w:t>
      </w:r>
      <w:r w:rsidR="0003708F">
        <w:rPr>
          <w:rFonts w:cs="Arial"/>
          <w:szCs w:val="24"/>
        </w:rPr>
        <w:t>ound by the EXLD to be complete</w:t>
      </w:r>
      <w:r w:rsidR="00A46278">
        <w:rPr>
          <w:rFonts w:cs="Arial"/>
          <w:szCs w:val="24"/>
        </w:rPr>
        <w:t>;</w:t>
      </w:r>
    </w:p>
    <w:p w14:paraId="26DBEE0C" w14:textId="0519AB4C" w:rsidR="00406D50" w:rsidRPr="009D0BF7" w:rsidRDefault="00406D50" w:rsidP="00406D50">
      <w:pPr>
        <w:numPr>
          <w:ilvl w:val="0"/>
          <w:numId w:val="3"/>
        </w:numPr>
        <w:tabs>
          <w:tab w:val="clear" w:pos="1620"/>
        </w:tabs>
        <w:spacing w:after="240"/>
        <w:ind w:left="1440"/>
        <w:rPr>
          <w:rFonts w:cs="Arial"/>
          <w:szCs w:val="24"/>
        </w:rPr>
      </w:pPr>
      <w:r w:rsidRPr="009D0BF7">
        <w:rPr>
          <w:rFonts w:cs="Arial"/>
          <w:szCs w:val="24"/>
        </w:rPr>
        <w:t>All expenditure reports for grantees have been submitted prior to the reporting deadline and have been f</w:t>
      </w:r>
      <w:r w:rsidR="00A46278">
        <w:rPr>
          <w:rFonts w:cs="Arial"/>
          <w:szCs w:val="24"/>
        </w:rPr>
        <w:t>ound by the EXLD to be complete;</w:t>
      </w:r>
    </w:p>
    <w:p w14:paraId="5E481C6C" w14:textId="79C8B0B9" w:rsidR="00406D50" w:rsidRPr="00FD202E" w:rsidRDefault="00406D50" w:rsidP="00406D50">
      <w:pPr>
        <w:numPr>
          <w:ilvl w:val="0"/>
          <w:numId w:val="3"/>
        </w:numPr>
        <w:tabs>
          <w:tab w:val="clear" w:pos="1620"/>
        </w:tabs>
        <w:spacing w:after="240"/>
        <w:ind w:left="1440"/>
        <w:rPr>
          <w:rFonts w:cs="Arial"/>
          <w:szCs w:val="24"/>
        </w:rPr>
      </w:pPr>
      <w:r w:rsidRPr="00FD202E">
        <w:rPr>
          <w:rFonts w:cs="Arial"/>
          <w:szCs w:val="24"/>
        </w:rPr>
        <w:t>All annual outcome-based data for grantees ha</w:t>
      </w:r>
      <w:r w:rsidR="00D11D43">
        <w:rPr>
          <w:rFonts w:cs="Arial"/>
          <w:szCs w:val="24"/>
        </w:rPr>
        <w:t>ve</w:t>
      </w:r>
      <w:r w:rsidRPr="00FD202E">
        <w:rPr>
          <w:rFonts w:cs="Arial"/>
          <w:szCs w:val="24"/>
        </w:rPr>
        <w:t xml:space="preserve"> been submitted prior to the reporting deadline and have been f</w:t>
      </w:r>
      <w:r w:rsidR="00A46278" w:rsidRPr="00FD202E">
        <w:rPr>
          <w:rFonts w:cs="Arial"/>
          <w:szCs w:val="24"/>
        </w:rPr>
        <w:t>ound by the EXLD to be complete;</w:t>
      </w:r>
    </w:p>
    <w:p w14:paraId="0F7741D1" w14:textId="77777777" w:rsidR="00406D50" w:rsidRPr="009D0BF7" w:rsidRDefault="00406D50" w:rsidP="00406D50">
      <w:pPr>
        <w:numPr>
          <w:ilvl w:val="0"/>
          <w:numId w:val="3"/>
        </w:numPr>
        <w:tabs>
          <w:tab w:val="clear" w:pos="1620"/>
        </w:tabs>
        <w:spacing w:after="240"/>
        <w:ind w:left="1440"/>
        <w:rPr>
          <w:rFonts w:cs="Arial"/>
          <w:szCs w:val="24"/>
        </w:rPr>
      </w:pPr>
      <w:r w:rsidRPr="009D0BF7">
        <w:rPr>
          <w:rFonts w:cs="Arial"/>
          <w:szCs w:val="24"/>
        </w:rPr>
        <w:lastRenderedPageBreak/>
        <w:t>All annual audit findings for grantees have been found by the EXLD to be resolved or are in the process of being resolved to the satisfaction of the CDE; and</w:t>
      </w:r>
    </w:p>
    <w:p w14:paraId="6D249596" w14:textId="13283AFF" w:rsidR="00406D50" w:rsidRDefault="00406D50" w:rsidP="00406D50">
      <w:pPr>
        <w:numPr>
          <w:ilvl w:val="0"/>
          <w:numId w:val="3"/>
        </w:numPr>
        <w:tabs>
          <w:tab w:val="clear" w:pos="1620"/>
        </w:tabs>
        <w:spacing w:after="240"/>
        <w:ind w:left="1440"/>
        <w:rPr>
          <w:rFonts w:cs="Arial"/>
          <w:szCs w:val="24"/>
        </w:rPr>
      </w:pPr>
      <w:r w:rsidRPr="009D0BF7">
        <w:rPr>
          <w:rFonts w:cs="Arial"/>
          <w:szCs w:val="24"/>
        </w:rPr>
        <w:t>All Federal Program Monitoring findings for grantees have been found by the EXLD to be resolved or are in the process of being resolved to the satisfaction of the CDE.</w:t>
      </w:r>
    </w:p>
    <w:p w14:paraId="096BF6A5" w14:textId="1CBE7640" w:rsidR="006D5AE3" w:rsidRPr="009D0BF7" w:rsidRDefault="006D5AE3" w:rsidP="00406D50">
      <w:pPr>
        <w:numPr>
          <w:ilvl w:val="0"/>
          <w:numId w:val="3"/>
        </w:numPr>
        <w:tabs>
          <w:tab w:val="clear" w:pos="1620"/>
        </w:tabs>
        <w:spacing w:after="240"/>
        <w:ind w:left="1440"/>
        <w:rPr>
          <w:rFonts w:cs="Arial"/>
          <w:szCs w:val="24"/>
        </w:rPr>
      </w:pPr>
      <w:r>
        <w:rPr>
          <w:rFonts w:cs="Arial"/>
          <w:szCs w:val="24"/>
        </w:rPr>
        <w:t>All outstanding invoices have been paid back to California Department of Education.</w:t>
      </w:r>
    </w:p>
    <w:p w14:paraId="2F8B9135" w14:textId="438BE405" w:rsidR="00406D50" w:rsidRPr="009D0BF7" w:rsidRDefault="00406D50" w:rsidP="0056789E">
      <w:pPr>
        <w:spacing w:after="240"/>
        <w:ind w:left="720"/>
        <w:rPr>
          <w:rFonts w:cs="Arial"/>
          <w:szCs w:val="24"/>
        </w:rPr>
      </w:pPr>
      <w:r w:rsidRPr="009D0BF7">
        <w:rPr>
          <w:rFonts w:cs="Arial"/>
          <w:szCs w:val="24"/>
        </w:rPr>
        <w:t xml:space="preserve">If the </w:t>
      </w:r>
      <w:r w:rsidR="0071425B">
        <w:rPr>
          <w:rFonts w:cs="Arial"/>
          <w:szCs w:val="24"/>
        </w:rPr>
        <w:t>A</w:t>
      </w:r>
      <w:r w:rsidRPr="009D0BF7">
        <w:rPr>
          <w:rFonts w:cs="Arial"/>
          <w:szCs w:val="24"/>
        </w:rPr>
        <w:t>pplicant’s school is determined to be in Good Standing at the time the application is submitted to the CDE</w:t>
      </w:r>
      <w:r w:rsidR="00D11D43">
        <w:rPr>
          <w:rFonts w:cs="Arial"/>
          <w:szCs w:val="24"/>
        </w:rPr>
        <w:t>,</w:t>
      </w:r>
      <w:r w:rsidRPr="009D0BF7">
        <w:rPr>
          <w:rFonts w:cs="Arial"/>
          <w:szCs w:val="24"/>
        </w:rPr>
        <w:t xml:space="preserve"> and if all other submission requirements are met, the application will be moved forward in the review process. If the </w:t>
      </w:r>
      <w:r w:rsidR="0071425B">
        <w:rPr>
          <w:rFonts w:cs="Arial"/>
          <w:szCs w:val="24"/>
        </w:rPr>
        <w:t>A</w:t>
      </w:r>
      <w:r w:rsidRPr="009D0BF7">
        <w:rPr>
          <w:rFonts w:cs="Arial"/>
          <w:szCs w:val="24"/>
        </w:rPr>
        <w:t>pplicant’s school is not in Good Standing at the time the application is submitted to the CDE</w:t>
      </w:r>
      <w:r w:rsidR="008F5D27">
        <w:rPr>
          <w:rFonts w:cs="Arial"/>
          <w:szCs w:val="24"/>
        </w:rPr>
        <w:t>, postmarked by</w:t>
      </w:r>
      <w:r w:rsidR="00AC3471">
        <w:rPr>
          <w:rFonts w:cs="Arial"/>
          <w:szCs w:val="24"/>
        </w:rPr>
        <w:t xml:space="preserve"> </w:t>
      </w:r>
      <w:r w:rsidR="007C2940">
        <w:rPr>
          <w:rFonts w:cs="Arial"/>
          <w:b/>
          <w:szCs w:val="24"/>
        </w:rPr>
        <w:t>May</w:t>
      </w:r>
      <w:r w:rsidR="00E31638" w:rsidRPr="001F429A">
        <w:rPr>
          <w:rFonts w:cs="Arial"/>
          <w:b/>
          <w:szCs w:val="24"/>
        </w:rPr>
        <w:t xml:space="preserve"> 3</w:t>
      </w:r>
      <w:r w:rsidR="00930B84" w:rsidRPr="001F429A">
        <w:rPr>
          <w:rFonts w:cs="Arial"/>
          <w:b/>
          <w:szCs w:val="24"/>
        </w:rPr>
        <w:t>, 2023</w:t>
      </w:r>
      <w:r w:rsidR="0071425B">
        <w:rPr>
          <w:rFonts w:cs="Arial"/>
          <w:b/>
          <w:szCs w:val="24"/>
        </w:rPr>
        <w:t>,</w:t>
      </w:r>
      <w:r w:rsidRPr="009D0BF7">
        <w:rPr>
          <w:rFonts w:cs="Arial"/>
          <w:szCs w:val="24"/>
        </w:rPr>
        <w:t xml:space="preserve"> the school </w:t>
      </w:r>
      <w:r w:rsidRPr="009D0BF7">
        <w:rPr>
          <w:rFonts w:cs="Arial"/>
          <w:b/>
          <w:szCs w:val="24"/>
        </w:rPr>
        <w:t>will be disqualified</w:t>
      </w:r>
      <w:r w:rsidRPr="009D0BF7">
        <w:rPr>
          <w:rFonts w:cs="Arial"/>
          <w:szCs w:val="24"/>
        </w:rPr>
        <w:t xml:space="preserve"> (</w:t>
      </w:r>
      <w:r w:rsidRPr="009D0BF7">
        <w:rPr>
          <w:rFonts w:cs="Arial"/>
          <w:i/>
          <w:szCs w:val="24"/>
        </w:rPr>
        <w:t>EC</w:t>
      </w:r>
      <w:r w:rsidRPr="009D0BF7">
        <w:rPr>
          <w:rFonts w:cs="Arial"/>
          <w:szCs w:val="24"/>
        </w:rPr>
        <w:t xml:space="preserve"> </w:t>
      </w:r>
      <w:r w:rsidR="00D15580">
        <w:rPr>
          <w:rFonts w:cs="Arial"/>
          <w:szCs w:val="24"/>
        </w:rPr>
        <w:t>s</w:t>
      </w:r>
      <w:r w:rsidRPr="009D0BF7">
        <w:rPr>
          <w:rFonts w:cs="Arial"/>
          <w:szCs w:val="24"/>
        </w:rPr>
        <w:t>ection</w:t>
      </w:r>
      <w:r w:rsidR="00D15580">
        <w:rPr>
          <w:rFonts w:cs="Arial"/>
          <w:szCs w:val="24"/>
        </w:rPr>
        <w:t>s</w:t>
      </w:r>
      <w:r w:rsidRPr="009D0BF7">
        <w:rPr>
          <w:rFonts w:cs="Arial"/>
          <w:szCs w:val="24"/>
        </w:rPr>
        <w:t xml:space="preserve"> </w:t>
      </w:r>
      <w:r w:rsidR="00253653">
        <w:rPr>
          <w:rFonts w:cs="Arial"/>
          <w:szCs w:val="24"/>
        </w:rPr>
        <w:t xml:space="preserve">8426[i], 8483.7[a][1][G], and </w:t>
      </w:r>
      <w:r w:rsidRPr="009D0BF7">
        <w:rPr>
          <w:rFonts w:cs="Arial"/>
          <w:szCs w:val="24"/>
        </w:rPr>
        <w:t>8484.8[b][3</w:t>
      </w:r>
      <w:r w:rsidR="007F6964" w:rsidRPr="009D0BF7">
        <w:rPr>
          <w:rFonts w:cs="Arial"/>
          <w:szCs w:val="24"/>
        </w:rPr>
        <w:t>]</w:t>
      </w:r>
      <w:r w:rsidR="007F6964">
        <w:rPr>
          <w:rFonts w:cs="Arial"/>
          <w:szCs w:val="24"/>
        </w:rPr>
        <w:t xml:space="preserve">). </w:t>
      </w:r>
    </w:p>
    <w:p w14:paraId="21CAE395" w14:textId="29EB1257" w:rsidR="003504C7" w:rsidRDefault="003504C7" w:rsidP="0056789E">
      <w:pPr>
        <w:widowControl w:val="0"/>
        <w:adjustRightInd w:val="0"/>
        <w:spacing w:after="480"/>
        <w:ind w:left="720"/>
        <w:textAlignment w:val="baseline"/>
        <w:rPr>
          <w:rFonts w:cs="Arial"/>
          <w:bCs/>
          <w:szCs w:val="24"/>
        </w:rPr>
      </w:pPr>
      <w:bookmarkStart w:id="35" w:name="_Toc397597043"/>
      <w:bookmarkStart w:id="36" w:name="_Toc401928298"/>
      <w:bookmarkStart w:id="37" w:name="_Toc402333193"/>
      <w:bookmarkStart w:id="38" w:name="_Toc414365057"/>
      <w:r w:rsidRPr="00BD572D">
        <w:rPr>
          <w:rFonts w:cs="Arial"/>
          <w:bCs/>
          <w:szCs w:val="24"/>
        </w:rPr>
        <w:t>Below are the required components of the application.</w:t>
      </w:r>
    </w:p>
    <w:p w14:paraId="2A49F72E" w14:textId="0E4D3582" w:rsidR="00CE53BA" w:rsidRPr="009D0BF7" w:rsidRDefault="00CE53BA" w:rsidP="00E7484B">
      <w:pPr>
        <w:pStyle w:val="Heading2"/>
        <w:numPr>
          <w:ilvl w:val="0"/>
          <w:numId w:val="40"/>
        </w:numPr>
        <w:ind w:left="360"/>
      </w:pPr>
      <w:bookmarkStart w:id="39" w:name="_Toc100754001"/>
      <w:r>
        <w:t>E</w:t>
      </w:r>
      <w:r w:rsidR="007079EA">
        <w:t xml:space="preserve">lementary and </w:t>
      </w:r>
      <w:r>
        <w:t>S</w:t>
      </w:r>
      <w:r w:rsidR="007079EA">
        <w:t xml:space="preserve">econdary </w:t>
      </w:r>
      <w:r>
        <w:t>S</w:t>
      </w:r>
      <w:r w:rsidR="007079EA">
        <w:t xml:space="preserve">chool </w:t>
      </w:r>
      <w:r>
        <w:t>E</w:t>
      </w:r>
      <w:r w:rsidR="007079EA">
        <w:t xml:space="preserve">mergency </w:t>
      </w:r>
      <w:r>
        <w:t>R</w:t>
      </w:r>
      <w:r w:rsidR="007079EA">
        <w:t>elief</w:t>
      </w:r>
      <w:r>
        <w:t xml:space="preserve"> III Summer </w:t>
      </w:r>
      <w:r w:rsidR="005658E2">
        <w:t xml:space="preserve">Grant </w:t>
      </w:r>
      <w:r w:rsidRPr="009D0BF7">
        <w:t>Program Application Checklist</w:t>
      </w:r>
      <w:bookmarkEnd w:id="39"/>
      <w:r w:rsidR="00726426">
        <w:t xml:space="preserve"> </w:t>
      </w:r>
    </w:p>
    <w:p w14:paraId="729C6FF5" w14:textId="77777777" w:rsidR="00CE53BA" w:rsidRPr="009D0BF7" w:rsidRDefault="00CE53BA" w:rsidP="0056789E">
      <w:pPr>
        <w:spacing w:after="240"/>
        <w:ind w:left="360" w:right="-177"/>
        <w:rPr>
          <w:rFonts w:cs="Arial"/>
          <w:b/>
          <w:szCs w:val="24"/>
        </w:rPr>
      </w:pPr>
      <w:r w:rsidRPr="009D0BF7">
        <w:rPr>
          <w:rFonts w:cs="Arial"/>
          <w:b/>
          <w:szCs w:val="24"/>
        </w:rPr>
        <w:t>Please submit these forms and do</w:t>
      </w:r>
      <w:r>
        <w:rPr>
          <w:rFonts w:cs="Arial"/>
          <w:b/>
          <w:szCs w:val="24"/>
        </w:rPr>
        <w:t>cuments in the following order:</w:t>
      </w:r>
    </w:p>
    <w:p w14:paraId="767FF872" w14:textId="77777777" w:rsidR="00CE53BA" w:rsidRPr="009D0BF7" w:rsidRDefault="00CE53BA" w:rsidP="00CE53BA">
      <w:pPr>
        <w:pStyle w:val="ListParagraph"/>
        <w:numPr>
          <w:ilvl w:val="0"/>
          <w:numId w:val="12"/>
        </w:numPr>
        <w:tabs>
          <w:tab w:val="left" w:pos="1870"/>
          <w:tab w:val="left" w:pos="2057"/>
          <w:tab w:val="left" w:pos="2244"/>
        </w:tabs>
        <w:spacing w:after="240"/>
        <w:ind w:left="1080"/>
        <w:rPr>
          <w:rFonts w:cs="Arial"/>
          <w:bCs/>
          <w:szCs w:val="24"/>
        </w:rPr>
      </w:pPr>
      <w:r>
        <w:rPr>
          <w:rFonts w:cs="Arial"/>
          <w:bCs/>
          <w:szCs w:val="24"/>
        </w:rPr>
        <w:t>Cover Page (An original a</w:t>
      </w:r>
      <w:r w:rsidRPr="009D0BF7">
        <w:rPr>
          <w:rFonts w:cs="Arial"/>
          <w:bCs/>
          <w:szCs w:val="24"/>
        </w:rPr>
        <w:t xml:space="preserve">uthorized </w:t>
      </w:r>
      <w:r>
        <w:rPr>
          <w:rFonts w:cs="Arial"/>
          <w:bCs/>
          <w:szCs w:val="24"/>
        </w:rPr>
        <w:t>signature or signature of the d</w:t>
      </w:r>
      <w:r w:rsidRPr="009D0BF7">
        <w:rPr>
          <w:rFonts w:cs="Arial"/>
          <w:bCs/>
          <w:szCs w:val="24"/>
        </w:rPr>
        <w:t>esignee</w:t>
      </w:r>
      <w:r>
        <w:rPr>
          <w:rFonts w:cs="Arial"/>
          <w:bCs/>
          <w:szCs w:val="24"/>
        </w:rPr>
        <w:t xml:space="preserve"> is required</w:t>
      </w:r>
      <w:r w:rsidRPr="009D0BF7">
        <w:rPr>
          <w:rFonts w:cs="Arial"/>
          <w:bCs/>
          <w:szCs w:val="24"/>
        </w:rPr>
        <w:t>. Each signature on the Cover Page represents a certification that all of the forms listed below have been reviewe</w:t>
      </w:r>
      <w:r>
        <w:rPr>
          <w:rFonts w:cs="Arial"/>
          <w:bCs/>
          <w:szCs w:val="24"/>
        </w:rPr>
        <w:t>d, acknowledged, and submitted.)</w:t>
      </w:r>
    </w:p>
    <w:p w14:paraId="266B23BA" w14:textId="298831AD" w:rsidR="00CE53BA" w:rsidRDefault="00CE53BA" w:rsidP="00CE53BA">
      <w:pPr>
        <w:pStyle w:val="ListParagraph"/>
        <w:numPr>
          <w:ilvl w:val="0"/>
          <w:numId w:val="12"/>
        </w:numPr>
        <w:tabs>
          <w:tab w:val="left" w:pos="1870"/>
          <w:tab w:val="left" w:pos="2057"/>
          <w:tab w:val="left" w:pos="2244"/>
        </w:tabs>
        <w:spacing w:after="240"/>
        <w:ind w:left="1080"/>
        <w:rPr>
          <w:rFonts w:cs="Arial"/>
          <w:szCs w:val="24"/>
        </w:rPr>
      </w:pPr>
      <w:r w:rsidRPr="009D0BF7">
        <w:rPr>
          <w:rFonts w:cs="Arial"/>
          <w:szCs w:val="24"/>
        </w:rPr>
        <w:t>Signature and Approvals</w:t>
      </w:r>
      <w:r>
        <w:rPr>
          <w:rFonts w:cs="Arial"/>
          <w:szCs w:val="24"/>
        </w:rPr>
        <w:t xml:space="preserve"> Form</w:t>
      </w:r>
      <w:r w:rsidRPr="009D0BF7">
        <w:rPr>
          <w:rFonts w:cs="Arial"/>
          <w:szCs w:val="24"/>
        </w:rPr>
        <w:t xml:space="preserve"> (</w:t>
      </w:r>
      <w:r>
        <w:rPr>
          <w:rFonts w:cs="Arial"/>
          <w:szCs w:val="24"/>
        </w:rPr>
        <w:t>A</w:t>
      </w:r>
      <w:r w:rsidRPr="009D0BF7">
        <w:rPr>
          <w:rFonts w:cs="Arial"/>
          <w:szCs w:val="24"/>
        </w:rPr>
        <w:t>ll original signatures are required at the time of application submission; multiple copies of the form may be submitted as long as the signatures are original</w:t>
      </w:r>
      <w:r>
        <w:rPr>
          <w:rFonts w:cs="Arial"/>
          <w:szCs w:val="24"/>
        </w:rPr>
        <w:t>.</w:t>
      </w:r>
      <w:r w:rsidRPr="009D0BF7">
        <w:rPr>
          <w:rFonts w:cs="Arial"/>
          <w:szCs w:val="24"/>
        </w:rPr>
        <w:t>)</w:t>
      </w:r>
    </w:p>
    <w:p w14:paraId="6F274AD7" w14:textId="73DA3693" w:rsidR="00CE53BA" w:rsidRPr="00CE53BA" w:rsidRDefault="00CE53BA" w:rsidP="00CE53BA">
      <w:pPr>
        <w:pStyle w:val="ListParagraph"/>
        <w:widowControl w:val="0"/>
        <w:numPr>
          <w:ilvl w:val="0"/>
          <w:numId w:val="34"/>
        </w:numPr>
        <w:adjustRightInd w:val="0"/>
        <w:spacing w:after="240"/>
        <w:textAlignment w:val="baseline"/>
        <w:rPr>
          <w:rFonts w:cs="Arial"/>
          <w:b/>
          <w:szCs w:val="24"/>
        </w:rPr>
      </w:pPr>
      <w:r w:rsidRPr="00CE53BA">
        <w:rPr>
          <w:rFonts w:cs="Arial"/>
          <w:szCs w:val="24"/>
        </w:rPr>
        <w:t xml:space="preserve">All original authorized signatures from the </w:t>
      </w:r>
      <w:r w:rsidR="003B4BF9">
        <w:rPr>
          <w:rFonts w:cs="Arial"/>
          <w:szCs w:val="24"/>
        </w:rPr>
        <w:t>A</w:t>
      </w:r>
      <w:r w:rsidRPr="00CE53BA">
        <w:rPr>
          <w:rFonts w:cs="Arial"/>
          <w:szCs w:val="24"/>
        </w:rPr>
        <w:t xml:space="preserve">pplicant are due at the time the application packet is submitted to the CDE, or the application </w:t>
      </w:r>
      <w:r w:rsidRPr="00CE53BA">
        <w:rPr>
          <w:rFonts w:cs="Arial"/>
          <w:b/>
          <w:szCs w:val="24"/>
        </w:rPr>
        <w:t>will be disqualified.</w:t>
      </w:r>
    </w:p>
    <w:p w14:paraId="516F1F7A" w14:textId="44F9854C" w:rsidR="00CE53BA" w:rsidRPr="00CE53BA" w:rsidRDefault="00CE53BA" w:rsidP="00CE53BA">
      <w:pPr>
        <w:pStyle w:val="ListParagraph"/>
        <w:widowControl w:val="0"/>
        <w:numPr>
          <w:ilvl w:val="0"/>
          <w:numId w:val="34"/>
        </w:numPr>
        <w:adjustRightInd w:val="0"/>
        <w:spacing w:after="240"/>
        <w:textAlignment w:val="baseline"/>
        <w:rPr>
          <w:rFonts w:cs="Arial"/>
          <w:szCs w:val="24"/>
        </w:rPr>
      </w:pPr>
      <w:r w:rsidRPr="00CE53BA">
        <w:rPr>
          <w:rFonts w:cs="Arial"/>
          <w:szCs w:val="24"/>
        </w:rPr>
        <w:t xml:space="preserve">All grantees are required to retain copies of signed documents for their records and for audit purposes. Please visit the CDE General Assurances and Certifications web page at </w:t>
      </w:r>
      <w:hyperlink r:id="rId28" w:tooltip="Link to CDE General Assurances and Certifications web page." w:history="1">
        <w:r w:rsidRPr="00CE53BA">
          <w:rPr>
            <w:rFonts w:cs="Arial"/>
            <w:color w:val="0000FF"/>
            <w:szCs w:val="24"/>
            <w:u w:val="single"/>
          </w:rPr>
          <w:t>https://www.cde.ca.gov/fg/fo/fm/ff.asp</w:t>
        </w:r>
      </w:hyperlink>
      <w:r w:rsidRPr="00CE53BA">
        <w:rPr>
          <w:rFonts w:cs="Arial"/>
          <w:szCs w:val="24"/>
        </w:rPr>
        <w:t>.</w:t>
      </w:r>
    </w:p>
    <w:p w14:paraId="2F177173" w14:textId="77777777" w:rsidR="00CE53BA" w:rsidRPr="00CE53BA" w:rsidRDefault="00CE53BA" w:rsidP="00871D5E">
      <w:pPr>
        <w:pStyle w:val="ListParagraph"/>
        <w:numPr>
          <w:ilvl w:val="0"/>
          <w:numId w:val="34"/>
        </w:numPr>
        <w:adjustRightInd w:val="0"/>
        <w:spacing w:after="240"/>
        <w:textAlignment w:val="baseline"/>
        <w:rPr>
          <w:rFonts w:cs="Arial"/>
          <w:szCs w:val="24"/>
        </w:rPr>
      </w:pPr>
      <w:r w:rsidRPr="00CE53BA">
        <w:rPr>
          <w:rFonts w:cs="Arial"/>
          <w:iCs/>
          <w:szCs w:val="24"/>
        </w:rPr>
        <w:t xml:space="preserve">A designee may provide the authorized signature as long as a copy of a recent governing board resolution or minutes, specifically authorizing the designee to accept and sign </w:t>
      </w:r>
      <w:r w:rsidRPr="00CE53BA">
        <w:rPr>
          <w:rFonts w:cs="Arial"/>
          <w:szCs w:val="24"/>
        </w:rPr>
        <w:t>as a proxy for financial statements and legally binding documents, is included in the application materials.</w:t>
      </w:r>
    </w:p>
    <w:p w14:paraId="3168125C" w14:textId="3138E498" w:rsidR="00CE53BA" w:rsidRPr="00CE53BA" w:rsidRDefault="00CE53BA" w:rsidP="00CE53BA">
      <w:pPr>
        <w:pStyle w:val="ListParagraph"/>
        <w:widowControl w:val="0"/>
        <w:numPr>
          <w:ilvl w:val="0"/>
          <w:numId w:val="34"/>
        </w:numPr>
        <w:adjustRightInd w:val="0"/>
        <w:spacing w:after="240"/>
        <w:textAlignment w:val="baseline"/>
        <w:rPr>
          <w:rFonts w:cs="Arial"/>
          <w:szCs w:val="24"/>
        </w:rPr>
      </w:pPr>
      <w:r w:rsidRPr="00CE53BA">
        <w:rPr>
          <w:rFonts w:cs="Arial"/>
          <w:szCs w:val="24"/>
        </w:rPr>
        <w:t xml:space="preserve">All original authorized signatures of the </w:t>
      </w:r>
      <w:r w:rsidRPr="00CE53BA">
        <w:rPr>
          <w:rFonts w:cs="Arial"/>
          <w:iCs/>
          <w:szCs w:val="24"/>
        </w:rPr>
        <w:t xml:space="preserve">school principals or executive </w:t>
      </w:r>
      <w:r w:rsidRPr="00CE53BA">
        <w:rPr>
          <w:rFonts w:cs="Arial"/>
          <w:iCs/>
          <w:szCs w:val="24"/>
        </w:rPr>
        <w:lastRenderedPageBreak/>
        <w:t xml:space="preserve">directors of a direct-funded charter school </w:t>
      </w:r>
      <w:r w:rsidRPr="00CE53BA">
        <w:rPr>
          <w:rFonts w:cs="Arial"/>
          <w:szCs w:val="24"/>
        </w:rPr>
        <w:t xml:space="preserve">are due at the time the application packet is submitted to the CDE, or the school site </w:t>
      </w:r>
      <w:r w:rsidRPr="00CE53BA">
        <w:rPr>
          <w:rFonts w:cs="Arial"/>
          <w:b/>
          <w:szCs w:val="24"/>
        </w:rPr>
        <w:t xml:space="preserve">will be disqualified </w:t>
      </w:r>
      <w:r w:rsidRPr="00CE53BA">
        <w:rPr>
          <w:rFonts w:cs="Arial"/>
          <w:szCs w:val="24"/>
        </w:rPr>
        <w:t>(see the Signature and Approvals form</w:t>
      </w:r>
      <w:r w:rsidR="003B4BF9">
        <w:rPr>
          <w:rFonts w:cs="Arial"/>
          <w:szCs w:val="24"/>
        </w:rPr>
        <w:t xml:space="preserve"> in ASSIST</w:t>
      </w:r>
      <w:r w:rsidRPr="00CE53BA">
        <w:rPr>
          <w:rFonts w:cs="Arial"/>
          <w:szCs w:val="24"/>
        </w:rPr>
        <w:t>).</w:t>
      </w:r>
    </w:p>
    <w:p w14:paraId="00951523" w14:textId="775AD6E9" w:rsidR="00CE53BA" w:rsidRPr="00CE53BA" w:rsidRDefault="00CE53BA" w:rsidP="002243CB">
      <w:pPr>
        <w:pStyle w:val="ListParagraph"/>
        <w:numPr>
          <w:ilvl w:val="0"/>
          <w:numId w:val="34"/>
        </w:numPr>
        <w:spacing w:after="240"/>
        <w:rPr>
          <w:rFonts w:cs="Arial"/>
          <w:b/>
          <w:szCs w:val="24"/>
        </w:rPr>
      </w:pPr>
      <w:r w:rsidRPr="00CE53BA">
        <w:rPr>
          <w:rFonts w:cs="Arial"/>
          <w:b/>
          <w:szCs w:val="24"/>
        </w:rPr>
        <w:t>All signatures must be original “wet” signatures using blue ink. Applications that are submitted with signature stamps, electronic stamps, or any form of reproduced stamp</w:t>
      </w:r>
      <w:r w:rsidR="002243CB">
        <w:rPr>
          <w:rFonts w:cs="Arial"/>
          <w:b/>
          <w:szCs w:val="24"/>
        </w:rPr>
        <w:t>s</w:t>
      </w:r>
      <w:r w:rsidRPr="00CE53BA">
        <w:rPr>
          <w:rFonts w:cs="Arial"/>
          <w:b/>
          <w:szCs w:val="24"/>
        </w:rPr>
        <w:t xml:space="preserve"> will be disqualified.</w:t>
      </w:r>
    </w:p>
    <w:p w14:paraId="6E7F5D34" w14:textId="77777777" w:rsidR="00CE53BA" w:rsidRPr="00CE53BA" w:rsidRDefault="00CE53BA" w:rsidP="00004D75">
      <w:pPr>
        <w:pStyle w:val="ListParagraph"/>
        <w:numPr>
          <w:ilvl w:val="0"/>
          <w:numId w:val="12"/>
        </w:numPr>
        <w:spacing w:after="240"/>
        <w:ind w:left="1080"/>
      </w:pPr>
      <w:r w:rsidRPr="00CE53BA">
        <w:rPr>
          <w:rFonts w:cs="Arial"/>
          <w:szCs w:val="24"/>
        </w:rPr>
        <w:t>Authorized Designee Form (This form must be signed by the designee [if applicable] and include a copy of a recent governing board resolution or minutes specifically authorizing the designee to accept and sign as a proxy for financial statements and legally binding documents.)</w:t>
      </w:r>
    </w:p>
    <w:p w14:paraId="633F4A3B" w14:textId="21389B11" w:rsidR="00CE53BA" w:rsidRPr="00922C64" w:rsidRDefault="00CE53BA" w:rsidP="002243CB">
      <w:pPr>
        <w:pStyle w:val="ListParagraph"/>
        <w:numPr>
          <w:ilvl w:val="0"/>
          <w:numId w:val="12"/>
        </w:numPr>
        <w:spacing w:after="240"/>
        <w:ind w:left="1080"/>
      </w:pPr>
      <w:r w:rsidRPr="00CE53BA">
        <w:rPr>
          <w:rFonts w:cs="Arial"/>
          <w:szCs w:val="24"/>
        </w:rPr>
        <w:t xml:space="preserve">Grant Requests Form </w:t>
      </w:r>
      <w:r>
        <w:rPr>
          <w:rFonts w:cs="Arial"/>
          <w:szCs w:val="24"/>
        </w:rPr>
        <w:t>(</w:t>
      </w:r>
      <w:r>
        <w:t xml:space="preserve">List each ESSER III Summer </w:t>
      </w:r>
      <w:r w:rsidR="005658E2">
        <w:t xml:space="preserve">Grant </w:t>
      </w:r>
      <w:r w:rsidR="00AA3701">
        <w:t xml:space="preserve">Program </w:t>
      </w:r>
      <w:r>
        <w:t xml:space="preserve">site that the </w:t>
      </w:r>
      <w:r w:rsidR="003B4BF9">
        <w:t>A</w:t>
      </w:r>
      <w:r>
        <w:t xml:space="preserve">pplicant wishes to include for potential funding. Include the County-District-School Code and the total amount requested </w:t>
      </w:r>
      <w:r w:rsidRPr="00FD202E">
        <w:t>for each site.</w:t>
      </w:r>
      <w:r>
        <w:t>)</w:t>
      </w:r>
    </w:p>
    <w:p w14:paraId="085221EE" w14:textId="2B74F9B3" w:rsidR="00CE53BA" w:rsidRDefault="00CE53BA" w:rsidP="003B4BF9">
      <w:pPr>
        <w:pStyle w:val="ListParagraph"/>
        <w:numPr>
          <w:ilvl w:val="0"/>
          <w:numId w:val="12"/>
        </w:numPr>
        <w:spacing w:after="240"/>
        <w:ind w:left="1080"/>
        <w:rPr>
          <w:rFonts w:cs="Arial"/>
          <w:szCs w:val="24"/>
        </w:rPr>
      </w:pPr>
      <w:r>
        <w:rPr>
          <w:rFonts w:cs="Arial"/>
          <w:szCs w:val="24"/>
        </w:rPr>
        <w:t>Certified Assurance</w:t>
      </w:r>
      <w:r w:rsidR="006D5AE3">
        <w:rPr>
          <w:rFonts w:cs="Arial"/>
          <w:szCs w:val="24"/>
        </w:rPr>
        <w:t xml:space="preserve"> must be signed and submitted with the application</w:t>
      </w:r>
      <w:r w:rsidR="003B4BF9">
        <w:rPr>
          <w:rFonts w:cs="Arial"/>
          <w:szCs w:val="24"/>
        </w:rPr>
        <w:t>.</w:t>
      </w:r>
    </w:p>
    <w:p w14:paraId="51EC63C7" w14:textId="63EEDE9E" w:rsidR="00CE53BA" w:rsidRPr="00FD202E" w:rsidRDefault="00CE53BA" w:rsidP="00CE53BA">
      <w:pPr>
        <w:pStyle w:val="ListParagraph"/>
        <w:numPr>
          <w:ilvl w:val="0"/>
          <w:numId w:val="12"/>
        </w:numPr>
        <w:spacing w:after="240"/>
        <w:ind w:left="1080"/>
        <w:rPr>
          <w:rFonts w:cs="Arial"/>
          <w:szCs w:val="24"/>
        </w:rPr>
      </w:pPr>
      <w:r w:rsidRPr="00FD202E">
        <w:rPr>
          <w:rFonts w:cs="Arial"/>
          <w:szCs w:val="24"/>
        </w:rPr>
        <w:t>Disqualification For</w:t>
      </w:r>
      <w:r w:rsidR="006D5AE3">
        <w:rPr>
          <w:rFonts w:cs="Arial"/>
          <w:szCs w:val="24"/>
        </w:rPr>
        <w:t>m must be signed and submitted with the application</w:t>
      </w:r>
      <w:r w:rsidR="00F12703">
        <w:rPr>
          <w:rFonts w:cs="Arial"/>
          <w:szCs w:val="24"/>
        </w:rPr>
        <w:t>.</w:t>
      </w:r>
    </w:p>
    <w:p w14:paraId="5BA21142" w14:textId="3F65C1E9" w:rsidR="00406D50" w:rsidRDefault="00CE53BA" w:rsidP="003B4BF9">
      <w:pPr>
        <w:spacing w:after="480"/>
        <w:ind w:left="360" w:right="-360"/>
        <w:rPr>
          <w:rFonts w:cs="Arial"/>
          <w:b/>
          <w:szCs w:val="24"/>
        </w:rPr>
      </w:pPr>
      <w:r w:rsidRPr="003B4BF9">
        <w:rPr>
          <w:rFonts w:cs="Arial"/>
          <w:b/>
          <w:i/>
          <w:szCs w:val="24"/>
        </w:rPr>
        <w:t>Note</w:t>
      </w:r>
      <w:r w:rsidRPr="00130F30">
        <w:rPr>
          <w:rFonts w:cs="Arial"/>
          <w:b/>
          <w:szCs w:val="24"/>
        </w:rPr>
        <w:t>:</w:t>
      </w:r>
      <w:r w:rsidRPr="003504C7">
        <w:rPr>
          <w:rFonts w:cs="Arial"/>
          <w:szCs w:val="24"/>
        </w:rPr>
        <w:t xml:space="preserve"> </w:t>
      </w:r>
      <w:r w:rsidRPr="003504C7">
        <w:rPr>
          <w:rFonts w:cs="Arial"/>
          <w:b/>
          <w:szCs w:val="24"/>
        </w:rPr>
        <w:t xml:space="preserve">All signatures must be original </w:t>
      </w:r>
      <w:r w:rsidRPr="003504C7">
        <w:rPr>
          <w:rFonts w:cs="Arial"/>
          <w:b/>
          <w:bCs/>
          <w:szCs w:val="24"/>
        </w:rPr>
        <w:t xml:space="preserve">“wet” signatures using blue ink. </w:t>
      </w:r>
      <w:r w:rsidRPr="003504C7">
        <w:rPr>
          <w:rFonts w:cs="Arial"/>
          <w:b/>
          <w:szCs w:val="24"/>
        </w:rPr>
        <w:t>Applications that are submitted with signature stamps, electronic stamps, or any form of reproduced stamp</w:t>
      </w:r>
      <w:r w:rsidR="002243CB">
        <w:rPr>
          <w:rFonts w:cs="Arial"/>
          <w:b/>
          <w:szCs w:val="24"/>
        </w:rPr>
        <w:t>s</w:t>
      </w:r>
      <w:r w:rsidRPr="003504C7">
        <w:rPr>
          <w:rFonts w:cs="Arial"/>
          <w:b/>
          <w:szCs w:val="24"/>
        </w:rPr>
        <w:t xml:space="preserve"> will be disqualified.</w:t>
      </w:r>
    </w:p>
    <w:p w14:paraId="767B009F" w14:textId="77777777" w:rsidR="00C76A7D" w:rsidRPr="00BD572D" w:rsidRDefault="00C76A7D" w:rsidP="00E7484B">
      <w:pPr>
        <w:pStyle w:val="Heading2"/>
        <w:numPr>
          <w:ilvl w:val="0"/>
          <w:numId w:val="41"/>
        </w:numPr>
        <w:ind w:left="360"/>
      </w:pPr>
      <w:bookmarkStart w:id="40" w:name="_Toc432411177"/>
      <w:bookmarkStart w:id="41" w:name="_Toc361667292"/>
      <w:bookmarkStart w:id="42" w:name="_Toc364411694"/>
      <w:bookmarkStart w:id="43" w:name="_Toc414365053"/>
      <w:bookmarkStart w:id="44" w:name="_Toc100754002"/>
      <w:bookmarkStart w:id="45" w:name="_Toc361667293"/>
      <w:bookmarkStart w:id="46" w:name="_Toc364411695"/>
      <w:bookmarkStart w:id="47" w:name="_Toc414365054"/>
      <w:bookmarkStart w:id="48" w:name="_Toc432411179"/>
      <w:bookmarkEnd w:id="32"/>
      <w:bookmarkEnd w:id="35"/>
      <w:bookmarkEnd w:id="36"/>
      <w:bookmarkEnd w:id="37"/>
      <w:bookmarkEnd w:id="38"/>
      <w:r w:rsidRPr="00BD572D">
        <w:rPr>
          <w:rStyle w:val="Heading2Char"/>
          <w:b/>
        </w:rPr>
        <w:t>Completion and Submission of the Application</w:t>
      </w:r>
      <w:bookmarkEnd w:id="40"/>
      <w:bookmarkEnd w:id="41"/>
      <w:bookmarkEnd w:id="42"/>
      <w:bookmarkEnd w:id="43"/>
      <w:bookmarkEnd w:id="44"/>
    </w:p>
    <w:p w14:paraId="67D3D66F" w14:textId="07CE659C" w:rsidR="00C76A7D" w:rsidRDefault="006D5AE3" w:rsidP="0056789E">
      <w:pPr>
        <w:pStyle w:val="Normal1"/>
        <w:ind w:left="360"/>
        <w:rPr>
          <w:rFonts w:ascii="Arial" w:hAnsi="Arial" w:cs="Arial"/>
          <w:b/>
        </w:rPr>
      </w:pPr>
      <w:r>
        <w:rPr>
          <w:rFonts w:ascii="Arial" w:hAnsi="Arial" w:cs="Arial"/>
          <w:b/>
        </w:rPr>
        <w:t xml:space="preserve">Applicants must apply through the ASSIST data base and </w:t>
      </w:r>
      <w:r w:rsidR="00C76A7D" w:rsidRPr="003B4BF9">
        <w:rPr>
          <w:rFonts w:ascii="Arial" w:hAnsi="Arial" w:cs="Arial"/>
          <w:b/>
        </w:rPr>
        <w:t xml:space="preserve">Download </w:t>
      </w:r>
      <w:r w:rsidR="00F12703">
        <w:rPr>
          <w:rFonts w:ascii="Arial" w:hAnsi="Arial" w:cs="Arial"/>
          <w:b/>
        </w:rPr>
        <w:t xml:space="preserve">the application </w:t>
      </w:r>
      <w:r w:rsidR="001F429A">
        <w:rPr>
          <w:rFonts w:ascii="Arial" w:hAnsi="Arial" w:cs="Arial"/>
          <w:b/>
        </w:rPr>
        <w:t xml:space="preserve">forms </w:t>
      </w:r>
      <w:r w:rsidR="00F12703">
        <w:rPr>
          <w:rFonts w:ascii="Arial" w:hAnsi="Arial" w:cs="Arial"/>
          <w:b/>
        </w:rPr>
        <w:t>from ASSIST for submission</w:t>
      </w:r>
      <w:r w:rsidR="002E1F88">
        <w:rPr>
          <w:rFonts w:ascii="Arial" w:hAnsi="Arial" w:cs="Arial"/>
          <w:b/>
        </w:rPr>
        <w:t xml:space="preserve"> by May 3, 2023 at 4:00 p.m</w:t>
      </w:r>
      <w:r w:rsidR="00F12703">
        <w:rPr>
          <w:rFonts w:ascii="Arial" w:hAnsi="Arial" w:cs="Arial"/>
          <w:b/>
        </w:rPr>
        <w:t>.</w:t>
      </w:r>
      <w:r>
        <w:rPr>
          <w:rFonts w:ascii="Arial" w:hAnsi="Arial" w:cs="Arial"/>
          <w:b/>
        </w:rPr>
        <w:t xml:space="preserve"> </w:t>
      </w:r>
    </w:p>
    <w:p w14:paraId="44D65822" w14:textId="085EFD9F" w:rsidR="00C76A7D" w:rsidRPr="00492CFB" w:rsidRDefault="00C76A7D" w:rsidP="00240125">
      <w:pPr>
        <w:pStyle w:val="ListParagraph"/>
        <w:numPr>
          <w:ilvl w:val="0"/>
          <w:numId w:val="26"/>
        </w:numPr>
        <w:spacing w:after="240"/>
        <w:ind w:left="1440"/>
        <w:rPr>
          <w:rFonts w:cs="Arial"/>
          <w:szCs w:val="24"/>
        </w:rPr>
      </w:pPr>
      <w:r w:rsidRPr="00811566">
        <w:rPr>
          <w:rFonts w:cs="Arial"/>
          <w:szCs w:val="24"/>
        </w:rPr>
        <w:t xml:space="preserve">The </w:t>
      </w:r>
      <w:r>
        <w:rPr>
          <w:rFonts w:cs="Arial"/>
          <w:szCs w:val="24"/>
        </w:rPr>
        <w:t>ESSER III Summer</w:t>
      </w:r>
      <w:r w:rsidR="008823DD">
        <w:rPr>
          <w:rFonts w:cs="Arial"/>
          <w:szCs w:val="24"/>
        </w:rPr>
        <w:t xml:space="preserve"> </w:t>
      </w:r>
      <w:r w:rsidR="005658E2">
        <w:rPr>
          <w:rFonts w:cs="Arial"/>
          <w:szCs w:val="24"/>
        </w:rPr>
        <w:t xml:space="preserve">Grant </w:t>
      </w:r>
      <w:r w:rsidR="00AA3701">
        <w:rPr>
          <w:rFonts w:cs="Arial"/>
          <w:szCs w:val="24"/>
        </w:rPr>
        <w:t xml:space="preserve">Program </w:t>
      </w:r>
      <w:r w:rsidRPr="00811566">
        <w:rPr>
          <w:rFonts w:cs="Arial"/>
          <w:szCs w:val="24"/>
        </w:rPr>
        <w:t xml:space="preserve">application forms </w:t>
      </w:r>
      <w:r>
        <w:rPr>
          <w:rFonts w:cs="Arial"/>
          <w:szCs w:val="24"/>
        </w:rPr>
        <w:t>a</w:t>
      </w:r>
      <w:r w:rsidRPr="00811566">
        <w:rPr>
          <w:rFonts w:cs="Arial"/>
          <w:szCs w:val="24"/>
        </w:rPr>
        <w:t>re generated</w:t>
      </w:r>
      <w:r>
        <w:rPr>
          <w:rFonts w:cs="Arial"/>
          <w:szCs w:val="24"/>
        </w:rPr>
        <w:t>, downloaded,</w:t>
      </w:r>
      <w:r w:rsidRPr="00811566">
        <w:rPr>
          <w:rFonts w:cs="Arial"/>
          <w:szCs w:val="24"/>
        </w:rPr>
        <w:t xml:space="preserve"> and printed through the</w:t>
      </w:r>
      <w:r>
        <w:rPr>
          <w:rFonts w:cs="Arial"/>
          <w:szCs w:val="24"/>
        </w:rPr>
        <w:t xml:space="preserve"> </w:t>
      </w:r>
      <w:r>
        <w:t>ASSIST</w:t>
      </w:r>
      <w:r w:rsidRPr="00811566">
        <w:rPr>
          <w:rFonts w:cs="Arial"/>
          <w:szCs w:val="24"/>
        </w:rPr>
        <w:t xml:space="preserve"> </w:t>
      </w:r>
      <w:r>
        <w:rPr>
          <w:rFonts w:cs="Arial"/>
          <w:szCs w:val="24"/>
        </w:rPr>
        <w:t xml:space="preserve">portal </w:t>
      </w:r>
      <w:r w:rsidRPr="00811566">
        <w:rPr>
          <w:rFonts w:cs="Arial"/>
          <w:szCs w:val="24"/>
        </w:rPr>
        <w:t xml:space="preserve">by the </w:t>
      </w:r>
      <w:r>
        <w:rPr>
          <w:rFonts w:cs="Arial"/>
          <w:szCs w:val="24"/>
        </w:rPr>
        <w:t>A</w:t>
      </w:r>
      <w:r w:rsidRPr="00811566">
        <w:rPr>
          <w:rFonts w:cs="Arial"/>
          <w:szCs w:val="24"/>
        </w:rPr>
        <w:t>pplicant.</w:t>
      </w:r>
      <w:r>
        <w:rPr>
          <w:rFonts w:cs="Arial"/>
          <w:szCs w:val="24"/>
        </w:rPr>
        <w:t xml:space="preserve"> The ASSIST portal can be located at </w:t>
      </w:r>
      <w:hyperlink r:id="rId29" w:tooltip="Link to CDE's ASSIST portal web page" w:history="1">
        <w:r w:rsidRPr="00A055B6">
          <w:rPr>
            <w:rStyle w:val="Hyperlink"/>
            <w:rFonts w:cs="Arial"/>
            <w:szCs w:val="24"/>
          </w:rPr>
          <w:t>https://www3.cde.ca.gov/ASSIST/index.aspx</w:t>
        </w:r>
      </w:hyperlink>
      <w:r>
        <w:rPr>
          <w:rFonts w:cs="Arial"/>
          <w:szCs w:val="24"/>
        </w:rPr>
        <w:t>.</w:t>
      </w:r>
    </w:p>
    <w:p w14:paraId="6DFFFB32" w14:textId="5C6A8620" w:rsidR="00C76A7D" w:rsidRPr="00FE0DAA" w:rsidRDefault="00C76A7D" w:rsidP="00240125">
      <w:pPr>
        <w:pStyle w:val="BodyText"/>
        <w:spacing w:after="100" w:afterAutospacing="1"/>
        <w:ind w:left="360"/>
        <w:rPr>
          <w:rFonts w:cs="Arial"/>
          <w:szCs w:val="24"/>
        </w:rPr>
      </w:pPr>
      <w:r w:rsidRPr="00FE0DAA">
        <w:rPr>
          <w:rFonts w:cs="Arial"/>
          <w:b/>
          <w:bCs/>
          <w:szCs w:val="24"/>
        </w:rPr>
        <w:t>The original application packet must be postmarked on, or befor</w:t>
      </w:r>
      <w:r w:rsidR="008F5D27">
        <w:rPr>
          <w:rFonts w:cs="Arial"/>
          <w:b/>
          <w:bCs/>
          <w:szCs w:val="24"/>
        </w:rPr>
        <w:t>e</w:t>
      </w:r>
      <w:r w:rsidRPr="00B04353">
        <w:rPr>
          <w:rFonts w:cs="Arial"/>
          <w:szCs w:val="24"/>
        </w:rPr>
        <w:t xml:space="preserve"> </w:t>
      </w:r>
      <w:r w:rsidR="007C2940">
        <w:rPr>
          <w:rFonts w:cs="Arial"/>
          <w:b/>
          <w:szCs w:val="24"/>
        </w:rPr>
        <w:t>May</w:t>
      </w:r>
      <w:r w:rsidR="00E31638" w:rsidRPr="001F429A">
        <w:rPr>
          <w:rFonts w:cs="Arial"/>
          <w:b/>
          <w:szCs w:val="24"/>
        </w:rPr>
        <w:t xml:space="preserve"> 3</w:t>
      </w:r>
      <w:r w:rsidR="00930B84" w:rsidRPr="001F429A">
        <w:rPr>
          <w:rFonts w:cs="Arial"/>
          <w:b/>
          <w:szCs w:val="24"/>
        </w:rPr>
        <w:t>, 2023</w:t>
      </w:r>
      <w:r w:rsidR="00A707E3" w:rsidRPr="001F429A">
        <w:rPr>
          <w:rFonts w:cs="Arial"/>
          <w:b/>
          <w:szCs w:val="24"/>
        </w:rPr>
        <w:t>,</w:t>
      </w:r>
      <w:r w:rsidRPr="00B04353">
        <w:rPr>
          <w:rFonts w:cs="Arial"/>
          <w:b/>
          <w:szCs w:val="24"/>
        </w:rPr>
        <w:t xml:space="preserve"> </w:t>
      </w:r>
      <w:r w:rsidRPr="00FE0DAA">
        <w:rPr>
          <w:rFonts w:cs="Arial"/>
          <w:szCs w:val="24"/>
        </w:rPr>
        <w:t>and mailed to the E</w:t>
      </w:r>
      <w:r w:rsidR="00A707E3">
        <w:rPr>
          <w:rFonts w:cs="Arial"/>
          <w:szCs w:val="24"/>
        </w:rPr>
        <w:t>XLD</w:t>
      </w:r>
      <w:r w:rsidRPr="00FE0DAA">
        <w:rPr>
          <w:rFonts w:cs="Arial"/>
          <w:b/>
          <w:bCs/>
          <w:szCs w:val="24"/>
        </w:rPr>
        <w:t xml:space="preserve">. Mail the original application packet to the address below. Postmarks will be honored. </w:t>
      </w:r>
    </w:p>
    <w:p w14:paraId="1054AE1E" w14:textId="78320BA2" w:rsidR="00C76A7D" w:rsidRDefault="00E31638" w:rsidP="00240125">
      <w:pPr>
        <w:pStyle w:val="BodyText"/>
        <w:spacing w:after="100" w:afterAutospacing="1"/>
        <w:ind w:left="360"/>
        <w:rPr>
          <w:rFonts w:cs="Arial"/>
          <w:b/>
          <w:bCs/>
          <w:szCs w:val="24"/>
        </w:rPr>
      </w:pPr>
      <w:r>
        <w:rPr>
          <w:rFonts w:cs="Arial"/>
          <w:b/>
          <w:bCs/>
          <w:szCs w:val="24"/>
        </w:rPr>
        <w:t>I</w:t>
      </w:r>
      <w:r w:rsidR="00C76A7D" w:rsidRPr="00FE0DAA">
        <w:rPr>
          <w:rFonts w:cs="Arial"/>
          <w:b/>
          <w:bCs/>
          <w:szCs w:val="24"/>
        </w:rPr>
        <w:t xml:space="preserve">n-person delivery of applications to the CDE is </w:t>
      </w:r>
      <w:r w:rsidR="00A707E3">
        <w:rPr>
          <w:rFonts w:cs="Arial"/>
          <w:b/>
          <w:bCs/>
          <w:szCs w:val="24"/>
        </w:rPr>
        <w:t xml:space="preserve">not </w:t>
      </w:r>
      <w:r w:rsidR="00C76A7D" w:rsidRPr="00FE0DAA">
        <w:rPr>
          <w:rFonts w:cs="Arial"/>
          <w:b/>
          <w:bCs/>
          <w:szCs w:val="24"/>
        </w:rPr>
        <w:t>allowed</w:t>
      </w:r>
      <w:r w:rsidR="001F429A">
        <w:rPr>
          <w:rFonts w:cs="Arial"/>
          <w:b/>
          <w:bCs/>
          <w:szCs w:val="24"/>
        </w:rPr>
        <w:t>, all applications must be mailed to address below:</w:t>
      </w:r>
    </w:p>
    <w:p w14:paraId="32F52B61" w14:textId="028E06E0" w:rsidR="001F429A" w:rsidRDefault="001F429A" w:rsidP="00240125">
      <w:pPr>
        <w:pStyle w:val="BodyText"/>
        <w:spacing w:after="100" w:afterAutospacing="1"/>
        <w:ind w:left="360"/>
        <w:rPr>
          <w:rFonts w:cs="Arial"/>
          <w:b/>
          <w:bCs/>
          <w:szCs w:val="24"/>
        </w:rPr>
      </w:pPr>
    </w:p>
    <w:p w14:paraId="1DAA82AA" w14:textId="31425CF1" w:rsidR="001F429A" w:rsidRDefault="001F429A" w:rsidP="00240125">
      <w:pPr>
        <w:pStyle w:val="BodyText"/>
        <w:spacing w:after="100" w:afterAutospacing="1"/>
        <w:ind w:left="360"/>
        <w:rPr>
          <w:rFonts w:cs="Arial"/>
          <w:b/>
          <w:bCs/>
          <w:szCs w:val="24"/>
        </w:rPr>
      </w:pPr>
    </w:p>
    <w:p w14:paraId="1BA87F9B" w14:textId="75166BCA" w:rsidR="00C76A7D" w:rsidRPr="00A3004A" w:rsidRDefault="00C76A7D" w:rsidP="00871D5E">
      <w:pPr>
        <w:pStyle w:val="ListParagraph"/>
        <w:spacing w:after="480"/>
        <w:jc w:val="center"/>
        <w:rPr>
          <w:rFonts w:cs="Arial"/>
          <w:szCs w:val="24"/>
        </w:rPr>
      </w:pPr>
      <w:bookmarkStart w:id="49" w:name="_Hlk80350430"/>
      <w:r>
        <w:rPr>
          <w:rFonts w:cs="Arial"/>
          <w:szCs w:val="24"/>
        </w:rPr>
        <w:lastRenderedPageBreak/>
        <w:t xml:space="preserve">ESSER III Summer </w:t>
      </w:r>
      <w:r w:rsidRPr="00A3004A">
        <w:rPr>
          <w:rFonts w:cs="Arial"/>
          <w:szCs w:val="24"/>
        </w:rPr>
        <w:t xml:space="preserve">Grant </w:t>
      </w:r>
      <w:r w:rsidR="005658E2">
        <w:rPr>
          <w:rFonts w:cs="Arial"/>
          <w:szCs w:val="24"/>
        </w:rPr>
        <w:t xml:space="preserve">Program </w:t>
      </w:r>
      <w:r w:rsidRPr="00A3004A">
        <w:rPr>
          <w:rFonts w:cs="Arial"/>
          <w:szCs w:val="24"/>
        </w:rPr>
        <w:t>Application</w:t>
      </w:r>
      <w:r w:rsidR="001F429A">
        <w:rPr>
          <w:rFonts w:cs="Arial"/>
          <w:szCs w:val="24"/>
        </w:rPr>
        <w:t>–Round 2</w:t>
      </w:r>
      <w:r w:rsidRPr="00A3004A">
        <w:rPr>
          <w:rFonts w:cs="Arial"/>
          <w:szCs w:val="24"/>
        </w:rPr>
        <w:br/>
        <w:t xml:space="preserve">Expanded Learning Division </w:t>
      </w:r>
      <w:r w:rsidRPr="00A3004A">
        <w:rPr>
          <w:rFonts w:cs="Arial"/>
          <w:szCs w:val="24"/>
        </w:rPr>
        <w:br/>
        <w:t>California Department of Education</w:t>
      </w:r>
      <w:r w:rsidRPr="00A3004A">
        <w:rPr>
          <w:rFonts w:cs="Arial"/>
          <w:szCs w:val="24"/>
        </w:rPr>
        <w:br/>
        <w:t>1430 N Street, Suite 3400</w:t>
      </w:r>
      <w:r w:rsidRPr="00A3004A">
        <w:rPr>
          <w:rFonts w:cs="Arial"/>
          <w:szCs w:val="24"/>
        </w:rPr>
        <w:br/>
        <w:t>Sacramento, CA 95814-5901</w:t>
      </w:r>
    </w:p>
    <w:p w14:paraId="2B493457" w14:textId="77777777" w:rsidR="008235FD" w:rsidRDefault="008235FD" w:rsidP="00497432">
      <w:pPr>
        <w:pStyle w:val="Heading2"/>
        <w:numPr>
          <w:ilvl w:val="0"/>
          <w:numId w:val="41"/>
        </w:numPr>
        <w:spacing w:after="480"/>
        <w:ind w:left="360"/>
      </w:pPr>
      <w:bookmarkStart w:id="50" w:name="_Toc100754003"/>
      <w:bookmarkEnd w:id="49"/>
      <w:r>
        <w:t>Application Review Process</w:t>
      </w:r>
      <w:bookmarkEnd w:id="50"/>
    </w:p>
    <w:p w14:paraId="3269BD55" w14:textId="03A8423B" w:rsidR="00406D50" w:rsidRPr="00A46278" w:rsidRDefault="00406D50" w:rsidP="0056789E">
      <w:pPr>
        <w:pStyle w:val="Heading3"/>
        <w:numPr>
          <w:ilvl w:val="0"/>
          <w:numId w:val="20"/>
        </w:numPr>
        <w:ind w:left="720"/>
      </w:pPr>
      <w:bookmarkStart w:id="51" w:name="_Toc100754004"/>
      <w:r w:rsidRPr="00A46278">
        <w:t>Grant Award Determination</w:t>
      </w:r>
      <w:bookmarkEnd w:id="45"/>
      <w:bookmarkEnd w:id="46"/>
      <w:bookmarkEnd w:id="47"/>
      <w:bookmarkEnd w:id="48"/>
      <w:bookmarkEnd w:id="51"/>
    </w:p>
    <w:p w14:paraId="1D91238C" w14:textId="6ADEBAD8" w:rsidR="00406D50" w:rsidRPr="00853A86" w:rsidRDefault="00245C08" w:rsidP="00240125">
      <w:pPr>
        <w:spacing w:after="240"/>
        <w:ind w:left="720"/>
        <w:rPr>
          <w:rFonts w:cs="Arial"/>
          <w:iCs/>
          <w:szCs w:val="24"/>
        </w:rPr>
      </w:pPr>
      <w:r>
        <w:rPr>
          <w:rFonts w:cs="Arial"/>
          <w:szCs w:val="24"/>
        </w:rPr>
        <w:t>In determining grant awards, t</w:t>
      </w:r>
      <w:r w:rsidR="00406D50" w:rsidRPr="00D77365">
        <w:rPr>
          <w:rFonts w:cs="Arial"/>
          <w:szCs w:val="24"/>
        </w:rPr>
        <w:t xml:space="preserve">he CDE will consider each school site included in the application as if it were an independent application for that site alone. Once the hard copy application packet is received, applications will be screened by CDE staff based on the disqualification criteria, and submission of all required signatures on forms as identified on the Application Checklist. Applicants that are </w:t>
      </w:r>
      <w:r w:rsidR="00406D50" w:rsidRPr="00853A86">
        <w:rPr>
          <w:rFonts w:cs="Arial"/>
          <w:szCs w:val="24"/>
        </w:rPr>
        <w:t xml:space="preserve">disqualified will be </w:t>
      </w:r>
      <w:r w:rsidR="00406D50" w:rsidRPr="00C364C3">
        <w:rPr>
          <w:rFonts w:cs="Arial"/>
          <w:szCs w:val="24"/>
        </w:rPr>
        <w:t xml:space="preserve">notified in </w:t>
      </w:r>
      <w:r w:rsidR="001F429A" w:rsidRPr="001F429A">
        <w:rPr>
          <w:rFonts w:cs="Arial"/>
          <w:b/>
          <w:szCs w:val="24"/>
        </w:rPr>
        <w:t>May</w:t>
      </w:r>
      <w:r w:rsidR="00930B84" w:rsidRPr="001F429A">
        <w:rPr>
          <w:rFonts w:cs="Arial"/>
          <w:b/>
          <w:szCs w:val="24"/>
        </w:rPr>
        <w:t xml:space="preserve"> 2023</w:t>
      </w:r>
      <w:r w:rsidR="00406D50" w:rsidRPr="001F429A">
        <w:rPr>
          <w:rFonts w:cs="Arial"/>
          <w:szCs w:val="24"/>
        </w:rPr>
        <w:t>.</w:t>
      </w:r>
    </w:p>
    <w:p w14:paraId="602ABCD9" w14:textId="564FE5E2" w:rsidR="00853A86" w:rsidRPr="00853A86" w:rsidRDefault="00355196" w:rsidP="00240125">
      <w:pPr>
        <w:pStyle w:val="NormalWeb"/>
        <w:shd w:val="clear" w:color="auto" w:fill="FFFFFF"/>
        <w:spacing w:before="0" w:beforeAutospacing="0" w:after="240" w:afterAutospacing="0"/>
        <w:ind w:left="720"/>
        <w:rPr>
          <w:rFonts w:ascii="Arial" w:hAnsi="Arial" w:cs="Arial"/>
          <w:color w:val="000000"/>
          <w:szCs w:val="24"/>
        </w:rPr>
      </w:pPr>
      <w:r w:rsidRPr="00853A86">
        <w:rPr>
          <w:rFonts w:ascii="Arial" w:hAnsi="Arial" w:cs="Arial"/>
          <w:color w:val="000000"/>
          <w:szCs w:val="24"/>
        </w:rPr>
        <w:t>The FRPM da</w:t>
      </w:r>
      <w:r w:rsidR="00345C2A">
        <w:rPr>
          <w:rFonts w:ascii="Arial" w:hAnsi="Arial" w:cs="Arial"/>
          <w:color w:val="000000"/>
          <w:szCs w:val="24"/>
        </w:rPr>
        <w:t xml:space="preserve">ta used in the funding determination </w:t>
      </w:r>
      <w:r w:rsidRPr="00853A86">
        <w:rPr>
          <w:rFonts w:ascii="Arial" w:hAnsi="Arial" w:cs="Arial"/>
          <w:color w:val="000000"/>
          <w:szCs w:val="24"/>
        </w:rPr>
        <w:t xml:space="preserve">process will be the data reported to the CDE in the CALPADS during the </w:t>
      </w:r>
      <w:r w:rsidRPr="001F429A">
        <w:rPr>
          <w:rFonts w:ascii="Arial" w:hAnsi="Arial" w:cs="Arial"/>
          <w:color w:val="000000"/>
          <w:szCs w:val="24"/>
        </w:rPr>
        <w:t>20</w:t>
      </w:r>
      <w:r w:rsidR="00C76A7D" w:rsidRPr="001F429A">
        <w:rPr>
          <w:rFonts w:ascii="Arial" w:hAnsi="Arial" w:cs="Arial"/>
          <w:color w:val="000000"/>
          <w:szCs w:val="24"/>
        </w:rPr>
        <w:t>2</w:t>
      </w:r>
      <w:r w:rsidR="00510752" w:rsidRPr="001F429A">
        <w:rPr>
          <w:rFonts w:ascii="Arial" w:hAnsi="Arial" w:cs="Arial"/>
          <w:color w:val="000000"/>
          <w:szCs w:val="24"/>
        </w:rPr>
        <w:t>1</w:t>
      </w:r>
      <w:r w:rsidRPr="001F429A">
        <w:rPr>
          <w:rFonts w:ascii="Arial" w:hAnsi="Arial" w:cs="Arial"/>
          <w:color w:val="000000"/>
          <w:szCs w:val="24"/>
        </w:rPr>
        <w:t>–</w:t>
      </w:r>
      <w:r w:rsidR="00C76A7D" w:rsidRPr="001F429A">
        <w:rPr>
          <w:rFonts w:ascii="Arial" w:hAnsi="Arial" w:cs="Arial"/>
          <w:color w:val="000000"/>
          <w:szCs w:val="24"/>
        </w:rPr>
        <w:t>2</w:t>
      </w:r>
      <w:r w:rsidR="00510752" w:rsidRPr="001F429A">
        <w:rPr>
          <w:rFonts w:ascii="Arial" w:hAnsi="Arial" w:cs="Arial"/>
          <w:color w:val="000000"/>
          <w:szCs w:val="24"/>
        </w:rPr>
        <w:t>2</w:t>
      </w:r>
      <w:r w:rsidRPr="00853A86">
        <w:rPr>
          <w:rFonts w:ascii="Arial" w:hAnsi="Arial" w:cs="Arial"/>
          <w:color w:val="000000"/>
          <w:szCs w:val="24"/>
        </w:rPr>
        <w:t xml:space="preserve"> school year. The CDE will obtain data on the percentage of students eligible for FRPM from the </w:t>
      </w:r>
      <w:r w:rsidRPr="001F429A">
        <w:rPr>
          <w:rFonts w:ascii="Arial" w:hAnsi="Arial" w:cs="Arial"/>
          <w:color w:val="000000"/>
          <w:szCs w:val="24"/>
        </w:rPr>
        <w:t>20</w:t>
      </w:r>
      <w:r w:rsidR="00C76A7D" w:rsidRPr="001F429A">
        <w:rPr>
          <w:rFonts w:ascii="Arial" w:hAnsi="Arial" w:cs="Arial"/>
          <w:color w:val="000000"/>
          <w:szCs w:val="24"/>
        </w:rPr>
        <w:t>2</w:t>
      </w:r>
      <w:r w:rsidR="003B706F" w:rsidRPr="001F429A">
        <w:rPr>
          <w:rFonts w:ascii="Arial" w:hAnsi="Arial" w:cs="Arial"/>
          <w:color w:val="000000"/>
          <w:szCs w:val="24"/>
        </w:rPr>
        <w:t>1</w:t>
      </w:r>
      <w:r w:rsidRPr="001F429A">
        <w:rPr>
          <w:rFonts w:ascii="Arial" w:hAnsi="Arial" w:cs="Arial"/>
          <w:color w:val="000000"/>
          <w:szCs w:val="24"/>
        </w:rPr>
        <w:t>–</w:t>
      </w:r>
      <w:r w:rsidR="00C76A7D" w:rsidRPr="001F429A">
        <w:rPr>
          <w:rFonts w:ascii="Arial" w:hAnsi="Arial" w:cs="Arial"/>
          <w:color w:val="000000"/>
          <w:szCs w:val="24"/>
        </w:rPr>
        <w:t>2</w:t>
      </w:r>
      <w:r w:rsidR="003B706F" w:rsidRPr="001F429A">
        <w:rPr>
          <w:rFonts w:ascii="Arial" w:hAnsi="Arial" w:cs="Arial"/>
          <w:color w:val="000000"/>
          <w:szCs w:val="24"/>
        </w:rPr>
        <w:t>2</w:t>
      </w:r>
      <w:r w:rsidRPr="001F429A">
        <w:rPr>
          <w:rFonts w:ascii="Arial" w:hAnsi="Arial" w:cs="Arial"/>
          <w:color w:val="000000"/>
          <w:szCs w:val="24"/>
        </w:rPr>
        <w:t xml:space="preserve"> FRPM downloadable file. Please visit the</w:t>
      </w:r>
      <w:r w:rsidR="00AC4C0A" w:rsidRPr="001F429A">
        <w:rPr>
          <w:rFonts w:ascii="Arial" w:hAnsi="Arial" w:cs="Arial"/>
          <w:color w:val="000000"/>
          <w:szCs w:val="24"/>
        </w:rPr>
        <w:t xml:space="preserve"> CDE Student Poverty FRPM Dat</w:t>
      </w:r>
      <w:r w:rsidR="00AC4C0A">
        <w:rPr>
          <w:rFonts w:ascii="Arial" w:hAnsi="Arial" w:cs="Arial"/>
          <w:color w:val="000000"/>
          <w:szCs w:val="24"/>
        </w:rPr>
        <w:t>a w</w:t>
      </w:r>
      <w:r w:rsidRPr="00853A86">
        <w:rPr>
          <w:rFonts w:ascii="Arial" w:hAnsi="Arial" w:cs="Arial"/>
          <w:color w:val="000000"/>
          <w:szCs w:val="24"/>
        </w:rPr>
        <w:t xml:space="preserve">eb page at </w:t>
      </w:r>
      <w:hyperlink r:id="rId30" w:tooltip="CDE Student Poverty FRPM Data web page link." w:history="1">
        <w:r w:rsidRPr="00A74F08">
          <w:rPr>
            <w:rStyle w:val="Hyperlink"/>
            <w:rFonts w:ascii="Arial" w:hAnsi="Arial" w:cs="Arial"/>
            <w:szCs w:val="24"/>
          </w:rPr>
          <w:t>https://www.cde.ca.gov/ds/sd/sd/filessp.asp</w:t>
        </w:r>
      </w:hyperlink>
      <w:r w:rsidRPr="00853A86">
        <w:rPr>
          <w:rFonts w:ascii="Arial" w:hAnsi="Arial" w:cs="Arial"/>
          <w:color w:val="000000"/>
          <w:szCs w:val="24"/>
        </w:rPr>
        <w:t xml:space="preserve">. </w:t>
      </w:r>
    </w:p>
    <w:p w14:paraId="73C6E573" w14:textId="49B9BCDC" w:rsidR="00406D50" w:rsidRPr="00853A86" w:rsidRDefault="00355196" w:rsidP="00004D75">
      <w:pPr>
        <w:pStyle w:val="NormalWeb"/>
        <w:shd w:val="clear" w:color="auto" w:fill="FFFFFF"/>
        <w:spacing w:before="0" w:beforeAutospacing="0" w:after="240" w:afterAutospacing="0"/>
        <w:ind w:left="720"/>
        <w:rPr>
          <w:rFonts w:ascii="Arial" w:hAnsi="Arial" w:cs="Arial"/>
          <w:szCs w:val="24"/>
        </w:rPr>
      </w:pPr>
      <w:r w:rsidRPr="00436DC2">
        <w:rPr>
          <w:rFonts w:ascii="Arial" w:hAnsi="Arial" w:cs="Arial"/>
        </w:rPr>
        <w:t>The data used represent</w:t>
      </w:r>
      <w:r w:rsidR="00436DC2">
        <w:rPr>
          <w:rFonts w:ascii="Arial" w:hAnsi="Arial" w:cs="Arial"/>
        </w:rPr>
        <w:t>s</w:t>
      </w:r>
      <w:r w:rsidRPr="00853A86">
        <w:rPr>
          <w:rFonts w:ascii="Arial" w:hAnsi="Arial" w:cs="Arial"/>
        </w:rPr>
        <w:t xml:space="preserve"> the count of the FRPM eligible students ages five </w:t>
      </w:r>
      <w:r w:rsidRPr="0016520B">
        <w:rPr>
          <w:rFonts w:ascii="Arial" w:hAnsi="Arial" w:cs="Arial"/>
        </w:rPr>
        <w:t>through seventeen</w:t>
      </w:r>
      <w:r w:rsidRPr="00853A86">
        <w:rPr>
          <w:rFonts w:ascii="Arial" w:hAnsi="Arial" w:cs="Arial"/>
        </w:rPr>
        <w:t xml:space="preserve"> who were enrolled on </w:t>
      </w:r>
      <w:r w:rsidR="00FD202E" w:rsidRPr="00FD202E">
        <w:rPr>
          <w:rFonts w:ascii="Arial" w:hAnsi="Arial" w:cs="Arial"/>
          <w:szCs w:val="24"/>
        </w:rPr>
        <w:t>Census Day, October 2020</w:t>
      </w:r>
      <w:r w:rsidRPr="00853A86">
        <w:rPr>
          <w:rFonts w:ascii="Arial" w:hAnsi="Arial" w:cs="Arial"/>
        </w:rPr>
        <w:t>, and certified through t</w:t>
      </w:r>
      <w:r w:rsidR="00972CB6">
        <w:rPr>
          <w:rFonts w:ascii="Arial" w:hAnsi="Arial" w:cs="Arial"/>
        </w:rPr>
        <w:t xml:space="preserve">he fiscal year </w:t>
      </w:r>
      <w:r w:rsidR="00972CB6" w:rsidRPr="001F429A">
        <w:rPr>
          <w:rFonts w:ascii="Arial" w:hAnsi="Arial" w:cs="Arial"/>
        </w:rPr>
        <w:t>20</w:t>
      </w:r>
      <w:r w:rsidR="00C76A7D" w:rsidRPr="001F429A">
        <w:rPr>
          <w:rFonts w:ascii="Arial" w:hAnsi="Arial" w:cs="Arial"/>
        </w:rPr>
        <w:t>2</w:t>
      </w:r>
      <w:r w:rsidR="003B706F" w:rsidRPr="001F429A">
        <w:rPr>
          <w:rFonts w:ascii="Arial" w:hAnsi="Arial" w:cs="Arial"/>
        </w:rPr>
        <w:t>1</w:t>
      </w:r>
      <w:r w:rsidR="00D52936" w:rsidRPr="001F429A">
        <w:rPr>
          <w:b/>
          <w:szCs w:val="24"/>
        </w:rPr>
        <w:t>–</w:t>
      </w:r>
      <w:r w:rsidR="00C76A7D" w:rsidRPr="001F429A">
        <w:rPr>
          <w:rFonts w:ascii="Arial" w:hAnsi="Arial" w:cs="Arial"/>
        </w:rPr>
        <w:t>2</w:t>
      </w:r>
      <w:r w:rsidR="003B706F" w:rsidRPr="001F429A">
        <w:rPr>
          <w:rFonts w:ascii="Arial" w:hAnsi="Arial" w:cs="Arial"/>
        </w:rPr>
        <w:t>2</w:t>
      </w:r>
      <w:r w:rsidR="00972CB6">
        <w:rPr>
          <w:rFonts w:ascii="Arial" w:hAnsi="Arial" w:cs="Arial"/>
        </w:rPr>
        <w:t xml:space="preserve"> CALPADS f</w:t>
      </w:r>
      <w:r w:rsidRPr="00853A86">
        <w:rPr>
          <w:rFonts w:ascii="Arial" w:hAnsi="Arial" w:cs="Arial"/>
        </w:rPr>
        <w:t xml:space="preserve">all </w:t>
      </w:r>
      <w:r w:rsidR="00130F30">
        <w:rPr>
          <w:rFonts w:ascii="Arial" w:hAnsi="Arial" w:cs="Arial"/>
        </w:rPr>
        <w:t>one</w:t>
      </w:r>
      <w:r w:rsidRPr="00853A86">
        <w:rPr>
          <w:rFonts w:ascii="Arial" w:hAnsi="Arial" w:cs="Arial"/>
        </w:rPr>
        <w:t xml:space="preserve"> submission.</w:t>
      </w:r>
      <w:r w:rsidR="00853A86" w:rsidRPr="00853A86">
        <w:rPr>
          <w:rFonts w:ascii="Arial" w:hAnsi="Arial" w:cs="Arial"/>
        </w:rPr>
        <w:t xml:space="preserve"> </w:t>
      </w:r>
      <w:r w:rsidR="00406D50" w:rsidRPr="00853A86">
        <w:rPr>
          <w:rFonts w:ascii="Arial" w:hAnsi="Arial" w:cs="Arial"/>
        </w:rPr>
        <w:t>For schools designated as National School Lunch Program Provision 2 and 3</w:t>
      </w:r>
      <w:r w:rsidR="00406D50" w:rsidRPr="00853A86">
        <w:rPr>
          <w:rFonts w:ascii="Arial" w:hAnsi="Arial" w:cs="Arial"/>
          <w:szCs w:val="24"/>
        </w:rPr>
        <w:t xml:space="preserve"> schools, the FRPM downloadable file will include the count of students eligible for FRPM.</w:t>
      </w:r>
    </w:p>
    <w:p w14:paraId="305D6DF4" w14:textId="7AAE1077" w:rsidR="00406D50" w:rsidRPr="00D77365" w:rsidRDefault="00406D50" w:rsidP="00240125">
      <w:pPr>
        <w:tabs>
          <w:tab w:val="left" w:pos="2880"/>
        </w:tabs>
        <w:spacing w:after="240"/>
        <w:ind w:left="720"/>
        <w:rPr>
          <w:rFonts w:cs="Arial"/>
          <w:szCs w:val="24"/>
        </w:rPr>
      </w:pPr>
      <w:bookmarkStart w:id="52" w:name="_Hlk100750228"/>
      <w:r w:rsidRPr="00D77365">
        <w:rPr>
          <w:rFonts w:cs="Arial"/>
          <w:szCs w:val="24"/>
        </w:rPr>
        <w:t xml:space="preserve">An Intent to Award list will be posted on the CDE </w:t>
      </w:r>
      <w:r w:rsidR="00EB52A5">
        <w:rPr>
          <w:lang w:val="en"/>
        </w:rPr>
        <w:t>Funding Results</w:t>
      </w:r>
      <w:r w:rsidRPr="00D77365">
        <w:rPr>
          <w:rFonts w:cs="Arial"/>
          <w:szCs w:val="24"/>
        </w:rPr>
        <w:t xml:space="preserve"> web page at </w:t>
      </w:r>
      <w:hyperlink r:id="rId31" w:tooltip="Link to CDE Funding Results web page " w:history="1">
        <w:r w:rsidR="00EB52A5" w:rsidRPr="005632A7">
          <w:rPr>
            <w:rStyle w:val="Hyperlink"/>
          </w:rPr>
          <w:t>https://www.cde.ca.gov/ls/ex/exldfundingresults.asp</w:t>
        </w:r>
      </w:hyperlink>
      <w:r w:rsidR="00972CB6">
        <w:rPr>
          <w:rFonts w:cs="Arial"/>
          <w:szCs w:val="24"/>
        </w:rPr>
        <w:t xml:space="preserve"> in the </w:t>
      </w:r>
      <w:r w:rsidR="001F429A" w:rsidRPr="001F429A">
        <w:rPr>
          <w:rFonts w:cs="Arial"/>
          <w:szCs w:val="24"/>
        </w:rPr>
        <w:t>May</w:t>
      </w:r>
      <w:r w:rsidR="00972CB6" w:rsidRPr="001F429A">
        <w:rPr>
          <w:rFonts w:cs="Arial"/>
          <w:szCs w:val="24"/>
        </w:rPr>
        <w:t xml:space="preserve"> of 20</w:t>
      </w:r>
      <w:r w:rsidR="008C6DF8" w:rsidRPr="001F429A">
        <w:rPr>
          <w:rFonts w:cs="Arial"/>
          <w:szCs w:val="24"/>
        </w:rPr>
        <w:t>2</w:t>
      </w:r>
      <w:r w:rsidR="00930B84" w:rsidRPr="001F429A">
        <w:rPr>
          <w:rFonts w:cs="Arial"/>
          <w:szCs w:val="24"/>
        </w:rPr>
        <w:t>3</w:t>
      </w:r>
      <w:r w:rsidR="00972CB6">
        <w:rPr>
          <w:rFonts w:cs="Arial"/>
          <w:szCs w:val="24"/>
        </w:rPr>
        <w:t>.</w:t>
      </w:r>
      <w:r w:rsidR="00A46278">
        <w:rPr>
          <w:rFonts w:cs="Arial"/>
          <w:szCs w:val="24"/>
        </w:rPr>
        <w:t xml:space="preserve"> </w:t>
      </w:r>
      <w:bookmarkEnd w:id="52"/>
      <w:r w:rsidR="001F429A">
        <w:rPr>
          <w:rFonts w:cs="Arial"/>
          <w:szCs w:val="24"/>
        </w:rPr>
        <w:t xml:space="preserve">An </w:t>
      </w:r>
      <w:r w:rsidR="00A46278">
        <w:rPr>
          <w:rFonts w:cs="Arial"/>
          <w:szCs w:val="24"/>
        </w:rPr>
        <w:t>E</w:t>
      </w:r>
      <w:r w:rsidR="001F429A">
        <w:rPr>
          <w:rFonts w:cs="Arial"/>
          <w:szCs w:val="24"/>
        </w:rPr>
        <w:t>-blast</w:t>
      </w:r>
      <w:r w:rsidR="00972CB6">
        <w:rPr>
          <w:rFonts w:cs="Arial"/>
          <w:szCs w:val="24"/>
        </w:rPr>
        <w:t xml:space="preserve"> will be sent to all </w:t>
      </w:r>
      <w:r w:rsidR="00A707E3">
        <w:rPr>
          <w:rFonts w:cs="Arial"/>
          <w:szCs w:val="24"/>
        </w:rPr>
        <w:t>A</w:t>
      </w:r>
      <w:r w:rsidRPr="00D77365">
        <w:rPr>
          <w:rFonts w:cs="Arial"/>
          <w:szCs w:val="24"/>
        </w:rPr>
        <w:t>pplicants announcing the posting of proposed awards.</w:t>
      </w:r>
    </w:p>
    <w:p w14:paraId="0B50092E" w14:textId="20B9BE82" w:rsidR="00406D50" w:rsidRPr="009D0BF7" w:rsidRDefault="00406D50" w:rsidP="00240125">
      <w:pPr>
        <w:tabs>
          <w:tab w:val="left" w:pos="2880"/>
        </w:tabs>
        <w:spacing w:after="480"/>
        <w:ind w:left="720"/>
        <w:rPr>
          <w:rFonts w:cs="Arial"/>
          <w:szCs w:val="24"/>
        </w:rPr>
      </w:pPr>
      <w:r w:rsidRPr="00D77365">
        <w:rPr>
          <w:rFonts w:cs="Arial"/>
          <w:szCs w:val="24"/>
        </w:rPr>
        <w:t>If the</w:t>
      </w:r>
      <w:r w:rsidR="00B021DB">
        <w:rPr>
          <w:rFonts w:cs="Arial"/>
          <w:szCs w:val="24"/>
        </w:rPr>
        <w:t>re are unused funds in</w:t>
      </w:r>
      <w:r w:rsidR="00AD1DC8">
        <w:rPr>
          <w:rFonts w:cs="Arial"/>
          <w:szCs w:val="24"/>
        </w:rPr>
        <w:t xml:space="preserve"> a CCSESA geographic re</w:t>
      </w:r>
      <w:r w:rsidRPr="00D77365">
        <w:rPr>
          <w:rFonts w:cs="Arial"/>
          <w:szCs w:val="24"/>
        </w:rPr>
        <w:t>gion</w:t>
      </w:r>
      <w:r w:rsidR="00A707E3">
        <w:rPr>
          <w:rFonts w:cs="Arial"/>
          <w:szCs w:val="24"/>
        </w:rPr>
        <w:t>,</w:t>
      </w:r>
      <w:r w:rsidRPr="00D77365">
        <w:rPr>
          <w:rFonts w:cs="Arial"/>
          <w:szCs w:val="24"/>
        </w:rPr>
        <w:t xml:space="preserve"> then the unused funds will be pooled into a general fund</w:t>
      </w:r>
      <w:r w:rsidR="00AD1DC8">
        <w:rPr>
          <w:rFonts w:cs="Arial"/>
          <w:szCs w:val="24"/>
        </w:rPr>
        <w:t>.</w:t>
      </w:r>
      <w:r w:rsidRPr="00D77365">
        <w:rPr>
          <w:rFonts w:cs="Arial"/>
          <w:szCs w:val="24"/>
        </w:rPr>
        <w:t xml:space="preserve"> </w:t>
      </w:r>
      <w:r w:rsidR="00211014">
        <w:rPr>
          <w:rFonts w:cs="Arial"/>
          <w:szCs w:val="24"/>
        </w:rPr>
        <w:t>Qualified a</w:t>
      </w:r>
      <w:r w:rsidR="00AD1DC8">
        <w:rPr>
          <w:rFonts w:cs="Arial"/>
          <w:szCs w:val="24"/>
        </w:rPr>
        <w:t>pplicants not receiving funding</w:t>
      </w:r>
      <w:r w:rsidR="00211014">
        <w:rPr>
          <w:rFonts w:cs="Arial"/>
          <w:szCs w:val="24"/>
        </w:rPr>
        <w:t xml:space="preserve"> based on FRPM data</w:t>
      </w:r>
      <w:r w:rsidR="00AD1DC8">
        <w:rPr>
          <w:rFonts w:cs="Arial"/>
          <w:szCs w:val="24"/>
        </w:rPr>
        <w:t xml:space="preserve"> </w:t>
      </w:r>
      <w:r w:rsidR="00211014">
        <w:rPr>
          <w:rFonts w:cs="Arial"/>
          <w:szCs w:val="24"/>
        </w:rPr>
        <w:t>may</w:t>
      </w:r>
      <w:r w:rsidR="00EB7D2C">
        <w:rPr>
          <w:rFonts w:cs="Arial"/>
          <w:szCs w:val="24"/>
        </w:rPr>
        <w:t xml:space="preserve"> be awarded funding </w:t>
      </w:r>
      <w:r w:rsidR="006346AA">
        <w:rPr>
          <w:rFonts w:cs="Arial"/>
          <w:szCs w:val="24"/>
        </w:rPr>
        <w:t xml:space="preserve">from the unused funds </w:t>
      </w:r>
      <w:r w:rsidR="00EB7D2C">
        <w:rPr>
          <w:rFonts w:cs="Arial"/>
          <w:szCs w:val="24"/>
        </w:rPr>
        <w:t>on a state</w:t>
      </w:r>
      <w:r w:rsidR="00AD1DC8">
        <w:rPr>
          <w:rFonts w:cs="Arial"/>
          <w:szCs w:val="24"/>
        </w:rPr>
        <w:t>wide basis</w:t>
      </w:r>
      <w:r w:rsidR="000B5D8D" w:rsidRPr="00D77365">
        <w:rPr>
          <w:rFonts w:cs="Arial"/>
          <w:szCs w:val="24"/>
        </w:rPr>
        <w:t>. FRPM</w:t>
      </w:r>
      <w:r w:rsidRPr="00D77365">
        <w:rPr>
          <w:rFonts w:cs="Arial"/>
          <w:szCs w:val="24"/>
        </w:rPr>
        <w:t xml:space="preserve"> data will be used to determine the</w:t>
      </w:r>
      <w:r w:rsidR="006346AA">
        <w:rPr>
          <w:rFonts w:cs="Arial"/>
          <w:szCs w:val="24"/>
        </w:rPr>
        <w:t>se</w:t>
      </w:r>
      <w:r w:rsidRPr="00D77365">
        <w:rPr>
          <w:rFonts w:cs="Arial"/>
          <w:szCs w:val="24"/>
        </w:rPr>
        <w:t xml:space="preserve"> grant awards.</w:t>
      </w:r>
    </w:p>
    <w:p w14:paraId="187CCD88" w14:textId="77777777" w:rsidR="00406D50" w:rsidRPr="00CE53BA" w:rsidRDefault="00406D50" w:rsidP="00D311A6">
      <w:pPr>
        <w:pStyle w:val="Heading3"/>
        <w:numPr>
          <w:ilvl w:val="0"/>
          <w:numId w:val="20"/>
        </w:numPr>
        <w:spacing w:after="480"/>
        <w:ind w:left="720"/>
      </w:pPr>
      <w:bookmarkStart w:id="53" w:name="_Toc361667294"/>
      <w:bookmarkStart w:id="54" w:name="_Toc364411696"/>
      <w:bookmarkStart w:id="55" w:name="_Ref367707148"/>
      <w:bookmarkStart w:id="56" w:name="_Toc414365055"/>
      <w:bookmarkStart w:id="57" w:name="_Toc432411180"/>
      <w:bookmarkStart w:id="58" w:name="_Toc100754005"/>
      <w:r w:rsidRPr="00CE53BA">
        <w:t>Disqualifications and Appeals</w:t>
      </w:r>
      <w:bookmarkEnd w:id="53"/>
      <w:bookmarkEnd w:id="54"/>
      <w:bookmarkEnd w:id="55"/>
      <w:bookmarkEnd w:id="56"/>
      <w:bookmarkEnd w:id="57"/>
      <w:r w:rsidRPr="00CE53BA">
        <w:t xml:space="preserve"> Process</w:t>
      </w:r>
      <w:bookmarkEnd w:id="58"/>
    </w:p>
    <w:p w14:paraId="06E58724" w14:textId="274ECDFB" w:rsidR="00406D50" w:rsidRPr="00CE53BA" w:rsidRDefault="00406D50" w:rsidP="007079EA">
      <w:pPr>
        <w:pStyle w:val="Heading4"/>
        <w:numPr>
          <w:ilvl w:val="0"/>
          <w:numId w:val="44"/>
        </w:numPr>
        <w:ind w:left="1080"/>
      </w:pPr>
      <w:r w:rsidRPr="00240125">
        <w:t>Disqualifications</w:t>
      </w:r>
    </w:p>
    <w:p w14:paraId="787F0999" w14:textId="54127A69" w:rsidR="00F12703" w:rsidRDefault="00965A91" w:rsidP="00F12703">
      <w:pPr>
        <w:pStyle w:val="ListParagraph"/>
        <w:spacing w:after="360"/>
        <w:ind w:left="1080"/>
        <w:rPr>
          <w:rFonts w:cs="Arial"/>
        </w:rPr>
      </w:pPr>
      <w:bookmarkStart w:id="59" w:name="_Toc364416999"/>
      <w:r w:rsidRPr="00965A91">
        <w:rPr>
          <w:rFonts w:cs="Arial"/>
        </w:rPr>
        <w:t xml:space="preserve">This form does </w:t>
      </w:r>
      <w:r w:rsidR="00F12703">
        <w:rPr>
          <w:rFonts w:cs="Arial"/>
        </w:rPr>
        <w:t>need to be signed and submitted with the applicatio</w:t>
      </w:r>
      <w:bookmarkEnd w:id="59"/>
      <w:r w:rsidR="00F12703">
        <w:rPr>
          <w:rFonts w:cs="Arial"/>
        </w:rPr>
        <w:t>n.</w:t>
      </w:r>
    </w:p>
    <w:p w14:paraId="2FF35EC4" w14:textId="252ADD78" w:rsidR="00406D50" w:rsidRPr="00CE53BA" w:rsidRDefault="00406D50" w:rsidP="00F12703">
      <w:pPr>
        <w:pStyle w:val="ListParagraph"/>
        <w:spacing w:after="360"/>
        <w:ind w:left="1080"/>
        <w:rPr>
          <w:rFonts w:cs="Arial"/>
          <w:szCs w:val="24"/>
        </w:rPr>
      </w:pPr>
      <w:r w:rsidRPr="00CE53BA">
        <w:rPr>
          <w:rFonts w:cs="Arial"/>
          <w:szCs w:val="24"/>
        </w:rPr>
        <w:lastRenderedPageBreak/>
        <w:t xml:space="preserve">Applicants that wish to appeal a disqualification or Intent to Award decision must submit a Letter of Appeal to the CDE. </w:t>
      </w:r>
      <w:r w:rsidRPr="00CE53BA">
        <w:rPr>
          <w:rFonts w:cs="Arial"/>
          <w:b/>
          <w:szCs w:val="24"/>
        </w:rPr>
        <w:t>Appeals are limited to the grounds that the CDE failed to correctly apply the standards for reviewing the applications as specified in this RFA</w:t>
      </w:r>
      <w:r w:rsidRPr="00CE53BA">
        <w:rPr>
          <w:rFonts w:cs="Arial"/>
          <w:i/>
          <w:szCs w:val="24"/>
        </w:rPr>
        <w:t>.</w:t>
      </w:r>
      <w:r w:rsidRPr="00CE53BA">
        <w:rPr>
          <w:rFonts w:cs="Arial"/>
          <w:szCs w:val="24"/>
        </w:rPr>
        <w:t xml:space="preserve"> The appellant must file a full and complete written appeal, including the issue(s) in dispute, the legal authority or other basis for the appeal position, and the remedy sought. The appeal letter must h</w:t>
      </w:r>
      <w:r w:rsidR="00972CB6" w:rsidRPr="00CE53BA">
        <w:rPr>
          <w:rFonts w:cs="Arial"/>
          <w:szCs w:val="24"/>
        </w:rPr>
        <w:t>ave an original LEA authorized s</w:t>
      </w:r>
      <w:r w:rsidRPr="00CE53BA">
        <w:rPr>
          <w:rFonts w:cs="Arial"/>
          <w:szCs w:val="24"/>
        </w:rPr>
        <w:t>ignature.</w:t>
      </w:r>
    </w:p>
    <w:p w14:paraId="26875AFF" w14:textId="337B86CF" w:rsidR="00406D50" w:rsidRPr="00CE53BA" w:rsidRDefault="00406D50" w:rsidP="00240125">
      <w:pPr>
        <w:numPr>
          <w:ilvl w:val="1"/>
          <w:numId w:val="6"/>
        </w:numPr>
        <w:spacing w:after="240"/>
        <w:rPr>
          <w:rFonts w:cs="Arial"/>
          <w:szCs w:val="24"/>
        </w:rPr>
      </w:pPr>
      <w:r w:rsidRPr="00CE53BA">
        <w:rPr>
          <w:rFonts w:cs="Arial"/>
          <w:b/>
          <w:szCs w:val="24"/>
        </w:rPr>
        <w:t>Appeals to disqualifications</w:t>
      </w:r>
      <w:r w:rsidR="00436DC2">
        <w:rPr>
          <w:rFonts w:cs="Arial"/>
          <w:szCs w:val="24"/>
        </w:rPr>
        <w:t>—</w:t>
      </w:r>
      <w:r w:rsidRPr="00CE53BA">
        <w:rPr>
          <w:rFonts w:cs="Arial"/>
          <w:iCs/>
          <w:szCs w:val="24"/>
        </w:rPr>
        <w:t>The CDE must receive the Letter of Appeal within 10 calendar days of the date of the email disqualification notification</w:t>
      </w:r>
      <w:r w:rsidRPr="00CE53BA">
        <w:rPr>
          <w:rFonts w:cs="Arial"/>
          <w:szCs w:val="24"/>
        </w:rPr>
        <w:t>.</w:t>
      </w:r>
    </w:p>
    <w:p w14:paraId="31BAC1A7" w14:textId="24EF70A4" w:rsidR="00406D50" w:rsidRPr="00CE53BA" w:rsidRDefault="00406D50" w:rsidP="00240125">
      <w:pPr>
        <w:pStyle w:val="ListParagraph"/>
        <w:numPr>
          <w:ilvl w:val="1"/>
          <w:numId w:val="6"/>
        </w:numPr>
        <w:spacing w:after="240"/>
        <w:rPr>
          <w:rFonts w:cs="Arial"/>
          <w:szCs w:val="24"/>
        </w:rPr>
      </w:pPr>
      <w:r w:rsidRPr="00CE53BA">
        <w:rPr>
          <w:rFonts w:cs="Arial"/>
          <w:b/>
          <w:szCs w:val="24"/>
        </w:rPr>
        <w:t>Appeals to the Intent to Award posting</w:t>
      </w:r>
      <w:r w:rsidR="00436DC2">
        <w:rPr>
          <w:rFonts w:cs="Arial"/>
          <w:szCs w:val="24"/>
        </w:rPr>
        <w:t>—</w:t>
      </w:r>
      <w:r w:rsidRPr="00CE53BA">
        <w:rPr>
          <w:rFonts w:cs="Arial"/>
          <w:iCs/>
          <w:szCs w:val="24"/>
        </w:rPr>
        <w:t xml:space="preserve">The CDE must receive the Letter of Appeal within 10 calendar days of the posting of the Intent to Award on the CDE </w:t>
      </w:r>
      <w:r w:rsidR="00EB52A5" w:rsidRPr="00CE53BA">
        <w:rPr>
          <w:lang w:val="en"/>
        </w:rPr>
        <w:t xml:space="preserve">Funding Results </w:t>
      </w:r>
      <w:r w:rsidRPr="00CE53BA">
        <w:rPr>
          <w:rFonts w:cs="Arial"/>
          <w:iCs/>
          <w:szCs w:val="24"/>
        </w:rPr>
        <w:t xml:space="preserve">web page at </w:t>
      </w:r>
      <w:hyperlink r:id="rId32" w:tooltip="Link to CDE Funding Results web page " w:history="1">
        <w:r w:rsidR="00EB52A5" w:rsidRPr="00CE53BA">
          <w:rPr>
            <w:rStyle w:val="Hyperlink"/>
          </w:rPr>
          <w:t>https://www.cde.ca.gov/ls/ex/exldfundingresults.asp</w:t>
        </w:r>
      </w:hyperlink>
      <w:r w:rsidRPr="00CE53BA">
        <w:rPr>
          <w:rFonts w:cs="Arial"/>
          <w:szCs w:val="24"/>
        </w:rPr>
        <w:t>.</w:t>
      </w:r>
    </w:p>
    <w:p w14:paraId="64A3F56A" w14:textId="78537D19" w:rsidR="00406D50" w:rsidRPr="00CE53BA" w:rsidRDefault="00E7345E" w:rsidP="00240125">
      <w:pPr>
        <w:spacing w:after="240"/>
        <w:ind w:left="1080"/>
        <w:rPr>
          <w:rFonts w:cs="Arial"/>
          <w:szCs w:val="24"/>
        </w:rPr>
      </w:pPr>
      <w:r w:rsidRPr="00CE53BA">
        <w:rPr>
          <w:rFonts w:cs="Arial"/>
          <w:szCs w:val="24"/>
        </w:rPr>
        <w:t>A</w:t>
      </w:r>
      <w:r w:rsidR="00406D50" w:rsidRPr="00CE53BA">
        <w:rPr>
          <w:rFonts w:cs="Arial"/>
          <w:szCs w:val="24"/>
        </w:rPr>
        <w:t xml:space="preserve">ppeal letters must be received at the CDE by </w:t>
      </w:r>
      <w:r w:rsidRPr="00CE53BA">
        <w:rPr>
          <w:rFonts w:cs="Arial"/>
          <w:szCs w:val="24"/>
        </w:rPr>
        <w:t>4</w:t>
      </w:r>
      <w:r w:rsidR="00406D50" w:rsidRPr="00CE53BA">
        <w:rPr>
          <w:rFonts w:cs="Arial"/>
          <w:szCs w:val="24"/>
        </w:rPr>
        <w:t xml:space="preserve"> p.m. on the required date. Mailed appeal letters must be postmarked on or before the required date and mailed to:</w:t>
      </w:r>
    </w:p>
    <w:p w14:paraId="010AC3DF" w14:textId="32DF31EA" w:rsidR="00406D50" w:rsidRPr="00CE53BA" w:rsidRDefault="00531056" w:rsidP="00406D50">
      <w:pPr>
        <w:ind w:left="1440"/>
        <w:jc w:val="center"/>
        <w:rPr>
          <w:rFonts w:cs="Arial"/>
          <w:b/>
          <w:szCs w:val="24"/>
        </w:rPr>
      </w:pPr>
      <w:r w:rsidRPr="00CE53BA">
        <w:rPr>
          <w:rFonts w:cs="Arial"/>
          <w:b/>
          <w:szCs w:val="24"/>
        </w:rPr>
        <w:t xml:space="preserve">ESSER III Summer </w:t>
      </w:r>
      <w:r w:rsidR="005658E2">
        <w:rPr>
          <w:rFonts w:cs="Arial"/>
          <w:b/>
          <w:szCs w:val="24"/>
        </w:rPr>
        <w:t xml:space="preserve">Grant </w:t>
      </w:r>
      <w:r w:rsidR="00406D50" w:rsidRPr="00CE53BA">
        <w:rPr>
          <w:rFonts w:cs="Arial"/>
          <w:b/>
          <w:szCs w:val="24"/>
        </w:rPr>
        <w:t>Program</w:t>
      </w:r>
      <w:r w:rsidR="00406D50" w:rsidRPr="00CE53BA">
        <w:rPr>
          <w:rFonts w:cs="Arial"/>
          <w:szCs w:val="24"/>
        </w:rPr>
        <w:t xml:space="preserve"> </w:t>
      </w:r>
      <w:r w:rsidR="00406D50" w:rsidRPr="00CE53BA">
        <w:rPr>
          <w:rFonts w:cs="Arial"/>
          <w:b/>
          <w:szCs w:val="24"/>
        </w:rPr>
        <w:t>Appeals</w:t>
      </w:r>
      <w:r w:rsidR="001F429A">
        <w:rPr>
          <w:rFonts w:cs="Arial"/>
          <w:b/>
          <w:szCs w:val="24"/>
        </w:rPr>
        <w:t>-Round 2</w:t>
      </w:r>
    </w:p>
    <w:p w14:paraId="1508E5C1" w14:textId="77777777" w:rsidR="00406D50" w:rsidRPr="00CE53BA" w:rsidRDefault="00406D50" w:rsidP="00406D50">
      <w:pPr>
        <w:ind w:left="1440"/>
        <w:jc w:val="center"/>
        <w:rPr>
          <w:rFonts w:cs="Arial"/>
          <w:b/>
          <w:szCs w:val="24"/>
        </w:rPr>
      </w:pPr>
      <w:r w:rsidRPr="00CE53BA">
        <w:rPr>
          <w:rFonts w:cs="Arial"/>
          <w:b/>
          <w:szCs w:val="24"/>
        </w:rPr>
        <w:t>Expanded Learning Division</w:t>
      </w:r>
    </w:p>
    <w:p w14:paraId="1162E93F" w14:textId="77777777" w:rsidR="00406D50" w:rsidRPr="00CE53BA" w:rsidRDefault="00406D50" w:rsidP="00406D50">
      <w:pPr>
        <w:ind w:left="1440"/>
        <w:jc w:val="center"/>
        <w:rPr>
          <w:rFonts w:cs="Arial"/>
          <w:b/>
          <w:szCs w:val="24"/>
        </w:rPr>
      </w:pPr>
      <w:r w:rsidRPr="00CE53BA">
        <w:rPr>
          <w:rFonts w:cs="Arial"/>
          <w:b/>
          <w:szCs w:val="24"/>
        </w:rPr>
        <w:t>California Department of Education</w:t>
      </w:r>
    </w:p>
    <w:p w14:paraId="1A9AC37C" w14:textId="77777777" w:rsidR="00406D50" w:rsidRPr="00CE53BA" w:rsidRDefault="00406D50" w:rsidP="00406D50">
      <w:pPr>
        <w:ind w:left="1440"/>
        <w:jc w:val="center"/>
        <w:rPr>
          <w:rFonts w:cs="Arial"/>
          <w:b/>
          <w:szCs w:val="24"/>
        </w:rPr>
      </w:pPr>
      <w:r w:rsidRPr="00CE53BA">
        <w:rPr>
          <w:rFonts w:cs="Arial"/>
          <w:b/>
          <w:szCs w:val="24"/>
        </w:rPr>
        <w:t>1430 N Street, Suite 3400</w:t>
      </w:r>
    </w:p>
    <w:p w14:paraId="3E4A209C" w14:textId="77777777" w:rsidR="00406D50" w:rsidRPr="00CE53BA" w:rsidRDefault="00406D50" w:rsidP="00240125">
      <w:pPr>
        <w:spacing w:after="240"/>
        <w:ind w:left="1440"/>
        <w:jc w:val="center"/>
        <w:rPr>
          <w:rFonts w:cs="Arial"/>
          <w:b/>
          <w:szCs w:val="24"/>
        </w:rPr>
      </w:pPr>
      <w:r w:rsidRPr="00CE53BA">
        <w:rPr>
          <w:rFonts w:cs="Arial"/>
          <w:b/>
          <w:szCs w:val="24"/>
        </w:rPr>
        <w:t>Sacramento, CA 95814-5901</w:t>
      </w:r>
    </w:p>
    <w:p w14:paraId="4D65BE5E" w14:textId="327F7F55" w:rsidR="00406D50" w:rsidRDefault="00406D50" w:rsidP="00240125">
      <w:pPr>
        <w:ind w:left="1260"/>
        <w:rPr>
          <w:rFonts w:cs="Arial"/>
          <w:szCs w:val="24"/>
        </w:rPr>
      </w:pPr>
      <w:r w:rsidRPr="00CE53BA">
        <w:rPr>
          <w:rFonts w:cs="Arial"/>
          <w:szCs w:val="24"/>
        </w:rPr>
        <w:t>A final decision regarding the appeal will be made within 30 days of the receipt of the appeal by the CDE. That decision will be mailed to the appellant and shall be the final administrative</w:t>
      </w:r>
      <w:bookmarkStart w:id="60" w:name="_Toc432411169"/>
      <w:r w:rsidRPr="00CE53BA">
        <w:rPr>
          <w:rFonts w:cs="Arial"/>
          <w:szCs w:val="24"/>
        </w:rPr>
        <w:t xml:space="preserve"> action afforded to the appeal.</w:t>
      </w:r>
      <w:bookmarkEnd w:id="60"/>
    </w:p>
    <w:p w14:paraId="59443A89" w14:textId="43F55A65" w:rsidR="007079EA" w:rsidRDefault="007079EA">
      <w:pPr>
        <w:rPr>
          <w:rFonts w:cs="Arial"/>
          <w:szCs w:val="24"/>
        </w:rPr>
      </w:pPr>
      <w:r>
        <w:rPr>
          <w:rFonts w:cs="Arial"/>
          <w:szCs w:val="24"/>
        </w:rPr>
        <w:br w:type="page"/>
      </w:r>
    </w:p>
    <w:p w14:paraId="3699AA8F" w14:textId="77777777" w:rsidR="00E7345E" w:rsidRDefault="00E7345E" w:rsidP="00406D50">
      <w:pPr>
        <w:ind w:left="1080"/>
        <w:rPr>
          <w:rFonts w:cs="Arial"/>
          <w:szCs w:val="24"/>
        </w:rPr>
        <w:sectPr w:rsidR="00E7345E" w:rsidSect="0048787F">
          <w:footerReference w:type="first" r:id="rId33"/>
          <w:pgSz w:w="12240" w:h="15840"/>
          <w:pgMar w:top="1440" w:right="1440" w:bottom="1440" w:left="1440" w:header="720" w:footer="720" w:gutter="0"/>
          <w:pgNumType w:start="1"/>
          <w:cols w:space="720"/>
          <w:titlePg/>
          <w:docGrid w:linePitch="360"/>
        </w:sectPr>
      </w:pPr>
    </w:p>
    <w:p w14:paraId="29868418" w14:textId="5CA51688" w:rsidR="00406D50" w:rsidRPr="009D0BF7" w:rsidRDefault="00406D50" w:rsidP="00E7484B">
      <w:pPr>
        <w:pStyle w:val="Heading2"/>
        <w:numPr>
          <w:ilvl w:val="0"/>
          <w:numId w:val="42"/>
        </w:numPr>
        <w:ind w:left="360"/>
      </w:pPr>
      <w:bookmarkStart w:id="61" w:name="_Toc100754006"/>
      <w:r w:rsidRPr="009D0BF7">
        <w:lastRenderedPageBreak/>
        <w:t>Key Terms</w:t>
      </w:r>
      <w:bookmarkEnd w:id="61"/>
    </w:p>
    <w:p w14:paraId="45A67E4E" w14:textId="32E88360" w:rsidR="00406D50" w:rsidRPr="009D0BF7" w:rsidRDefault="00406D50" w:rsidP="0056789E">
      <w:pPr>
        <w:spacing w:after="240"/>
        <w:ind w:left="360"/>
        <w:textAlignment w:val="baseline"/>
        <w:rPr>
          <w:rFonts w:cs="Arial"/>
          <w:szCs w:val="24"/>
        </w:rPr>
      </w:pPr>
      <w:r w:rsidRPr="009D0BF7">
        <w:rPr>
          <w:rFonts w:cs="Arial"/>
          <w:b/>
          <w:szCs w:val="24"/>
        </w:rPr>
        <w:t>Applicant</w:t>
      </w:r>
      <w:r w:rsidRPr="009D0BF7">
        <w:rPr>
          <w:rFonts w:cs="Arial"/>
          <w:szCs w:val="24"/>
        </w:rPr>
        <w:t>—refers to an agency or organization requesting funding from a grant program administered by the C</w:t>
      </w:r>
      <w:r w:rsidR="00AF465A">
        <w:rPr>
          <w:rFonts w:cs="Arial"/>
          <w:szCs w:val="24"/>
        </w:rPr>
        <w:t xml:space="preserve">alifornia </w:t>
      </w:r>
      <w:r w:rsidRPr="009D0BF7">
        <w:rPr>
          <w:rFonts w:cs="Arial"/>
          <w:szCs w:val="24"/>
        </w:rPr>
        <w:t>D</w:t>
      </w:r>
      <w:r w:rsidR="00AF465A">
        <w:rPr>
          <w:rFonts w:cs="Arial"/>
          <w:szCs w:val="24"/>
        </w:rPr>
        <w:t xml:space="preserve">epartment of </w:t>
      </w:r>
      <w:r w:rsidRPr="009D0BF7">
        <w:rPr>
          <w:rFonts w:cs="Arial"/>
          <w:szCs w:val="24"/>
        </w:rPr>
        <w:t>E</w:t>
      </w:r>
      <w:r w:rsidR="00AF465A">
        <w:rPr>
          <w:rFonts w:cs="Arial"/>
          <w:szCs w:val="24"/>
        </w:rPr>
        <w:t>ducation</w:t>
      </w:r>
      <w:r w:rsidRPr="009D0BF7">
        <w:rPr>
          <w:rFonts w:cs="Arial"/>
          <w:szCs w:val="24"/>
        </w:rPr>
        <w:t>.</w:t>
      </w:r>
    </w:p>
    <w:p w14:paraId="1F484A42" w14:textId="77777777" w:rsidR="00406D50" w:rsidRPr="009D0BF7" w:rsidRDefault="00406D50" w:rsidP="0056789E">
      <w:pPr>
        <w:spacing w:after="240"/>
        <w:ind w:left="360"/>
        <w:textAlignment w:val="baseline"/>
        <w:rPr>
          <w:rFonts w:cs="Arial"/>
          <w:szCs w:val="24"/>
        </w:rPr>
      </w:pPr>
      <w:r w:rsidRPr="009D0BF7">
        <w:rPr>
          <w:rFonts w:cs="Arial"/>
          <w:b/>
          <w:szCs w:val="24"/>
        </w:rPr>
        <w:t>ASSIST</w:t>
      </w:r>
      <w:r w:rsidRPr="009D0BF7">
        <w:rPr>
          <w:rFonts w:cs="Arial"/>
          <w:szCs w:val="24"/>
        </w:rPr>
        <w:t>—refers to the online reporting After School Support &amp; Information System.</w:t>
      </w:r>
    </w:p>
    <w:p w14:paraId="33558A3D" w14:textId="10C11B53" w:rsidR="00406D50" w:rsidRPr="009D0BF7" w:rsidRDefault="00406D50">
      <w:pPr>
        <w:widowControl w:val="0"/>
        <w:adjustRightInd w:val="0"/>
        <w:spacing w:after="240"/>
        <w:ind w:left="360"/>
        <w:textAlignment w:val="baseline"/>
        <w:rPr>
          <w:rFonts w:cs="Arial"/>
          <w:szCs w:val="24"/>
        </w:rPr>
      </w:pPr>
      <w:r w:rsidRPr="009D0BF7">
        <w:rPr>
          <w:rFonts w:cs="Arial"/>
          <w:b/>
          <w:szCs w:val="24"/>
        </w:rPr>
        <w:t>Authorized Signature</w:t>
      </w:r>
      <w:r w:rsidRPr="009D0BF7">
        <w:rPr>
          <w:rFonts w:cs="Arial"/>
          <w:szCs w:val="24"/>
        </w:rPr>
        <w:t xml:space="preserve">—refers to the signing executive of the </w:t>
      </w:r>
      <w:r w:rsidR="00C002F3">
        <w:rPr>
          <w:rFonts w:cs="Arial"/>
          <w:szCs w:val="24"/>
        </w:rPr>
        <w:t xml:space="preserve">organization. </w:t>
      </w:r>
      <w:r w:rsidR="00436DC2">
        <w:rPr>
          <w:rFonts w:cs="Arial"/>
          <w:szCs w:val="24"/>
        </w:rPr>
        <w:t>A</w:t>
      </w:r>
      <w:r w:rsidRPr="009D0BF7">
        <w:rPr>
          <w:rFonts w:cs="Arial"/>
          <w:szCs w:val="24"/>
        </w:rPr>
        <w:t>uthorized signatures from the following individuals are also acceptable:</w:t>
      </w:r>
    </w:p>
    <w:p w14:paraId="73A50BD7" w14:textId="27949622" w:rsidR="00406D50" w:rsidRPr="009D0BF7" w:rsidRDefault="00406D50" w:rsidP="00A707E3">
      <w:pPr>
        <w:widowControl w:val="0"/>
        <w:numPr>
          <w:ilvl w:val="0"/>
          <w:numId w:val="7"/>
        </w:numPr>
        <w:adjustRightInd w:val="0"/>
        <w:spacing w:after="240"/>
        <w:ind w:left="1350"/>
        <w:textAlignment w:val="baseline"/>
        <w:rPr>
          <w:rFonts w:cs="Arial"/>
          <w:iCs/>
          <w:szCs w:val="24"/>
        </w:rPr>
      </w:pPr>
      <w:r w:rsidRPr="009D0BF7">
        <w:rPr>
          <w:rFonts w:cs="Arial"/>
          <w:iCs/>
          <w:szCs w:val="24"/>
        </w:rPr>
        <w:t>L</w:t>
      </w:r>
      <w:r w:rsidR="00AF465A">
        <w:rPr>
          <w:rFonts w:cs="Arial"/>
          <w:iCs/>
          <w:szCs w:val="24"/>
        </w:rPr>
        <w:t xml:space="preserve">ocal </w:t>
      </w:r>
      <w:r w:rsidR="00972CB6">
        <w:rPr>
          <w:rFonts w:cs="Arial"/>
          <w:iCs/>
          <w:szCs w:val="24"/>
        </w:rPr>
        <w:t>e</w:t>
      </w:r>
      <w:r w:rsidR="00AF465A">
        <w:rPr>
          <w:rFonts w:cs="Arial"/>
          <w:iCs/>
          <w:szCs w:val="24"/>
        </w:rPr>
        <w:t xml:space="preserve">ducational </w:t>
      </w:r>
      <w:r w:rsidR="00972CB6">
        <w:rPr>
          <w:rFonts w:cs="Arial"/>
          <w:iCs/>
          <w:szCs w:val="24"/>
        </w:rPr>
        <w:t>a</w:t>
      </w:r>
      <w:r w:rsidR="00AF465A">
        <w:rPr>
          <w:rFonts w:cs="Arial"/>
          <w:iCs/>
          <w:szCs w:val="24"/>
        </w:rPr>
        <w:t>gency: Superintendent of a</w:t>
      </w:r>
      <w:r w:rsidR="00972CB6">
        <w:rPr>
          <w:rFonts w:cs="Arial"/>
          <w:iCs/>
          <w:szCs w:val="24"/>
        </w:rPr>
        <w:t xml:space="preserve"> l</w:t>
      </w:r>
      <w:r w:rsidR="00AF465A">
        <w:rPr>
          <w:rFonts w:cs="Arial"/>
          <w:iCs/>
          <w:szCs w:val="24"/>
        </w:rPr>
        <w:t xml:space="preserve">ocal </w:t>
      </w:r>
      <w:r w:rsidR="00972CB6">
        <w:rPr>
          <w:rFonts w:cs="Arial"/>
          <w:iCs/>
          <w:szCs w:val="24"/>
        </w:rPr>
        <w:t>e</w:t>
      </w:r>
      <w:r w:rsidR="00AF465A">
        <w:rPr>
          <w:rFonts w:cs="Arial"/>
          <w:iCs/>
          <w:szCs w:val="24"/>
        </w:rPr>
        <w:t xml:space="preserve">ducational </w:t>
      </w:r>
      <w:r w:rsidR="00972CB6">
        <w:rPr>
          <w:rFonts w:cs="Arial"/>
          <w:iCs/>
          <w:szCs w:val="24"/>
        </w:rPr>
        <w:t>a</w:t>
      </w:r>
      <w:r w:rsidR="00AF465A">
        <w:rPr>
          <w:rFonts w:cs="Arial"/>
          <w:iCs/>
          <w:szCs w:val="24"/>
        </w:rPr>
        <w:t>gency</w:t>
      </w:r>
      <w:r w:rsidRPr="009D0BF7">
        <w:rPr>
          <w:rFonts w:cs="Arial"/>
          <w:iCs/>
          <w:szCs w:val="24"/>
        </w:rPr>
        <w:t>, county offices of education or school district, or charter school governing board authorized signature</w:t>
      </w:r>
      <w:r w:rsidR="00AF465A">
        <w:rPr>
          <w:rFonts w:cs="Arial"/>
          <w:iCs/>
          <w:szCs w:val="24"/>
        </w:rPr>
        <w:t>.</w:t>
      </w:r>
    </w:p>
    <w:p w14:paraId="1DC43477" w14:textId="2ADF348B" w:rsidR="00406D50" w:rsidRPr="009D0BF7" w:rsidRDefault="00406D50" w:rsidP="00A707E3">
      <w:pPr>
        <w:widowControl w:val="0"/>
        <w:numPr>
          <w:ilvl w:val="0"/>
          <w:numId w:val="4"/>
        </w:numPr>
        <w:tabs>
          <w:tab w:val="clear" w:pos="900"/>
        </w:tabs>
        <w:adjustRightInd w:val="0"/>
        <w:spacing w:after="240"/>
        <w:ind w:left="1350"/>
        <w:textAlignment w:val="baseline"/>
        <w:rPr>
          <w:rFonts w:cs="Arial"/>
          <w:iCs/>
          <w:szCs w:val="24"/>
        </w:rPr>
      </w:pPr>
      <w:r w:rsidRPr="009D0BF7">
        <w:rPr>
          <w:rFonts w:cs="Arial"/>
          <w:iCs/>
          <w:szCs w:val="24"/>
        </w:rPr>
        <w:t>School: Principal or executive director of a school</w:t>
      </w:r>
      <w:r w:rsidR="00AF465A">
        <w:rPr>
          <w:rFonts w:cs="Arial"/>
          <w:iCs/>
          <w:szCs w:val="24"/>
        </w:rPr>
        <w:t>.</w:t>
      </w:r>
    </w:p>
    <w:p w14:paraId="0B1D685D" w14:textId="77777777" w:rsidR="00406D50" w:rsidRPr="00EB15A6" w:rsidRDefault="00406D50" w:rsidP="00004D75">
      <w:pPr>
        <w:widowControl w:val="0"/>
        <w:adjustRightInd w:val="0"/>
        <w:spacing w:after="240"/>
        <w:ind w:left="900"/>
        <w:textAlignment w:val="baseline"/>
        <w:rPr>
          <w:rFonts w:cs="Arial"/>
          <w:b/>
          <w:iCs/>
          <w:szCs w:val="24"/>
        </w:rPr>
      </w:pPr>
      <w:r w:rsidRPr="009D0BF7">
        <w:rPr>
          <w:rFonts w:cs="Arial"/>
          <w:b/>
          <w:i/>
          <w:szCs w:val="24"/>
        </w:rPr>
        <w:t>Note</w:t>
      </w:r>
      <w:r w:rsidRPr="009D0BF7">
        <w:rPr>
          <w:rFonts w:cs="Arial"/>
          <w:i/>
          <w:szCs w:val="24"/>
        </w:rPr>
        <w:t>:</w:t>
      </w:r>
      <w:r w:rsidRPr="009D0BF7">
        <w:rPr>
          <w:rFonts w:cs="Arial"/>
          <w:szCs w:val="24"/>
        </w:rPr>
        <w:t xml:space="preserve"> </w:t>
      </w:r>
      <w:r w:rsidRPr="00EB15A6">
        <w:rPr>
          <w:rFonts w:cs="Arial"/>
          <w:b/>
          <w:szCs w:val="24"/>
        </w:rPr>
        <w:t>Designees will be accepted with a copy of a recent governing board’s resolution or minutes authorizing them to sign as a proxy for financial statements and legally binding documents.</w:t>
      </w:r>
    </w:p>
    <w:p w14:paraId="526242EB" w14:textId="5B41E72A" w:rsidR="002D2095" w:rsidRDefault="00972CB6" w:rsidP="0056789E">
      <w:pPr>
        <w:tabs>
          <w:tab w:val="left" w:pos="9360"/>
        </w:tabs>
        <w:spacing w:after="240"/>
        <w:ind w:left="360"/>
        <w:textAlignment w:val="baseline"/>
        <w:rPr>
          <w:rFonts w:cs="Arial"/>
          <w:b/>
          <w:iCs/>
          <w:szCs w:val="24"/>
        </w:rPr>
      </w:pPr>
      <w:r>
        <w:rPr>
          <w:rFonts w:cs="Arial"/>
          <w:b/>
          <w:iCs/>
          <w:szCs w:val="24"/>
        </w:rPr>
        <w:t>CALPADS</w:t>
      </w:r>
      <w:r w:rsidRPr="00972CB6">
        <w:rPr>
          <w:rFonts w:cs="Arial"/>
          <w:iCs/>
          <w:szCs w:val="24"/>
        </w:rPr>
        <w:t>—refers to</w:t>
      </w:r>
      <w:r>
        <w:rPr>
          <w:rFonts w:cs="Arial"/>
          <w:iCs/>
          <w:szCs w:val="24"/>
        </w:rPr>
        <w:t xml:space="preserve"> </w:t>
      </w:r>
      <w:r w:rsidR="002D2095">
        <w:rPr>
          <w:rFonts w:cs="Arial"/>
          <w:iCs/>
          <w:szCs w:val="24"/>
        </w:rPr>
        <w:t>California Longitudinal Pupil Achievement Data System</w:t>
      </w:r>
      <w:r w:rsidR="00436DC2">
        <w:rPr>
          <w:rFonts w:cs="Arial"/>
          <w:b/>
          <w:iCs/>
          <w:szCs w:val="24"/>
        </w:rPr>
        <w:t>.</w:t>
      </w:r>
    </w:p>
    <w:p w14:paraId="6BC7CD92" w14:textId="321BD1B9" w:rsidR="002366CF" w:rsidRPr="002366CF" w:rsidRDefault="002366CF" w:rsidP="0056789E">
      <w:pPr>
        <w:spacing w:after="240"/>
        <w:ind w:left="360"/>
        <w:textAlignment w:val="baseline"/>
        <w:rPr>
          <w:rFonts w:cs="Arial"/>
          <w:iCs/>
          <w:szCs w:val="24"/>
        </w:rPr>
      </w:pPr>
      <w:r w:rsidRPr="006F706F">
        <w:rPr>
          <w:rFonts w:cs="Arial"/>
          <w:b/>
          <w:iCs/>
          <w:szCs w:val="24"/>
        </w:rPr>
        <w:t>Capital</w:t>
      </w:r>
      <w:r w:rsidR="00391B6E">
        <w:rPr>
          <w:rFonts w:cs="Arial"/>
          <w:b/>
          <w:iCs/>
          <w:szCs w:val="24"/>
        </w:rPr>
        <w:t xml:space="preserve"> Outlay</w:t>
      </w:r>
      <w:r w:rsidR="00391B6E" w:rsidRPr="00391B6E">
        <w:rPr>
          <w:rFonts w:cs="Arial"/>
          <w:iCs/>
          <w:szCs w:val="24"/>
        </w:rPr>
        <w:t>—</w:t>
      </w:r>
      <w:r w:rsidRPr="006F706F">
        <w:rPr>
          <w:rFonts w:cs="Arial"/>
          <w:iCs/>
          <w:szCs w:val="24"/>
        </w:rPr>
        <w:t>representing expenditures of funds to acquire land, plan and construct new buildings, expand or modify existing buildings, and/or purchase equipment related to such construction</w:t>
      </w:r>
      <w:r w:rsidR="00436DC2">
        <w:rPr>
          <w:rFonts w:cs="Arial"/>
          <w:iCs/>
          <w:szCs w:val="24"/>
        </w:rPr>
        <w:t xml:space="preserve"> (</w:t>
      </w:r>
      <w:r w:rsidR="009B6ACC">
        <w:rPr>
          <w:rFonts w:cs="Arial"/>
          <w:iCs/>
          <w:szCs w:val="24"/>
        </w:rPr>
        <w:t>e.g</w:t>
      </w:r>
      <w:r w:rsidR="00436DC2">
        <w:rPr>
          <w:rFonts w:cs="Arial"/>
          <w:iCs/>
          <w:szCs w:val="24"/>
        </w:rPr>
        <w:t xml:space="preserve">., </w:t>
      </w:r>
      <w:r w:rsidR="006F706F">
        <w:rPr>
          <w:rFonts w:cs="Arial"/>
          <w:iCs/>
          <w:szCs w:val="24"/>
        </w:rPr>
        <w:t>re-wiring the school for high-speed internet</w:t>
      </w:r>
      <w:r w:rsidR="00436DC2">
        <w:rPr>
          <w:rFonts w:cs="Arial"/>
          <w:iCs/>
          <w:szCs w:val="24"/>
        </w:rPr>
        <w:t>)</w:t>
      </w:r>
      <w:r w:rsidR="006F706F">
        <w:rPr>
          <w:rFonts w:cs="Arial"/>
          <w:iCs/>
          <w:szCs w:val="24"/>
        </w:rPr>
        <w:t>.</w:t>
      </w:r>
    </w:p>
    <w:p w14:paraId="023974EE" w14:textId="77777777" w:rsidR="00406D50" w:rsidRPr="009D0BF7" w:rsidRDefault="00406D50" w:rsidP="0056789E">
      <w:pPr>
        <w:tabs>
          <w:tab w:val="left" w:pos="1260"/>
        </w:tabs>
        <w:spacing w:after="240"/>
        <w:ind w:left="360"/>
        <w:textAlignment w:val="baseline"/>
        <w:rPr>
          <w:rFonts w:cs="Arial"/>
          <w:iCs/>
          <w:szCs w:val="24"/>
        </w:rPr>
      </w:pPr>
      <w:r w:rsidRPr="009D0BF7">
        <w:rPr>
          <w:rFonts w:cs="Arial"/>
          <w:b/>
          <w:iCs/>
          <w:szCs w:val="24"/>
        </w:rPr>
        <w:t>CDE</w:t>
      </w:r>
      <w:r w:rsidRPr="009D0BF7">
        <w:rPr>
          <w:rFonts w:cs="Arial"/>
          <w:iCs/>
          <w:szCs w:val="24"/>
        </w:rPr>
        <w:t>—refers to the California Department of Education.</w:t>
      </w:r>
    </w:p>
    <w:p w14:paraId="72C62D24" w14:textId="2A879EA2" w:rsidR="00406D50" w:rsidRPr="009D0BF7" w:rsidRDefault="00AF465A" w:rsidP="0056789E">
      <w:pPr>
        <w:spacing w:after="240"/>
        <w:ind w:left="360"/>
        <w:textAlignment w:val="baseline"/>
        <w:rPr>
          <w:rFonts w:cs="Arial"/>
          <w:szCs w:val="24"/>
        </w:rPr>
      </w:pPr>
      <w:r>
        <w:rPr>
          <w:rFonts w:cs="Arial"/>
          <w:b/>
          <w:szCs w:val="24"/>
        </w:rPr>
        <w:t>County-</w:t>
      </w:r>
      <w:r w:rsidR="00406D50" w:rsidRPr="009D0BF7">
        <w:rPr>
          <w:rFonts w:cs="Arial"/>
          <w:b/>
          <w:szCs w:val="24"/>
        </w:rPr>
        <w:t>D</w:t>
      </w:r>
      <w:r>
        <w:rPr>
          <w:rFonts w:cs="Arial"/>
          <w:b/>
          <w:szCs w:val="24"/>
        </w:rPr>
        <w:t>istrict-</w:t>
      </w:r>
      <w:r w:rsidR="00406D50" w:rsidRPr="009D0BF7">
        <w:rPr>
          <w:rFonts w:cs="Arial"/>
          <w:b/>
          <w:szCs w:val="24"/>
        </w:rPr>
        <w:t>S</w:t>
      </w:r>
      <w:r>
        <w:rPr>
          <w:rFonts w:cs="Arial"/>
          <w:b/>
          <w:szCs w:val="24"/>
        </w:rPr>
        <w:t>chool</w:t>
      </w:r>
      <w:r w:rsidR="00406D50" w:rsidRPr="009D0BF7">
        <w:rPr>
          <w:rFonts w:cs="Arial"/>
          <w:b/>
          <w:szCs w:val="24"/>
        </w:rPr>
        <w:t xml:space="preserve"> Code</w:t>
      </w:r>
      <w:r>
        <w:rPr>
          <w:rFonts w:cs="Arial"/>
          <w:szCs w:val="24"/>
        </w:rPr>
        <w:t>––refers to a 14-</w:t>
      </w:r>
      <w:r w:rsidR="00406D50" w:rsidRPr="009D0BF7">
        <w:rPr>
          <w:rFonts w:cs="Arial"/>
          <w:szCs w:val="24"/>
        </w:rPr>
        <w:t>digit county,</w:t>
      </w:r>
      <w:r>
        <w:rPr>
          <w:rFonts w:cs="Arial"/>
          <w:szCs w:val="24"/>
        </w:rPr>
        <w:t xml:space="preserve"> district, school code (the two-digit county number, five-</w:t>
      </w:r>
      <w:r w:rsidR="00406D50" w:rsidRPr="009D0BF7">
        <w:rPr>
          <w:rFonts w:cs="Arial"/>
          <w:szCs w:val="24"/>
        </w:rPr>
        <w:t>digit</w:t>
      </w:r>
      <w:r>
        <w:rPr>
          <w:rFonts w:cs="Arial"/>
          <w:szCs w:val="24"/>
        </w:rPr>
        <w:t xml:space="preserve"> district number, and the seven-</w:t>
      </w:r>
      <w:r w:rsidR="00406D50" w:rsidRPr="009D0BF7">
        <w:rPr>
          <w:rFonts w:cs="Arial"/>
          <w:szCs w:val="24"/>
        </w:rPr>
        <w:t>digit school number).</w:t>
      </w:r>
    </w:p>
    <w:p w14:paraId="37BEB42A" w14:textId="77777777" w:rsidR="00406D50" w:rsidRPr="009D0BF7" w:rsidRDefault="00406D50" w:rsidP="0056789E">
      <w:pPr>
        <w:tabs>
          <w:tab w:val="left" w:pos="1260"/>
        </w:tabs>
        <w:spacing w:after="240"/>
        <w:ind w:left="360"/>
        <w:textAlignment w:val="baseline"/>
        <w:rPr>
          <w:rFonts w:cs="Arial"/>
          <w:i/>
          <w:iCs/>
          <w:szCs w:val="24"/>
        </w:rPr>
      </w:pPr>
      <w:r w:rsidRPr="009D0BF7">
        <w:rPr>
          <w:rFonts w:cs="Arial"/>
          <w:b/>
          <w:i/>
          <w:iCs/>
          <w:szCs w:val="24"/>
        </w:rPr>
        <w:t>EC</w:t>
      </w:r>
      <w:r w:rsidRPr="009D0BF7">
        <w:rPr>
          <w:rFonts w:cs="Arial"/>
          <w:iCs/>
          <w:szCs w:val="24"/>
        </w:rPr>
        <w:t xml:space="preserve">—refers to California </w:t>
      </w:r>
      <w:r w:rsidRPr="009D0BF7">
        <w:rPr>
          <w:rFonts w:cs="Arial"/>
          <w:i/>
          <w:iCs/>
          <w:szCs w:val="24"/>
        </w:rPr>
        <w:t>Education Code.</w:t>
      </w:r>
    </w:p>
    <w:p w14:paraId="2A12934A" w14:textId="77777777" w:rsidR="00406D50" w:rsidRPr="009D0BF7" w:rsidRDefault="00406D50" w:rsidP="0056789E">
      <w:pPr>
        <w:tabs>
          <w:tab w:val="left" w:pos="1260"/>
        </w:tabs>
        <w:spacing w:after="240"/>
        <w:ind w:left="360"/>
        <w:textAlignment w:val="baseline"/>
        <w:rPr>
          <w:rFonts w:cs="Arial"/>
          <w:color w:val="000000"/>
          <w:szCs w:val="24"/>
        </w:rPr>
      </w:pPr>
      <w:r w:rsidRPr="009D0BF7">
        <w:rPr>
          <w:rFonts w:cs="Arial"/>
          <w:b/>
          <w:color w:val="000000"/>
          <w:szCs w:val="24"/>
        </w:rPr>
        <w:t>EXLD</w:t>
      </w:r>
      <w:r w:rsidRPr="009D0BF7">
        <w:rPr>
          <w:rFonts w:cs="Arial"/>
          <w:color w:val="000000"/>
          <w:szCs w:val="24"/>
        </w:rPr>
        <w:t>—refers to Expanded Learning Division.</w:t>
      </w:r>
    </w:p>
    <w:p w14:paraId="69A8E7A1" w14:textId="77777777" w:rsidR="00406D50" w:rsidRPr="009D0BF7" w:rsidRDefault="00406D50" w:rsidP="0056789E">
      <w:pPr>
        <w:spacing w:after="240"/>
        <w:ind w:left="360"/>
        <w:textAlignment w:val="baseline"/>
        <w:rPr>
          <w:rFonts w:cs="Arial"/>
          <w:bCs/>
          <w:color w:val="000000"/>
          <w:szCs w:val="24"/>
        </w:rPr>
      </w:pPr>
      <w:r w:rsidRPr="009D0BF7">
        <w:rPr>
          <w:rFonts w:cs="Arial"/>
          <w:b/>
          <w:bCs/>
          <w:color w:val="000000"/>
          <w:szCs w:val="24"/>
        </w:rPr>
        <w:t>Good Standing</w:t>
      </w:r>
      <w:r w:rsidRPr="009D0BF7">
        <w:rPr>
          <w:rFonts w:cs="Arial"/>
          <w:bCs/>
          <w:color w:val="000000"/>
          <w:szCs w:val="24"/>
        </w:rPr>
        <w:t>—refers to the grantee being in compliance with all terms and conditions of the grant requirements.</w:t>
      </w:r>
    </w:p>
    <w:p w14:paraId="0FCB0CAB" w14:textId="08E9ED38" w:rsidR="00406D50" w:rsidRPr="009D0BF7" w:rsidRDefault="00406D50" w:rsidP="0056789E">
      <w:pPr>
        <w:spacing w:after="240"/>
        <w:ind w:left="360"/>
        <w:textAlignment w:val="baseline"/>
        <w:rPr>
          <w:rFonts w:cs="Arial"/>
          <w:szCs w:val="24"/>
        </w:rPr>
      </w:pPr>
      <w:r w:rsidRPr="009D0BF7">
        <w:rPr>
          <w:rFonts w:cs="Arial"/>
          <w:b/>
          <w:szCs w:val="24"/>
        </w:rPr>
        <w:t>Grantee</w:t>
      </w:r>
      <w:r w:rsidR="00972CB6">
        <w:rPr>
          <w:rFonts w:cs="Arial"/>
          <w:szCs w:val="24"/>
        </w:rPr>
        <w:t xml:space="preserve">—refers to an </w:t>
      </w:r>
      <w:r w:rsidR="00D52936">
        <w:rPr>
          <w:rFonts w:cs="Arial"/>
          <w:szCs w:val="24"/>
        </w:rPr>
        <w:t>A</w:t>
      </w:r>
      <w:r w:rsidRPr="009D0BF7">
        <w:rPr>
          <w:rFonts w:cs="Arial"/>
          <w:szCs w:val="24"/>
        </w:rPr>
        <w:t xml:space="preserve">pplicant who has a </w:t>
      </w:r>
      <w:r w:rsidRPr="009D0BF7">
        <w:rPr>
          <w:rFonts w:cs="Arial"/>
          <w:b/>
          <w:szCs w:val="24"/>
        </w:rPr>
        <w:t>current</w:t>
      </w:r>
      <w:r w:rsidRPr="009D0BF7">
        <w:rPr>
          <w:rFonts w:cs="Arial"/>
          <w:szCs w:val="24"/>
        </w:rPr>
        <w:t xml:space="preserve"> approved grant award (AO-400) for ASES </w:t>
      </w:r>
      <w:r w:rsidR="004A7449">
        <w:rPr>
          <w:rFonts w:cs="Arial"/>
          <w:szCs w:val="24"/>
        </w:rPr>
        <w:t>and</w:t>
      </w:r>
      <w:r w:rsidR="00B931D6">
        <w:rPr>
          <w:rFonts w:cs="Arial"/>
          <w:szCs w:val="24"/>
        </w:rPr>
        <w:t>/</w:t>
      </w:r>
      <w:r w:rsidR="004A7449">
        <w:rPr>
          <w:rFonts w:cs="Arial"/>
          <w:szCs w:val="24"/>
        </w:rPr>
        <w:t>or 2</w:t>
      </w:r>
      <w:r w:rsidR="00A61C6A">
        <w:rPr>
          <w:rFonts w:cs="Arial"/>
          <w:szCs w:val="24"/>
        </w:rPr>
        <w:t>1st</w:t>
      </w:r>
      <w:r w:rsidR="004A7449">
        <w:rPr>
          <w:rFonts w:cs="Arial"/>
          <w:szCs w:val="24"/>
        </w:rPr>
        <w:t xml:space="preserve"> CCLC funds</w:t>
      </w:r>
      <w:r w:rsidRPr="009D0BF7">
        <w:rPr>
          <w:rFonts w:cs="Arial"/>
          <w:szCs w:val="24"/>
        </w:rPr>
        <w:t>.</w:t>
      </w:r>
    </w:p>
    <w:p w14:paraId="7BB1B54A" w14:textId="68BE6890" w:rsidR="00406D50" w:rsidRPr="009D0BF7" w:rsidRDefault="00406D50" w:rsidP="0056789E">
      <w:pPr>
        <w:widowControl w:val="0"/>
        <w:tabs>
          <w:tab w:val="left" w:pos="1260"/>
        </w:tabs>
        <w:adjustRightInd w:val="0"/>
        <w:spacing w:after="240"/>
        <w:ind w:left="360"/>
        <w:textAlignment w:val="baseline"/>
        <w:rPr>
          <w:rFonts w:cs="Arial"/>
          <w:szCs w:val="24"/>
        </w:rPr>
      </w:pPr>
      <w:r w:rsidRPr="009D0BF7">
        <w:rPr>
          <w:rFonts w:cs="Arial"/>
          <w:b/>
          <w:szCs w:val="24"/>
        </w:rPr>
        <w:t>LEA</w:t>
      </w:r>
      <w:r w:rsidR="00972CB6">
        <w:rPr>
          <w:rFonts w:cs="Arial"/>
          <w:szCs w:val="24"/>
        </w:rPr>
        <w:t>—refers to local educational a</w:t>
      </w:r>
      <w:r w:rsidRPr="009D0BF7">
        <w:rPr>
          <w:rFonts w:cs="Arial"/>
          <w:szCs w:val="24"/>
        </w:rPr>
        <w:t>gencies, such as school districts, county offices of education, the California Schools for the Blind or for the Deaf, or direct-funded charter schools. (For this R</w:t>
      </w:r>
      <w:r w:rsidR="00AF465A">
        <w:rPr>
          <w:rFonts w:cs="Arial"/>
          <w:szCs w:val="24"/>
        </w:rPr>
        <w:t xml:space="preserve">equest for </w:t>
      </w:r>
      <w:r w:rsidRPr="009D0BF7">
        <w:rPr>
          <w:rFonts w:cs="Arial"/>
          <w:szCs w:val="24"/>
        </w:rPr>
        <w:t>A</w:t>
      </w:r>
      <w:r w:rsidR="00AF465A">
        <w:rPr>
          <w:rFonts w:cs="Arial"/>
          <w:szCs w:val="24"/>
        </w:rPr>
        <w:t>pplications</w:t>
      </w:r>
      <w:r w:rsidRPr="009D0BF7">
        <w:rPr>
          <w:rFonts w:cs="Arial"/>
          <w:szCs w:val="24"/>
        </w:rPr>
        <w:t>, a direct-funded</w:t>
      </w:r>
      <w:r w:rsidRPr="009D0BF7">
        <w:rPr>
          <w:rFonts w:cs="Arial"/>
          <w:b/>
          <w:szCs w:val="24"/>
        </w:rPr>
        <w:t xml:space="preserve"> </w:t>
      </w:r>
      <w:r w:rsidRPr="009D0BF7">
        <w:rPr>
          <w:rFonts w:cs="Arial"/>
          <w:szCs w:val="24"/>
        </w:rPr>
        <w:t>charter school</w:t>
      </w:r>
      <w:r w:rsidRPr="009D0BF7">
        <w:rPr>
          <w:rFonts w:cs="Arial"/>
          <w:b/>
          <w:szCs w:val="24"/>
        </w:rPr>
        <w:t xml:space="preserve"> </w:t>
      </w:r>
      <w:r w:rsidRPr="009D0BF7">
        <w:rPr>
          <w:rFonts w:cs="Arial"/>
          <w:szCs w:val="24"/>
        </w:rPr>
        <w:t>refers to a</w:t>
      </w:r>
      <w:r w:rsidRPr="009D0BF7">
        <w:rPr>
          <w:rFonts w:cs="Arial"/>
          <w:b/>
          <w:szCs w:val="24"/>
        </w:rPr>
        <w:t xml:space="preserve"> </w:t>
      </w:r>
      <w:r w:rsidRPr="009D0BF7">
        <w:rPr>
          <w:rFonts w:cs="Arial"/>
          <w:szCs w:val="24"/>
        </w:rPr>
        <w:t>charter school that receives funds directly from the state).</w:t>
      </w:r>
    </w:p>
    <w:p w14:paraId="6B84C86C" w14:textId="44EA4C86" w:rsidR="00406D50" w:rsidRPr="002C1B45" w:rsidRDefault="00406D50" w:rsidP="0056789E">
      <w:pPr>
        <w:spacing w:after="240"/>
        <w:ind w:left="360" w:right="-360"/>
        <w:rPr>
          <w:rFonts w:cs="Arial"/>
          <w:szCs w:val="24"/>
        </w:rPr>
      </w:pPr>
      <w:r w:rsidRPr="002C1B45">
        <w:rPr>
          <w:rFonts w:cs="Arial"/>
          <w:b/>
          <w:szCs w:val="24"/>
        </w:rPr>
        <w:lastRenderedPageBreak/>
        <w:t>Original Authorized Signature</w:t>
      </w:r>
      <w:r w:rsidRPr="002C1B45">
        <w:rPr>
          <w:rFonts w:cs="Arial"/>
          <w:szCs w:val="24"/>
        </w:rPr>
        <w:t xml:space="preserve">—refers to the requirement that all signatures must be original </w:t>
      </w:r>
      <w:r w:rsidRPr="002C1B45">
        <w:rPr>
          <w:rFonts w:cs="Arial"/>
          <w:bCs/>
          <w:szCs w:val="24"/>
        </w:rPr>
        <w:t xml:space="preserve">“wet” signatures using blue ink. </w:t>
      </w:r>
      <w:r w:rsidRPr="002C1B45">
        <w:rPr>
          <w:rFonts w:cs="Arial"/>
          <w:szCs w:val="24"/>
        </w:rPr>
        <w:t>Applications that are submitted with signature stamps, electronic stamps, or any form of reproduced stamp</w:t>
      </w:r>
      <w:r w:rsidR="00EB15A6" w:rsidRPr="002C1B45">
        <w:rPr>
          <w:rFonts w:cs="Arial"/>
          <w:szCs w:val="24"/>
        </w:rPr>
        <w:t>s</w:t>
      </w:r>
      <w:r w:rsidRPr="002C1B45">
        <w:rPr>
          <w:rFonts w:cs="Arial"/>
          <w:szCs w:val="24"/>
        </w:rPr>
        <w:t xml:space="preserve"> will be disqualified.</w:t>
      </w:r>
    </w:p>
    <w:p w14:paraId="6009D0D7" w14:textId="7DA10EC2" w:rsidR="00406D50" w:rsidRPr="002C1B45" w:rsidRDefault="00406D50" w:rsidP="0056789E">
      <w:pPr>
        <w:spacing w:after="240"/>
        <w:ind w:left="360"/>
        <w:textAlignment w:val="baseline"/>
        <w:rPr>
          <w:rFonts w:cs="Arial"/>
          <w:szCs w:val="24"/>
        </w:rPr>
      </w:pPr>
      <w:r w:rsidRPr="002C1B45">
        <w:rPr>
          <w:rFonts w:cs="Arial"/>
          <w:b/>
          <w:szCs w:val="24"/>
        </w:rPr>
        <w:t>RFA</w:t>
      </w:r>
      <w:r w:rsidRPr="002C1B45">
        <w:rPr>
          <w:rFonts w:cs="Arial"/>
          <w:szCs w:val="24"/>
        </w:rPr>
        <w:t xml:space="preserve">—refers to this </w:t>
      </w:r>
      <w:r w:rsidR="004A7449" w:rsidRPr="002C1B45">
        <w:rPr>
          <w:rFonts w:cs="Arial"/>
          <w:szCs w:val="24"/>
        </w:rPr>
        <w:t xml:space="preserve">ESSER III Summer </w:t>
      </w:r>
      <w:r w:rsidR="005658E2" w:rsidRPr="002C1B45">
        <w:rPr>
          <w:rFonts w:cs="Arial"/>
          <w:szCs w:val="24"/>
        </w:rPr>
        <w:t xml:space="preserve">Grant </w:t>
      </w:r>
      <w:r w:rsidRPr="002C1B45">
        <w:rPr>
          <w:rFonts w:cs="Arial"/>
          <w:szCs w:val="24"/>
        </w:rPr>
        <w:t>Program Request for Application</w:t>
      </w:r>
      <w:r w:rsidR="00803DB5" w:rsidRPr="002C1B45">
        <w:rPr>
          <w:rFonts w:cs="Arial"/>
          <w:szCs w:val="24"/>
        </w:rPr>
        <w:t>s</w:t>
      </w:r>
      <w:r w:rsidR="00A85907" w:rsidRPr="002C1B45">
        <w:rPr>
          <w:rFonts w:cs="Arial"/>
          <w:szCs w:val="24"/>
        </w:rPr>
        <w:t>.</w:t>
      </w:r>
    </w:p>
    <w:p w14:paraId="13900B8C" w14:textId="44044854" w:rsidR="00720C0E" w:rsidRPr="002C1B45" w:rsidRDefault="00720C0E" w:rsidP="0056789E">
      <w:pPr>
        <w:spacing w:after="240"/>
        <w:ind w:left="360"/>
        <w:textAlignment w:val="baseline"/>
        <w:rPr>
          <w:rFonts w:cs="Arial"/>
          <w:szCs w:val="24"/>
        </w:rPr>
      </w:pPr>
      <w:r w:rsidRPr="00004D75">
        <w:rPr>
          <w:rFonts w:cs="Arial"/>
          <w:b/>
          <w:szCs w:val="24"/>
          <w:shd w:val="clear" w:color="auto" w:fill="FFFFFF"/>
        </w:rPr>
        <w:t>Summe</w:t>
      </w:r>
      <w:r w:rsidR="008823DD" w:rsidRPr="00004D75">
        <w:rPr>
          <w:rFonts w:cs="Arial"/>
          <w:b/>
          <w:szCs w:val="24"/>
          <w:shd w:val="clear" w:color="auto" w:fill="FFFFFF"/>
        </w:rPr>
        <w:t>r</w:t>
      </w:r>
      <w:r w:rsidRPr="00004D75">
        <w:rPr>
          <w:rFonts w:cs="Arial"/>
          <w:b/>
          <w:szCs w:val="24"/>
          <w:shd w:val="clear" w:color="auto" w:fill="FFFFFF"/>
        </w:rPr>
        <w:t xml:space="preserve"> </w:t>
      </w:r>
      <w:r w:rsidR="00871D5E">
        <w:rPr>
          <w:rFonts w:cs="Arial"/>
          <w:b/>
          <w:szCs w:val="24"/>
          <w:shd w:val="clear" w:color="auto" w:fill="FFFFFF"/>
        </w:rPr>
        <w:t>G</w:t>
      </w:r>
      <w:r w:rsidRPr="00004D75">
        <w:rPr>
          <w:rFonts w:cs="Arial"/>
          <w:b/>
          <w:szCs w:val="24"/>
          <w:shd w:val="clear" w:color="auto" w:fill="FFFFFF"/>
        </w:rPr>
        <w:t>rant</w:t>
      </w:r>
      <w:r w:rsidR="00D52936" w:rsidRPr="00004D75">
        <w:rPr>
          <w:rFonts w:cs="Arial"/>
          <w:szCs w:val="24"/>
          <w:shd w:val="clear" w:color="auto" w:fill="FFFFFF"/>
        </w:rPr>
        <w:t>—</w:t>
      </w:r>
      <w:r w:rsidRPr="00004D75">
        <w:rPr>
          <w:rFonts w:cs="Arial"/>
          <w:szCs w:val="24"/>
          <w:shd w:val="clear" w:color="auto" w:fill="FFFFFF"/>
        </w:rPr>
        <w:t>means funding to operate any program in excess of 180 regular school</w:t>
      </w:r>
      <w:r w:rsidR="009B6ACC" w:rsidRPr="00004D75">
        <w:rPr>
          <w:rFonts w:cs="Arial"/>
          <w:szCs w:val="24"/>
          <w:shd w:val="clear" w:color="auto" w:fill="FFFFFF"/>
        </w:rPr>
        <w:t xml:space="preserve"> </w:t>
      </w:r>
      <w:r w:rsidRPr="00004D75">
        <w:rPr>
          <w:rFonts w:cs="Arial"/>
          <w:szCs w:val="24"/>
          <w:shd w:val="clear" w:color="auto" w:fill="FFFFFF"/>
        </w:rPr>
        <w:t>days or during any combination of summer, intersession, or vacation periods.</w:t>
      </w:r>
    </w:p>
    <w:sectPr w:rsidR="00720C0E" w:rsidRPr="002C1B45" w:rsidSect="009E00DC">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720B7" w14:textId="77777777" w:rsidR="00F379FA" w:rsidRDefault="00F379FA" w:rsidP="00406D50">
      <w:r>
        <w:separator/>
      </w:r>
    </w:p>
  </w:endnote>
  <w:endnote w:type="continuationSeparator" w:id="0">
    <w:p w14:paraId="5132A03B" w14:textId="77777777" w:rsidR="00F379FA" w:rsidRDefault="00F379FA" w:rsidP="0040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91717" w14:textId="3ADF8166" w:rsidR="009B6ACC" w:rsidRPr="00C16F63" w:rsidRDefault="009B6ACC" w:rsidP="00406D50">
    <w:pPr>
      <w:pStyle w:val="Footer"/>
      <w:tabs>
        <w:tab w:val="clear" w:pos="8640"/>
        <w:tab w:val="right" w:pos="9360"/>
      </w:tabs>
      <w:rPr>
        <w:sz w:val="20"/>
      </w:rPr>
    </w:pPr>
    <w:r w:rsidRPr="00C16F63">
      <w:rPr>
        <w:sz w:val="20"/>
      </w:rPr>
      <w:t>California Department of Education</w:t>
    </w:r>
    <w:r w:rsidRPr="00C16F63">
      <w:rPr>
        <w:sz w:val="20"/>
      </w:rPr>
      <w:tab/>
    </w:r>
    <w:r w:rsidRPr="00C16F63">
      <w:rPr>
        <w:sz w:val="20"/>
      </w:rPr>
      <w:tab/>
    </w:r>
    <w:r w:rsidRPr="00C16F63">
      <w:rPr>
        <w:sz w:val="20"/>
      </w:rPr>
      <w:fldChar w:fldCharType="begin"/>
    </w:r>
    <w:r w:rsidRPr="00C16F63">
      <w:rPr>
        <w:sz w:val="20"/>
      </w:rPr>
      <w:instrText xml:space="preserve"> PAGE   \* MERGEFORMAT </w:instrText>
    </w:r>
    <w:r w:rsidRPr="00C16F63">
      <w:rPr>
        <w:sz w:val="20"/>
      </w:rPr>
      <w:fldChar w:fldCharType="separate"/>
    </w:r>
    <w:r w:rsidRPr="00C16F63">
      <w:rPr>
        <w:noProof/>
        <w:sz w:val="20"/>
      </w:rPr>
      <w:t>13</w:t>
    </w:r>
    <w:r w:rsidRPr="00C16F63">
      <w:rPr>
        <w:sz w:val="20"/>
      </w:rPr>
      <w:fldChar w:fldCharType="end"/>
    </w:r>
  </w:p>
  <w:p w14:paraId="5E13B23B" w14:textId="4E4BAE15" w:rsidR="009B6ACC" w:rsidRPr="00C16F63" w:rsidRDefault="006E1BC1" w:rsidP="00406D50">
    <w:pPr>
      <w:pStyle w:val="Footer"/>
      <w:tabs>
        <w:tab w:val="clear" w:pos="8640"/>
        <w:tab w:val="right" w:pos="9360"/>
      </w:tabs>
      <w:rPr>
        <w:sz w:val="20"/>
      </w:rPr>
    </w:pPr>
    <w:r w:rsidRPr="00C16F63">
      <w:rPr>
        <w:sz w:val="20"/>
      </w:rPr>
      <w:t>Revised</w:t>
    </w:r>
    <w:r w:rsidR="009B6ACC" w:rsidRPr="00C16F63">
      <w:rPr>
        <w:sz w:val="20"/>
      </w:rPr>
      <w:t xml:space="preserve">: </w:t>
    </w:r>
    <w:r w:rsidR="007C2940">
      <w:rPr>
        <w:sz w:val="20"/>
      </w:rPr>
      <w:t>April</w:t>
    </w:r>
    <w:r w:rsidR="00D92655">
      <w:rPr>
        <w:sz w:val="20"/>
      </w:rPr>
      <w:t xml:space="preserve"> </w:t>
    </w:r>
    <w:r w:rsidR="009B6ACC" w:rsidRPr="00C16F63">
      <w:rPr>
        <w:sz w:val="20"/>
      </w:rPr>
      <w:t>202</w:t>
    </w:r>
    <w:r w:rsidR="00D92655">
      <w:rPr>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F59C" w14:textId="105182D2" w:rsidR="009B6ACC" w:rsidRPr="00404E2E" w:rsidRDefault="009B6ACC" w:rsidP="00406D50">
    <w:pPr>
      <w:pStyle w:val="Footer"/>
      <w:tabs>
        <w:tab w:val="clear" w:pos="8640"/>
        <w:tab w:val="right" w:pos="9360"/>
      </w:tabs>
      <w:rPr>
        <w:sz w:val="20"/>
      </w:rPr>
    </w:pPr>
    <w:r w:rsidRPr="00404E2E">
      <w:rPr>
        <w:sz w:val="20"/>
      </w:rPr>
      <w:t>California Department of Education</w:t>
    </w:r>
    <w:r w:rsidRPr="00404E2E">
      <w:rPr>
        <w:sz w:val="20"/>
      </w:rPr>
      <w:tab/>
    </w:r>
    <w:r w:rsidRPr="00404E2E">
      <w:rPr>
        <w:sz w:val="20"/>
      </w:rPr>
      <w:tab/>
    </w:r>
    <w:r w:rsidRPr="00404E2E">
      <w:rPr>
        <w:sz w:val="20"/>
      </w:rPr>
      <w:fldChar w:fldCharType="begin"/>
    </w:r>
    <w:r w:rsidRPr="00404E2E">
      <w:rPr>
        <w:sz w:val="20"/>
      </w:rPr>
      <w:instrText xml:space="preserve"> PAGE   \* MERGEFORMAT </w:instrText>
    </w:r>
    <w:r w:rsidRPr="00404E2E">
      <w:rPr>
        <w:sz w:val="20"/>
      </w:rPr>
      <w:fldChar w:fldCharType="separate"/>
    </w:r>
    <w:r w:rsidRPr="00404E2E">
      <w:rPr>
        <w:noProof/>
        <w:sz w:val="20"/>
      </w:rPr>
      <w:t>ii</w:t>
    </w:r>
    <w:r w:rsidRPr="00404E2E">
      <w:rPr>
        <w:sz w:val="20"/>
      </w:rPr>
      <w:fldChar w:fldCharType="end"/>
    </w:r>
  </w:p>
  <w:p w14:paraId="22147C05" w14:textId="4796F6ED" w:rsidR="009B6ACC" w:rsidRPr="00404E2E" w:rsidRDefault="009B6ACC" w:rsidP="00406D50">
    <w:pPr>
      <w:pStyle w:val="Footer"/>
      <w:tabs>
        <w:tab w:val="clear" w:pos="8640"/>
        <w:tab w:val="right" w:pos="9360"/>
      </w:tabs>
      <w:rPr>
        <w:sz w:val="20"/>
      </w:rPr>
    </w:pPr>
    <w:r w:rsidRPr="00404E2E">
      <w:rPr>
        <w:sz w:val="20"/>
      </w:rPr>
      <w:t>Created: September 2021</w:t>
    </w:r>
    <w:r w:rsidR="006E1BC1" w:rsidRPr="00404E2E">
      <w:rPr>
        <w:sz w:val="20"/>
      </w:rPr>
      <w:br/>
      <w:t xml:space="preserve">Revised: </w:t>
    </w:r>
    <w:r w:rsidR="00514C34">
      <w:rPr>
        <w:sz w:val="20"/>
      </w:rPr>
      <w:t xml:space="preserve">February </w:t>
    </w:r>
    <w:r w:rsidR="006E1BC1" w:rsidRPr="00404E2E">
      <w:rPr>
        <w:sz w:val="20"/>
      </w:rPr>
      <w:t>202</w:t>
    </w:r>
    <w:r w:rsidR="00514C34">
      <w:rPr>
        <w:sz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78E23" w14:textId="2B65221D" w:rsidR="009B6ACC" w:rsidRPr="00404E2E" w:rsidRDefault="009B6ACC" w:rsidP="00406D50">
    <w:pPr>
      <w:pStyle w:val="Footer"/>
      <w:tabs>
        <w:tab w:val="clear" w:pos="8640"/>
        <w:tab w:val="right" w:pos="9360"/>
      </w:tabs>
      <w:rPr>
        <w:sz w:val="20"/>
      </w:rPr>
    </w:pPr>
    <w:r w:rsidRPr="00404E2E">
      <w:rPr>
        <w:sz w:val="20"/>
      </w:rPr>
      <w:t>California Department of Education</w:t>
    </w:r>
    <w:r w:rsidRPr="00404E2E">
      <w:rPr>
        <w:sz w:val="20"/>
      </w:rPr>
      <w:tab/>
    </w:r>
    <w:r w:rsidRPr="00404E2E">
      <w:rPr>
        <w:sz w:val="20"/>
      </w:rPr>
      <w:tab/>
    </w:r>
    <w:r w:rsidRPr="00404E2E">
      <w:rPr>
        <w:sz w:val="20"/>
      </w:rPr>
      <w:fldChar w:fldCharType="begin"/>
    </w:r>
    <w:r w:rsidRPr="00404E2E">
      <w:rPr>
        <w:sz w:val="20"/>
      </w:rPr>
      <w:instrText xml:space="preserve"> PAGE   \* MERGEFORMAT </w:instrText>
    </w:r>
    <w:r w:rsidRPr="00404E2E">
      <w:rPr>
        <w:sz w:val="20"/>
      </w:rPr>
      <w:fldChar w:fldCharType="separate"/>
    </w:r>
    <w:r w:rsidRPr="00404E2E">
      <w:rPr>
        <w:noProof/>
        <w:sz w:val="20"/>
      </w:rPr>
      <w:t>11</w:t>
    </w:r>
    <w:r w:rsidRPr="00404E2E">
      <w:rPr>
        <w:sz w:val="20"/>
      </w:rPr>
      <w:fldChar w:fldCharType="end"/>
    </w:r>
  </w:p>
  <w:p w14:paraId="61DA7778" w14:textId="3647BAF5" w:rsidR="009B6ACC" w:rsidRPr="00404E2E" w:rsidRDefault="009B6ACC" w:rsidP="00406D50">
    <w:pPr>
      <w:pStyle w:val="Footer"/>
      <w:tabs>
        <w:tab w:val="clear" w:pos="8640"/>
        <w:tab w:val="right" w:pos="9360"/>
      </w:tabs>
      <w:rPr>
        <w:sz w:val="20"/>
      </w:rPr>
    </w:pPr>
    <w:r w:rsidRPr="00404E2E">
      <w:rPr>
        <w:sz w:val="20"/>
      </w:rPr>
      <w:t>Created: September 2021</w:t>
    </w:r>
  </w:p>
  <w:p w14:paraId="78DC240A" w14:textId="7083424D" w:rsidR="006E1BC1" w:rsidRPr="00404E2E" w:rsidRDefault="006E1BC1" w:rsidP="00406D50">
    <w:pPr>
      <w:pStyle w:val="Footer"/>
      <w:tabs>
        <w:tab w:val="clear" w:pos="8640"/>
        <w:tab w:val="right" w:pos="9360"/>
      </w:tabs>
      <w:rPr>
        <w:sz w:val="20"/>
      </w:rPr>
    </w:pPr>
    <w:r w:rsidRPr="00404E2E">
      <w:rPr>
        <w:sz w:val="20"/>
      </w:rPr>
      <w:t xml:space="preserve">Revised: </w:t>
    </w:r>
    <w:r w:rsidR="00E44E88">
      <w:rPr>
        <w:sz w:val="20"/>
      </w:rPr>
      <w:t xml:space="preserve">February </w:t>
    </w:r>
    <w:r w:rsidRPr="00404E2E">
      <w:rPr>
        <w:sz w:val="20"/>
      </w:rPr>
      <w:t>202</w:t>
    </w:r>
    <w:r w:rsidR="00E44E88">
      <w:rPr>
        <w:sz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832FA" w14:textId="77777777" w:rsidR="00F379FA" w:rsidRDefault="00F379FA" w:rsidP="00406D50">
      <w:r>
        <w:separator/>
      </w:r>
    </w:p>
  </w:footnote>
  <w:footnote w:type="continuationSeparator" w:id="0">
    <w:p w14:paraId="4097251B" w14:textId="77777777" w:rsidR="00F379FA" w:rsidRDefault="00F379FA" w:rsidP="0040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2C1D" w14:textId="06BB4504" w:rsidR="009B6ACC" w:rsidRPr="00EA11D1" w:rsidRDefault="009B6ACC" w:rsidP="0048787F">
    <w:pPr>
      <w:spacing w:after="480"/>
      <w:rPr>
        <w:bCs/>
        <w:szCs w:val="24"/>
      </w:rPr>
    </w:pPr>
    <w:r>
      <w:rPr>
        <w:bCs/>
        <w:szCs w:val="24"/>
      </w:rPr>
      <w:t xml:space="preserve">ESSER III Summer Grant </w:t>
    </w:r>
    <w:r w:rsidRPr="00D201BD">
      <w:rPr>
        <w:bCs/>
        <w:szCs w:val="24"/>
      </w:rPr>
      <w:t>Program</w:t>
    </w:r>
    <w:r>
      <w:rPr>
        <w:bCs/>
        <w:szCs w:val="24"/>
      </w:rPr>
      <w:t xml:space="preserve"> 202</w:t>
    </w:r>
    <w:r w:rsidR="00B04353">
      <w:rPr>
        <w:bCs/>
        <w:szCs w:val="24"/>
      </w:rPr>
      <w:t>2</w:t>
    </w:r>
    <w:r w:rsidR="00514C34">
      <w:rPr>
        <w:bCs/>
        <w:szCs w:val="24"/>
      </w:rPr>
      <w:t>–2</w:t>
    </w:r>
    <w:r w:rsidR="0029160C">
      <w:rPr>
        <w:bCs/>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609F5" w14:textId="55B78C77" w:rsidR="009B6ACC" w:rsidRPr="003063E7" w:rsidRDefault="009B6ACC" w:rsidP="0048787F">
    <w:pPr>
      <w:spacing w:after="480"/>
      <w:rPr>
        <w:bCs/>
        <w:szCs w:val="24"/>
      </w:rPr>
    </w:pPr>
    <w:r>
      <w:rPr>
        <w:bCs/>
        <w:szCs w:val="24"/>
      </w:rPr>
      <w:t>ESSER III Summer Grant Program 202</w:t>
    </w:r>
    <w:r w:rsidR="00C13B55">
      <w:rPr>
        <w:bCs/>
        <w:szCs w:val="24"/>
      </w:rPr>
      <w:t>2</w:t>
    </w:r>
    <w:r w:rsidR="00514C34">
      <w:rPr>
        <w:bCs/>
        <w:szCs w:val="24"/>
      </w:rPr>
      <w:t>–2</w:t>
    </w:r>
    <w:r w:rsidR="0029160C">
      <w:rPr>
        <w:bCs/>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60E4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D6A4F"/>
    <w:multiLevelType w:val="hybridMultilevel"/>
    <w:tmpl w:val="4CD4C16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ADF48AC"/>
    <w:multiLevelType w:val="hybridMultilevel"/>
    <w:tmpl w:val="85B4DAA4"/>
    <w:lvl w:ilvl="0" w:tplc="718EEA0A">
      <w:start w:val="5"/>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A309E"/>
    <w:multiLevelType w:val="hybridMultilevel"/>
    <w:tmpl w:val="8840A92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0E1209C9"/>
    <w:multiLevelType w:val="hybridMultilevel"/>
    <w:tmpl w:val="C7FA6C96"/>
    <w:lvl w:ilvl="0" w:tplc="517EAE10">
      <w:start w:val="6"/>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823D5"/>
    <w:multiLevelType w:val="hybridMultilevel"/>
    <w:tmpl w:val="E55EE5C0"/>
    <w:lvl w:ilvl="0" w:tplc="F00C813E">
      <w:start w:val="4"/>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24DAC"/>
    <w:multiLevelType w:val="hybridMultilevel"/>
    <w:tmpl w:val="4B464694"/>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F06A6"/>
    <w:multiLevelType w:val="hybridMultilevel"/>
    <w:tmpl w:val="E8F6A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A23D3A"/>
    <w:multiLevelType w:val="hybridMultilevel"/>
    <w:tmpl w:val="02BA15D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14BE0158"/>
    <w:multiLevelType w:val="hybridMultilevel"/>
    <w:tmpl w:val="7B2A6810"/>
    <w:lvl w:ilvl="0" w:tplc="04090001">
      <w:start w:val="1"/>
      <w:numFmt w:val="bullet"/>
      <w:lvlText w:val=""/>
      <w:lvlJc w:val="left"/>
      <w:pPr>
        <w:ind w:left="900" w:hanging="360"/>
      </w:pPr>
      <w:rPr>
        <w:rFonts w:ascii="Symbol" w:hAnsi="Symbol" w:hint="default"/>
      </w:rPr>
    </w:lvl>
    <w:lvl w:ilvl="1" w:tplc="AA949CE4">
      <w:start w:val="1"/>
      <w:numFmt w:val="bullet"/>
      <w:lvlText w:val="o"/>
      <w:lvlJc w:val="left"/>
      <w:pPr>
        <w:ind w:left="1620" w:hanging="360"/>
      </w:pPr>
      <w:rPr>
        <w:rFonts w:ascii="Courier New" w:hAnsi="Courier New" w:cs="Courier New" w:hint="default"/>
        <w:color w:val="auto"/>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15407386"/>
    <w:multiLevelType w:val="hybridMultilevel"/>
    <w:tmpl w:val="1EE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7245AC"/>
    <w:multiLevelType w:val="hybridMultilevel"/>
    <w:tmpl w:val="6890B956"/>
    <w:lvl w:ilvl="0" w:tplc="C0DC4490">
      <w:start w:val="4"/>
      <w:numFmt w:val="upperRoman"/>
      <w:lvlText w:val="%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3A1C79"/>
    <w:multiLevelType w:val="hybridMultilevel"/>
    <w:tmpl w:val="78780F1A"/>
    <w:lvl w:ilvl="0" w:tplc="4C443D40">
      <w:start w:val="6"/>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478B6"/>
    <w:multiLevelType w:val="hybridMultilevel"/>
    <w:tmpl w:val="80944504"/>
    <w:lvl w:ilvl="0" w:tplc="0409000F">
      <w:start w:val="1"/>
      <w:numFmt w:val="decimal"/>
      <w:lvlText w:val="%1."/>
      <w:lvlJc w:val="left"/>
      <w:pPr>
        <w:ind w:left="99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3CD16D1"/>
    <w:multiLevelType w:val="hybridMultilevel"/>
    <w:tmpl w:val="F0D4ACE4"/>
    <w:lvl w:ilvl="0" w:tplc="9B3252E8">
      <w:start w:val="1"/>
      <w:numFmt w:val="upperLetter"/>
      <w:pStyle w:val="Heading3"/>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C674B"/>
    <w:multiLevelType w:val="hybridMultilevel"/>
    <w:tmpl w:val="6B7CE0F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FA46A6"/>
    <w:multiLevelType w:val="hybridMultilevel"/>
    <w:tmpl w:val="ED2AEF5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26024828"/>
    <w:multiLevelType w:val="hybridMultilevel"/>
    <w:tmpl w:val="D1F0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9E1B97"/>
    <w:multiLevelType w:val="hybridMultilevel"/>
    <w:tmpl w:val="B7A85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0717E"/>
    <w:multiLevelType w:val="hybridMultilevel"/>
    <w:tmpl w:val="D806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96582"/>
    <w:multiLevelType w:val="hybridMultilevel"/>
    <w:tmpl w:val="7CA66C02"/>
    <w:lvl w:ilvl="0" w:tplc="E7E868B4">
      <w:start w:val="3"/>
      <w:numFmt w:val="upperRoman"/>
      <w:pStyle w:val="Heading2"/>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D74E8"/>
    <w:multiLevelType w:val="hybridMultilevel"/>
    <w:tmpl w:val="7E1093B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99557D4"/>
    <w:multiLevelType w:val="hybridMultilevel"/>
    <w:tmpl w:val="D1F07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C2098D"/>
    <w:multiLevelType w:val="hybridMultilevel"/>
    <w:tmpl w:val="E722A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DC344E"/>
    <w:multiLevelType w:val="hybridMultilevel"/>
    <w:tmpl w:val="94F86EAE"/>
    <w:lvl w:ilvl="0" w:tplc="C5C80786">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1574B"/>
    <w:multiLevelType w:val="hybridMultilevel"/>
    <w:tmpl w:val="DDC4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2F66C8"/>
    <w:multiLevelType w:val="hybridMultilevel"/>
    <w:tmpl w:val="6EB6A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4F2B28"/>
    <w:multiLevelType w:val="hybridMultilevel"/>
    <w:tmpl w:val="9D541D12"/>
    <w:lvl w:ilvl="0" w:tplc="2C0415A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1E3276"/>
    <w:multiLevelType w:val="hybridMultilevel"/>
    <w:tmpl w:val="0D4A4A20"/>
    <w:lvl w:ilvl="0" w:tplc="0EE27400">
      <w:start w:val="4"/>
      <w:numFmt w:val="upperRoman"/>
      <w:lvlText w:val="%1."/>
      <w:lvlJc w:val="right"/>
      <w:pPr>
        <w:ind w:left="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C7FAE"/>
    <w:multiLevelType w:val="hybridMultilevel"/>
    <w:tmpl w:val="3356E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4E62A0"/>
    <w:multiLevelType w:val="hybridMultilevel"/>
    <w:tmpl w:val="D21298AA"/>
    <w:lvl w:ilvl="0" w:tplc="6074CED0">
      <w:start w:val="5"/>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F26BCD"/>
    <w:multiLevelType w:val="hybridMultilevel"/>
    <w:tmpl w:val="1ED63A38"/>
    <w:lvl w:ilvl="0" w:tplc="092E7F0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F235C"/>
    <w:multiLevelType w:val="hybridMultilevel"/>
    <w:tmpl w:val="C3680194"/>
    <w:lvl w:ilvl="0" w:tplc="04090015">
      <w:start w:val="1"/>
      <w:numFmt w:val="upperLetter"/>
      <w:lvlText w:val="%1."/>
      <w:lvlJc w:val="left"/>
      <w:pPr>
        <w:ind w:left="72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91C3DBC"/>
    <w:multiLevelType w:val="hybridMultilevel"/>
    <w:tmpl w:val="C6764098"/>
    <w:lvl w:ilvl="0" w:tplc="98FA278E">
      <w:start w:val="1"/>
      <w:numFmt w:val="upperLetter"/>
      <w:lvlText w:val="%1."/>
      <w:lvlJc w:val="left"/>
      <w:pPr>
        <w:ind w:left="446"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5D5343"/>
    <w:multiLevelType w:val="hybridMultilevel"/>
    <w:tmpl w:val="D5DAB5E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5F11A5"/>
    <w:multiLevelType w:val="hybridMultilevel"/>
    <w:tmpl w:val="1CEA7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5790EA0"/>
    <w:multiLevelType w:val="hybridMultilevel"/>
    <w:tmpl w:val="7A28DCAA"/>
    <w:lvl w:ilvl="0" w:tplc="606461F8">
      <w:start w:val="8"/>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14580"/>
    <w:multiLevelType w:val="multilevel"/>
    <w:tmpl w:val="8376D8A4"/>
    <w:styleLink w:val="Style1"/>
    <w:lvl w:ilvl="0">
      <w:start w:val="1"/>
      <w:numFmt w:val="decimal"/>
      <w:lvlText w:val="%1."/>
      <w:lvlJc w:val="left"/>
      <w:pPr>
        <w:tabs>
          <w:tab w:val="num" w:pos="734"/>
        </w:tabs>
        <w:ind w:left="73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A533CAF"/>
    <w:multiLevelType w:val="hybridMultilevel"/>
    <w:tmpl w:val="AE54373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6D9950B7"/>
    <w:multiLevelType w:val="hybridMultilevel"/>
    <w:tmpl w:val="C3ECD014"/>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71C202C2"/>
    <w:multiLevelType w:val="hybridMultilevel"/>
    <w:tmpl w:val="DE9A3D78"/>
    <w:lvl w:ilvl="0" w:tplc="023AB838">
      <w:start w:val="5"/>
      <w:numFmt w:val="upperRoman"/>
      <w:lvlText w:val="%1."/>
      <w:lvlJc w:val="right"/>
      <w:pPr>
        <w:ind w:left="4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DF0F3A"/>
    <w:multiLevelType w:val="hybridMultilevel"/>
    <w:tmpl w:val="C3E60382"/>
    <w:lvl w:ilvl="0" w:tplc="2520BB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315740"/>
    <w:multiLevelType w:val="hybridMultilevel"/>
    <w:tmpl w:val="08D89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B15B2C"/>
    <w:multiLevelType w:val="hybridMultilevel"/>
    <w:tmpl w:val="CB7A7D36"/>
    <w:lvl w:ilvl="0" w:tplc="692C15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412C5"/>
    <w:multiLevelType w:val="hybridMultilevel"/>
    <w:tmpl w:val="D1F4FA48"/>
    <w:lvl w:ilvl="0" w:tplc="ACE2D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6"/>
  </w:num>
  <w:num w:numId="3">
    <w:abstractNumId w:val="39"/>
  </w:num>
  <w:num w:numId="4">
    <w:abstractNumId w:val="8"/>
  </w:num>
  <w:num w:numId="5">
    <w:abstractNumId w:val="37"/>
  </w:num>
  <w:num w:numId="6">
    <w:abstractNumId w:val="6"/>
  </w:num>
  <w:num w:numId="7">
    <w:abstractNumId w:val="1"/>
  </w:num>
  <w:num w:numId="8">
    <w:abstractNumId w:val="19"/>
  </w:num>
  <w:num w:numId="9">
    <w:abstractNumId w:val="38"/>
  </w:num>
  <w:num w:numId="10">
    <w:abstractNumId w:val="29"/>
  </w:num>
  <w:num w:numId="11">
    <w:abstractNumId w:val="26"/>
  </w:num>
  <w:num w:numId="12">
    <w:abstractNumId w:val="42"/>
  </w:num>
  <w:num w:numId="13">
    <w:abstractNumId w:val="24"/>
  </w:num>
  <w:num w:numId="14">
    <w:abstractNumId w:val="14"/>
  </w:num>
  <w:num w:numId="15">
    <w:abstractNumId w:val="27"/>
  </w:num>
  <w:num w:numId="16">
    <w:abstractNumId w:val="5"/>
  </w:num>
  <w:num w:numId="17">
    <w:abstractNumId w:val="32"/>
  </w:num>
  <w:num w:numId="18">
    <w:abstractNumId w:val="18"/>
  </w:num>
  <w:num w:numId="19">
    <w:abstractNumId w:val="20"/>
  </w:num>
  <w:num w:numId="20">
    <w:abstractNumId w:val="34"/>
  </w:num>
  <w:num w:numId="21">
    <w:abstractNumId w:val="30"/>
  </w:num>
  <w:num w:numId="22">
    <w:abstractNumId w:val="4"/>
  </w:num>
  <w:num w:numId="23">
    <w:abstractNumId w:val="41"/>
  </w:num>
  <w:num w:numId="24">
    <w:abstractNumId w:val="31"/>
  </w:num>
  <w:num w:numId="25">
    <w:abstractNumId w:val="25"/>
  </w:num>
  <w:num w:numId="26">
    <w:abstractNumId w:val="9"/>
  </w:num>
  <w:num w:numId="27">
    <w:abstractNumId w:val="13"/>
  </w:num>
  <w:num w:numId="28">
    <w:abstractNumId w:val="21"/>
  </w:num>
  <w:num w:numId="29">
    <w:abstractNumId w:val="7"/>
  </w:num>
  <w:num w:numId="30">
    <w:abstractNumId w:val="44"/>
  </w:num>
  <w:num w:numId="31">
    <w:abstractNumId w:val="33"/>
  </w:num>
  <w:num w:numId="32">
    <w:abstractNumId w:val="33"/>
    <w:lvlOverride w:ilvl="0">
      <w:startOverride w:val="1"/>
    </w:lvlOverride>
  </w:num>
  <w:num w:numId="33">
    <w:abstractNumId w:val="3"/>
  </w:num>
  <w:num w:numId="34">
    <w:abstractNumId w:val="23"/>
  </w:num>
  <w:num w:numId="35">
    <w:abstractNumId w:val="35"/>
  </w:num>
  <w:num w:numId="36">
    <w:abstractNumId w:val="28"/>
  </w:num>
  <w:num w:numId="37">
    <w:abstractNumId w:val="40"/>
  </w:num>
  <w:num w:numId="38">
    <w:abstractNumId w:val="14"/>
    <w:lvlOverride w:ilvl="0">
      <w:startOverride w:val="1"/>
    </w:lvlOverride>
  </w:num>
  <w:num w:numId="39">
    <w:abstractNumId w:val="11"/>
  </w:num>
  <w:num w:numId="40">
    <w:abstractNumId w:val="2"/>
  </w:num>
  <w:num w:numId="41">
    <w:abstractNumId w:val="12"/>
  </w:num>
  <w:num w:numId="42">
    <w:abstractNumId w:val="36"/>
  </w:num>
  <w:num w:numId="43">
    <w:abstractNumId w:val="43"/>
  </w:num>
  <w:num w:numId="44">
    <w:abstractNumId w:val="10"/>
  </w:num>
  <w:num w:numId="45">
    <w:abstractNumId w:val="22"/>
  </w:num>
  <w:num w:numId="46">
    <w:abstractNumId w:val="17"/>
  </w:num>
  <w:num w:numId="47">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50"/>
    <w:rsid w:val="00004156"/>
    <w:rsid w:val="00004D75"/>
    <w:rsid w:val="00005A8C"/>
    <w:rsid w:val="00011190"/>
    <w:rsid w:val="0001157F"/>
    <w:rsid w:val="00013663"/>
    <w:rsid w:val="00016245"/>
    <w:rsid w:val="00016AB6"/>
    <w:rsid w:val="000239BE"/>
    <w:rsid w:val="00036CFC"/>
    <w:rsid w:val="0003708F"/>
    <w:rsid w:val="00042BC4"/>
    <w:rsid w:val="00042E70"/>
    <w:rsid w:val="0004573D"/>
    <w:rsid w:val="00053CF3"/>
    <w:rsid w:val="00055BDC"/>
    <w:rsid w:val="000941CA"/>
    <w:rsid w:val="000A1273"/>
    <w:rsid w:val="000A5DEC"/>
    <w:rsid w:val="000A5E44"/>
    <w:rsid w:val="000B1D16"/>
    <w:rsid w:val="000B5D8D"/>
    <w:rsid w:val="000C010D"/>
    <w:rsid w:val="000C4799"/>
    <w:rsid w:val="000D639B"/>
    <w:rsid w:val="000E75D5"/>
    <w:rsid w:val="00102B3C"/>
    <w:rsid w:val="00103C2A"/>
    <w:rsid w:val="00107728"/>
    <w:rsid w:val="0011323F"/>
    <w:rsid w:val="00130F30"/>
    <w:rsid w:val="00133E5A"/>
    <w:rsid w:val="001400E6"/>
    <w:rsid w:val="00143C1C"/>
    <w:rsid w:val="00150619"/>
    <w:rsid w:val="00155D30"/>
    <w:rsid w:val="0016309D"/>
    <w:rsid w:val="0016520B"/>
    <w:rsid w:val="00165CD2"/>
    <w:rsid w:val="00170341"/>
    <w:rsid w:val="00174C86"/>
    <w:rsid w:val="00184E96"/>
    <w:rsid w:val="00186F74"/>
    <w:rsid w:val="00187B45"/>
    <w:rsid w:val="00192B56"/>
    <w:rsid w:val="00195F66"/>
    <w:rsid w:val="001A26A4"/>
    <w:rsid w:val="001D1916"/>
    <w:rsid w:val="001D1F02"/>
    <w:rsid w:val="001D2688"/>
    <w:rsid w:val="001D4FEA"/>
    <w:rsid w:val="001D7086"/>
    <w:rsid w:val="001E0AD8"/>
    <w:rsid w:val="001E677C"/>
    <w:rsid w:val="001F3E3A"/>
    <w:rsid w:val="001F429A"/>
    <w:rsid w:val="00202346"/>
    <w:rsid w:val="00211014"/>
    <w:rsid w:val="00220664"/>
    <w:rsid w:val="002243CB"/>
    <w:rsid w:val="002350BB"/>
    <w:rsid w:val="002366CF"/>
    <w:rsid w:val="00240125"/>
    <w:rsid w:val="00245C08"/>
    <w:rsid w:val="0025092A"/>
    <w:rsid w:val="00253653"/>
    <w:rsid w:val="00287264"/>
    <w:rsid w:val="0029160C"/>
    <w:rsid w:val="002A3831"/>
    <w:rsid w:val="002A6A14"/>
    <w:rsid w:val="002B5AB1"/>
    <w:rsid w:val="002B5C60"/>
    <w:rsid w:val="002C1B45"/>
    <w:rsid w:val="002C4F18"/>
    <w:rsid w:val="002D2095"/>
    <w:rsid w:val="002D30BE"/>
    <w:rsid w:val="002D447B"/>
    <w:rsid w:val="002E0B82"/>
    <w:rsid w:val="002E1F88"/>
    <w:rsid w:val="002F28D5"/>
    <w:rsid w:val="002F2972"/>
    <w:rsid w:val="00300CD4"/>
    <w:rsid w:val="003101F7"/>
    <w:rsid w:val="00314373"/>
    <w:rsid w:val="003409B4"/>
    <w:rsid w:val="00341E00"/>
    <w:rsid w:val="00345C2A"/>
    <w:rsid w:val="003504C7"/>
    <w:rsid w:val="00355196"/>
    <w:rsid w:val="00356888"/>
    <w:rsid w:val="00361C46"/>
    <w:rsid w:val="00377E63"/>
    <w:rsid w:val="00382826"/>
    <w:rsid w:val="00391B6E"/>
    <w:rsid w:val="00397EE2"/>
    <w:rsid w:val="003B4BF9"/>
    <w:rsid w:val="003B706F"/>
    <w:rsid w:val="003F7A90"/>
    <w:rsid w:val="00403828"/>
    <w:rsid w:val="00404E2E"/>
    <w:rsid w:val="00406D50"/>
    <w:rsid w:val="00407F49"/>
    <w:rsid w:val="00410021"/>
    <w:rsid w:val="004147D6"/>
    <w:rsid w:val="00414F47"/>
    <w:rsid w:val="0041533B"/>
    <w:rsid w:val="00415C14"/>
    <w:rsid w:val="00424381"/>
    <w:rsid w:val="004255DD"/>
    <w:rsid w:val="00426D59"/>
    <w:rsid w:val="00430DFE"/>
    <w:rsid w:val="004329F6"/>
    <w:rsid w:val="00435858"/>
    <w:rsid w:val="00436DC2"/>
    <w:rsid w:val="00440DF8"/>
    <w:rsid w:val="004441FE"/>
    <w:rsid w:val="00455B71"/>
    <w:rsid w:val="0046014D"/>
    <w:rsid w:val="0048787F"/>
    <w:rsid w:val="0049698D"/>
    <w:rsid w:val="00497432"/>
    <w:rsid w:val="004A0C19"/>
    <w:rsid w:val="004A2AC3"/>
    <w:rsid w:val="004A42A1"/>
    <w:rsid w:val="004A7449"/>
    <w:rsid w:val="004C26CD"/>
    <w:rsid w:val="004D7D58"/>
    <w:rsid w:val="004E206E"/>
    <w:rsid w:val="004E5260"/>
    <w:rsid w:val="0050038E"/>
    <w:rsid w:val="005070D5"/>
    <w:rsid w:val="00510752"/>
    <w:rsid w:val="00514C34"/>
    <w:rsid w:val="00524240"/>
    <w:rsid w:val="00531056"/>
    <w:rsid w:val="005353B2"/>
    <w:rsid w:val="00565788"/>
    <w:rsid w:val="005658E2"/>
    <w:rsid w:val="0056606E"/>
    <w:rsid w:val="00566F09"/>
    <w:rsid w:val="0056789E"/>
    <w:rsid w:val="005701B1"/>
    <w:rsid w:val="00580857"/>
    <w:rsid w:val="00586F4F"/>
    <w:rsid w:val="00591755"/>
    <w:rsid w:val="005946FA"/>
    <w:rsid w:val="005A0800"/>
    <w:rsid w:val="005A0D6F"/>
    <w:rsid w:val="005A375B"/>
    <w:rsid w:val="005A54F9"/>
    <w:rsid w:val="005A723D"/>
    <w:rsid w:val="005B6226"/>
    <w:rsid w:val="005D3797"/>
    <w:rsid w:val="005D37FA"/>
    <w:rsid w:val="005D5C2F"/>
    <w:rsid w:val="005E2B08"/>
    <w:rsid w:val="005F3446"/>
    <w:rsid w:val="005F5F8E"/>
    <w:rsid w:val="006147E7"/>
    <w:rsid w:val="00614CAF"/>
    <w:rsid w:val="0061690B"/>
    <w:rsid w:val="006179CB"/>
    <w:rsid w:val="00624E75"/>
    <w:rsid w:val="00631A4F"/>
    <w:rsid w:val="006346AA"/>
    <w:rsid w:val="00637AFF"/>
    <w:rsid w:val="00647C86"/>
    <w:rsid w:val="0065010B"/>
    <w:rsid w:val="00651168"/>
    <w:rsid w:val="006560D5"/>
    <w:rsid w:val="00657FEA"/>
    <w:rsid w:val="00670328"/>
    <w:rsid w:val="006912F9"/>
    <w:rsid w:val="006932C9"/>
    <w:rsid w:val="0069330A"/>
    <w:rsid w:val="006A171C"/>
    <w:rsid w:val="006A1D9A"/>
    <w:rsid w:val="006B0CD2"/>
    <w:rsid w:val="006B7A94"/>
    <w:rsid w:val="006C7CA1"/>
    <w:rsid w:val="006D5AE3"/>
    <w:rsid w:val="006E1BC1"/>
    <w:rsid w:val="006F678F"/>
    <w:rsid w:val="006F706F"/>
    <w:rsid w:val="006F7814"/>
    <w:rsid w:val="00700527"/>
    <w:rsid w:val="00704F08"/>
    <w:rsid w:val="007079EA"/>
    <w:rsid w:val="0071425B"/>
    <w:rsid w:val="00715980"/>
    <w:rsid w:val="00720C0E"/>
    <w:rsid w:val="00726426"/>
    <w:rsid w:val="00735897"/>
    <w:rsid w:val="0074688F"/>
    <w:rsid w:val="0075391A"/>
    <w:rsid w:val="00780030"/>
    <w:rsid w:val="0078300E"/>
    <w:rsid w:val="00792D7D"/>
    <w:rsid w:val="00797F4E"/>
    <w:rsid w:val="007A54A8"/>
    <w:rsid w:val="007B64D9"/>
    <w:rsid w:val="007C0913"/>
    <w:rsid w:val="007C1A4F"/>
    <w:rsid w:val="007C2940"/>
    <w:rsid w:val="007C6A08"/>
    <w:rsid w:val="007E0636"/>
    <w:rsid w:val="007E0E9E"/>
    <w:rsid w:val="007F4CEC"/>
    <w:rsid w:val="007F6964"/>
    <w:rsid w:val="00803BDD"/>
    <w:rsid w:val="00803DB5"/>
    <w:rsid w:val="00806AB9"/>
    <w:rsid w:val="00812230"/>
    <w:rsid w:val="00815ED4"/>
    <w:rsid w:val="00820832"/>
    <w:rsid w:val="008235FD"/>
    <w:rsid w:val="00833509"/>
    <w:rsid w:val="008360B9"/>
    <w:rsid w:val="00837D6B"/>
    <w:rsid w:val="0084530B"/>
    <w:rsid w:val="0085378B"/>
    <w:rsid w:val="00853A86"/>
    <w:rsid w:val="008554DA"/>
    <w:rsid w:val="00865723"/>
    <w:rsid w:val="00871D5E"/>
    <w:rsid w:val="00876C45"/>
    <w:rsid w:val="008820CC"/>
    <w:rsid w:val="008823DD"/>
    <w:rsid w:val="00882E01"/>
    <w:rsid w:val="008875C5"/>
    <w:rsid w:val="008901CD"/>
    <w:rsid w:val="00890F5F"/>
    <w:rsid w:val="008A0C77"/>
    <w:rsid w:val="008A4599"/>
    <w:rsid w:val="008A7582"/>
    <w:rsid w:val="008B08E9"/>
    <w:rsid w:val="008B18DC"/>
    <w:rsid w:val="008B20C4"/>
    <w:rsid w:val="008C6DF8"/>
    <w:rsid w:val="008D654E"/>
    <w:rsid w:val="008E21AE"/>
    <w:rsid w:val="008E2E0F"/>
    <w:rsid w:val="008F5D27"/>
    <w:rsid w:val="008F7AC6"/>
    <w:rsid w:val="00900BE4"/>
    <w:rsid w:val="00904503"/>
    <w:rsid w:val="0091168A"/>
    <w:rsid w:val="009139A5"/>
    <w:rsid w:val="0091784E"/>
    <w:rsid w:val="00922C64"/>
    <w:rsid w:val="00925D65"/>
    <w:rsid w:val="00927EB0"/>
    <w:rsid w:val="00930790"/>
    <w:rsid w:val="00930B84"/>
    <w:rsid w:val="00942353"/>
    <w:rsid w:val="009441FE"/>
    <w:rsid w:val="00945BD3"/>
    <w:rsid w:val="00946F6B"/>
    <w:rsid w:val="00952AE4"/>
    <w:rsid w:val="0095549E"/>
    <w:rsid w:val="00965A91"/>
    <w:rsid w:val="009674B6"/>
    <w:rsid w:val="00972CB6"/>
    <w:rsid w:val="00977A32"/>
    <w:rsid w:val="00982C06"/>
    <w:rsid w:val="00992660"/>
    <w:rsid w:val="009A6860"/>
    <w:rsid w:val="009B1B57"/>
    <w:rsid w:val="009B6ACC"/>
    <w:rsid w:val="009B7BB2"/>
    <w:rsid w:val="009C18FB"/>
    <w:rsid w:val="009C25B0"/>
    <w:rsid w:val="009E00DC"/>
    <w:rsid w:val="009E7731"/>
    <w:rsid w:val="009F6BE8"/>
    <w:rsid w:val="00A03223"/>
    <w:rsid w:val="00A04BD9"/>
    <w:rsid w:val="00A078A6"/>
    <w:rsid w:val="00A1732C"/>
    <w:rsid w:val="00A22CCC"/>
    <w:rsid w:val="00A2413C"/>
    <w:rsid w:val="00A3004A"/>
    <w:rsid w:val="00A32B72"/>
    <w:rsid w:val="00A37024"/>
    <w:rsid w:val="00A404FF"/>
    <w:rsid w:val="00A43762"/>
    <w:rsid w:val="00A46278"/>
    <w:rsid w:val="00A56A28"/>
    <w:rsid w:val="00A61C6A"/>
    <w:rsid w:val="00A62097"/>
    <w:rsid w:val="00A624CE"/>
    <w:rsid w:val="00A62D8F"/>
    <w:rsid w:val="00A63716"/>
    <w:rsid w:val="00A67AC6"/>
    <w:rsid w:val="00A707E3"/>
    <w:rsid w:val="00A72F04"/>
    <w:rsid w:val="00A74F08"/>
    <w:rsid w:val="00A75166"/>
    <w:rsid w:val="00A76083"/>
    <w:rsid w:val="00A85907"/>
    <w:rsid w:val="00A95CC0"/>
    <w:rsid w:val="00AA08F9"/>
    <w:rsid w:val="00AA3701"/>
    <w:rsid w:val="00AB729E"/>
    <w:rsid w:val="00AC106A"/>
    <w:rsid w:val="00AC3471"/>
    <w:rsid w:val="00AC4C0A"/>
    <w:rsid w:val="00AC7EAD"/>
    <w:rsid w:val="00AD1DC8"/>
    <w:rsid w:val="00AD5E0B"/>
    <w:rsid w:val="00AE3ED4"/>
    <w:rsid w:val="00AE4716"/>
    <w:rsid w:val="00AE7246"/>
    <w:rsid w:val="00AF465A"/>
    <w:rsid w:val="00AF61B0"/>
    <w:rsid w:val="00B021BC"/>
    <w:rsid w:val="00B021DB"/>
    <w:rsid w:val="00B04077"/>
    <w:rsid w:val="00B04353"/>
    <w:rsid w:val="00B07E29"/>
    <w:rsid w:val="00B124CA"/>
    <w:rsid w:val="00B15FD8"/>
    <w:rsid w:val="00B222A1"/>
    <w:rsid w:val="00B31157"/>
    <w:rsid w:val="00B338BE"/>
    <w:rsid w:val="00B35C92"/>
    <w:rsid w:val="00B470DB"/>
    <w:rsid w:val="00B517C2"/>
    <w:rsid w:val="00B64141"/>
    <w:rsid w:val="00B70F07"/>
    <w:rsid w:val="00B77B56"/>
    <w:rsid w:val="00B80331"/>
    <w:rsid w:val="00B80757"/>
    <w:rsid w:val="00B85E9C"/>
    <w:rsid w:val="00B931D6"/>
    <w:rsid w:val="00B964AC"/>
    <w:rsid w:val="00BB7B37"/>
    <w:rsid w:val="00BC0125"/>
    <w:rsid w:val="00BC4874"/>
    <w:rsid w:val="00BD0433"/>
    <w:rsid w:val="00BD572D"/>
    <w:rsid w:val="00BF393B"/>
    <w:rsid w:val="00BF5C00"/>
    <w:rsid w:val="00BF5E1A"/>
    <w:rsid w:val="00C002F3"/>
    <w:rsid w:val="00C13B55"/>
    <w:rsid w:val="00C13E1C"/>
    <w:rsid w:val="00C16F63"/>
    <w:rsid w:val="00C17D81"/>
    <w:rsid w:val="00C302DF"/>
    <w:rsid w:val="00C30845"/>
    <w:rsid w:val="00C34900"/>
    <w:rsid w:val="00C364C3"/>
    <w:rsid w:val="00C4685F"/>
    <w:rsid w:val="00C621BE"/>
    <w:rsid w:val="00C669FD"/>
    <w:rsid w:val="00C76A7D"/>
    <w:rsid w:val="00C82DC6"/>
    <w:rsid w:val="00C902DE"/>
    <w:rsid w:val="00CA5435"/>
    <w:rsid w:val="00CA6FEC"/>
    <w:rsid w:val="00CA7446"/>
    <w:rsid w:val="00CB1FCB"/>
    <w:rsid w:val="00CB5EB7"/>
    <w:rsid w:val="00CB7074"/>
    <w:rsid w:val="00CC3F68"/>
    <w:rsid w:val="00CE53BA"/>
    <w:rsid w:val="00CF3958"/>
    <w:rsid w:val="00CF51E6"/>
    <w:rsid w:val="00CF68C1"/>
    <w:rsid w:val="00D0433A"/>
    <w:rsid w:val="00D11D43"/>
    <w:rsid w:val="00D15580"/>
    <w:rsid w:val="00D311A6"/>
    <w:rsid w:val="00D43118"/>
    <w:rsid w:val="00D4314D"/>
    <w:rsid w:val="00D52936"/>
    <w:rsid w:val="00D559E4"/>
    <w:rsid w:val="00D646CB"/>
    <w:rsid w:val="00D66184"/>
    <w:rsid w:val="00D710FD"/>
    <w:rsid w:val="00D721C6"/>
    <w:rsid w:val="00D755F4"/>
    <w:rsid w:val="00D77365"/>
    <w:rsid w:val="00D84F2C"/>
    <w:rsid w:val="00D92655"/>
    <w:rsid w:val="00D94FEF"/>
    <w:rsid w:val="00DA3EE5"/>
    <w:rsid w:val="00DA786A"/>
    <w:rsid w:val="00DB1926"/>
    <w:rsid w:val="00DB64DE"/>
    <w:rsid w:val="00DD4B82"/>
    <w:rsid w:val="00DD5CCB"/>
    <w:rsid w:val="00DD70C7"/>
    <w:rsid w:val="00DE05ED"/>
    <w:rsid w:val="00DE252E"/>
    <w:rsid w:val="00DE4889"/>
    <w:rsid w:val="00E10001"/>
    <w:rsid w:val="00E10F18"/>
    <w:rsid w:val="00E23546"/>
    <w:rsid w:val="00E245AD"/>
    <w:rsid w:val="00E31638"/>
    <w:rsid w:val="00E44E88"/>
    <w:rsid w:val="00E728F9"/>
    <w:rsid w:val="00E7345E"/>
    <w:rsid w:val="00E7484B"/>
    <w:rsid w:val="00E8269A"/>
    <w:rsid w:val="00E90BFE"/>
    <w:rsid w:val="00E93E2D"/>
    <w:rsid w:val="00EA45E4"/>
    <w:rsid w:val="00EB012D"/>
    <w:rsid w:val="00EB15A6"/>
    <w:rsid w:val="00EB52A5"/>
    <w:rsid w:val="00EB7D2C"/>
    <w:rsid w:val="00EC1CF1"/>
    <w:rsid w:val="00EC40F5"/>
    <w:rsid w:val="00ED382D"/>
    <w:rsid w:val="00EE5FE0"/>
    <w:rsid w:val="00EE7C94"/>
    <w:rsid w:val="00EF4EDB"/>
    <w:rsid w:val="00EF7B98"/>
    <w:rsid w:val="00F07630"/>
    <w:rsid w:val="00F12703"/>
    <w:rsid w:val="00F1521C"/>
    <w:rsid w:val="00F379FA"/>
    <w:rsid w:val="00F44E7D"/>
    <w:rsid w:val="00F5054F"/>
    <w:rsid w:val="00F61FDF"/>
    <w:rsid w:val="00F66556"/>
    <w:rsid w:val="00F71945"/>
    <w:rsid w:val="00F72CB2"/>
    <w:rsid w:val="00F92668"/>
    <w:rsid w:val="00F94A20"/>
    <w:rsid w:val="00F95125"/>
    <w:rsid w:val="00F9713B"/>
    <w:rsid w:val="00FA1361"/>
    <w:rsid w:val="00FA6126"/>
    <w:rsid w:val="00FB04E7"/>
    <w:rsid w:val="00FD202E"/>
    <w:rsid w:val="00FD4466"/>
    <w:rsid w:val="00FF28A5"/>
    <w:rsid w:val="00FF2C68"/>
    <w:rsid w:val="00FF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99362"/>
  <w15:chartTrackingRefBased/>
  <w15:docId w15:val="{658A4F5D-1EF5-46B0-B4DE-57105BA8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D50"/>
    <w:rPr>
      <w:rFonts w:eastAsia="Times New Roman" w:cs="Times New Roman"/>
      <w:szCs w:val="20"/>
    </w:rPr>
  </w:style>
  <w:style w:type="paragraph" w:styleId="Heading1">
    <w:name w:val="heading 1"/>
    <w:basedOn w:val="Normal"/>
    <w:next w:val="Normal"/>
    <w:link w:val="Heading1Char"/>
    <w:uiPriority w:val="99"/>
    <w:qFormat/>
    <w:rsid w:val="008554DA"/>
    <w:pPr>
      <w:keepNext/>
      <w:keepLines/>
      <w:spacing w:before="160" w:line="276" w:lineRule="auto"/>
      <w:outlineLvl w:val="0"/>
    </w:pPr>
    <w:rPr>
      <w:rFonts w:eastAsia="Arial" w:cs="Arial"/>
      <w:b/>
      <w:sz w:val="32"/>
      <w:szCs w:val="40"/>
      <w:lang w:val="en"/>
    </w:rPr>
  </w:style>
  <w:style w:type="paragraph" w:styleId="Heading2">
    <w:name w:val="heading 2"/>
    <w:basedOn w:val="Heading3"/>
    <w:next w:val="Normal"/>
    <w:link w:val="Heading2Char"/>
    <w:uiPriority w:val="99"/>
    <w:unhideWhenUsed/>
    <w:qFormat/>
    <w:rsid w:val="00FA6126"/>
    <w:pPr>
      <w:numPr>
        <w:numId w:val="19"/>
      </w:numPr>
      <w:ind w:left="360"/>
      <w:outlineLvl w:val="1"/>
    </w:pPr>
  </w:style>
  <w:style w:type="paragraph" w:styleId="Heading3">
    <w:name w:val="heading 3"/>
    <w:basedOn w:val="Normal"/>
    <w:next w:val="Normal"/>
    <w:link w:val="Heading3Char"/>
    <w:uiPriority w:val="99"/>
    <w:unhideWhenUsed/>
    <w:qFormat/>
    <w:rsid w:val="00FA6126"/>
    <w:pPr>
      <w:keepNext/>
      <w:numPr>
        <w:numId w:val="14"/>
      </w:numPr>
      <w:spacing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406D50"/>
    <w:pPr>
      <w:keepNext/>
      <w:keepLines/>
      <w:spacing w:after="240"/>
      <w:outlineLvl w:val="3"/>
    </w:pPr>
    <w:rPr>
      <w:rFonts w:eastAsiaTheme="majorEastAsia" w:cstheme="majorBidi"/>
      <w:b/>
      <w:iCs/>
    </w:rPr>
  </w:style>
  <w:style w:type="paragraph" w:styleId="Heading8">
    <w:name w:val="heading 8"/>
    <w:basedOn w:val="Normal"/>
    <w:next w:val="Normal"/>
    <w:link w:val="Heading8Char"/>
    <w:uiPriority w:val="99"/>
    <w:qFormat/>
    <w:rsid w:val="00406D50"/>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554DA"/>
    <w:rPr>
      <w:rFonts w:eastAsia="Arial" w:cs="Arial"/>
      <w:b/>
      <w:sz w:val="32"/>
      <w:szCs w:val="40"/>
      <w:lang w:val="en"/>
    </w:rPr>
  </w:style>
  <w:style w:type="character" w:customStyle="1" w:styleId="Heading2Char">
    <w:name w:val="Heading 2 Char"/>
    <w:basedOn w:val="DefaultParagraphFont"/>
    <w:link w:val="Heading2"/>
    <w:uiPriority w:val="99"/>
    <w:rsid w:val="00FA6126"/>
    <w:rPr>
      <w:rFonts w:eastAsiaTheme="majorEastAsia" w:cstheme="majorBidi"/>
      <w:b/>
      <w:szCs w:val="20"/>
    </w:rPr>
  </w:style>
  <w:style w:type="character" w:customStyle="1" w:styleId="Heading3Char">
    <w:name w:val="Heading 3 Char"/>
    <w:basedOn w:val="DefaultParagraphFont"/>
    <w:link w:val="Heading3"/>
    <w:uiPriority w:val="99"/>
    <w:rsid w:val="00FA6126"/>
    <w:rPr>
      <w:rFonts w:eastAsiaTheme="majorEastAsia" w:cstheme="majorBidi"/>
      <w:b/>
      <w:szCs w:val="20"/>
    </w:rPr>
  </w:style>
  <w:style w:type="character" w:customStyle="1" w:styleId="Heading4Char">
    <w:name w:val="Heading 4 Char"/>
    <w:basedOn w:val="DefaultParagraphFont"/>
    <w:link w:val="Heading4"/>
    <w:uiPriority w:val="9"/>
    <w:rsid w:val="00406D50"/>
    <w:rPr>
      <w:rFonts w:eastAsiaTheme="majorEastAsia" w:cstheme="majorBidi"/>
      <w:b/>
      <w:iCs/>
      <w:szCs w:val="20"/>
    </w:rPr>
  </w:style>
  <w:style w:type="character" w:customStyle="1" w:styleId="Heading8Char">
    <w:name w:val="Heading 8 Char"/>
    <w:basedOn w:val="DefaultParagraphFont"/>
    <w:link w:val="Heading8"/>
    <w:uiPriority w:val="99"/>
    <w:rsid w:val="00406D50"/>
    <w:rPr>
      <w:rFonts w:ascii="Times New Roman" w:eastAsia="Times New Roman" w:hAnsi="Times New Roman" w:cs="Times New Roman"/>
      <w:i/>
      <w:iCs/>
    </w:rPr>
  </w:style>
  <w:style w:type="paragraph" w:styleId="BodyText2">
    <w:name w:val="Body Text 2"/>
    <w:basedOn w:val="Normal"/>
    <w:link w:val="BodyText2Char"/>
    <w:uiPriority w:val="99"/>
    <w:rsid w:val="00406D50"/>
    <w:pPr>
      <w:pBdr>
        <w:top w:val="thinThickSmallGap" w:sz="24" w:space="31" w:color="auto"/>
        <w:left w:val="thinThickSmallGap" w:sz="24" w:space="4" w:color="auto"/>
        <w:bottom w:val="thinThickSmallGap" w:sz="24" w:space="0" w:color="auto"/>
        <w:right w:val="thinThickSmallGap" w:sz="24" w:space="4" w:color="auto"/>
      </w:pBdr>
      <w:jc w:val="center"/>
    </w:pPr>
    <w:rPr>
      <w:b/>
      <w:sz w:val="36"/>
    </w:rPr>
  </w:style>
  <w:style w:type="character" w:customStyle="1" w:styleId="BodyText2Char">
    <w:name w:val="Body Text 2 Char"/>
    <w:basedOn w:val="DefaultParagraphFont"/>
    <w:link w:val="BodyText2"/>
    <w:uiPriority w:val="99"/>
    <w:rsid w:val="00406D50"/>
    <w:rPr>
      <w:rFonts w:eastAsia="Times New Roman" w:cs="Times New Roman"/>
      <w:b/>
      <w:sz w:val="36"/>
      <w:szCs w:val="20"/>
    </w:rPr>
  </w:style>
  <w:style w:type="character" w:styleId="Hyperlink">
    <w:name w:val="Hyperlink"/>
    <w:uiPriority w:val="99"/>
    <w:rsid w:val="00406D50"/>
    <w:rPr>
      <w:rFonts w:cs="Times New Roman"/>
      <w:color w:val="0000FF"/>
      <w:u w:val="single"/>
    </w:rPr>
  </w:style>
  <w:style w:type="paragraph" w:styleId="BodyText">
    <w:name w:val="Body Text"/>
    <w:basedOn w:val="Normal"/>
    <w:link w:val="BodyTextChar"/>
    <w:uiPriority w:val="99"/>
    <w:rsid w:val="00406D50"/>
    <w:pPr>
      <w:spacing w:after="120"/>
    </w:pPr>
  </w:style>
  <w:style w:type="character" w:customStyle="1" w:styleId="BodyTextChar">
    <w:name w:val="Body Text Char"/>
    <w:basedOn w:val="DefaultParagraphFont"/>
    <w:link w:val="BodyText"/>
    <w:uiPriority w:val="99"/>
    <w:rsid w:val="00406D50"/>
    <w:rPr>
      <w:rFonts w:eastAsia="Times New Roman" w:cs="Times New Roman"/>
      <w:szCs w:val="20"/>
    </w:rPr>
  </w:style>
  <w:style w:type="paragraph" w:styleId="BodyTextIndent">
    <w:name w:val="Body Text Indent"/>
    <w:basedOn w:val="Normal"/>
    <w:link w:val="BodyTextIndentChar"/>
    <w:uiPriority w:val="99"/>
    <w:rsid w:val="00406D50"/>
    <w:pPr>
      <w:spacing w:after="120"/>
      <w:ind w:left="360"/>
    </w:pPr>
  </w:style>
  <w:style w:type="character" w:customStyle="1" w:styleId="BodyTextIndentChar">
    <w:name w:val="Body Text Indent Char"/>
    <w:basedOn w:val="DefaultParagraphFont"/>
    <w:link w:val="BodyTextIndent"/>
    <w:uiPriority w:val="99"/>
    <w:rsid w:val="00406D50"/>
    <w:rPr>
      <w:rFonts w:eastAsia="Times New Roman" w:cs="Times New Roman"/>
      <w:szCs w:val="20"/>
    </w:rPr>
  </w:style>
  <w:style w:type="paragraph" w:styleId="Header">
    <w:name w:val="header"/>
    <w:basedOn w:val="Normal"/>
    <w:link w:val="HeaderChar"/>
    <w:uiPriority w:val="99"/>
    <w:rsid w:val="00406D50"/>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rsid w:val="00406D50"/>
    <w:rPr>
      <w:rFonts w:ascii="Times New Roman" w:eastAsia="Times New Roman" w:hAnsi="Times New Roman" w:cs="Times New Roman"/>
    </w:rPr>
  </w:style>
  <w:style w:type="paragraph" w:styleId="Title">
    <w:name w:val="Title"/>
    <w:basedOn w:val="Normal"/>
    <w:link w:val="TitleChar"/>
    <w:uiPriority w:val="99"/>
    <w:qFormat/>
    <w:rsid w:val="00406D50"/>
    <w:pPr>
      <w:jc w:val="center"/>
    </w:pPr>
    <w:rPr>
      <w:rFonts w:ascii="Times New Roman" w:hAnsi="Times New Roman"/>
      <w:b/>
      <w:sz w:val="28"/>
    </w:rPr>
  </w:style>
  <w:style w:type="character" w:customStyle="1" w:styleId="TitleChar">
    <w:name w:val="Title Char"/>
    <w:basedOn w:val="DefaultParagraphFont"/>
    <w:link w:val="Title"/>
    <w:uiPriority w:val="99"/>
    <w:rsid w:val="00406D50"/>
    <w:rPr>
      <w:rFonts w:ascii="Times New Roman" w:eastAsia="Times New Roman" w:hAnsi="Times New Roman" w:cs="Times New Roman"/>
      <w:b/>
      <w:sz w:val="28"/>
      <w:szCs w:val="20"/>
    </w:rPr>
  </w:style>
  <w:style w:type="character" w:styleId="Strong">
    <w:name w:val="Strong"/>
    <w:uiPriority w:val="99"/>
    <w:qFormat/>
    <w:rsid w:val="00406D50"/>
    <w:rPr>
      <w:rFonts w:cs="Times New Roman"/>
      <w:b/>
    </w:rPr>
  </w:style>
  <w:style w:type="paragraph" w:styleId="NormalWeb">
    <w:name w:val="Normal (Web)"/>
    <w:basedOn w:val="Normal"/>
    <w:uiPriority w:val="99"/>
    <w:rsid w:val="00406D50"/>
    <w:pPr>
      <w:spacing w:before="100" w:beforeAutospacing="1" w:after="100" w:afterAutospacing="1"/>
    </w:pPr>
    <w:rPr>
      <w:rFonts w:ascii="Arial Unicode MS" w:eastAsia="Arial Unicode MS" w:hAnsi="Times New Roman"/>
    </w:rPr>
  </w:style>
  <w:style w:type="paragraph" w:styleId="Footer">
    <w:name w:val="footer"/>
    <w:basedOn w:val="Normal"/>
    <w:link w:val="FooterChar"/>
    <w:uiPriority w:val="99"/>
    <w:rsid w:val="00406D50"/>
    <w:pPr>
      <w:tabs>
        <w:tab w:val="center" w:pos="4320"/>
        <w:tab w:val="right" w:pos="8640"/>
      </w:tabs>
    </w:pPr>
  </w:style>
  <w:style w:type="character" w:customStyle="1" w:styleId="FooterChar">
    <w:name w:val="Footer Char"/>
    <w:basedOn w:val="DefaultParagraphFont"/>
    <w:link w:val="Footer"/>
    <w:uiPriority w:val="99"/>
    <w:rsid w:val="00406D50"/>
    <w:rPr>
      <w:rFonts w:eastAsia="Times New Roman" w:cs="Times New Roman"/>
      <w:szCs w:val="20"/>
    </w:rPr>
  </w:style>
  <w:style w:type="character" w:styleId="PageNumber">
    <w:name w:val="page number"/>
    <w:uiPriority w:val="99"/>
    <w:rsid w:val="00406D50"/>
    <w:rPr>
      <w:rFonts w:cs="Times New Roman"/>
    </w:rPr>
  </w:style>
  <w:style w:type="paragraph" w:styleId="HTMLPreformatted">
    <w:name w:val="HTML Preformatted"/>
    <w:basedOn w:val="Normal"/>
    <w:link w:val="HTMLPreformattedChar"/>
    <w:uiPriority w:val="99"/>
    <w:rsid w:val="00406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406D50"/>
    <w:rPr>
      <w:rFonts w:ascii="Courier New" w:eastAsia="Times New Roman" w:hAnsi="Courier New" w:cs="Times New Roman"/>
      <w:szCs w:val="20"/>
    </w:rPr>
  </w:style>
  <w:style w:type="paragraph" w:styleId="FootnoteText">
    <w:name w:val="footnote text"/>
    <w:basedOn w:val="Normal"/>
    <w:link w:val="FootnoteTextChar"/>
    <w:uiPriority w:val="99"/>
    <w:semiHidden/>
    <w:rsid w:val="00406D50"/>
  </w:style>
  <w:style w:type="character" w:customStyle="1" w:styleId="FootnoteTextChar">
    <w:name w:val="Footnote Text Char"/>
    <w:basedOn w:val="DefaultParagraphFont"/>
    <w:link w:val="FootnoteText"/>
    <w:uiPriority w:val="99"/>
    <w:semiHidden/>
    <w:rsid w:val="00406D50"/>
    <w:rPr>
      <w:rFonts w:eastAsia="Times New Roman" w:cs="Times New Roman"/>
      <w:szCs w:val="20"/>
    </w:rPr>
  </w:style>
  <w:style w:type="character" w:styleId="Emphasis">
    <w:name w:val="Emphasis"/>
    <w:uiPriority w:val="99"/>
    <w:qFormat/>
    <w:rsid w:val="00406D50"/>
    <w:rPr>
      <w:rFonts w:cs="Times New Roman"/>
      <w:i/>
    </w:rPr>
  </w:style>
  <w:style w:type="table" w:styleId="TableGrid">
    <w:name w:val="Table Grid"/>
    <w:basedOn w:val="TableNormal"/>
    <w:uiPriority w:val="39"/>
    <w:rsid w:val="00406D5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06D50"/>
    <w:rPr>
      <w:rFonts w:ascii="Tahoma" w:hAnsi="Tahoma" w:cs="Tahoma"/>
      <w:sz w:val="16"/>
      <w:szCs w:val="16"/>
    </w:rPr>
  </w:style>
  <w:style w:type="character" w:customStyle="1" w:styleId="BalloonTextChar">
    <w:name w:val="Balloon Text Char"/>
    <w:basedOn w:val="DefaultParagraphFont"/>
    <w:link w:val="BalloonText"/>
    <w:uiPriority w:val="99"/>
    <w:semiHidden/>
    <w:rsid w:val="00406D50"/>
    <w:rPr>
      <w:rFonts w:ascii="Tahoma" w:eastAsia="Times New Roman" w:hAnsi="Tahoma" w:cs="Tahoma"/>
      <w:sz w:val="16"/>
      <w:szCs w:val="16"/>
    </w:rPr>
  </w:style>
  <w:style w:type="character" w:styleId="CommentReference">
    <w:name w:val="annotation reference"/>
    <w:uiPriority w:val="99"/>
    <w:semiHidden/>
    <w:rsid w:val="00406D50"/>
    <w:rPr>
      <w:rFonts w:cs="Times New Roman"/>
      <w:sz w:val="16"/>
    </w:rPr>
  </w:style>
  <w:style w:type="paragraph" w:styleId="CommentText">
    <w:name w:val="annotation text"/>
    <w:basedOn w:val="Normal"/>
    <w:link w:val="CommentTextChar"/>
    <w:uiPriority w:val="99"/>
    <w:semiHidden/>
    <w:rsid w:val="00406D50"/>
    <w:rPr>
      <w:sz w:val="20"/>
    </w:rPr>
  </w:style>
  <w:style w:type="character" w:customStyle="1" w:styleId="CommentTextChar">
    <w:name w:val="Comment Text Char"/>
    <w:basedOn w:val="DefaultParagraphFont"/>
    <w:link w:val="CommentText"/>
    <w:uiPriority w:val="99"/>
    <w:semiHidden/>
    <w:rsid w:val="00406D50"/>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406D50"/>
    <w:rPr>
      <w:b/>
      <w:bCs/>
    </w:rPr>
  </w:style>
  <w:style w:type="character" w:customStyle="1" w:styleId="CommentSubjectChar">
    <w:name w:val="Comment Subject Char"/>
    <w:basedOn w:val="CommentTextChar"/>
    <w:link w:val="CommentSubject"/>
    <w:uiPriority w:val="99"/>
    <w:semiHidden/>
    <w:rsid w:val="00406D50"/>
    <w:rPr>
      <w:rFonts w:eastAsia="Times New Roman" w:cs="Times New Roman"/>
      <w:b/>
      <w:bCs/>
      <w:sz w:val="20"/>
      <w:szCs w:val="20"/>
    </w:rPr>
  </w:style>
  <w:style w:type="character" w:styleId="FollowedHyperlink">
    <w:name w:val="FollowedHyperlink"/>
    <w:uiPriority w:val="99"/>
    <w:rsid w:val="00406D50"/>
    <w:rPr>
      <w:rFonts w:cs="Times New Roman"/>
      <w:color w:val="800080"/>
      <w:u w:val="single"/>
    </w:rPr>
  </w:style>
  <w:style w:type="paragraph" w:customStyle="1" w:styleId="Chartheader">
    <w:name w:val="Chart header"/>
    <w:basedOn w:val="Normal"/>
    <w:uiPriority w:val="99"/>
    <w:rsid w:val="00406D50"/>
    <w:pPr>
      <w:widowControl w:val="0"/>
      <w:adjustRightInd w:val="0"/>
      <w:spacing w:before="120" w:after="120"/>
      <w:jc w:val="center"/>
      <w:textAlignment w:val="baseline"/>
    </w:pPr>
    <w:rPr>
      <w:rFonts w:cs="Arial"/>
      <w:b/>
    </w:rPr>
  </w:style>
  <w:style w:type="paragraph" w:customStyle="1" w:styleId="Rubricheader">
    <w:name w:val="Rubric header"/>
    <w:basedOn w:val="Normal"/>
    <w:uiPriority w:val="99"/>
    <w:rsid w:val="00406D50"/>
    <w:pPr>
      <w:widowControl w:val="0"/>
      <w:adjustRightInd w:val="0"/>
      <w:spacing w:before="80" w:after="80"/>
      <w:ind w:left="360"/>
      <w:textAlignment w:val="baseline"/>
    </w:pPr>
    <w:rPr>
      <w:rFonts w:cs="Arial"/>
      <w:b/>
      <w:iCs/>
      <w:sz w:val="22"/>
      <w:szCs w:val="22"/>
    </w:rPr>
  </w:style>
  <w:style w:type="paragraph" w:styleId="TOC1">
    <w:name w:val="toc 1"/>
    <w:basedOn w:val="Normal"/>
    <w:next w:val="Normal"/>
    <w:autoRedefine/>
    <w:uiPriority w:val="39"/>
    <w:qFormat/>
    <w:rsid w:val="00406D50"/>
    <w:pPr>
      <w:tabs>
        <w:tab w:val="left" w:pos="810"/>
        <w:tab w:val="right" w:leader="dot" w:pos="9000"/>
      </w:tabs>
      <w:spacing w:line="360" w:lineRule="auto"/>
      <w:ind w:right="-90"/>
    </w:pPr>
    <w:rPr>
      <w:rFonts w:cs="Arial"/>
      <w:b/>
      <w:noProof/>
      <w:szCs w:val="24"/>
    </w:rPr>
  </w:style>
  <w:style w:type="paragraph" w:styleId="TOC2">
    <w:name w:val="toc 2"/>
    <w:basedOn w:val="Normal"/>
    <w:next w:val="Normal"/>
    <w:autoRedefine/>
    <w:uiPriority w:val="39"/>
    <w:qFormat/>
    <w:rsid w:val="00406D50"/>
    <w:pPr>
      <w:tabs>
        <w:tab w:val="left" w:pos="1800"/>
        <w:tab w:val="right" w:leader="dot" w:pos="9000"/>
      </w:tabs>
      <w:spacing w:line="360" w:lineRule="auto"/>
      <w:ind w:left="810" w:right="360" w:hanging="360"/>
    </w:pPr>
    <w:rPr>
      <w:noProof/>
    </w:rPr>
  </w:style>
  <w:style w:type="paragraph" w:styleId="TOC3">
    <w:name w:val="toc 3"/>
    <w:basedOn w:val="Normal"/>
    <w:next w:val="Normal"/>
    <w:autoRedefine/>
    <w:uiPriority w:val="39"/>
    <w:qFormat/>
    <w:rsid w:val="00406D50"/>
    <w:pPr>
      <w:tabs>
        <w:tab w:val="right" w:leader="dot" w:pos="9350"/>
      </w:tabs>
      <w:ind w:left="480"/>
      <w:jc w:val="both"/>
    </w:pPr>
  </w:style>
  <w:style w:type="paragraph" w:styleId="BodyTextIndent3">
    <w:name w:val="Body Text Indent 3"/>
    <w:basedOn w:val="Normal"/>
    <w:link w:val="BodyTextIndent3Char"/>
    <w:uiPriority w:val="99"/>
    <w:rsid w:val="00406D50"/>
    <w:pPr>
      <w:spacing w:after="120"/>
      <w:ind w:left="360"/>
    </w:pPr>
    <w:rPr>
      <w:sz w:val="16"/>
      <w:szCs w:val="16"/>
    </w:rPr>
  </w:style>
  <w:style w:type="character" w:customStyle="1" w:styleId="BodyTextIndent3Char">
    <w:name w:val="Body Text Indent 3 Char"/>
    <w:basedOn w:val="DefaultParagraphFont"/>
    <w:link w:val="BodyTextIndent3"/>
    <w:uiPriority w:val="99"/>
    <w:rsid w:val="00406D50"/>
    <w:rPr>
      <w:rFonts w:eastAsia="Times New Roman" w:cs="Times New Roman"/>
      <w:sz w:val="16"/>
      <w:szCs w:val="16"/>
    </w:rPr>
  </w:style>
  <w:style w:type="paragraph" w:customStyle="1" w:styleId="msolistparagraph0">
    <w:name w:val="msolistparagraph"/>
    <w:basedOn w:val="Normal"/>
    <w:uiPriority w:val="99"/>
    <w:rsid w:val="00406D50"/>
    <w:pPr>
      <w:ind w:left="720"/>
    </w:pPr>
    <w:rPr>
      <w:rFonts w:ascii="Calibri" w:hAnsi="Calibri"/>
      <w:sz w:val="22"/>
      <w:szCs w:val="22"/>
    </w:rPr>
  </w:style>
  <w:style w:type="character" w:customStyle="1" w:styleId="infomessage1">
    <w:name w:val="infomessage1"/>
    <w:uiPriority w:val="99"/>
    <w:rsid w:val="00406D50"/>
    <w:rPr>
      <w:rFonts w:cs="Times New Roman"/>
      <w:b/>
      <w:bCs/>
      <w:color w:val="000000"/>
    </w:rPr>
  </w:style>
  <w:style w:type="character" w:customStyle="1" w:styleId="errormessage1">
    <w:name w:val="errormessage1"/>
    <w:uiPriority w:val="99"/>
    <w:rsid w:val="00406D50"/>
    <w:rPr>
      <w:rFonts w:cs="Times New Roman"/>
      <w:color w:val="FF0000"/>
    </w:rPr>
  </w:style>
  <w:style w:type="paragraph" w:styleId="ListBullet">
    <w:name w:val="List Bullet"/>
    <w:basedOn w:val="Normal"/>
    <w:uiPriority w:val="99"/>
    <w:rsid w:val="00406D50"/>
    <w:pPr>
      <w:numPr>
        <w:numId w:val="1"/>
      </w:numPr>
      <w:tabs>
        <w:tab w:val="clear" w:pos="360"/>
        <w:tab w:val="num" w:pos="808"/>
      </w:tabs>
    </w:pPr>
  </w:style>
  <w:style w:type="paragraph" w:styleId="DocumentMap">
    <w:name w:val="Document Map"/>
    <w:basedOn w:val="Normal"/>
    <w:link w:val="DocumentMapChar"/>
    <w:uiPriority w:val="99"/>
    <w:semiHidden/>
    <w:rsid w:val="00406D5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406D50"/>
    <w:rPr>
      <w:rFonts w:ascii="Tahoma" w:eastAsia="Times New Roman" w:hAnsi="Tahoma" w:cs="Tahoma"/>
      <w:sz w:val="20"/>
      <w:szCs w:val="20"/>
      <w:shd w:val="clear" w:color="auto" w:fill="000080"/>
    </w:rPr>
  </w:style>
  <w:style w:type="paragraph" w:styleId="ListParagraph">
    <w:name w:val="List Paragraph"/>
    <w:basedOn w:val="Normal"/>
    <w:uiPriority w:val="34"/>
    <w:qFormat/>
    <w:rsid w:val="00406D50"/>
    <w:pPr>
      <w:ind w:left="720"/>
    </w:pPr>
  </w:style>
  <w:style w:type="character" w:customStyle="1" w:styleId="apple-converted-space">
    <w:name w:val="apple-converted-space"/>
    <w:rsid w:val="00406D50"/>
  </w:style>
  <w:style w:type="paragraph" w:styleId="TOCHeading">
    <w:name w:val="TOC Heading"/>
    <w:basedOn w:val="Heading1"/>
    <w:next w:val="Normal"/>
    <w:uiPriority w:val="39"/>
    <w:unhideWhenUsed/>
    <w:qFormat/>
    <w:rsid w:val="00406D50"/>
    <w:pPr>
      <w:spacing w:before="480"/>
      <w:outlineLvl w:val="9"/>
    </w:pPr>
    <w:rPr>
      <w:rFonts w:ascii="Cambria" w:eastAsia="MS Gothic" w:hAnsi="Cambria" w:cs="Times New Roman"/>
      <w:bCs/>
      <w:color w:val="365F91"/>
      <w:sz w:val="28"/>
      <w:szCs w:val="28"/>
      <w:lang w:val="en-US" w:eastAsia="ja-JP"/>
    </w:rPr>
  </w:style>
  <w:style w:type="paragraph" w:styleId="Revision">
    <w:name w:val="Revision"/>
    <w:hidden/>
    <w:uiPriority w:val="99"/>
    <w:semiHidden/>
    <w:rsid w:val="00406D50"/>
    <w:rPr>
      <w:rFonts w:eastAsia="Times New Roman" w:cs="Times New Roman"/>
      <w:szCs w:val="20"/>
    </w:rPr>
  </w:style>
  <w:style w:type="paragraph" w:customStyle="1" w:styleId="Default">
    <w:name w:val="Default"/>
    <w:rsid w:val="00406D50"/>
    <w:pPr>
      <w:autoSpaceDE w:val="0"/>
      <w:autoSpaceDN w:val="0"/>
      <w:adjustRightInd w:val="0"/>
    </w:pPr>
    <w:rPr>
      <w:rFonts w:ascii="Courier New" w:eastAsia="Calibri" w:hAnsi="Courier New" w:cs="Courier New"/>
      <w:color w:val="000000"/>
    </w:rPr>
  </w:style>
  <w:style w:type="paragraph" w:customStyle="1" w:styleId="chartcontent">
    <w:name w:val="chart content"/>
    <w:basedOn w:val="Normal"/>
    <w:uiPriority w:val="99"/>
    <w:rsid w:val="00406D50"/>
    <w:pPr>
      <w:widowControl w:val="0"/>
      <w:adjustRightInd w:val="0"/>
      <w:spacing w:before="120" w:after="120"/>
      <w:ind w:left="72"/>
      <w:jc w:val="center"/>
      <w:textAlignment w:val="baseline"/>
    </w:pPr>
    <w:rPr>
      <w:rFonts w:cs="Arial"/>
    </w:rPr>
  </w:style>
  <w:style w:type="paragraph" w:customStyle="1" w:styleId="Normal1">
    <w:name w:val="Normal1"/>
    <w:basedOn w:val="Normal"/>
    <w:rsid w:val="00406D50"/>
    <w:pPr>
      <w:spacing w:before="100" w:beforeAutospacing="1" w:after="100" w:afterAutospacing="1"/>
    </w:pPr>
    <w:rPr>
      <w:rFonts w:ascii="Times New Roman" w:hAnsi="Times New Roman"/>
      <w:szCs w:val="24"/>
    </w:rPr>
  </w:style>
  <w:style w:type="character" w:customStyle="1" w:styleId="normalchar">
    <w:name w:val="normal__char"/>
    <w:rsid w:val="00406D50"/>
  </w:style>
  <w:style w:type="numbering" w:customStyle="1" w:styleId="Style1">
    <w:name w:val="Style1"/>
    <w:rsid w:val="00406D50"/>
    <w:pPr>
      <w:numPr>
        <w:numId w:val="5"/>
      </w:numPr>
    </w:pPr>
  </w:style>
  <w:style w:type="character" w:styleId="FootnoteReference">
    <w:name w:val="footnote reference"/>
    <w:basedOn w:val="DefaultParagraphFont"/>
    <w:uiPriority w:val="99"/>
    <w:semiHidden/>
    <w:unhideWhenUsed/>
    <w:rsid w:val="00A404FF"/>
    <w:rPr>
      <w:vertAlign w:val="superscript"/>
    </w:rPr>
  </w:style>
  <w:style w:type="character" w:styleId="UnresolvedMention">
    <w:name w:val="Unresolved Mention"/>
    <w:basedOn w:val="DefaultParagraphFont"/>
    <w:uiPriority w:val="99"/>
    <w:semiHidden/>
    <w:unhideWhenUsed/>
    <w:rsid w:val="00EB5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5865">
      <w:bodyDiv w:val="1"/>
      <w:marLeft w:val="0"/>
      <w:marRight w:val="0"/>
      <w:marTop w:val="0"/>
      <w:marBottom w:val="0"/>
      <w:divBdr>
        <w:top w:val="none" w:sz="0" w:space="0" w:color="auto"/>
        <w:left w:val="none" w:sz="0" w:space="0" w:color="auto"/>
        <w:bottom w:val="none" w:sz="0" w:space="0" w:color="auto"/>
        <w:right w:val="none" w:sz="0" w:space="0" w:color="auto"/>
      </w:divBdr>
    </w:div>
    <w:div w:id="61487032">
      <w:bodyDiv w:val="1"/>
      <w:marLeft w:val="0"/>
      <w:marRight w:val="0"/>
      <w:marTop w:val="0"/>
      <w:marBottom w:val="0"/>
      <w:divBdr>
        <w:top w:val="none" w:sz="0" w:space="0" w:color="auto"/>
        <w:left w:val="none" w:sz="0" w:space="0" w:color="auto"/>
        <w:bottom w:val="none" w:sz="0" w:space="0" w:color="auto"/>
        <w:right w:val="none" w:sz="0" w:space="0" w:color="auto"/>
      </w:divBdr>
    </w:div>
    <w:div w:id="93795445">
      <w:bodyDiv w:val="1"/>
      <w:marLeft w:val="0"/>
      <w:marRight w:val="0"/>
      <w:marTop w:val="0"/>
      <w:marBottom w:val="0"/>
      <w:divBdr>
        <w:top w:val="none" w:sz="0" w:space="0" w:color="auto"/>
        <w:left w:val="none" w:sz="0" w:space="0" w:color="auto"/>
        <w:bottom w:val="none" w:sz="0" w:space="0" w:color="auto"/>
        <w:right w:val="none" w:sz="0" w:space="0" w:color="auto"/>
      </w:divBdr>
    </w:div>
    <w:div w:id="210575935">
      <w:bodyDiv w:val="1"/>
      <w:marLeft w:val="0"/>
      <w:marRight w:val="0"/>
      <w:marTop w:val="0"/>
      <w:marBottom w:val="0"/>
      <w:divBdr>
        <w:top w:val="none" w:sz="0" w:space="0" w:color="auto"/>
        <w:left w:val="none" w:sz="0" w:space="0" w:color="auto"/>
        <w:bottom w:val="none" w:sz="0" w:space="0" w:color="auto"/>
        <w:right w:val="none" w:sz="0" w:space="0" w:color="auto"/>
      </w:divBdr>
    </w:div>
    <w:div w:id="847713712">
      <w:bodyDiv w:val="1"/>
      <w:marLeft w:val="0"/>
      <w:marRight w:val="0"/>
      <w:marTop w:val="0"/>
      <w:marBottom w:val="0"/>
      <w:divBdr>
        <w:top w:val="none" w:sz="0" w:space="0" w:color="auto"/>
        <w:left w:val="none" w:sz="0" w:space="0" w:color="auto"/>
        <w:bottom w:val="none" w:sz="0" w:space="0" w:color="auto"/>
        <w:right w:val="none" w:sz="0" w:space="0" w:color="auto"/>
      </w:divBdr>
    </w:div>
    <w:div w:id="1322739381">
      <w:bodyDiv w:val="1"/>
      <w:marLeft w:val="0"/>
      <w:marRight w:val="0"/>
      <w:marTop w:val="0"/>
      <w:marBottom w:val="0"/>
      <w:divBdr>
        <w:top w:val="none" w:sz="0" w:space="0" w:color="auto"/>
        <w:left w:val="none" w:sz="0" w:space="0" w:color="auto"/>
        <w:bottom w:val="none" w:sz="0" w:space="0" w:color="auto"/>
        <w:right w:val="none" w:sz="0" w:space="0" w:color="auto"/>
      </w:divBdr>
    </w:div>
    <w:div w:id="1471283310">
      <w:bodyDiv w:val="1"/>
      <w:marLeft w:val="0"/>
      <w:marRight w:val="0"/>
      <w:marTop w:val="0"/>
      <w:marBottom w:val="0"/>
      <w:divBdr>
        <w:top w:val="none" w:sz="0" w:space="0" w:color="auto"/>
        <w:left w:val="none" w:sz="0" w:space="0" w:color="auto"/>
        <w:bottom w:val="none" w:sz="0" w:space="0" w:color="auto"/>
        <w:right w:val="none" w:sz="0" w:space="0" w:color="auto"/>
      </w:divBdr>
    </w:div>
    <w:div w:id="1525829241">
      <w:bodyDiv w:val="1"/>
      <w:marLeft w:val="0"/>
      <w:marRight w:val="0"/>
      <w:marTop w:val="0"/>
      <w:marBottom w:val="0"/>
      <w:divBdr>
        <w:top w:val="none" w:sz="0" w:space="0" w:color="auto"/>
        <w:left w:val="none" w:sz="0" w:space="0" w:color="auto"/>
        <w:bottom w:val="none" w:sz="0" w:space="0" w:color="auto"/>
        <w:right w:val="none" w:sz="0" w:space="0" w:color="auto"/>
      </w:divBdr>
    </w:div>
    <w:div w:id="1593009853">
      <w:bodyDiv w:val="1"/>
      <w:marLeft w:val="0"/>
      <w:marRight w:val="0"/>
      <w:marTop w:val="0"/>
      <w:marBottom w:val="0"/>
      <w:divBdr>
        <w:top w:val="none" w:sz="0" w:space="0" w:color="auto"/>
        <w:left w:val="none" w:sz="0" w:space="0" w:color="auto"/>
        <w:bottom w:val="none" w:sz="0" w:space="0" w:color="auto"/>
        <w:right w:val="none" w:sz="0" w:space="0" w:color="auto"/>
      </w:divBdr>
    </w:div>
    <w:div w:id="1595363353">
      <w:bodyDiv w:val="1"/>
      <w:marLeft w:val="0"/>
      <w:marRight w:val="0"/>
      <w:marTop w:val="0"/>
      <w:marBottom w:val="0"/>
      <w:divBdr>
        <w:top w:val="none" w:sz="0" w:space="0" w:color="auto"/>
        <w:left w:val="none" w:sz="0" w:space="0" w:color="auto"/>
        <w:bottom w:val="none" w:sz="0" w:space="0" w:color="auto"/>
        <w:right w:val="none" w:sz="0" w:space="0" w:color="auto"/>
      </w:divBdr>
    </w:div>
    <w:div w:id="19020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hyperlink" Target="https://www.cde.ca.gov/fg/ac/ic" TargetMode="External"/><Relationship Id="rId3" Type="http://schemas.openxmlformats.org/officeDocument/2006/relationships/customXml" Target="../customXml/item3.xml"/><Relationship Id="rId21" Type="http://schemas.openxmlformats.org/officeDocument/2006/relationships/hyperlink" Target="https://ccsesa.org/region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e.ca.gov/ls/ex/fundingop.asp" TargetMode="External"/><Relationship Id="rId17" Type="http://schemas.openxmlformats.org/officeDocument/2006/relationships/header" Target="header2.xml"/><Relationship Id="rId25" Type="http://schemas.openxmlformats.org/officeDocument/2006/relationships/hyperlink" Target="https://www.cde.ca.gov/ls/ex/fieldtripguide.as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ASSIST@cde.ca.gov" TargetMode="External"/><Relationship Id="rId20" Type="http://schemas.openxmlformats.org/officeDocument/2006/relationships/hyperlink" Target="https://ccsesa.org/regions/" TargetMode="External"/><Relationship Id="rId29" Type="http://schemas.openxmlformats.org/officeDocument/2006/relationships/hyperlink" Target="https://www3.cde.ca.gov/ASSIST/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ls/ex/dirctservguidance.asp" TargetMode="External"/><Relationship Id="rId32" Type="http://schemas.openxmlformats.org/officeDocument/2006/relationships/hyperlink" Target="https://www.cde.ca.gov/ls/ex/exldfundingresults.asp" TargetMode="External"/><Relationship Id="rId5" Type="http://schemas.openxmlformats.org/officeDocument/2006/relationships/numbering" Target="numbering.xml"/><Relationship Id="rId15" Type="http://schemas.openxmlformats.org/officeDocument/2006/relationships/hyperlink" Target="mailto:expandedlearning@cde.ca.gov" TargetMode="External"/><Relationship Id="rId23" Type="http://schemas.openxmlformats.org/officeDocument/2006/relationships/hyperlink" Target="https://www.cde.ca.gov/ds/sd/sd/filesenr.asp" TargetMode="External"/><Relationship Id="rId28" Type="http://schemas.openxmlformats.org/officeDocument/2006/relationships/hyperlink" Target="https://www.cde.ca.gov/fg/fo/fm/ff.asp" TargetMode="External"/><Relationship Id="rId10" Type="http://schemas.openxmlformats.org/officeDocument/2006/relationships/endnotes" Target="endnotes.xml"/><Relationship Id="rId19" Type="http://schemas.openxmlformats.org/officeDocument/2006/relationships/hyperlink" Target="http://uscode.house.gov/quicksearch/get.plx?title=20&amp;section=6311" TargetMode="External"/><Relationship Id="rId31" Type="http://schemas.openxmlformats.org/officeDocument/2006/relationships/hyperlink" Target="https://www.cde.ca.gov/ls/ex/exldfundingresult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nces.ed.gov/ccd/schoolsearch/" TargetMode="External"/><Relationship Id="rId27" Type="http://schemas.openxmlformats.org/officeDocument/2006/relationships/hyperlink" Target="https://www.cde.ca.gov/ds/sd/sd/filessp.asp" TargetMode="External"/><Relationship Id="rId30" Type="http://schemas.openxmlformats.org/officeDocument/2006/relationships/hyperlink" Target="https://www.cde.ca.gov/ds/sd/sd/filessp.a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09AC-63EE-4A05-AB9D-5AB5CD4514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04058-7AFC-4B15-B1DF-6F87A45847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117C7A-8850-4CB4-AEFF-CCD51A9018ED}">
  <ds:schemaRefs>
    <ds:schemaRef ds:uri="http://schemas.microsoft.com/sharepoint/v3/contenttype/forms"/>
  </ds:schemaRefs>
</ds:datastoreItem>
</file>

<file path=customXml/itemProps4.xml><?xml version="1.0" encoding="utf-8"?>
<ds:datastoreItem xmlns:ds="http://schemas.openxmlformats.org/officeDocument/2006/customXml" ds:itemID="{7CBC64DD-09D1-4AAD-8C52-08A715FD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4520</Words>
  <Characters>25769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RFA: 22 ESSER III (CA Dept of Education)</vt:lpstr>
    </vt:vector>
  </TitlesOfParts>
  <Company>CA Department of Education</Company>
  <LinksUpToDate>false</LinksUpToDate>
  <CharactersWithSpaces>30229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22 ESSER III (CA Dept of Education)</dc:title>
  <dc:subject>This is the request for applications for the 2022-24, Elementary and Secondary School Emergency Relief III summer grant funds.</dc:subject>
  <dc:creator>California Department of Education</dc:creator>
  <cp:keywords/>
  <dc:description/>
  <cp:lastModifiedBy>Emily Romine</cp:lastModifiedBy>
  <cp:revision>3</cp:revision>
  <cp:lastPrinted>2018-08-24T19:58:00Z</cp:lastPrinted>
  <dcterms:created xsi:type="dcterms:W3CDTF">2023-04-11T20:45:00Z</dcterms:created>
  <dcterms:modified xsi:type="dcterms:W3CDTF">2023-04-11T20:46:00Z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