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B300" w14:textId="755F2FA4" w:rsidR="0072614E" w:rsidRPr="00557B5B" w:rsidRDefault="00175208" w:rsidP="00175208">
      <w:pPr>
        <w:pStyle w:val="Heading1"/>
      </w:pPr>
      <w:r w:rsidRPr="00175208">
        <w:t xml:space="preserve">Appendix B: </w:t>
      </w:r>
      <w:r w:rsidR="0072614E" w:rsidRPr="00175208">
        <w:t>Golden</w:t>
      </w:r>
      <w:r w:rsidR="00AB7F18" w:rsidRPr="00175208">
        <w:t xml:space="preserve"> </w:t>
      </w:r>
      <w:r w:rsidR="00797C56" w:rsidRPr="00175208">
        <w:t>S</w:t>
      </w:r>
      <w:r w:rsidR="0072614E" w:rsidRPr="00175208">
        <w:t>tate</w:t>
      </w:r>
      <w:r w:rsidR="00AB7F18" w:rsidRPr="00175208">
        <w:t xml:space="preserve"> </w:t>
      </w:r>
      <w:r w:rsidR="0072614E" w:rsidRPr="00175208">
        <w:t>Pathways</w:t>
      </w:r>
      <w:r w:rsidR="00AB7F18" w:rsidRPr="00175208">
        <w:t xml:space="preserve"> </w:t>
      </w:r>
      <w:r w:rsidR="0072614E" w:rsidRPr="00175208">
        <w:t>Program</w:t>
      </w:r>
      <w:bookmarkStart w:id="0" w:name="ProgramRequirmentsandLegislation"/>
      <w:r>
        <w:t xml:space="preserve"> </w:t>
      </w:r>
      <w:r>
        <w:br/>
      </w:r>
      <w:r w:rsidR="0072614E" w:rsidRPr="002B694A">
        <w:t>Program</w:t>
      </w:r>
      <w:r w:rsidR="00AB7F18">
        <w:rPr>
          <w:spacing w:val="28"/>
        </w:rPr>
        <w:t xml:space="preserve"> </w:t>
      </w:r>
      <w:r w:rsidR="0072614E" w:rsidRPr="002B694A">
        <w:t>Requirements</w:t>
      </w:r>
      <w:r w:rsidR="00AB7F18">
        <w:t xml:space="preserve"> </w:t>
      </w:r>
      <w:r w:rsidR="0072614E" w:rsidRPr="002B694A">
        <w:t>and</w:t>
      </w:r>
      <w:r w:rsidR="00AB7F18">
        <w:t xml:space="preserve"> </w:t>
      </w:r>
      <w:r w:rsidR="0072614E" w:rsidRPr="002B694A">
        <w:t>Legislation</w:t>
      </w:r>
      <w:bookmarkEnd w:id="0"/>
    </w:p>
    <w:p w14:paraId="1A16554B" w14:textId="395F0445" w:rsidR="0072614E" w:rsidRPr="00175208" w:rsidRDefault="0072614E" w:rsidP="00D7076D">
      <w:pPr>
        <w:pStyle w:val="Heading2"/>
      </w:pPr>
      <w:r w:rsidRPr="00175208">
        <w:t>Goals</w:t>
      </w:r>
      <w:r w:rsidR="00AB7F18" w:rsidRPr="00175208">
        <w:t xml:space="preserve"> </w:t>
      </w:r>
      <w:r w:rsidRPr="00175208">
        <w:t>of</w:t>
      </w:r>
      <w:r w:rsidR="00AB7F18" w:rsidRPr="00175208">
        <w:t xml:space="preserve"> </w:t>
      </w:r>
      <w:r w:rsidRPr="00175208">
        <w:t>Golden</w:t>
      </w:r>
      <w:r w:rsidR="00AB7F18" w:rsidRPr="00175208">
        <w:t xml:space="preserve"> </w:t>
      </w:r>
      <w:r w:rsidRPr="00175208">
        <w:t>State</w:t>
      </w:r>
      <w:r w:rsidR="00AB7F18" w:rsidRPr="00175208">
        <w:t xml:space="preserve"> </w:t>
      </w:r>
      <w:r w:rsidRPr="00175208">
        <w:t>Pathways</w:t>
      </w:r>
      <w:r w:rsidR="00AB7F18" w:rsidRPr="00175208">
        <w:t xml:space="preserve"> </w:t>
      </w:r>
      <w:r w:rsidRPr="00175208">
        <w:t>Program</w:t>
      </w:r>
    </w:p>
    <w:p w14:paraId="260F66D0" w14:textId="280EA9EB" w:rsidR="0072614E" w:rsidRPr="00175208" w:rsidRDefault="0072614E" w:rsidP="00B86A37">
      <w:pPr>
        <w:pStyle w:val="BodyText"/>
        <w:spacing w:after="240"/>
      </w:pPr>
      <w:r w:rsidRPr="00175208">
        <w:t>California</w:t>
      </w:r>
      <w:r w:rsidR="00AB7F18" w:rsidRPr="00175208">
        <w:rPr>
          <w:i/>
        </w:rPr>
        <w:t xml:space="preserve"> </w:t>
      </w:r>
      <w:r w:rsidRPr="00175208">
        <w:rPr>
          <w:i/>
        </w:rPr>
        <w:t>Education</w:t>
      </w:r>
      <w:r w:rsidR="00AB7F18" w:rsidRPr="00175208">
        <w:rPr>
          <w:i/>
        </w:rPr>
        <w:t xml:space="preserve"> </w:t>
      </w:r>
      <w:r w:rsidRPr="00175208">
        <w:rPr>
          <w:i/>
        </w:rPr>
        <w:t>Code</w:t>
      </w:r>
      <w:r w:rsidR="00AB7F18" w:rsidRPr="00175208">
        <w:rPr>
          <w:i/>
        </w:rPr>
        <w:t xml:space="preserve"> </w:t>
      </w:r>
      <w:r w:rsidR="00E40ED2">
        <w:rPr>
          <w:i/>
        </w:rPr>
        <w:t xml:space="preserve">(EC) </w:t>
      </w:r>
      <w:r w:rsidR="00D7076D">
        <w:t>s</w:t>
      </w:r>
      <w:r w:rsidRPr="00175208">
        <w:t>ections</w:t>
      </w:r>
      <w:r w:rsidR="00AB7F18" w:rsidRPr="00175208">
        <w:t xml:space="preserve"> </w:t>
      </w:r>
      <w:r w:rsidRPr="00175208">
        <w:t>5302</w:t>
      </w:r>
      <w:r w:rsidR="005D0C41" w:rsidRPr="00175208">
        <w:t>0</w:t>
      </w:r>
      <w:r w:rsidR="00BB4B8D" w:rsidRPr="00175208">
        <w:t>–</w:t>
      </w:r>
      <w:r w:rsidRPr="00175208">
        <w:t>5302</w:t>
      </w:r>
      <w:r w:rsidR="005D0C41" w:rsidRPr="00175208">
        <w:t>5</w:t>
      </w:r>
    </w:p>
    <w:p w14:paraId="423B776A" w14:textId="3F5CC444" w:rsidR="005D0C41" w:rsidRPr="00175208" w:rsidRDefault="00D7076D" w:rsidP="00175208">
      <w:pPr>
        <w:pStyle w:val="Heading2"/>
        <w:rPr>
          <w:rFonts w:cs="Arial"/>
        </w:rPr>
      </w:pPr>
      <w:r>
        <w:rPr>
          <w:rFonts w:cs="Arial"/>
        </w:rPr>
        <w:t xml:space="preserve">Section </w:t>
      </w:r>
      <w:r w:rsidR="005D0C41" w:rsidRPr="00175208">
        <w:rPr>
          <w:rFonts w:cs="Arial"/>
        </w:rPr>
        <w:t>53020.</w:t>
      </w:r>
    </w:p>
    <w:p w14:paraId="62D0D0FF" w14:textId="1242A5E2" w:rsidR="005D0C41" w:rsidRPr="00175208" w:rsidRDefault="005D0C41" w:rsidP="00B86A37">
      <w:pPr>
        <w:pStyle w:val="BodyText"/>
        <w:spacing w:after="240"/>
      </w:pPr>
      <w:r w:rsidRPr="00175208">
        <w:t>This</w:t>
      </w:r>
      <w:r w:rsidR="00AB7F18" w:rsidRPr="00175208">
        <w:t xml:space="preserve"> </w:t>
      </w:r>
      <w:r w:rsidRPr="00175208">
        <w:t>chapter</w:t>
      </w:r>
      <w:r w:rsidR="00AB7F18" w:rsidRPr="00175208">
        <w:t xml:space="preserve"> </w:t>
      </w:r>
      <w:r w:rsidRPr="00175208">
        <w:t>shall</w:t>
      </w:r>
      <w:r w:rsidR="00AB7F18" w:rsidRPr="00175208">
        <w:t xml:space="preserve"> </w:t>
      </w:r>
      <w:r w:rsidRPr="00175208">
        <w:t>be</w:t>
      </w:r>
      <w:r w:rsidR="00AB7F18" w:rsidRPr="00175208">
        <w:t xml:space="preserve"> </w:t>
      </w:r>
      <w:r w:rsidRPr="00175208">
        <w:t>known,</w:t>
      </w:r>
      <w:r w:rsidR="00AB7F18" w:rsidRPr="00175208">
        <w:t xml:space="preserve"> </w:t>
      </w:r>
      <w:r w:rsidRPr="00175208">
        <w:t>and</w:t>
      </w:r>
      <w:r w:rsidR="00AB7F18" w:rsidRPr="00175208">
        <w:t xml:space="preserve"> </w:t>
      </w:r>
      <w:r w:rsidRPr="00175208">
        <w:t>may</w:t>
      </w:r>
      <w:r w:rsidR="00AB7F18" w:rsidRPr="00175208">
        <w:t xml:space="preserve"> </w:t>
      </w:r>
      <w:r w:rsidRPr="00175208">
        <w:t>be</w:t>
      </w:r>
      <w:r w:rsidR="00AB7F18" w:rsidRPr="00175208">
        <w:t xml:space="preserve"> </w:t>
      </w:r>
      <w:r w:rsidRPr="00175208">
        <w:t>cited,</w:t>
      </w:r>
      <w:r w:rsidR="00AB7F18" w:rsidRPr="00175208">
        <w:t xml:space="preserve"> </w:t>
      </w:r>
      <w:r w:rsidRPr="00175208">
        <w:t>as</w:t>
      </w:r>
      <w:r w:rsidR="00AB7F18" w:rsidRPr="00175208">
        <w:t xml:space="preserve"> </w:t>
      </w:r>
      <w:r w:rsidRPr="00175208">
        <w:t>the</w:t>
      </w:r>
      <w:r w:rsidR="00AB7F18" w:rsidRPr="00175208">
        <w:t xml:space="preserve"> </w:t>
      </w:r>
      <w:r w:rsidRPr="00175208">
        <w:t>Golden</w:t>
      </w:r>
      <w:r w:rsidR="00AB7F18" w:rsidRPr="00175208">
        <w:t xml:space="preserve"> </w:t>
      </w:r>
      <w:r w:rsidRPr="00175208">
        <w:t>State</w:t>
      </w:r>
      <w:r w:rsidR="00AB7F18" w:rsidRPr="00175208">
        <w:t xml:space="preserve"> </w:t>
      </w:r>
      <w:r w:rsidRPr="00175208">
        <w:t>Pathways</w:t>
      </w:r>
      <w:r w:rsidR="00AB7F18" w:rsidRPr="00175208">
        <w:t xml:space="preserve"> </w:t>
      </w:r>
      <w:r w:rsidRPr="00175208">
        <w:t>Program</w:t>
      </w:r>
      <w:r w:rsidR="00AB7F18" w:rsidRPr="00175208">
        <w:t xml:space="preserve"> </w:t>
      </w:r>
      <w:r w:rsidRPr="00175208">
        <w:t>Act.</w:t>
      </w:r>
    </w:p>
    <w:p w14:paraId="5C62B1EB" w14:textId="55E3F646" w:rsidR="0072614E" w:rsidRPr="00175208" w:rsidRDefault="00D7076D" w:rsidP="00175208">
      <w:pPr>
        <w:pStyle w:val="Heading2"/>
        <w:rPr>
          <w:rFonts w:cs="Arial"/>
        </w:rPr>
      </w:pPr>
      <w:r>
        <w:rPr>
          <w:rFonts w:cs="Arial"/>
        </w:rPr>
        <w:t xml:space="preserve">Section </w:t>
      </w:r>
      <w:r w:rsidR="0072614E" w:rsidRPr="00175208">
        <w:rPr>
          <w:rFonts w:cs="Arial"/>
        </w:rPr>
        <w:t>53021.</w:t>
      </w:r>
    </w:p>
    <w:p w14:paraId="5FAB62E2" w14:textId="5537D17D" w:rsidR="006F3CA9" w:rsidRPr="00175208" w:rsidRDefault="0072614E" w:rsidP="00CE75E1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Golden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is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hereby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established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do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gramStart"/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all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proofErr w:type="gramEnd"/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following:</w:t>
      </w:r>
    </w:p>
    <w:p w14:paraId="2E798E00" w14:textId="0F3E2623" w:rsidR="006F3CA9" w:rsidRPr="007662DD" w:rsidRDefault="0072614E" w:rsidP="007662DD">
      <w:pPr>
        <w:pStyle w:val="ListParagraph"/>
        <w:numPr>
          <w:ilvl w:val="0"/>
          <w:numId w:val="2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Promote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high-wage,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high-skill,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high-growth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areas,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including,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but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not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limited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technology,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health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including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early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child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development,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climate-related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fields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allow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advance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seamlessly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from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high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school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college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provide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workforce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needed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economic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growth.</w:t>
      </w:r>
    </w:p>
    <w:p w14:paraId="7F91939C" w14:textId="13B04C7E" w:rsidR="006F3CA9" w:rsidRPr="007662DD" w:rsidRDefault="0072614E" w:rsidP="007662DD">
      <w:pPr>
        <w:pStyle w:val="ListParagraph"/>
        <w:numPr>
          <w:ilvl w:val="0"/>
          <w:numId w:val="2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Encourage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collaboration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between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agencies,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institutions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higher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regional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employers,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other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relevant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community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interest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holders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develop,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expand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availability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innovative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college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simultaneously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align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agency’s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regional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labor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market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needs.</w:t>
      </w:r>
    </w:p>
    <w:p w14:paraId="2ACC8CE7" w14:textId="5393CDC5" w:rsidR="006F3CA9" w:rsidRPr="007662DD" w:rsidRDefault="0072614E" w:rsidP="007662DD">
      <w:pPr>
        <w:pStyle w:val="ListParagraph"/>
        <w:numPr>
          <w:ilvl w:val="0"/>
          <w:numId w:val="2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Enable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more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access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postsecondary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opportunities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workforce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training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opportunities,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obtain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gainful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employment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industry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simultaneously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aligns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regional,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labor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market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needs.</w:t>
      </w:r>
    </w:p>
    <w:p w14:paraId="77D4F770" w14:textId="1787FA34" w:rsidR="0072614E" w:rsidRPr="007662DD" w:rsidRDefault="0072614E" w:rsidP="007662DD">
      <w:pPr>
        <w:pStyle w:val="ListParagraph"/>
        <w:numPr>
          <w:ilvl w:val="0"/>
          <w:numId w:val="2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Support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continued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development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skilled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workforce,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emphasis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addressing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areas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acute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statewide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need,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such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developing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diverse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workforce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meet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need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professional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learning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support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positions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childcare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settings,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preschools,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schools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maintaining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prekindergarten,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kindergarten,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grades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12,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inclusive.</w:t>
      </w:r>
    </w:p>
    <w:p w14:paraId="78F9E251" w14:textId="4089CFAE" w:rsidR="0072614E" w:rsidRPr="00175208" w:rsidRDefault="00D7076D" w:rsidP="00175208">
      <w:pPr>
        <w:pStyle w:val="Heading2"/>
        <w:rPr>
          <w:rFonts w:cs="Arial"/>
        </w:rPr>
      </w:pPr>
      <w:r>
        <w:rPr>
          <w:rFonts w:cs="Arial"/>
        </w:rPr>
        <w:t xml:space="preserve">Section </w:t>
      </w:r>
      <w:r w:rsidR="0072614E" w:rsidRPr="00175208">
        <w:rPr>
          <w:rFonts w:cs="Arial"/>
        </w:rPr>
        <w:t>53022.</w:t>
      </w:r>
    </w:p>
    <w:p w14:paraId="464A4422" w14:textId="3CE4B412" w:rsidR="006F3CA9" w:rsidRPr="00175208" w:rsidRDefault="0072614E" w:rsidP="00CE75E1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purposes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this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chapter,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following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definitions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apply:</w:t>
      </w:r>
    </w:p>
    <w:p w14:paraId="1783FC9C" w14:textId="55F42803" w:rsidR="006F3CA9" w:rsidRPr="007662DD" w:rsidRDefault="0072614E" w:rsidP="007662DD">
      <w:pPr>
        <w:pStyle w:val="ListParagraph"/>
        <w:numPr>
          <w:ilvl w:val="0"/>
          <w:numId w:val="4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“High-priority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agency”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means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meets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following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criteria:</w:t>
      </w:r>
    </w:p>
    <w:p w14:paraId="75321FF9" w14:textId="491022D4" w:rsidR="0072614E" w:rsidRPr="007662DD" w:rsidRDefault="0072614E" w:rsidP="007662DD">
      <w:pPr>
        <w:pStyle w:val="ListParagraph"/>
        <w:numPr>
          <w:ilvl w:val="1"/>
          <w:numId w:val="4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Fifty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percent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more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enrolled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are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unduplicated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pupils,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defined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Section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42238.02.</w:t>
      </w:r>
    </w:p>
    <w:p w14:paraId="1F018B1F" w14:textId="24584882" w:rsidR="0072614E" w:rsidRPr="007662DD" w:rsidRDefault="0072614E" w:rsidP="007662DD">
      <w:pPr>
        <w:pStyle w:val="ListParagraph"/>
        <w:numPr>
          <w:ilvl w:val="1"/>
          <w:numId w:val="4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has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higher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average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dropout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rate.</w:t>
      </w:r>
    </w:p>
    <w:p w14:paraId="1942DAE3" w14:textId="5BE96042" w:rsidR="0072614E" w:rsidRPr="007662DD" w:rsidRDefault="0072614E" w:rsidP="007662DD">
      <w:pPr>
        <w:pStyle w:val="ListParagraph"/>
        <w:numPr>
          <w:ilvl w:val="1"/>
          <w:numId w:val="4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has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higher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average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suspension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higher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average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expulsion.</w:t>
      </w:r>
    </w:p>
    <w:p w14:paraId="34D3F9E7" w14:textId="585766EE" w:rsidR="0072614E" w:rsidRPr="007662DD" w:rsidRDefault="0072614E" w:rsidP="007662DD">
      <w:pPr>
        <w:pStyle w:val="ListParagraph"/>
        <w:numPr>
          <w:ilvl w:val="1"/>
          <w:numId w:val="4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has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higher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average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rates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child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homelessness,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foster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youth,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justice-involved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youth.</w:t>
      </w:r>
    </w:p>
    <w:p w14:paraId="4326D8AD" w14:textId="71686AB9" w:rsidR="0072614E" w:rsidRPr="007662DD" w:rsidRDefault="0072614E" w:rsidP="007662DD">
      <w:pPr>
        <w:pStyle w:val="ListParagraph"/>
        <w:numPr>
          <w:ilvl w:val="1"/>
          <w:numId w:val="4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has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lower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average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completing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gramStart"/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proofErr w:type="gramEnd"/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bookmarkStart w:id="1" w:name="_Hlk156572866"/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–</w:t>
      </w:r>
      <w:bookmarkEnd w:id="1"/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courses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required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eligible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admission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University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California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California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University.</w:t>
      </w:r>
    </w:p>
    <w:p w14:paraId="5D7B1B47" w14:textId="798AAF3A" w:rsidR="006F3CA9" w:rsidRPr="007662DD" w:rsidRDefault="0072614E" w:rsidP="007662DD">
      <w:pPr>
        <w:pStyle w:val="ListParagraph"/>
        <w:numPr>
          <w:ilvl w:val="0"/>
          <w:numId w:val="4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“Local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agency”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means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school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district,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charter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school,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county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office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regional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occupational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center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operated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joint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gramStart"/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powers</w:t>
      </w:r>
      <w:proofErr w:type="gramEnd"/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authority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county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office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education.</w:t>
      </w:r>
    </w:p>
    <w:p w14:paraId="56E9750C" w14:textId="40892EC2" w:rsidR="0072614E" w:rsidRPr="007662DD" w:rsidRDefault="0072614E" w:rsidP="007662DD">
      <w:pPr>
        <w:pStyle w:val="ListParagraph"/>
        <w:numPr>
          <w:ilvl w:val="0"/>
          <w:numId w:val="4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“Region”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means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regional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planning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unit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defined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California’s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Unified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Strategic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Workforce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Development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Plan,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developed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California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Workforce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Development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Board,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pursuant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federal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Workforce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Innovation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Opportunity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Act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(Public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Law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113–128).</w:t>
      </w:r>
    </w:p>
    <w:p w14:paraId="011191AF" w14:textId="5B4706C3" w:rsidR="0072614E" w:rsidRPr="00175208" w:rsidRDefault="00D7076D" w:rsidP="00175208">
      <w:pPr>
        <w:pStyle w:val="Heading2"/>
        <w:rPr>
          <w:rFonts w:cs="Arial"/>
        </w:rPr>
      </w:pPr>
      <w:r>
        <w:rPr>
          <w:rFonts w:cs="Arial"/>
        </w:rPr>
        <w:t xml:space="preserve">Section </w:t>
      </w:r>
      <w:r w:rsidR="0072614E" w:rsidRPr="00175208">
        <w:rPr>
          <w:rFonts w:cs="Arial"/>
        </w:rPr>
        <w:t>53023.</w:t>
      </w:r>
    </w:p>
    <w:p w14:paraId="601A0EC2" w14:textId="076362F3" w:rsidR="006F3CA9" w:rsidRPr="00175208" w:rsidRDefault="0072614E" w:rsidP="00CE75E1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Contingent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upon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appropriation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by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Legislature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annual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Budget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Act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other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statute,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department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shall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administer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Golden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competitive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program.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gramStart"/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order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proofErr w:type="gramEnd"/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eligible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receive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award,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recipients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shall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do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following,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applicable:</w:t>
      </w:r>
    </w:p>
    <w:p w14:paraId="58B8C5F9" w14:textId="7E84439A" w:rsidR="006F3CA9" w:rsidRPr="007662DD" w:rsidRDefault="0072614E" w:rsidP="007662DD">
      <w:pPr>
        <w:pStyle w:val="ListParagraph"/>
        <w:numPr>
          <w:ilvl w:val="0"/>
          <w:numId w:val="6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Commit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providing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participating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gramStart"/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proofErr w:type="gramEnd"/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following:</w:t>
      </w:r>
    </w:p>
    <w:p w14:paraId="4D7AD41D" w14:textId="3FAC83F3" w:rsidR="0072614E" w:rsidRPr="007662DD" w:rsidRDefault="0072614E" w:rsidP="007662DD">
      <w:pPr>
        <w:pStyle w:val="ListParagraph"/>
        <w:numPr>
          <w:ilvl w:val="1"/>
          <w:numId w:val="6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integrated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study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includes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courses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meet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326C10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–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course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requirements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needed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eligible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admission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University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California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California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University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least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one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other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criteria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considered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prepared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purposes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meeting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academic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career-readiness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standards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defined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College/Career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Indicator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associated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California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School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Dashboard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maintained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department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pursuant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Section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52064.5.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agencies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are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encouraged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integrate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content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applications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326C10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–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courses.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agencies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may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also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provide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expand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access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courses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satisfy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326C10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–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course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requirements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through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existing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such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as:</w:t>
      </w:r>
    </w:p>
    <w:p w14:paraId="7C284C2D" w14:textId="65D0D631" w:rsidR="0072614E" w:rsidRPr="007662DD" w:rsidRDefault="0072614E" w:rsidP="007662DD">
      <w:pPr>
        <w:pStyle w:val="ListParagraph"/>
        <w:numPr>
          <w:ilvl w:val="2"/>
          <w:numId w:val="6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UC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Scout,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which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University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California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Student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Academic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Preparation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Partnerships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(SAPEP)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develops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delivers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326C10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–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approved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online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classes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curriculum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pupils.</w:t>
      </w:r>
    </w:p>
    <w:p w14:paraId="30FF4CEA" w14:textId="10DCF698" w:rsidR="0072614E" w:rsidRPr="007662DD" w:rsidRDefault="0072614E" w:rsidP="007662DD">
      <w:pPr>
        <w:pStyle w:val="ListParagraph"/>
        <w:numPr>
          <w:ilvl w:val="2"/>
          <w:numId w:val="6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University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California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California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University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extended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learning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offer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college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preparatory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courses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fulfill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326C10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–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subject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requirements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admission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University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California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California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University.</w:t>
      </w:r>
    </w:p>
    <w:p w14:paraId="4D367C82" w14:textId="44C3D5F4" w:rsidR="0072614E" w:rsidRPr="007662DD" w:rsidRDefault="0072614E" w:rsidP="007662DD">
      <w:pPr>
        <w:pStyle w:val="ListParagraph"/>
        <w:numPr>
          <w:ilvl w:val="1"/>
          <w:numId w:val="6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opportunity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earn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least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12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postsecondary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credits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are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applicable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toward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completion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degree,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certificate,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credential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through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following:</w:t>
      </w:r>
    </w:p>
    <w:p w14:paraId="1D8BB7F8" w14:textId="77777777" w:rsidR="007662DD" w:rsidRDefault="0072614E" w:rsidP="007662DD">
      <w:pPr>
        <w:pStyle w:val="ListParagraph"/>
        <w:numPr>
          <w:ilvl w:val="2"/>
          <w:numId w:val="6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</w:t>
      </w:r>
      <w:proofErr w:type="spellStart"/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</w:t>
      </w:r>
      <w:proofErr w:type="spellEnd"/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Consistent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requirements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Section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76004,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gramStart"/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College</w:t>
      </w:r>
      <w:proofErr w:type="gramEnd"/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Access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dual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enrollment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courses.</w:t>
      </w:r>
    </w:p>
    <w:p w14:paraId="1E248D58" w14:textId="16BAF668" w:rsidR="0072614E" w:rsidRPr="007662DD" w:rsidRDefault="0072614E" w:rsidP="007C3D16">
      <w:pPr>
        <w:pStyle w:val="ListParagraph"/>
        <w:numPr>
          <w:ilvl w:val="0"/>
          <w:numId w:val="17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C3D16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(ii)</w:t>
      </w:r>
      <w:r w:rsidR="00AB7F18" w:rsidRPr="007C3D16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C3D16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meet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requirements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clause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</w:t>
      </w:r>
      <w:proofErr w:type="spellStart"/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</w:t>
      </w:r>
      <w:proofErr w:type="spellEnd"/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recipients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are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expected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establish,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expand,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maintain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College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Access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partnership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agreement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their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community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college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district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consistent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requirements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Section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76004.</w:t>
      </w:r>
    </w:p>
    <w:p w14:paraId="7B4F29DA" w14:textId="1CC314FB" w:rsidR="0072614E" w:rsidRPr="007662DD" w:rsidRDefault="0072614E" w:rsidP="007662DD">
      <w:pPr>
        <w:pStyle w:val="ListParagraph"/>
        <w:numPr>
          <w:ilvl w:val="2"/>
          <w:numId w:val="6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Advanced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Placement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courses.</w:t>
      </w:r>
    </w:p>
    <w:p w14:paraId="27059BF0" w14:textId="74A98B6C" w:rsidR="0072614E" w:rsidRPr="007662DD" w:rsidRDefault="0072614E" w:rsidP="007662DD">
      <w:pPr>
        <w:pStyle w:val="ListParagraph"/>
        <w:numPr>
          <w:ilvl w:val="2"/>
          <w:numId w:val="6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International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Baccalaureate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courses.</w:t>
      </w:r>
    </w:p>
    <w:p w14:paraId="1D3C16E3" w14:textId="0DD8C58C" w:rsidR="0072614E" w:rsidRPr="007662DD" w:rsidRDefault="0072614E" w:rsidP="007662DD">
      <w:pPr>
        <w:pStyle w:val="ListParagraph"/>
        <w:numPr>
          <w:ilvl w:val="1"/>
          <w:numId w:val="6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Opportunities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participate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work-based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learning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experiences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partnership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regional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businesses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industries,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governmental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entities,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nonprofit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community-based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organizations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gramStart"/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proofErr w:type="gramEnd"/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following:</w:t>
      </w:r>
    </w:p>
    <w:p w14:paraId="2546CDFF" w14:textId="69455DAC" w:rsidR="0072614E" w:rsidRPr="007662DD" w:rsidRDefault="0072614E" w:rsidP="007662DD">
      <w:pPr>
        <w:pStyle w:val="ListParagraph"/>
        <w:numPr>
          <w:ilvl w:val="2"/>
          <w:numId w:val="6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Integrate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awareness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exposure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activities.</w:t>
      </w:r>
    </w:p>
    <w:p w14:paraId="285966B6" w14:textId="3CB03D6C" w:rsidR="0072614E" w:rsidRPr="007662DD" w:rsidRDefault="0072614E" w:rsidP="007662DD">
      <w:pPr>
        <w:pStyle w:val="ListParagraph"/>
        <w:numPr>
          <w:ilvl w:val="2"/>
          <w:numId w:val="6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Emphasize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opportunities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gramStart"/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proofErr w:type="gramEnd"/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paid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internships,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preapprenticeships</w:t>
      </w:r>
      <w:proofErr w:type="spellEnd"/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apprenticeships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offer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ability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learn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technical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professional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skills.</w:t>
      </w:r>
    </w:p>
    <w:p w14:paraId="08C61B01" w14:textId="379481DB" w:rsidR="0072614E" w:rsidRPr="007662DD" w:rsidRDefault="0072614E" w:rsidP="007662DD">
      <w:pPr>
        <w:pStyle w:val="ListParagraph"/>
        <w:numPr>
          <w:ilvl w:val="2"/>
          <w:numId w:val="6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Emphasize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opportunities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develop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social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professional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networks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will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better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enable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them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launch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their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careers.</w:t>
      </w:r>
    </w:p>
    <w:p w14:paraId="3306A265" w14:textId="0257DF2E" w:rsidR="0072614E" w:rsidRPr="007662DD" w:rsidRDefault="0072614E" w:rsidP="007662DD">
      <w:pPr>
        <w:pStyle w:val="ListParagraph"/>
        <w:numPr>
          <w:ilvl w:val="1"/>
          <w:numId w:val="6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Integrated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support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services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necessary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address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pupil’s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social,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emotional,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academic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needs.</w:t>
      </w:r>
    </w:p>
    <w:p w14:paraId="11FDFF62" w14:textId="7EDBCF17" w:rsidR="006F3CA9" w:rsidRPr="007662DD" w:rsidRDefault="0072614E" w:rsidP="007662DD">
      <w:pPr>
        <w:pStyle w:val="ListParagraph"/>
        <w:numPr>
          <w:ilvl w:val="0"/>
          <w:numId w:val="6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Develop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integrate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standards-based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academics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career-relevant,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sequenced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curriculum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following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industry-themed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are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aligned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high-skill,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high-wage,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high-demand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jobs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their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regional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economy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economy.</w:t>
      </w:r>
    </w:p>
    <w:p w14:paraId="6D59286F" w14:textId="65478422" w:rsidR="006F3CA9" w:rsidRPr="007662DD" w:rsidRDefault="0072614E" w:rsidP="007662DD">
      <w:pPr>
        <w:pStyle w:val="ListParagraph"/>
        <w:numPr>
          <w:ilvl w:val="0"/>
          <w:numId w:val="6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Provide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articulated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from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high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school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postsecondary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training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are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aligned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workforce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development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needs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their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regional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economy.</w:t>
      </w:r>
    </w:p>
    <w:p w14:paraId="5C6E7D58" w14:textId="315515D7" w:rsidR="006F3CA9" w:rsidRPr="007662DD" w:rsidRDefault="0072614E" w:rsidP="007662DD">
      <w:pPr>
        <w:pStyle w:val="ListParagraph"/>
        <w:numPr>
          <w:ilvl w:val="0"/>
          <w:numId w:val="6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Collaborate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other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agencies,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institutions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higher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regional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employers,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other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relevant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community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interest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holders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develop,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expand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availability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innovative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college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align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their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regional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labor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market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needs.</w:t>
      </w:r>
    </w:p>
    <w:p w14:paraId="6B0A4DA4" w14:textId="600C1E2B" w:rsidR="0072614E" w:rsidRPr="007662DD" w:rsidRDefault="0072614E" w:rsidP="007662DD">
      <w:pPr>
        <w:pStyle w:val="ListParagraph"/>
        <w:numPr>
          <w:ilvl w:val="0"/>
          <w:numId w:val="6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Leverage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available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resources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in-kind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contributions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from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public,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private,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philanthropic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sources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sustain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ongoing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operation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their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Golden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Program.</w:t>
      </w:r>
    </w:p>
    <w:p w14:paraId="4170A8CE" w14:textId="739AFA05" w:rsidR="0072614E" w:rsidRPr="00175208" w:rsidRDefault="00D7076D" w:rsidP="00175208">
      <w:pPr>
        <w:pStyle w:val="Heading2"/>
        <w:rPr>
          <w:rFonts w:cs="Arial"/>
        </w:rPr>
      </w:pPr>
      <w:r>
        <w:rPr>
          <w:rFonts w:cs="Arial"/>
        </w:rPr>
        <w:t xml:space="preserve">Section </w:t>
      </w:r>
      <w:r w:rsidR="0072614E" w:rsidRPr="00175208">
        <w:rPr>
          <w:rFonts w:cs="Arial"/>
        </w:rPr>
        <w:t>53023.5.</w:t>
      </w:r>
    </w:p>
    <w:p w14:paraId="59A9E2FD" w14:textId="23C4DE12" w:rsidR="0072614E" w:rsidRPr="00175208" w:rsidRDefault="0072614E" w:rsidP="00CE75E1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Community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college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districts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may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partner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agencies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submit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applications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receive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funding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under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this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support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offering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Golden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Program.</w:t>
      </w:r>
    </w:p>
    <w:p w14:paraId="7766CDCC" w14:textId="18CBA7E5" w:rsidR="0072614E" w:rsidRPr="00175208" w:rsidRDefault="00D7076D" w:rsidP="00175208">
      <w:pPr>
        <w:pStyle w:val="Heading2"/>
        <w:rPr>
          <w:rFonts w:cs="Arial"/>
        </w:rPr>
      </w:pPr>
      <w:r>
        <w:rPr>
          <w:rFonts w:cs="Arial"/>
        </w:rPr>
        <w:t xml:space="preserve">Section </w:t>
      </w:r>
      <w:r w:rsidR="0072614E" w:rsidRPr="00175208">
        <w:rPr>
          <w:rFonts w:cs="Arial"/>
        </w:rPr>
        <w:t>53024.</w:t>
      </w:r>
    </w:p>
    <w:p w14:paraId="3DD72922" w14:textId="66515671" w:rsidR="006F3CA9" w:rsidRPr="007662DD" w:rsidRDefault="0072614E" w:rsidP="007662DD">
      <w:pPr>
        <w:pStyle w:val="ListParagraph"/>
        <w:numPr>
          <w:ilvl w:val="0"/>
          <w:numId w:val="8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condition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receiving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Golden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recipient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shall:</w:t>
      </w:r>
    </w:p>
    <w:p w14:paraId="06E5ADA1" w14:textId="1EEC42D1" w:rsidR="0072614E" w:rsidRPr="007662DD" w:rsidRDefault="0072614E" w:rsidP="007662DD">
      <w:pPr>
        <w:pStyle w:val="ListParagraph"/>
        <w:numPr>
          <w:ilvl w:val="1"/>
          <w:numId w:val="8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Not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use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Golden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funds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supplant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federal,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other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public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private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sources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funding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otherwise,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would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otherwise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used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support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activities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required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Golden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recipient.</w:t>
      </w:r>
    </w:p>
    <w:p w14:paraId="34429D74" w14:textId="591408F3" w:rsidR="0072614E" w:rsidRPr="007662DD" w:rsidRDefault="0072614E" w:rsidP="007662DD">
      <w:pPr>
        <w:pStyle w:val="ListParagraph"/>
        <w:numPr>
          <w:ilvl w:val="1"/>
          <w:numId w:val="8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Identify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aside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funding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within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its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own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budget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obtain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funding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commitments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from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partners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fully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sustain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ongoing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operation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their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Golden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how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other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would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supported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integrated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have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been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aligned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agency’s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Golden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Program.</w:t>
      </w:r>
    </w:p>
    <w:p w14:paraId="1DB1D9E2" w14:textId="1CA0280A" w:rsidR="006F3CA9" w:rsidRPr="007662DD" w:rsidRDefault="0072614E" w:rsidP="007662DD">
      <w:pPr>
        <w:pStyle w:val="ListParagraph"/>
        <w:numPr>
          <w:ilvl w:val="0"/>
          <w:numId w:val="8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recipient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subject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requirements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Sections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52060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52061,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Sections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52066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52067,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Section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47606.5,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applicable,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shall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ensure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activities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supported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Golden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are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alignment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priorities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activities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recipient’s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control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accountability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plan.</w:t>
      </w:r>
    </w:p>
    <w:p w14:paraId="6B2F5922" w14:textId="5FCD02DB" w:rsidR="006F3CA9" w:rsidRPr="007662DD" w:rsidRDefault="0072614E" w:rsidP="007662DD">
      <w:pPr>
        <w:pStyle w:val="ListParagraph"/>
        <w:numPr>
          <w:ilvl w:val="0"/>
          <w:numId w:val="8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(1)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recipient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shall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annually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collect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submit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data,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disaggregated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subgroup,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outcome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measures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department,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which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shall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include,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but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are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not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limited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quality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indicators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described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California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Plan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Technical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required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federal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Strengthening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Technical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21st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Century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Act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(Perkins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V),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gramStart"/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proofErr w:type="gramEnd"/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following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applicable:</w:t>
      </w:r>
    </w:p>
    <w:p w14:paraId="6B7BBA99" w14:textId="1DC06977" w:rsidR="0072614E" w:rsidRPr="007662DD" w:rsidRDefault="0072614E" w:rsidP="007662DD">
      <w:pPr>
        <w:pStyle w:val="ListParagraph"/>
        <w:numPr>
          <w:ilvl w:val="2"/>
          <w:numId w:val="8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academic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performance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indicators,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including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information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disaggregated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subgroups.</w:t>
      </w:r>
    </w:p>
    <w:p w14:paraId="04B27FB7" w14:textId="13F3E797" w:rsidR="0072614E" w:rsidRPr="007662DD" w:rsidRDefault="0072614E" w:rsidP="007662DD">
      <w:pPr>
        <w:pStyle w:val="ListParagraph"/>
        <w:numPr>
          <w:ilvl w:val="2"/>
          <w:numId w:val="8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number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school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graduates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subgroups.</w:t>
      </w:r>
    </w:p>
    <w:p w14:paraId="4EDA33F8" w14:textId="53F870F1" w:rsidR="0072614E" w:rsidRPr="007662DD" w:rsidRDefault="0072614E" w:rsidP="007662DD">
      <w:pPr>
        <w:pStyle w:val="ListParagraph"/>
        <w:numPr>
          <w:ilvl w:val="2"/>
          <w:numId w:val="8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completing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courses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meet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326C10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–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course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requirements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needed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eligible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admission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University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California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California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University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participating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schoolsite</w:t>
      </w:r>
      <w:proofErr w:type="spellEnd"/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disaggregated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participating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pursuant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this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chapter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not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participating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pursuant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this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chapter.</w:t>
      </w:r>
    </w:p>
    <w:p w14:paraId="24089C8B" w14:textId="590E2CCB" w:rsidR="0072614E" w:rsidRPr="007662DD" w:rsidRDefault="0072614E" w:rsidP="007662DD">
      <w:pPr>
        <w:pStyle w:val="ListParagraph"/>
        <w:numPr>
          <w:ilvl w:val="2"/>
          <w:numId w:val="8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number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postsecondary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credits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earned,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internships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apprenticeships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completed,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technical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courses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completed.</w:t>
      </w:r>
    </w:p>
    <w:p w14:paraId="796A461A" w14:textId="7C4DCB1F" w:rsidR="0072614E" w:rsidRPr="007662DD" w:rsidRDefault="0072614E" w:rsidP="007662DD">
      <w:pPr>
        <w:pStyle w:val="ListParagraph"/>
        <w:numPr>
          <w:ilvl w:val="2"/>
          <w:numId w:val="8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Attainment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certificates,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credentials,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degrees.</w:t>
      </w:r>
    </w:p>
    <w:p w14:paraId="7D1049D4" w14:textId="1994A5A1" w:rsidR="0072614E" w:rsidRPr="007662DD" w:rsidRDefault="0072614E" w:rsidP="007662DD">
      <w:pPr>
        <w:pStyle w:val="ListParagraph"/>
        <w:numPr>
          <w:ilvl w:val="2"/>
          <w:numId w:val="8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Postsecondary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enrollment,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meet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requirements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considered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successfully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transferred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four-year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university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purposes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Section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84750.4.</w:t>
      </w:r>
    </w:p>
    <w:p w14:paraId="74ED49EA" w14:textId="7243C5F7" w:rsidR="0072614E" w:rsidRPr="007662DD" w:rsidRDefault="0072614E" w:rsidP="007662DD">
      <w:pPr>
        <w:pStyle w:val="ListParagraph"/>
        <w:numPr>
          <w:ilvl w:val="2"/>
          <w:numId w:val="8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Transitions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employment,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apprenticeships,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job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training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industry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sector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offered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participating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agency.</w:t>
      </w:r>
    </w:p>
    <w:p w14:paraId="4E39989B" w14:textId="74983828" w:rsidR="0072614E" w:rsidRPr="007662DD" w:rsidRDefault="0072614E" w:rsidP="007662DD">
      <w:pPr>
        <w:pStyle w:val="ListParagraph"/>
        <w:numPr>
          <w:ilvl w:val="2"/>
          <w:numId w:val="8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number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completing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technical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coursework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number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completing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technical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consisting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sequence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two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more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technical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courses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same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technical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subject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matter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discipline.</w:t>
      </w:r>
    </w:p>
    <w:p w14:paraId="12A0633B" w14:textId="2114A60E" w:rsidR="0072614E" w:rsidRPr="007662DD" w:rsidRDefault="0072614E" w:rsidP="007662DD">
      <w:pPr>
        <w:pStyle w:val="ListParagraph"/>
        <w:numPr>
          <w:ilvl w:val="1"/>
          <w:numId w:val="8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extent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feasible,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intent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Legislature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upon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implementation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California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Cradle-to-Career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Data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System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established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Section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10860,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data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required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pursuant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paragraph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(1)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shall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integrated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within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California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Cradle-to-Career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Data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System.</w:t>
      </w:r>
    </w:p>
    <w:p w14:paraId="2E0B77A5" w14:textId="5F76ED1E" w:rsidR="0072614E" w:rsidRPr="00175208" w:rsidRDefault="00D7076D" w:rsidP="00175208">
      <w:pPr>
        <w:pStyle w:val="Heading2"/>
        <w:rPr>
          <w:rFonts w:cs="Arial"/>
        </w:rPr>
      </w:pPr>
      <w:r>
        <w:rPr>
          <w:rFonts w:cs="Arial"/>
        </w:rPr>
        <w:t xml:space="preserve">Section </w:t>
      </w:r>
      <w:r w:rsidR="0072614E" w:rsidRPr="00175208">
        <w:rPr>
          <w:rFonts w:cs="Arial"/>
        </w:rPr>
        <w:t>53025.</w:t>
      </w:r>
    </w:p>
    <w:p w14:paraId="1F1C0C7A" w14:textId="262E1AEF" w:rsidR="006F3CA9" w:rsidRPr="007662DD" w:rsidRDefault="0072614E" w:rsidP="007662DD">
      <w:pPr>
        <w:pStyle w:val="ListParagraph"/>
        <w:numPr>
          <w:ilvl w:val="0"/>
          <w:numId w:val="10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Superintendent,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consultation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executive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director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board,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shall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award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competitive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basis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recipients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following:</w:t>
      </w:r>
    </w:p>
    <w:p w14:paraId="7518E15E" w14:textId="27CA9A00" w:rsidR="0072614E" w:rsidRPr="007662DD" w:rsidRDefault="0072614E" w:rsidP="007662DD">
      <w:pPr>
        <w:pStyle w:val="ListParagraph"/>
        <w:numPr>
          <w:ilvl w:val="1"/>
          <w:numId w:val="10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Consortium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development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planning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support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collaborative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planning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between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recipient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their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partners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development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high-quality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college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opportunities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are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consistent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requirements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this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chapter.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amounts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appropriated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support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Golden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Superintendent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may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use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up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10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percent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funds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consortium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development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planning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grants.</w:t>
      </w:r>
    </w:p>
    <w:p w14:paraId="568ADB71" w14:textId="7E4E7B90" w:rsidR="0072614E" w:rsidRPr="007662DD" w:rsidRDefault="0072614E" w:rsidP="007662DD">
      <w:pPr>
        <w:pStyle w:val="ListParagraph"/>
        <w:numPr>
          <w:ilvl w:val="1"/>
          <w:numId w:val="10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Implementation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support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recipient’s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ability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offer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participating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gramStart"/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pupils</w:t>
      </w:r>
      <w:proofErr w:type="gramEnd"/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high-quality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college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opportunities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consistent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requirements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this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chapter.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amounts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appropriated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support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Golden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Superintendent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shall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use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not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less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85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percent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funds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implementation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grants.</w:t>
      </w:r>
    </w:p>
    <w:p w14:paraId="30F4033D" w14:textId="1D6B1A65" w:rsidR="006F3CA9" w:rsidRPr="007662DD" w:rsidRDefault="0072614E" w:rsidP="007662DD">
      <w:pPr>
        <w:pStyle w:val="ListParagraph"/>
        <w:numPr>
          <w:ilvl w:val="0"/>
          <w:numId w:val="10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(1)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amounts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appropriated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support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Golden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Superintendent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may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use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up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percent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appropriation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contract,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consultation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executive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director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board,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up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10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agencies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provision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technical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assistance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agencies,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applicants,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recipients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aligned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technical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assistance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provided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other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College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readiness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initiatives,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including,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but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not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limited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those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established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pursuant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this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chapter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California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Technical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Incentive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pursuant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Chapter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16.5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(commencing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Section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53070).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these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technical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assistance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grantees,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one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demonstrated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expertise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design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implementation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college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will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act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lead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technical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assistance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grantee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work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department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provide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leadership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direction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other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technical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assistance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grantees,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will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provide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technical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assistance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different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regions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state.</w:t>
      </w:r>
    </w:p>
    <w:p w14:paraId="3EBB7C9A" w14:textId="78A60826" w:rsidR="0072614E" w:rsidRPr="007662DD" w:rsidRDefault="0072614E" w:rsidP="007662DD">
      <w:pPr>
        <w:pStyle w:val="ListParagraph"/>
        <w:numPr>
          <w:ilvl w:val="0"/>
          <w:numId w:val="11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eligible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contract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pursuant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paragraph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(1),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shall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commit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gramStart"/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proofErr w:type="gramEnd"/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following:</w:t>
      </w:r>
    </w:p>
    <w:p w14:paraId="39A7EC26" w14:textId="419A06A5" w:rsidR="0072614E" w:rsidRPr="007662DD" w:rsidRDefault="0072614E" w:rsidP="007662DD">
      <w:pPr>
        <w:pStyle w:val="ListParagraph"/>
        <w:numPr>
          <w:ilvl w:val="2"/>
          <w:numId w:val="8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Assisting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agencies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continuous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improvement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their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Golden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Programs.</w:t>
      </w:r>
    </w:p>
    <w:p w14:paraId="7A1B3D3A" w14:textId="085D6FD7" w:rsidR="0072614E" w:rsidRPr="007662DD" w:rsidRDefault="0072614E" w:rsidP="007662DD">
      <w:pPr>
        <w:pStyle w:val="ListParagraph"/>
        <w:numPr>
          <w:ilvl w:val="2"/>
          <w:numId w:val="8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Leveraging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evidence-based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frameworks,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such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linked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learning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framework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quality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standards,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provide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assistance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grantees.</w:t>
      </w:r>
    </w:p>
    <w:p w14:paraId="0208C898" w14:textId="64F47BB1" w:rsidR="0072614E" w:rsidRPr="007662DD" w:rsidRDefault="0072614E" w:rsidP="007662DD">
      <w:pPr>
        <w:pStyle w:val="ListParagraph"/>
        <w:numPr>
          <w:ilvl w:val="2"/>
          <w:numId w:val="8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Providing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prospective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applicants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grantees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feedback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regarding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development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their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planned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application,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implementation,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continuous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improvement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their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Golden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other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technical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programs,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courses,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have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been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integrated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have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been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aligned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agency’s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Golden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Program.</w:t>
      </w:r>
    </w:p>
    <w:p w14:paraId="26041FB3" w14:textId="3D392671" w:rsidR="0072614E" w:rsidRPr="007662DD" w:rsidRDefault="0072614E" w:rsidP="007662DD">
      <w:pPr>
        <w:pStyle w:val="ListParagraph"/>
        <w:numPr>
          <w:ilvl w:val="2"/>
          <w:numId w:val="8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Creating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community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practice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network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enables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grantees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share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best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practices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other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grantees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other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interested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agencies.</w:t>
      </w:r>
    </w:p>
    <w:p w14:paraId="0740DD84" w14:textId="4A96B1A1" w:rsidR="0072614E" w:rsidRPr="007662DD" w:rsidRDefault="0072614E" w:rsidP="007662DD">
      <w:pPr>
        <w:pStyle w:val="ListParagraph"/>
        <w:numPr>
          <w:ilvl w:val="2"/>
          <w:numId w:val="8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Assisting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recipients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collection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reporting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required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data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pursuant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this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chapter.</w:t>
      </w:r>
    </w:p>
    <w:p w14:paraId="5E7EC002" w14:textId="314F99F0" w:rsidR="0072614E" w:rsidRPr="007662DD" w:rsidRDefault="0072614E" w:rsidP="007662DD">
      <w:pPr>
        <w:pStyle w:val="ListParagraph"/>
        <w:numPr>
          <w:ilvl w:val="0"/>
          <w:numId w:val="11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intent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Legislature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Superintendent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identify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contract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provide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technical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assistance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consistent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requirements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paragraph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(2)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not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less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three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months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prior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applications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due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Superintendent.</w:t>
      </w:r>
    </w:p>
    <w:p w14:paraId="3F98E943" w14:textId="22684BF2" w:rsidR="0072614E" w:rsidRPr="007662DD" w:rsidRDefault="0072614E" w:rsidP="007662DD">
      <w:pPr>
        <w:pStyle w:val="ListParagraph"/>
        <w:numPr>
          <w:ilvl w:val="0"/>
          <w:numId w:val="11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Superintendent,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consultation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executive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director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board,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shall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contract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independent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entity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evaluate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program’s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effectiveness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meeting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goals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described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Section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53021.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This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evaluation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shall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completed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sooner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June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30,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2027,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later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June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30,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2028.</w:t>
      </w:r>
    </w:p>
    <w:p w14:paraId="683995B1" w14:textId="0BE8EA65" w:rsidR="0072614E" w:rsidRPr="007662DD" w:rsidRDefault="0072614E" w:rsidP="007662DD">
      <w:pPr>
        <w:pStyle w:val="ListParagraph"/>
        <w:numPr>
          <w:ilvl w:val="0"/>
          <w:numId w:val="11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funds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used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Superintendent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gramStart"/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purposes</w:t>
      </w:r>
      <w:proofErr w:type="gramEnd"/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paragraph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(1)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shall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available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encumbrance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expenditure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five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fiscal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years.</w:t>
      </w:r>
    </w:p>
    <w:p w14:paraId="050A9B07" w14:textId="6F7D76C4" w:rsidR="006F3CA9" w:rsidRPr="007662DD" w:rsidRDefault="0072614E" w:rsidP="007662DD">
      <w:pPr>
        <w:pStyle w:val="ListParagraph"/>
        <w:numPr>
          <w:ilvl w:val="0"/>
          <w:numId w:val="10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determining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amounts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implementation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consortium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development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planning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Superintendent,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consultation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executive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director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board,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shall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consider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gramStart"/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proofErr w:type="gramEnd"/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following:</w:t>
      </w:r>
    </w:p>
    <w:p w14:paraId="54894BBB" w14:textId="38072314" w:rsidR="0072614E" w:rsidRPr="007662DD" w:rsidRDefault="0072614E" w:rsidP="007662DD">
      <w:pPr>
        <w:pStyle w:val="ListParagraph"/>
        <w:numPr>
          <w:ilvl w:val="0"/>
          <w:numId w:val="12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number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enrolled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applicant.</w:t>
      </w:r>
    </w:p>
    <w:p w14:paraId="322B2B5D" w14:textId="4B1BE2DF" w:rsidR="0072614E" w:rsidRPr="007662DD" w:rsidRDefault="0072614E" w:rsidP="007662DD">
      <w:pPr>
        <w:pStyle w:val="ListParagraph"/>
        <w:numPr>
          <w:ilvl w:val="0"/>
          <w:numId w:val="12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number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proposed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established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expanded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number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schoolsites</w:t>
      </w:r>
      <w:proofErr w:type="spellEnd"/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would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participate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program.</w:t>
      </w:r>
    </w:p>
    <w:p w14:paraId="3D2B4DE0" w14:textId="28DB97AF" w:rsidR="0072614E" w:rsidRPr="007662DD" w:rsidRDefault="0072614E" w:rsidP="007662DD">
      <w:pPr>
        <w:pStyle w:val="ListParagraph"/>
        <w:numPr>
          <w:ilvl w:val="0"/>
          <w:numId w:val="12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estimated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number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would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enrolled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applicant’s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programs.</w:t>
      </w:r>
    </w:p>
    <w:p w14:paraId="415761F7" w14:textId="19BA8066" w:rsidR="0072614E" w:rsidRPr="007662DD" w:rsidRDefault="0072614E" w:rsidP="007662DD">
      <w:pPr>
        <w:pStyle w:val="ListParagraph"/>
        <w:numPr>
          <w:ilvl w:val="0"/>
          <w:numId w:val="12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number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entities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collaborating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achieve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goal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outlined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subdivision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(a)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Section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53021.</w:t>
      </w:r>
    </w:p>
    <w:p w14:paraId="6574E556" w14:textId="11464BF2" w:rsidR="006F3CA9" w:rsidRPr="007662DD" w:rsidRDefault="0072614E" w:rsidP="007662DD">
      <w:pPr>
        <w:pStyle w:val="ListParagraph"/>
        <w:numPr>
          <w:ilvl w:val="0"/>
          <w:numId w:val="10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seeking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under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this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chapter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shall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submit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Superintendent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time,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manner,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appropriate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information,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Superintendent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may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reasonably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require.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Each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submitted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shall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include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gramStart"/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proofErr w:type="gramEnd"/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following:</w:t>
      </w:r>
    </w:p>
    <w:p w14:paraId="14376E57" w14:textId="59B0E22F" w:rsidR="0072614E" w:rsidRPr="007662DD" w:rsidRDefault="0072614E" w:rsidP="00E27136">
      <w:pPr>
        <w:pStyle w:val="ListParagraph"/>
        <w:numPr>
          <w:ilvl w:val="0"/>
          <w:numId w:val="13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description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documentation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how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will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collaborate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their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regional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interest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holders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develop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offer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high-quality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college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opportunities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consistent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requirements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this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chapter.</w:t>
      </w:r>
    </w:p>
    <w:p w14:paraId="2D90C298" w14:textId="66DC2022" w:rsidR="0072614E" w:rsidRPr="007662DD" w:rsidRDefault="0072614E" w:rsidP="00E27136">
      <w:pPr>
        <w:pStyle w:val="ListParagraph"/>
        <w:numPr>
          <w:ilvl w:val="0"/>
          <w:numId w:val="13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description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gramStart"/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proofErr w:type="gramEnd"/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support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services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provided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schoolsite</w:t>
      </w:r>
      <w:proofErr w:type="spellEnd"/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partnering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college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university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site,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virtually,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locations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where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eligible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work-based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learning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would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occur.</w:t>
      </w:r>
    </w:p>
    <w:p w14:paraId="25860388" w14:textId="3F73F7B8" w:rsidR="0072614E" w:rsidRPr="007662DD" w:rsidRDefault="0072614E" w:rsidP="00E27136">
      <w:pPr>
        <w:pStyle w:val="ListParagraph"/>
        <w:numPr>
          <w:ilvl w:val="0"/>
          <w:numId w:val="13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description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regarding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how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applicant’s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Golden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would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support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needs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applicant’s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underrepresented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pupils.</w:t>
      </w:r>
    </w:p>
    <w:p w14:paraId="214248BB" w14:textId="62F8A9F1" w:rsidR="0072614E" w:rsidRPr="007662DD" w:rsidRDefault="0072614E" w:rsidP="00E27136">
      <w:pPr>
        <w:pStyle w:val="ListParagraph"/>
        <w:numPr>
          <w:ilvl w:val="0"/>
          <w:numId w:val="13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description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direct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indirect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resources,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partner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entities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will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support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applicant’s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development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implementation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high-quality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college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opportunities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consistent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requirements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this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chapter.</w:t>
      </w:r>
    </w:p>
    <w:p w14:paraId="06ECFCFD" w14:textId="6DBE2760" w:rsidR="0072614E" w:rsidRPr="007662DD" w:rsidRDefault="0072614E" w:rsidP="00E27136">
      <w:pPr>
        <w:pStyle w:val="ListParagraph"/>
        <w:numPr>
          <w:ilvl w:val="0"/>
          <w:numId w:val="13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description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applicant’s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current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future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efforts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sustain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ongoing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operation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their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Golden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beyond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life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their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grant.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Additionally,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applicants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participate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California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Technical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Incentive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established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pursuant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Section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53070,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K–12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component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Strong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Workforce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other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college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programs,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are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encouraged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describe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how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will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create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cohesion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between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those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college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developed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offered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under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Golden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Program.</w:t>
      </w:r>
    </w:p>
    <w:p w14:paraId="4CB21B39" w14:textId="2C47F682" w:rsidR="0072614E" w:rsidRPr="007662DD" w:rsidRDefault="0072614E" w:rsidP="00E27136">
      <w:pPr>
        <w:pStyle w:val="ListParagraph"/>
        <w:numPr>
          <w:ilvl w:val="0"/>
          <w:numId w:val="13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Provisions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data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collection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recordkeeping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necessary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comply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requirements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subdivision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(c)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Section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53024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verify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funds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were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expended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develop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implement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high-quality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college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opportunities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consistent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with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requirements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this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chapter.</w:t>
      </w:r>
    </w:p>
    <w:p w14:paraId="67CB4514" w14:textId="79E9D55B" w:rsidR="0072614E" w:rsidRPr="007662DD" w:rsidRDefault="0072614E" w:rsidP="007662DD">
      <w:pPr>
        <w:pStyle w:val="ListParagraph"/>
        <w:numPr>
          <w:ilvl w:val="0"/>
          <w:numId w:val="10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(1)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seeking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under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this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chapter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may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request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both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planning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implementation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grant.</w:t>
      </w:r>
    </w:p>
    <w:p w14:paraId="7C25F544" w14:textId="6402F49A" w:rsidR="0072614E" w:rsidRPr="007662DD" w:rsidRDefault="0072614E" w:rsidP="00E27136">
      <w:pPr>
        <w:pStyle w:val="ListParagraph"/>
        <w:numPr>
          <w:ilvl w:val="0"/>
          <w:numId w:val="16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seeking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both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planning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implementation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shall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submit,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receive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approval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supplemental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report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Superintendent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detailing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implementation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plan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developed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using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resources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received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from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their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planning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before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expending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their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implementation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resources.</w:t>
      </w:r>
    </w:p>
    <w:p w14:paraId="17E2F233" w14:textId="377A37B2" w:rsidR="006F3CA9" w:rsidRPr="007662DD" w:rsidRDefault="0072614E" w:rsidP="007662DD">
      <w:pPr>
        <w:pStyle w:val="ListParagraph"/>
        <w:numPr>
          <w:ilvl w:val="0"/>
          <w:numId w:val="10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awarding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grants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pursuant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this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chapter,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Superintendent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shall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prioritize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applications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submitted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high-priority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local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educational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agency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seeks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establish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programs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following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areas:</w:t>
      </w:r>
    </w:p>
    <w:p w14:paraId="2D8FECDC" w14:textId="2073E29E" w:rsidR="0072614E" w:rsidRPr="007662DD" w:rsidRDefault="0072614E" w:rsidP="00E27136">
      <w:pPr>
        <w:pStyle w:val="ListParagraph"/>
        <w:numPr>
          <w:ilvl w:val="0"/>
          <w:numId w:val="14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including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early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education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child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development.</w:t>
      </w:r>
    </w:p>
    <w:p w14:paraId="057E7437" w14:textId="4500E73E" w:rsidR="0072614E" w:rsidRPr="007662DD" w:rsidRDefault="0072614E" w:rsidP="00E27136">
      <w:pPr>
        <w:pStyle w:val="ListParagraph"/>
        <w:numPr>
          <w:ilvl w:val="0"/>
          <w:numId w:val="14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Computer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science.</w:t>
      </w:r>
    </w:p>
    <w:p w14:paraId="5F3D0F9C" w14:textId="2D4DD3F9" w:rsidR="0072614E" w:rsidRPr="007662DD" w:rsidRDefault="0072614E" w:rsidP="00E27136">
      <w:pPr>
        <w:pStyle w:val="ListParagraph"/>
        <w:numPr>
          <w:ilvl w:val="0"/>
          <w:numId w:val="14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Health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care.</w:t>
      </w:r>
    </w:p>
    <w:p w14:paraId="19781820" w14:textId="6E5127FC" w:rsidR="00C74D2C" w:rsidRPr="007662DD" w:rsidRDefault="0072614E" w:rsidP="00E27136">
      <w:pPr>
        <w:pStyle w:val="ListParagraph"/>
        <w:numPr>
          <w:ilvl w:val="0"/>
          <w:numId w:val="14"/>
        </w:numPr>
        <w:shd w:val="clear" w:color="auto" w:fill="FFFFFF"/>
        <w:spacing w:after="240"/>
        <w:contextualSpacing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Science,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technology,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engineering,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mathematics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pathways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that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also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focus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on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climate</w:t>
      </w:r>
      <w:r w:rsidR="00AB7F18"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662D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resilience.</w:t>
      </w:r>
    </w:p>
    <w:p w14:paraId="23AFBD30" w14:textId="1BAD0A59" w:rsidR="00175208" w:rsidRPr="00175208" w:rsidRDefault="00175208" w:rsidP="00CE75E1">
      <w:pPr>
        <w:shd w:val="clear" w:color="auto" w:fill="FFFFFF"/>
        <w:spacing w:after="240"/>
        <w:ind w:left="24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17520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Posted by the California Department of Education – January 2024</w:t>
      </w:r>
    </w:p>
    <w:sectPr w:rsidR="00175208" w:rsidRPr="00175208" w:rsidSect="0064393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E1BFD" w14:textId="77777777" w:rsidR="00643934" w:rsidRDefault="00643934" w:rsidP="006F3CA9">
      <w:r>
        <w:separator/>
      </w:r>
    </w:p>
  </w:endnote>
  <w:endnote w:type="continuationSeparator" w:id="0">
    <w:p w14:paraId="5974835E" w14:textId="77777777" w:rsidR="00643934" w:rsidRDefault="00643934" w:rsidP="006F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454080"/>
      <w:docPartObj>
        <w:docPartGallery w:val="Page Numbers (Bottom of Page)"/>
        <w:docPartUnique/>
      </w:docPartObj>
    </w:sdtPr>
    <w:sdtContent>
      <w:p w14:paraId="42B3D392" w14:textId="7E8A4667" w:rsidR="006D572A" w:rsidRPr="00B93C30" w:rsidRDefault="006D572A" w:rsidP="00B93C30">
        <w:pPr>
          <w:pStyle w:val="Footer"/>
        </w:pPr>
        <w:r w:rsidRPr="00B93C30">
          <w:fldChar w:fldCharType="begin"/>
        </w:r>
        <w:r w:rsidRPr="00B93C30">
          <w:instrText xml:space="preserve"> PAGE   \* MERGEFORMAT </w:instrText>
        </w:r>
        <w:r w:rsidRPr="00B93C30">
          <w:fldChar w:fldCharType="separate"/>
        </w:r>
        <w:r w:rsidRPr="00B93C30">
          <w:t>2</w:t>
        </w:r>
        <w:r w:rsidRPr="00B93C30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B2DBD" w14:textId="77777777" w:rsidR="00643934" w:rsidRDefault="00643934" w:rsidP="006F3CA9">
      <w:r>
        <w:separator/>
      </w:r>
    </w:p>
  </w:footnote>
  <w:footnote w:type="continuationSeparator" w:id="0">
    <w:p w14:paraId="5E4463DA" w14:textId="77777777" w:rsidR="00643934" w:rsidRDefault="00643934" w:rsidP="006F3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758E" w14:textId="2A86453A" w:rsidR="006715BD" w:rsidRDefault="006715BD" w:rsidP="006715B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DFC"/>
    <w:multiLevelType w:val="hybridMultilevel"/>
    <w:tmpl w:val="7068BCBE"/>
    <w:lvl w:ilvl="0" w:tplc="4A7A8EA4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065B"/>
    <w:multiLevelType w:val="hybridMultilevel"/>
    <w:tmpl w:val="5DEEEAF0"/>
    <w:lvl w:ilvl="0" w:tplc="FFFFFFFF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35A1A"/>
    <w:multiLevelType w:val="hybridMultilevel"/>
    <w:tmpl w:val="32F2F56E"/>
    <w:lvl w:ilvl="0" w:tplc="EAF8CD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7A2C9E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2E7816D8">
      <w:start w:val="1"/>
      <w:numFmt w:val="upperLetter"/>
      <w:lvlText w:val="(%3)"/>
      <w:lvlJc w:val="left"/>
      <w:pPr>
        <w:ind w:left="2370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3556E"/>
    <w:multiLevelType w:val="hybridMultilevel"/>
    <w:tmpl w:val="40321E86"/>
    <w:lvl w:ilvl="0" w:tplc="EAF8CD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D6AC5"/>
    <w:multiLevelType w:val="hybridMultilevel"/>
    <w:tmpl w:val="4C76DB78"/>
    <w:lvl w:ilvl="0" w:tplc="EAF8CD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F4912"/>
    <w:multiLevelType w:val="hybridMultilevel"/>
    <w:tmpl w:val="02BE6B4C"/>
    <w:lvl w:ilvl="0" w:tplc="0409001B">
      <w:start w:val="1"/>
      <w:numFmt w:val="lowerRoman"/>
      <w:lvlText w:val="%1."/>
      <w:lvlJc w:val="right"/>
      <w:pPr>
        <w:ind w:left="3090" w:hanging="360"/>
      </w:pPr>
    </w:lvl>
    <w:lvl w:ilvl="1" w:tplc="04090019" w:tentative="1">
      <w:start w:val="1"/>
      <w:numFmt w:val="lowerLetter"/>
      <w:lvlText w:val="%2."/>
      <w:lvlJc w:val="left"/>
      <w:pPr>
        <w:ind w:left="3810" w:hanging="360"/>
      </w:pPr>
    </w:lvl>
    <w:lvl w:ilvl="2" w:tplc="0409001B" w:tentative="1">
      <w:start w:val="1"/>
      <w:numFmt w:val="lowerRoman"/>
      <w:lvlText w:val="%3."/>
      <w:lvlJc w:val="right"/>
      <w:pPr>
        <w:ind w:left="4530" w:hanging="180"/>
      </w:pPr>
    </w:lvl>
    <w:lvl w:ilvl="3" w:tplc="0409000F" w:tentative="1">
      <w:start w:val="1"/>
      <w:numFmt w:val="decimal"/>
      <w:lvlText w:val="%4."/>
      <w:lvlJc w:val="left"/>
      <w:pPr>
        <w:ind w:left="5250" w:hanging="360"/>
      </w:pPr>
    </w:lvl>
    <w:lvl w:ilvl="4" w:tplc="04090019" w:tentative="1">
      <w:start w:val="1"/>
      <w:numFmt w:val="lowerLetter"/>
      <w:lvlText w:val="%5."/>
      <w:lvlJc w:val="left"/>
      <w:pPr>
        <w:ind w:left="5970" w:hanging="360"/>
      </w:pPr>
    </w:lvl>
    <w:lvl w:ilvl="5" w:tplc="0409001B" w:tentative="1">
      <w:start w:val="1"/>
      <w:numFmt w:val="lowerRoman"/>
      <w:lvlText w:val="%6."/>
      <w:lvlJc w:val="right"/>
      <w:pPr>
        <w:ind w:left="6690" w:hanging="180"/>
      </w:pPr>
    </w:lvl>
    <w:lvl w:ilvl="6" w:tplc="0409000F" w:tentative="1">
      <w:start w:val="1"/>
      <w:numFmt w:val="decimal"/>
      <w:lvlText w:val="%7."/>
      <w:lvlJc w:val="left"/>
      <w:pPr>
        <w:ind w:left="7410" w:hanging="360"/>
      </w:pPr>
    </w:lvl>
    <w:lvl w:ilvl="7" w:tplc="04090019" w:tentative="1">
      <w:start w:val="1"/>
      <w:numFmt w:val="lowerLetter"/>
      <w:lvlText w:val="%8."/>
      <w:lvlJc w:val="left"/>
      <w:pPr>
        <w:ind w:left="8130" w:hanging="360"/>
      </w:pPr>
    </w:lvl>
    <w:lvl w:ilvl="8" w:tplc="040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6" w15:restartNumberingAfterBreak="0">
    <w:nsid w:val="24FB6E82"/>
    <w:multiLevelType w:val="hybridMultilevel"/>
    <w:tmpl w:val="77D6D630"/>
    <w:lvl w:ilvl="0" w:tplc="EAF8CD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1401A"/>
    <w:multiLevelType w:val="hybridMultilevel"/>
    <w:tmpl w:val="DA522638"/>
    <w:lvl w:ilvl="0" w:tplc="A492288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D84EBD"/>
    <w:multiLevelType w:val="hybridMultilevel"/>
    <w:tmpl w:val="20FE29B0"/>
    <w:lvl w:ilvl="0" w:tplc="5E4C24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2947C9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E1555"/>
    <w:multiLevelType w:val="hybridMultilevel"/>
    <w:tmpl w:val="0152E0B2"/>
    <w:lvl w:ilvl="0" w:tplc="EAF8CD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B34CE57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926B3"/>
    <w:multiLevelType w:val="hybridMultilevel"/>
    <w:tmpl w:val="AC9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9360C"/>
    <w:multiLevelType w:val="hybridMultilevel"/>
    <w:tmpl w:val="567C5380"/>
    <w:lvl w:ilvl="0" w:tplc="EAF8CD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64251"/>
    <w:multiLevelType w:val="hybridMultilevel"/>
    <w:tmpl w:val="9D486A40"/>
    <w:lvl w:ilvl="0" w:tplc="EAF8CD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B156C"/>
    <w:multiLevelType w:val="hybridMultilevel"/>
    <w:tmpl w:val="5DEEEAF0"/>
    <w:lvl w:ilvl="0" w:tplc="FFFFFFFF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24152"/>
    <w:multiLevelType w:val="hybridMultilevel"/>
    <w:tmpl w:val="5DEEEAF0"/>
    <w:lvl w:ilvl="0" w:tplc="0C462C3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D28B0"/>
    <w:multiLevelType w:val="hybridMultilevel"/>
    <w:tmpl w:val="3686031A"/>
    <w:lvl w:ilvl="0" w:tplc="EB26AF8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F5FC2"/>
    <w:multiLevelType w:val="hybridMultilevel"/>
    <w:tmpl w:val="84683240"/>
    <w:lvl w:ilvl="0" w:tplc="EAF8CD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EB26AF8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45FEA3F6">
      <w:start w:val="1"/>
      <w:numFmt w:val="upperLetter"/>
      <w:lvlText w:val="(%3)"/>
      <w:lvlJc w:val="left"/>
      <w:pPr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873771">
    <w:abstractNumId w:val="10"/>
  </w:num>
  <w:num w:numId="2" w16cid:durableId="1531533999">
    <w:abstractNumId w:val="4"/>
  </w:num>
  <w:num w:numId="3" w16cid:durableId="1251619593">
    <w:abstractNumId w:val="3"/>
  </w:num>
  <w:num w:numId="4" w16cid:durableId="844129598">
    <w:abstractNumId w:val="9"/>
  </w:num>
  <w:num w:numId="5" w16cid:durableId="1272476531">
    <w:abstractNumId w:val="12"/>
  </w:num>
  <w:num w:numId="6" w16cid:durableId="1859351739">
    <w:abstractNumId w:val="2"/>
  </w:num>
  <w:num w:numId="7" w16cid:durableId="246503755">
    <w:abstractNumId w:val="11"/>
  </w:num>
  <w:num w:numId="8" w16cid:durableId="1593516096">
    <w:abstractNumId w:val="16"/>
  </w:num>
  <w:num w:numId="9" w16cid:durableId="818838620">
    <w:abstractNumId w:val="6"/>
  </w:num>
  <w:num w:numId="10" w16cid:durableId="712727246">
    <w:abstractNumId w:val="8"/>
  </w:num>
  <w:num w:numId="11" w16cid:durableId="1678921135">
    <w:abstractNumId w:val="0"/>
  </w:num>
  <w:num w:numId="12" w16cid:durableId="461580683">
    <w:abstractNumId w:val="14"/>
  </w:num>
  <w:num w:numId="13" w16cid:durableId="190608312">
    <w:abstractNumId w:val="13"/>
  </w:num>
  <w:num w:numId="14" w16cid:durableId="150487585">
    <w:abstractNumId w:val="1"/>
  </w:num>
  <w:num w:numId="15" w16cid:durableId="1042241914">
    <w:abstractNumId w:val="15"/>
  </w:num>
  <w:num w:numId="16" w16cid:durableId="135728399">
    <w:abstractNumId w:val="7"/>
  </w:num>
  <w:num w:numId="17" w16cid:durableId="1718424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4E"/>
    <w:rsid w:val="000D3B11"/>
    <w:rsid w:val="00132B73"/>
    <w:rsid w:val="00175208"/>
    <w:rsid w:val="001D1AA7"/>
    <w:rsid w:val="001D2784"/>
    <w:rsid w:val="002B694A"/>
    <w:rsid w:val="00326C10"/>
    <w:rsid w:val="00430A78"/>
    <w:rsid w:val="0044455A"/>
    <w:rsid w:val="004E7557"/>
    <w:rsid w:val="00557B5B"/>
    <w:rsid w:val="005D0C41"/>
    <w:rsid w:val="00635A43"/>
    <w:rsid w:val="00643934"/>
    <w:rsid w:val="006715BD"/>
    <w:rsid w:val="006D572A"/>
    <w:rsid w:val="006F3CA9"/>
    <w:rsid w:val="0072614E"/>
    <w:rsid w:val="007662DD"/>
    <w:rsid w:val="00797C56"/>
    <w:rsid w:val="007A74BD"/>
    <w:rsid w:val="007C3D16"/>
    <w:rsid w:val="00860B49"/>
    <w:rsid w:val="009A4DEA"/>
    <w:rsid w:val="00A31705"/>
    <w:rsid w:val="00AB7F18"/>
    <w:rsid w:val="00B86A37"/>
    <w:rsid w:val="00B93C30"/>
    <w:rsid w:val="00BB4B8D"/>
    <w:rsid w:val="00BF1E2F"/>
    <w:rsid w:val="00C74D2C"/>
    <w:rsid w:val="00CE75E1"/>
    <w:rsid w:val="00D7076D"/>
    <w:rsid w:val="00E27136"/>
    <w:rsid w:val="00E40ED2"/>
    <w:rsid w:val="00F0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7C3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2614E"/>
    <w:pPr>
      <w:widowControl w:val="0"/>
      <w:spacing w:after="0" w:line="240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208"/>
    <w:pPr>
      <w:keepNext/>
      <w:keepLines/>
      <w:spacing w:before="240" w:after="240"/>
      <w:jc w:val="center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175208"/>
    <w:pPr>
      <w:spacing w:after="24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A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75208"/>
    <w:rPr>
      <w:rFonts w:ascii="Arial" w:eastAsia="Arial" w:hAnsi="Arial"/>
      <w:b/>
      <w:bCs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6F3C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CA9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93C30"/>
    <w:pPr>
      <w:tabs>
        <w:tab w:val="center" w:pos="4680"/>
        <w:tab w:val="right" w:pos="9360"/>
      </w:tabs>
      <w:jc w:val="right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93C30"/>
    <w:rPr>
      <w:rFonts w:ascii="Arial" w:hAnsi="Arial" w:cs="Arial"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6715BD"/>
    <w:pPr>
      <w:autoSpaceDE w:val="0"/>
      <w:autoSpaceDN w:val="0"/>
    </w:pPr>
    <w:rPr>
      <w:rFonts w:ascii="Arial" w:eastAsia="Arial" w:hAnsi="Arial" w:cs="Arial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715BD"/>
    <w:rPr>
      <w:rFonts w:ascii="Arial" w:eastAsia="Arial" w:hAnsi="Arial" w:cs="Arial"/>
      <w:kern w:val="0"/>
      <w:sz w:val="24"/>
      <w:szCs w:val="24"/>
      <w:lang w:bidi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175208"/>
    <w:rPr>
      <w:rFonts w:ascii="Arial" w:eastAsiaTheme="majorEastAsia" w:hAnsi="Arial" w:cs="Arial"/>
      <w:b/>
      <w:bCs/>
      <w:kern w:val="0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B86A37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2602</Words>
  <Characters>14837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AppxB-23: GSPP Requirements (CA Dept of Education)</vt:lpstr>
    </vt:vector>
  </TitlesOfParts>
  <Company/>
  <LinksUpToDate>false</LinksUpToDate>
  <CharactersWithSpaces>17405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AppxB-23: GSPP Requirements (CA Dept of Education)</dc:title>
  <dc:subject>Golden State Pathways Program (GSPP) program requirements and legislation for the 2023-24 Request for Applications.</dc:subject>
  <dc:creator/>
  <cp:keywords/>
  <dc:description/>
  <cp:lastModifiedBy/>
  <cp:revision>1</cp:revision>
  <dcterms:created xsi:type="dcterms:W3CDTF">2024-01-22T20:14:00Z</dcterms:created>
  <dcterms:modified xsi:type="dcterms:W3CDTF">2024-02-15T20:31:00Z</dcterms:modified>
</cp:coreProperties>
</file>