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CAB1" w14:textId="1E50732E" w:rsidR="003A7F53" w:rsidRPr="003A7F53" w:rsidRDefault="003A7F53" w:rsidP="003A7F53">
      <w:pPr>
        <w:pStyle w:val="BodyText"/>
      </w:pPr>
      <w:r>
        <w:t>Posted by: California Department of Education – January 2024</w:t>
      </w:r>
    </w:p>
    <w:p w14:paraId="5F7A68F2" w14:textId="18C774EC" w:rsidR="00980AE8" w:rsidRPr="003A7F53" w:rsidRDefault="00A478DF" w:rsidP="003A7F53">
      <w:pPr>
        <w:pStyle w:val="Heading1"/>
        <w:jc w:val="center"/>
        <w:rPr>
          <w:rFonts w:ascii="Arial" w:hAnsi="Arial" w:cs="Arial"/>
          <w:b/>
          <w:bCs/>
          <w:color w:val="auto"/>
        </w:rPr>
      </w:pPr>
      <w:r>
        <w:rPr>
          <w:rFonts w:ascii="Arial" w:hAnsi="Arial" w:cs="Arial"/>
          <w:b/>
          <w:bCs/>
          <w:color w:val="auto"/>
        </w:rPr>
        <w:t xml:space="preserve">Appendix A: </w:t>
      </w:r>
      <w:r w:rsidR="00FF7D3C" w:rsidRPr="003A7F53">
        <w:rPr>
          <w:rFonts w:ascii="Arial" w:hAnsi="Arial" w:cs="Arial"/>
          <w:b/>
          <w:bCs/>
          <w:color w:val="auto"/>
        </w:rPr>
        <w:t>Golden State Pathways Program</w:t>
      </w:r>
      <w:r w:rsidR="003A7F53">
        <w:rPr>
          <w:rFonts w:ascii="Arial" w:hAnsi="Arial" w:cs="Arial"/>
          <w:b/>
          <w:bCs/>
          <w:color w:val="auto"/>
        </w:rPr>
        <w:t xml:space="preserve"> </w:t>
      </w:r>
      <w:r w:rsidR="00FF7D3C" w:rsidRPr="003A7F53">
        <w:rPr>
          <w:rFonts w:ascii="Arial" w:hAnsi="Arial" w:cs="Arial"/>
          <w:b/>
          <w:bCs/>
          <w:color w:val="auto"/>
        </w:rPr>
        <w:t>Grant</w:t>
      </w:r>
      <w:r w:rsidR="003A7F53" w:rsidRPr="003A7F53">
        <w:rPr>
          <w:rFonts w:ascii="Arial" w:hAnsi="Arial" w:cs="Arial"/>
          <w:b/>
          <w:bCs/>
          <w:color w:val="auto"/>
        </w:rPr>
        <w:t xml:space="preserve"> </w:t>
      </w:r>
      <w:r w:rsidR="003A7F53">
        <w:rPr>
          <w:rFonts w:ascii="Arial" w:hAnsi="Arial" w:cs="Arial"/>
          <w:b/>
          <w:bCs/>
          <w:color w:val="auto"/>
        </w:rPr>
        <w:br/>
      </w:r>
      <w:r w:rsidR="00FF7D3C" w:rsidRPr="003A7F53">
        <w:rPr>
          <w:rFonts w:ascii="Arial" w:hAnsi="Arial" w:cs="Arial"/>
          <w:b/>
          <w:bCs/>
          <w:color w:val="auto"/>
        </w:rPr>
        <w:t>Budget Categories and Descriptions</w:t>
      </w:r>
    </w:p>
    <w:p w14:paraId="5C32D904" w14:textId="0EC6DA29" w:rsidR="00FF7D3C" w:rsidRDefault="00FF7D3C" w:rsidP="003A7F53">
      <w:pPr>
        <w:pStyle w:val="BodyText"/>
        <w:spacing w:after="120"/>
      </w:pPr>
      <w:r>
        <w:t>Each budget category or object code in the left column is described in the right column.</w:t>
      </w:r>
    </w:p>
    <w:p w14:paraId="7F244C87" w14:textId="27764DA1" w:rsidR="003A7F53" w:rsidRPr="003A7F53" w:rsidRDefault="003A7F53" w:rsidP="003A7F53">
      <w:pPr>
        <w:pStyle w:val="Heading2"/>
      </w:pPr>
      <w:r w:rsidRPr="003A7F53">
        <w:t>Golden State Pathways Program Budget Categories and Descriptions</w:t>
      </w:r>
    </w:p>
    <w:tbl>
      <w:tblPr>
        <w:tblW w:w="107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Golden State Pathways Program Budget Categories and Descriptions"/>
      </w:tblPr>
      <w:tblGrid>
        <w:gridCol w:w="1157"/>
        <w:gridCol w:w="9553"/>
      </w:tblGrid>
      <w:tr w:rsidR="00FF7D3C" w14:paraId="6309B11A" w14:textId="77777777" w:rsidTr="003A7F53">
        <w:trPr>
          <w:cantSplit/>
          <w:trHeight w:val="600"/>
          <w:tblHeader/>
        </w:trPr>
        <w:tc>
          <w:tcPr>
            <w:tcW w:w="1157" w:type="dxa"/>
          </w:tcPr>
          <w:p w14:paraId="25BC43F3" w14:textId="77777777" w:rsidR="00FF7D3C" w:rsidRDefault="00FF7D3C" w:rsidP="00A67198">
            <w:pPr>
              <w:pStyle w:val="TableParagraph"/>
              <w:spacing w:before="20" w:after="240" w:line="235" w:lineRule="auto"/>
              <w:ind w:left="232" w:hanging="60"/>
              <w:rPr>
                <w:b/>
                <w:sz w:val="24"/>
              </w:rPr>
            </w:pPr>
            <w:r>
              <w:rPr>
                <w:b/>
                <w:sz w:val="24"/>
              </w:rPr>
              <w:t>Object Code</w:t>
            </w:r>
          </w:p>
        </w:tc>
        <w:tc>
          <w:tcPr>
            <w:tcW w:w="9553" w:type="dxa"/>
            <w:vAlign w:val="center"/>
          </w:tcPr>
          <w:p w14:paraId="42877E6B" w14:textId="22144C55" w:rsidR="00FF7D3C" w:rsidRDefault="00FF7D3C" w:rsidP="00A67198">
            <w:pPr>
              <w:pStyle w:val="TableParagraph"/>
              <w:spacing w:before="15" w:after="240"/>
              <w:ind w:left="108" w:right="174"/>
              <w:jc w:val="center"/>
              <w:rPr>
                <w:b/>
                <w:sz w:val="24"/>
              </w:rPr>
            </w:pPr>
            <w:r>
              <w:rPr>
                <w:b/>
                <w:sz w:val="24"/>
              </w:rPr>
              <w:t>Description of the Budget</w:t>
            </w:r>
            <w:r w:rsidR="00352EFA">
              <w:rPr>
                <w:b/>
                <w:sz w:val="24"/>
              </w:rPr>
              <w:t xml:space="preserve"> </w:t>
            </w:r>
            <w:r>
              <w:rPr>
                <w:b/>
                <w:sz w:val="24"/>
              </w:rPr>
              <w:t>Category</w:t>
            </w:r>
          </w:p>
        </w:tc>
      </w:tr>
      <w:tr w:rsidR="00FF7D3C" w14:paraId="5890CDDD" w14:textId="77777777" w:rsidTr="003A7F53">
        <w:trPr>
          <w:cantSplit/>
          <w:trHeight w:val="1461"/>
          <w:tblHeader/>
        </w:trPr>
        <w:tc>
          <w:tcPr>
            <w:tcW w:w="1157" w:type="dxa"/>
            <w:vAlign w:val="center"/>
          </w:tcPr>
          <w:p w14:paraId="05DC114F" w14:textId="77777777" w:rsidR="00FF7D3C" w:rsidRDefault="00FF7D3C" w:rsidP="00A67198">
            <w:pPr>
              <w:pStyle w:val="TableParagraph"/>
              <w:spacing w:before="15" w:after="240"/>
              <w:ind w:left="142"/>
              <w:jc w:val="center"/>
              <w:rPr>
                <w:sz w:val="24"/>
              </w:rPr>
            </w:pPr>
            <w:r>
              <w:rPr>
                <w:sz w:val="24"/>
              </w:rPr>
              <w:t>1000</w:t>
            </w:r>
          </w:p>
        </w:tc>
        <w:tc>
          <w:tcPr>
            <w:tcW w:w="9553" w:type="dxa"/>
          </w:tcPr>
          <w:p w14:paraId="6690B586" w14:textId="56AB21FB" w:rsidR="00FF7D3C" w:rsidRDefault="00FF7D3C" w:rsidP="00A67198">
            <w:pPr>
              <w:pStyle w:val="TableParagraph"/>
              <w:spacing w:before="19" w:after="240" w:line="235" w:lineRule="auto"/>
              <w:ind w:left="126" w:right="174"/>
              <w:rPr>
                <w:sz w:val="24"/>
              </w:rPr>
            </w:pPr>
            <w:r>
              <w:rPr>
                <w:b/>
                <w:sz w:val="24"/>
              </w:rPr>
              <w:t xml:space="preserve">Certificated Salaries: </w:t>
            </w:r>
            <w:r>
              <w:rPr>
                <w:sz w:val="24"/>
              </w:rPr>
              <w:t xml:space="preserve">Record salaries that require a credential or permit issued by the Commission on Teacher Credentialing. List all certificated project employees, including percentage or fraction of </w:t>
            </w:r>
            <w:r w:rsidR="003A7F53">
              <w:rPr>
                <w:sz w:val="24"/>
              </w:rPr>
              <w:t>full-time</w:t>
            </w:r>
            <w:r>
              <w:rPr>
                <w:sz w:val="24"/>
              </w:rPr>
              <w:t xml:space="preserve"> equivalent (FTE) and rate of pay per day, month, and/or annual salary. (Funds in this category are not to supplant current fixed costs.)</w:t>
            </w:r>
          </w:p>
        </w:tc>
      </w:tr>
      <w:tr w:rsidR="00FF7D3C" w14:paraId="387A7352" w14:textId="77777777" w:rsidTr="003A7F53">
        <w:trPr>
          <w:cantSplit/>
          <w:trHeight w:val="1443"/>
          <w:tblHeader/>
        </w:trPr>
        <w:tc>
          <w:tcPr>
            <w:tcW w:w="1157" w:type="dxa"/>
            <w:vAlign w:val="center"/>
          </w:tcPr>
          <w:p w14:paraId="46367E9C" w14:textId="77777777" w:rsidR="00FF7D3C" w:rsidRDefault="00FF7D3C" w:rsidP="00A67198">
            <w:pPr>
              <w:pStyle w:val="TableParagraph"/>
              <w:spacing w:before="15" w:after="240"/>
              <w:ind w:left="142"/>
              <w:jc w:val="center"/>
              <w:rPr>
                <w:sz w:val="24"/>
              </w:rPr>
            </w:pPr>
            <w:r>
              <w:rPr>
                <w:sz w:val="24"/>
              </w:rPr>
              <w:t>2000</w:t>
            </w:r>
          </w:p>
        </w:tc>
        <w:tc>
          <w:tcPr>
            <w:tcW w:w="9553" w:type="dxa"/>
          </w:tcPr>
          <w:p w14:paraId="33A41305" w14:textId="77777777" w:rsidR="00FF7D3C" w:rsidRDefault="00FF7D3C" w:rsidP="00A67198">
            <w:pPr>
              <w:pStyle w:val="TableParagraph"/>
              <w:spacing w:before="20" w:after="240" w:line="235" w:lineRule="auto"/>
              <w:ind w:left="126" w:right="174"/>
              <w:rPr>
                <w:sz w:val="24"/>
              </w:rPr>
            </w:pPr>
            <w:r>
              <w:rPr>
                <w:b/>
                <w:sz w:val="24"/>
              </w:rPr>
              <w:t xml:space="preserve">Classified Salaries: </w:t>
            </w:r>
            <w:r>
              <w:rPr>
                <w:sz w:val="24"/>
              </w:rPr>
              <w:t>Record salaries for services that do not require a credential or permit issued by the Commission on Teacher Credentialing. List all classified project employees, including percentage of FTE, and rate of pay per day, month and/or year. (Funds in this category are not to supplant current fixed costs.)</w:t>
            </w:r>
          </w:p>
        </w:tc>
      </w:tr>
      <w:tr w:rsidR="00FF7D3C" w14:paraId="447D3ACA" w14:textId="77777777" w:rsidTr="003A7F53">
        <w:trPr>
          <w:cantSplit/>
          <w:trHeight w:val="871"/>
          <w:tblHeader/>
        </w:trPr>
        <w:tc>
          <w:tcPr>
            <w:tcW w:w="1157" w:type="dxa"/>
            <w:vAlign w:val="center"/>
          </w:tcPr>
          <w:p w14:paraId="4CA6D5B9" w14:textId="77777777" w:rsidR="00FF7D3C" w:rsidRDefault="00FF7D3C" w:rsidP="00A67198">
            <w:pPr>
              <w:pStyle w:val="TableParagraph"/>
              <w:spacing w:before="30" w:after="240"/>
              <w:ind w:left="142"/>
              <w:jc w:val="center"/>
              <w:rPr>
                <w:sz w:val="24"/>
              </w:rPr>
            </w:pPr>
            <w:r>
              <w:rPr>
                <w:sz w:val="24"/>
              </w:rPr>
              <w:t>3000</w:t>
            </w:r>
          </w:p>
        </w:tc>
        <w:tc>
          <w:tcPr>
            <w:tcW w:w="9553" w:type="dxa"/>
          </w:tcPr>
          <w:p w14:paraId="3761F83E" w14:textId="77777777" w:rsidR="00FF7D3C" w:rsidRDefault="00FF7D3C" w:rsidP="00A67198">
            <w:pPr>
              <w:pStyle w:val="TableParagraph"/>
              <w:spacing w:before="41" w:after="240" w:line="228" w:lineRule="auto"/>
              <w:ind w:left="126" w:right="174"/>
              <w:rPr>
                <w:sz w:val="24"/>
              </w:rPr>
            </w:pPr>
            <w:r>
              <w:rPr>
                <w:b/>
                <w:sz w:val="24"/>
              </w:rPr>
              <w:t xml:space="preserve">Employee Benefits: </w:t>
            </w:r>
            <w:r>
              <w:rPr>
                <w:sz w:val="24"/>
              </w:rPr>
              <w:t>Record the employer’s contributions to retirement plans and health and welfare benefits. List and include the percentage and dollar amount for each employee benefit being claimed.</w:t>
            </w:r>
          </w:p>
        </w:tc>
      </w:tr>
      <w:tr w:rsidR="00FF7D3C" w14:paraId="5B2C7D28" w14:textId="77777777" w:rsidTr="003A7F53">
        <w:trPr>
          <w:cantSplit/>
          <w:trHeight w:val="2244"/>
          <w:tblHeader/>
        </w:trPr>
        <w:tc>
          <w:tcPr>
            <w:tcW w:w="1157" w:type="dxa"/>
            <w:vAlign w:val="center"/>
          </w:tcPr>
          <w:p w14:paraId="1345302D" w14:textId="77777777" w:rsidR="00FF7D3C" w:rsidRDefault="00FF7D3C" w:rsidP="00A67198">
            <w:pPr>
              <w:pStyle w:val="TableParagraph"/>
              <w:spacing w:before="30" w:after="240"/>
              <w:ind w:left="142"/>
              <w:jc w:val="center"/>
              <w:rPr>
                <w:sz w:val="24"/>
              </w:rPr>
            </w:pPr>
            <w:r>
              <w:rPr>
                <w:sz w:val="24"/>
              </w:rPr>
              <w:t>4000</w:t>
            </w:r>
          </w:p>
        </w:tc>
        <w:tc>
          <w:tcPr>
            <w:tcW w:w="9553" w:type="dxa"/>
          </w:tcPr>
          <w:p w14:paraId="6055EB30" w14:textId="77777777" w:rsidR="00FF7D3C" w:rsidRDefault="00FF7D3C" w:rsidP="00A67198">
            <w:pPr>
              <w:pStyle w:val="TableParagraph"/>
              <w:spacing w:before="36" w:after="240" w:line="232" w:lineRule="auto"/>
              <w:ind w:left="126" w:right="174"/>
              <w:rPr>
                <w:sz w:val="24"/>
              </w:rPr>
            </w:pPr>
            <w:r>
              <w:rPr>
                <w:b/>
                <w:sz w:val="24"/>
              </w:rPr>
              <w:t xml:space="preserve">Books and Supplies: </w:t>
            </w:r>
            <w:r>
              <w:rPr>
                <w:sz w:val="24"/>
              </w:rPr>
              <w:t>Record expenditures for books, supplies, and other noncapitalized material and supplies necessary to meet the objectives of the GSPP Grant.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filed within the local educational agency (LEA).</w:t>
            </w:r>
          </w:p>
        </w:tc>
      </w:tr>
      <w:tr w:rsidR="00FF7D3C" w14:paraId="090DA4A7" w14:textId="77777777" w:rsidTr="003A7F53">
        <w:trPr>
          <w:cantSplit/>
          <w:trHeight w:val="2325"/>
          <w:tblHeader/>
        </w:trPr>
        <w:tc>
          <w:tcPr>
            <w:tcW w:w="1157" w:type="dxa"/>
            <w:vAlign w:val="center"/>
          </w:tcPr>
          <w:p w14:paraId="54CA56E0" w14:textId="77777777" w:rsidR="00FF7D3C" w:rsidRDefault="00FF7D3C" w:rsidP="00A67198">
            <w:pPr>
              <w:pStyle w:val="TableParagraph"/>
              <w:spacing w:before="15" w:after="240"/>
              <w:ind w:left="142"/>
              <w:jc w:val="center"/>
              <w:rPr>
                <w:sz w:val="24"/>
              </w:rPr>
            </w:pPr>
            <w:r>
              <w:rPr>
                <w:sz w:val="24"/>
              </w:rPr>
              <w:t>5000</w:t>
            </w:r>
          </w:p>
        </w:tc>
        <w:tc>
          <w:tcPr>
            <w:tcW w:w="9553" w:type="dxa"/>
          </w:tcPr>
          <w:p w14:paraId="7173A610" w14:textId="77777777" w:rsidR="00FF7D3C" w:rsidRDefault="00FF7D3C" w:rsidP="00A67198">
            <w:pPr>
              <w:pStyle w:val="TableParagraph"/>
              <w:spacing w:before="19" w:after="240" w:line="235" w:lineRule="auto"/>
              <w:ind w:left="126" w:right="174"/>
              <w:jc w:val="both"/>
              <w:rPr>
                <w:sz w:val="24"/>
              </w:rPr>
            </w:pPr>
            <w:r>
              <w:rPr>
                <w:b/>
                <w:sz w:val="24"/>
              </w:rPr>
              <w:t>Services and Other Operating Expenditures</w:t>
            </w:r>
            <w:r>
              <w:rPr>
                <w:sz w:val="24"/>
              </w:rPr>
              <w:t>:</w:t>
            </w:r>
            <w:r>
              <w:rPr>
                <w:spacing w:val="-51"/>
                <w:sz w:val="24"/>
              </w:rPr>
              <w:t xml:space="preserve"> </w:t>
            </w:r>
            <w:r>
              <w:rPr>
                <w:sz w:val="24"/>
              </w:rPr>
              <w:t xml:space="preserve">Record </w:t>
            </w:r>
            <w:r>
              <w:rPr>
                <w:spacing w:val="2"/>
                <w:sz w:val="24"/>
              </w:rPr>
              <w:t xml:space="preserve">expenditures </w:t>
            </w:r>
            <w:r>
              <w:rPr>
                <w:spacing w:val="3"/>
                <w:sz w:val="24"/>
              </w:rPr>
              <w:t xml:space="preserve">for </w:t>
            </w:r>
            <w:r>
              <w:rPr>
                <w:sz w:val="24"/>
              </w:rPr>
              <w:t xml:space="preserve">services, rents, leases, </w:t>
            </w:r>
            <w:r>
              <w:rPr>
                <w:spacing w:val="4"/>
                <w:sz w:val="24"/>
              </w:rPr>
              <w:t xml:space="preserve">maintenance </w:t>
            </w:r>
            <w:r>
              <w:rPr>
                <w:sz w:val="24"/>
              </w:rPr>
              <w:t xml:space="preserve">contracts, </w:t>
            </w:r>
            <w:r>
              <w:rPr>
                <w:spacing w:val="3"/>
                <w:sz w:val="24"/>
              </w:rPr>
              <w:t xml:space="preserve">dues, </w:t>
            </w:r>
            <w:r>
              <w:rPr>
                <w:sz w:val="24"/>
              </w:rPr>
              <w:t xml:space="preserve">travel, </w:t>
            </w:r>
            <w:r>
              <w:rPr>
                <w:spacing w:val="5"/>
                <w:sz w:val="24"/>
              </w:rPr>
              <w:t xml:space="preserve">insurance, </w:t>
            </w:r>
            <w:r>
              <w:rPr>
                <w:spacing w:val="2"/>
                <w:sz w:val="24"/>
              </w:rPr>
              <w:t xml:space="preserve">utilities, </w:t>
            </w:r>
            <w:r>
              <w:rPr>
                <w:sz w:val="24"/>
              </w:rPr>
              <w:t xml:space="preserve">legal </w:t>
            </w:r>
            <w:r>
              <w:rPr>
                <w:spacing w:val="5"/>
                <w:sz w:val="24"/>
              </w:rPr>
              <w:t xml:space="preserve">counsel, and </w:t>
            </w:r>
            <w:r>
              <w:rPr>
                <w:spacing w:val="2"/>
                <w:sz w:val="24"/>
              </w:rPr>
              <w:t xml:space="preserve">other </w:t>
            </w:r>
            <w:r>
              <w:rPr>
                <w:sz w:val="24"/>
              </w:rPr>
              <w:t xml:space="preserve">operating </w:t>
            </w:r>
            <w:r>
              <w:rPr>
                <w:spacing w:val="2"/>
                <w:sz w:val="24"/>
              </w:rPr>
              <w:t>expenditures.</w:t>
            </w:r>
          </w:p>
          <w:p w14:paraId="7CB6BA15" w14:textId="77777777" w:rsidR="00FF7D3C" w:rsidRDefault="00FF7D3C" w:rsidP="00A67198">
            <w:pPr>
              <w:pStyle w:val="TableParagraph"/>
              <w:spacing w:before="60" w:after="240" w:line="235" w:lineRule="auto"/>
              <w:ind w:left="126" w:right="174"/>
              <w:rPr>
                <w:sz w:val="24"/>
              </w:rPr>
            </w:pPr>
            <w:r>
              <w:rPr>
                <w:b/>
                <w:sz w:val="24"/>
              </w:rPr>
              <w:t xml:space="preserve">Travel and Conferences: </w:t>
            </w:r>
            <w:r>
              <w:rPr>
                <w:sz w:val="24"/>
              </w:rPr>
              <w:t>Include expenditures incurred by/for employees and other representatives of LEA for travel, including lodging, mileage, parking, bridge tolls, and/or car rental(s), necessary to meet the objectives of the program. Receipts are required to be kept on file by the grantee for audit purposes.</w:t>
            </w:r>
          </w:p>
        </w:tc>
      </w:tr>
      <w:tr w:rsidR="00FF7D3C" w14:paraId="5D9570E4" w14:textId="77777777" w:rsidTr="003A7F53">
        <w:trPr>
          <w:cantSplit/>
          <w:trHeight w:val="615"/>
          <w:tblHeader/>
        </w:trPr>
        <w:tc>
          <w:tcPr>
            <w:tcW w:w="1157" w:type="dxa"/>
            <w:vAlign w:val="center"/>
          </w:tcPr>
          <w:p w14:paraId="6B72593B" w14:textId="77777777" w:rsidR="00FF7D3C" w:rsidRDefault="00FF7D3C" w:rsidP="00A67198">
            <w:pPr>
              <w:pStyle w:val="TableParagraph"/>
              <w:spacing w:before="15" w:after="240"/>
              <w:ind w:left="142"/>
              <w:jc w:val="center"/>
              <w:rPr>
                <w:sz w:val="24"/>
              </w:rPr>
            </w:pPr>
            <w:r>
              <w:rPr>
                <w:sz w:val="24"/>
              </w:rPr>
              <w:t>6000</w:t>
            </w:r>
          </w:p>
        </w:tc>
        <w:tc>
          <w:tcPr>
            <w:tcW w:w="9553" w:type="dxa"/>
          </w:tcPr>
          <w:p w14:paraId="1CD61FFA" w14:textId="77777777" w:rsidR="00FF7D3C" w:rsidRPr="007332CA" w:rsidRDefault="00FF7D3C" w:rsidP="00A67198">
            <w:pPr>
              <w:pStyle w:val="TableParagraph"/>
              <w:spacing w:before="19" w:after="240" w:line="235" w:lineRule="auto"/>
              <w:ind w:left="126" w:right="174"/>
              <w:rPr>
                <w:sz w:val="24"/>
              </w:rPr>
            </w:pPr>
            <w:r w:rsidRPr="007332CA">
              <w:rPr>
                <w:b/>
                <w:sz w:val="24"/>
              </w:rPr>
              <w:t xml:space="preserve">Capital Outlay Equipment: </w:t>
            </w:r>
            <w:r w:rsidRPr="002454C0">
              <w:rPr>
                <w:sz w:val="24"/>
                <w:szCs w:val="24"/>
              </w:rPr>
              <w:t>Capital Outlay is defined as any single item purchase of $5,000.00 or more.</w:t>
            </w:r>
          </w:p>
        </w:tc>
      </w:tr>
      <w:tr w:rsidR="00FF7D3C" w14:paraId="2B6EC7D2" w14:textId="77777777" w:rsidTr="003A7F53">
        <w:trPr>
          <w:cantSplit/>
          <w:trHeight w:val="615"/>
          <w:tblHeader/>
        </w:trPr>
        <w:tc>
          <w:tcPr>
            <w:tcW w:w="1157" w:type="dxa"/>
            <w:vAlign w:val="center"/>
          </w:tcPr>
          <w:p w14:paraId="4918C813" w14:textId="77777777" w:rsidR="00FF7D3C" w:rsidRDefault="00FF7D3C" w:rsidP="00A67198">
            <w:pPr>
              <w:pStyle w:val="TableParagraph"/>
              <w:spacing w:before="15" w:after="240"/>
              <w:ind w:left="142"/>
              <w:jc w:val="center"/>
              <w:rPr>
                <w:sz w:val="24"/>
              </w:rPr>
            </w:pPr>
            <w:r>
              <w:rPr>
                <w:sz w:val="24"/>
              </w:rPr>
              <w:t>7000</w:t>
            </w:r>
          </w:p>
        </w:tc>
        <w:tc>
          <w:tcPr>
            <w:tcW w:w="9553" w:type="dxa"/>
          </w:tcPr>
          <w:p w14:paraId="56C0544C" w14:textId="0E817225" w:rsidR="00FF7D3C" w:rsidRDefault="00FF7D3C" w:rsidP="00A67198">
            <w:pPr>
              <w:pStyle w:val="TableParagraph"/>
              <w:spacing w:before="16" w:after="240" w:line="223" w:lineRule="auto"/>
              <w:ind w:left="96" w:right="174"/>
            </w:pPr>
            <w:r>
              <w:rPr>
                <w:b/>
                <w:sz w:val="24"/>
              </w:rPr>
              <w:t xml:space="preserve">Indirect Costs: </w:t>
            </w:r>
            <w:r w:rsidRPr="002454C0">
              <w:rPr>
                <w:sz w:val="24"/>
                <w:szCs w:val="24"/>
              </w:rPr>
              <w:t xml:space="preserve">(California Department of Education approved rates apply). View Indirect Rates at: </w:t>
            </w:r>
            <w:hyperlink r:id="rId6" w:tooltip="Indirect Costs Webpage">
              <w:r w:rsidRPr="002454C0">
                <w:rPr>
                  <w:color w:val="0000FF"/>
                  <w:sz w:val="24"/>
                  <w:szCs w:val="24"/>
                  <w:u w:val="single" w:color="0000FF"/>
                </w:rPr>
                <w:t>https://www.cde.ca.gov/fg/ac/ic/</w:t>
              </w:r>
            </w:hyperlink>
          </w:p>
        </w:tc>
      </w:tr>
    </w:tbl>
    <w:p w14:paraId="3B108446" w14:textId="401A5A0C" w:rsidR="00547541" w:rsidRDefault="003A7F53" w:rsidP="00A67198">
      <w:pPr>
        <w:spacing w:after="240"/>
        <w:rPr>
          <w:sz w:val="2"/>
          <w:szCs w:val="2"/>
        </w:rPr>
      </w:pPr>
      <w:r>
        <w:rPr>
          <w:sz w:val="2"/>
          <w:szCs w:val="2"/>
        </w:rPr>
        <w:t>PP</w:t>
      </w:r>
    </w:p>
    <w:p w14:paraId="5B836AE7" w14:textId="77777777" w:rsidR="003A7F53" w:rsidRPr="003A7F53" w:rsidRDefault="003A7F53" w:rsidP="00A67198">
      <w:pPr>
        <w:spacing w:after="240"/>
        <w:rPr>
          <w:sz w:val="2"/>
          <w:szCs w:val="2"/>
        </w:rPr>
      </w:pPr>
    </w:p>
    <w:sectPr w:rsidR="003A7F53" w:rsidRPr="003A7F53" w:rsidSect="004272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9948" w14:textId="77777777" w:rsidR="00427218" w:rsidRDefault="00427218" w:rsidP="004004C3">
      <w:r>
        <w:separator/>
      </w:r>
    </w:p>
  </w:endnote>
  <w:endnote w:type="continuationSeparator" w:id="0">
    <w:p w14:paraId="5A48457C" w14:textId="77777777" w:rsidR="00427218" w:rsidRDefault="00427218" w:rsidP="0040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7757" w14:textId="77777777" w:rsidR="00427218" w:rsidRDefault="00427218" w:rsidP="004004C3">
      <w:r>
        <w:separator/>
      </w:r>
    </w:p>
  </w:footnote>
  <w:footnote w:type="continuationSeparator" w:id="0">
    <w:p w14:paraId="286553D0" w14:textId="77777777" w:rsidR="00427218" w:rsidRDefault="00427218" w:rsidP="0040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9"/>
    <w:rsid w:val="00136973"/>
    <w:rsid w:val="002454C0"/>
    <w:rsid w:val="0031339A"/>
    <w:rsid w:val="00327E0F"/>
    <w:rsid w:val="00352EFA"/>
    <w:rsid w:val="003A7F53"/>
    <w:rsid w:val="004004C3"/>
    <w:rsid w:val="00427218"/>
    <w:rsid w:val="004D1335"/>
    <w:rsid w:val="00547541"/>
    <w:rsid w:val="006D5767"/>
    <w:rsid w:val="007F4E9F"/>
    <w:rsid w:val="00840813"/>
    <w:rsid w:val="008F7C14"/>
    <w:rsid w:val="00980AE8"/>
    <w:rsid w:val="009E5783"/>
    <w:rsid w:val="00A478DF"/>
    <w:rsid w:val="00A67198"/>
    <w:rsid w:val="00AF7839"/>
    <w:rsid w:val="00B1478A"/>
    <w:rsid w:val="00B92165"/>
    <w:rsid w:val="00C0348A"/>
    <w:rsid w:val="00C24CBD"/>
    <w:rsid w:val="00D8688D"/>
    <w:rsid w:val="00ED4982"/>
    <w:rsid w:val="00FB526B"/>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C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3C"/>
    <w:pPr>
      <w:widowControl w:val="0"/>
      <w:autoSpaceDE w:val="0"/>
      <w:autoSpaceDN w:val="0"/>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4D1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
    <w:link w:val="Heading2Char"/>
    <w:uiPriority w:val="9"/>
    <w:unhideWhenUsed/>
    <w:qFormat/>
    <w:rsid w:val="003A7F53"/>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F53"/>
    <w:rPr>
      <w:rFonts w:ascii="Arial" w:eastAsia="Arial" w:hAnsi="Arial" w:cs="Arial"/>
      <w:b/>
      <w:kern w:val="0"/>
      <w:sz w:val="24"/>
      <w:szCs w:val="24"/>
      <w:lang w:bidi="en-US"/>
      <w14:ligatures w14:val="none"/>
    </w:rPr>
  </w:style>
  <w:style w:type="paragraph" w:styleId="BodyText">
    <w:name w:val="Body Text"/>
    <w:basedOn w:val="Normal"/>
    <w:link w:val="BodyTextChar"/>
    <w:uiPriority w:val="1"/>
    <w:qFormat/>
    <w:rsid w:val="00FF7D3C"/>
    <w:rPr>
      <w:sz w:val="24"/>
      <w:szCs w:val="24"/>
    </w:rPr>
  </w:style>
  <w:style w:type="character" w:customStyle="1" w:styleId="BodyTextChar">
    <w:name w:val="Body Text Char"/>
    <w:basedOn w:val="DefaultParagraphFont"/>
    <w:link w:val="BodyText"/>
    <w:uiPriority w:val="1"/>
    <w:rsid w:val="00FF7D3C"/>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FF7D3C"/>
    <w:pPr>
      <w:ind w:left="112"/>
    </w:pPr>
  </w:style>
  <w:style w:type="paragraph" w:styleId="Header">
    <w:name w:val="header"/>
    <w:basedOn w:val="Normal"/>
    <w:link w:val="HeaderChar"/>
    <w:uiPriority w:val="99"/>
    <w:unhideWhenUsed/>
    <w:rsid w:val="004004C3"/>
    <w:pPr>
      <w:tabs>
        <w:tab w:val="center" w:pos="4680"/>
        <w:tab w:val="right" w:pos="9360"/>
      </w:tabs>
    </w:pPr>
  </w:style>
  <w:style w:type="character" w:customStyle="1" w:styleId="HeaderChar">
    <w:name w:val="Header Char"/>
    <w:basedOn w:val="DefaultParagraphFont"/>
    <w:link w:val="Header"/>
    <w:uiPriority w:val="99"/>
    <w:rsid w:val="004004C3"/>
    <w:rPr>
      <w:rFonts w:ascii="Arial" w:eastAsia="Arial" w:hAnsi="Arial" w:cs="Arial"/>
      <w:kern w:val="0"/>
      <w:lang w:bidi="en-US"/>
      <w14:ligatures w14:val="none"/>
    </w:rPr>
  </w:style>
  <w:style w:type="paragraph" w:styleId="Footer">
    <w:name w:val="footer"/>
    <w:basedOn w:val="Normal"/>
    <w:link w:val="FooterChar"/>
    <w:uiPriority w:val="99"/>
    <w:unhideWhenUsed/>
    <w:rsid w:val="004004C3"/>
    <w:pPr>
      <w:tabs>
        <w:tab w:val="center" w:pos="4680"/>
        <w:tab w:val="right" w:pos="9360"/>
      </w:tabs>
    </w:pPr>
  </w:style>
  <w:style w:type="character" w:customStyle="1" w:styleId="FooterChar">
    <w:name w:val="Footer Char"/>
    <w:basedOn w:val="DefaultParagraphFont"/>
    <w:link w:val="Footer"/>
    <w:uiPriority w:val="99"/>
    <w:rsid w:val="004004C3"/>
    <w:rPr>
      <w:rFonts w:ascii="Arial" w:eastAsia="Arial" w:hAnsi="Arial" w:cs="Arial"/>
      <w:kern w:val="0"/>
      <w:lang w:bidi="en-US"/>
      <w14:ligatures w14:val="none"/>
    </w:rPr>
  </w:style>
  <w:style w:type="character" w:customStyle="1" w:styleId="Heading1Char">
    <w:name w:val="Heading 1 Char"/>
    <w:basedOn w:val="DefaultParagraphFont"/>
    <w:link w:val="Heading1"/>
    <w:uiPriority w:val="9"/>
    <w:rsid w:val="004D1335"/>
    <w:rPr>
      <w:rFonts w:asciiTheme="majorHAnsi" w:eastAsiaTheme="majorEastAsia" w:hAnsiTheme="majorHAnsi" w:cstheme="majorBidi"/>
      <w:color w:val="2F5496" w:themeColor="accent1" w:themeShade="BF"/>
      <w:kern w:val="0"/>
      <w:sz w:val="32"/>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e.ca.gov/fg/ac/i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2191</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AppxA-24: GSPP Budget (CA Dept of Education)</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AppxA-23: GSPP Budget (CA Dept of Education)</dc:title>
  <dc:subject>Golden State Pathways Program (GSPP) budget categories and descriptions for the 2024 Request for Applications.</dc:subject>
  <dc:creator/>
  <cp:keywords/>
  <dc:description/>
  <cp:lastModifiedBy/>
  <cp:revision>1</cp:revision>
  <dcterms:created xsi:type="dcterms:W3CDTF">2024-01-03T20:00:00Z</dcterms:created>
  <dcterms:modified xsi:type="dcterms:W3CDTF">2024-01-30T19:35:00Z</dcterms:modified>
</cp:coreProperties>
</file>