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4A02" w14:textId="77777777" w:rsidR="00B47306" w:rsidRPr="00B06C2F" w:rsidRDefault="00B47306" w:rsidP="00B47306">
      <w:pPr>
        <w:rPr>
          <w:rFonts w:cs="Arial"/>
        </w:rPr>
      </w:pPr>
      <w:r w:rsidRPr="00B06C2F">
        <w:rPr>
          <w:rFonts w:cs="Arial"/>
        </w:rPr>
        <w:t>California Department of Education</w:t>
      </w:r>
    </w:p>
    <w:p w14:paraId="1CAF1CB7" w14:textId="77777777" w:rsidR="00B47306" w:rsidRPr="00B06C2F" w:rsidRDefault="00B47306" w:rsidP="00B47306">
      <w:pPr>
        <w:rPr>
          <w:rFonts w:cs="Arial"/>
        </w:rPr>
      </w:pPr>
      <w:r w:rsidRPr="00B06C2F">
        <w:rPr>
          <w:rFonts w:cs="Arial"/>
        </w:rPr>
        <w:t>Executive Office</w:t>
      </w:r>
    </w:p>
    <w:p w14:paraId="24E2896F" w14:textId="77777777" w:rsidR="00B47306" w:rsidRPr="00B06C2F" w:rsidRDefault="00B47306" w:rsidP="00B47306">
      <w:pPr>
        <w:rPr>
          <w:rFonts w:cs="Arial"/>
        </w:rPr>
      </w:pPr>
      <w:r w:rsidRPr="00B06C2F">
        <w:rPr>
          <w:rFonts w:cs="Arial"/>
        </w:rPr>
        <w:t>SBE-002 (REV. 11/2017)</w:t>
      </w:r>
    </w:p>
    <w:p w14:paraId="4A44C5A9" w14:textId="010316AF" w:rsidR="00B47306" w:rsidRPr="00B06C2F" w:rsidRDefault="00B47306" w:rsidP="00B47306">
      <w:pPr>
        <w:rPr>
          <w:rFonts w:cs="Arial"/>
        </w:rPr>
      </w:pPr>
      <w:r w:rsidRPr="00B06C2F">
        <w:br w:type="column"/>
      </w:r>
      <w:r w:rsidRPr="00B06C2F">
        <w:rPr>
          <w:rFonts w:cs="Arial"/>
        </w:rPr>
        <w:t>memo-</w:t>
      </w:r>
      <w:r w:rsidR="00697D4B" w:rsidRPr="00B06C2F">
        <w:rPr>
          <w:rFonts w:cs="Arial"/>
        </w:rPr>
        <w:t>i</w:t>
      </w:r>
      <w:r w:rsidR="00000268" w:rsidRPr="00B06C2F">
        <w:rPr>
          <w:rFonts w:cs="Arial"/>
        </w:rPr>
        <w:t>t</w:t>
      </w:r>
      <w:r w:rsidRPr="00B06C2F">
        <w:rPr>
          <w:rFonts w:cs="Arial"/>
        </w:rPr>
        <w:t>b-amard-apr2</w:t>
      </w:r>
      <w:r w:rsidR="00690196" w:rsidRPr="00B06C2F">
        <w:rPr>
          <w:rFonts w:cs="Arial"/>
        </w:rPr>
        <w:t>2</w:t>
      </w:r>
      <w:r w:rsidRPr="00B06C2F">
        <w:rPr>
          <w:rFonts w:cs="Arial"/>
        </w:rPr>
        <w:t>item01</w:t>
      </w:r>
    </w:p>
    <w:p w14:paraId="672A6659" w14:textId="77777777" w:rsidR="00B47306" w:rsidRPr="00B06C2F" w:rsidRDefault="00B47306" w:rsidP="00B47306">
      <w:pPr>
        <w:pStyle w:val="Heading1"/>
        <w:spacing w:line="360" w:lineRule="auto"/>
        <w:rPr>
          <w:rFonts w:cs="Arial"/>
          <w:b/>
          <w:szCs w:val="52"/>
        </w:rPr>
        <w:sectPr w:rsidR="00B47306" w:rsidRPr="00B06C2F" w:rsidSect="00B47306">
          <w:headerReference w:type="default" r:id="rId11"/>
          <w:footerReference w:type="default" r:id="rId12"/>
          <w:pgSz w:w="12240" w:h="15840"/>
          <w:pgMar w:top="720" w:right="1440" w:bottom="1440" w:left="1440" w:header="720" w:footer="720" w:gutter="0"/>
          <w:cols w:num="2" w:space="144" w:equalWidth="0">
            <w:col w:w="5760" w:space="144"/>
            <w:col w:w="3456"/>
          </w:cols>
          <w:titlePg/>
          <w:docGrid w:linePitch="326"/>
        </w:sectPr>
      </w:pPr>
    </w:p>
    <w:p w14:paraId="4587E384" w14:textId="77777777" w:rsidR="00B47306" w:rsidRPr="00B06C2F" w:rsidRDefault="00B47306" w:rsidP="0055557D">
      <w:pPr>
        <w:pStyle w:val="Heading1"/>
        <w:spacing w:after="240" w:line="360" w:lineRule="auto"/>
        <w:rPr>
          <w:rFonts w:eastAsia="Arial" w:cs="Arial"/>
          <w:b/>
          <w:bCs/>
          <w:szCs w:val="40"/>
        </w:rPr>
      </w:pPr>
      <w:r w:rsidRPr="00B06C2F">
        <w:rPr>
          <w:rFonts w:eastAsia="Arial" w:cs="Arial"/>
          <w:b/>
          <w:bCs/>
          <w:szCs w:val="40"/>
        </w:rPr>
        <w:t>MEMORANDUM</w:t>
      </w:r>
    </w:p>
    <w:p w14:paraId="3105F7E0" w14:textId="10E12B1C" w:rsidR="00B47306" w:rsidRPr="00B06C2F" w:rsidRDefault="00B47306" w:rsidP="0055557D">
      <w:pPr>
        <w:pStyle w:val="MessageHeader"/>
        <w:spacing w:after="240"/>
        <w:rPr>
          <w:rFonts w:eastAsia="Arial" w:cs="Arial"/>
        </w:rPr>
      </w:pPr>
      <w:r w:rsidRPr="00B06C2F">
        <w:rPr>
          <w:b/>
        </w:rPr>
        <w:t>DATE:</w:t>
      </w:r>
      <w:r w:rsidRPr="00B06C2F">
        <w:tab/>
      </w:r>
      <w:r w:rsidR="002173FE" w:rsidRPr="0084551B">
        <w:t xml:space="preserve">April </w:t>
      </w:r>
      <w:r w:rsidR="0084551B" w:rsidRPr="0084551B">
        <w:t>1</w:t>
      </w:r>
      <w:r w:rsidR="005C012A">
        <w:t>2</w:t>
      </w:r>
      <w:r w:rsidR="1A3E3469" w:rsidRPr="0084551B">
        <w:t>,</w:t>
      </w:r>
      <w:r w:rsidR="1A3E3469" w:rsidRPr="00B06C2F">
        <w:t xml:space="preserve"> 202</w:t>
      </w:r>
      <w:r w:rsidR="00690196" w:rsidRPr="00B06C2F">
        <w:t>2</w:t>
      </w:r>
    </w:p>
    <w:p w14:paraId="305E6DFC" w14:textId="77777777" w:rsidR="00B47306" w:rsidRPr="00B06C2F" w:rsidRDefault="00B47306" w:rsidP="00B47306">
      <w:pPr>
        <w:pStyle w:val="MessageHeader"/>
      </w:pPr>
      <w:r w:rsidRPr="00B06C2F">
        <w:rPr>
          <w:b/>
        </w:rPr>
        <w:t>TO:</w:t>
      </w:r>
      <w:r w:rsidRPr="00B06C2F">
        <w:tab/>
        <w:t>MEMBERS, State Board of Education</w:t>
      </w:r>
    </w:p>
    <w:p w14:paraId="5D9BD065" w14:textId="61B8D396" w:rsidR="00B47306" w:rsidRPr="00B06C2F" w:rsidRDefault="00B47306" w:rsidP="00B47306">
      <w:pPr>
        <w:pStyle w:val="MessageHeader"/>
        <w:rPr>
          <w:rFonts w:eastAsia="Arial" w:cs="Arial"/>
        </w:rPr>
      </w:pPr>
      <w:r w:rsidRPr="00B06C2F">
        <w:rPr>
          <w:b/>
        </w:rPr>
        <w:t>FROM:</w:t>
      </w:r>
      <w:r w:rsidRPr="00B06C2F">
        <w:tab/>
      </w:r>
      <w:r w:rsidR="00917CD7" w:rsidRPr="00B06C2F">
        <w:t>TONY THURMOND</w:t>
      </w:r>
      <w:r w:rsidRPr="00B06C2F">
        <w:t>, State Superintendent of Public Instruction</w:t>
      </w:r>
    </w:p>
    <w:p w14:paraId="07B0A08A" w14:textId="77777777" w:rsidR="00B47306" w:rsidRPr="00B06C2F" w:rsidRDefault="00B47306" w:rsidP="00B47306">
      <w:pPr>
        <w:pStyle w:val="MessageHeader"/>
        <w:rPr>
          <w:rFonts w:eastAsia="Arial" w:cs="Arial"/>
          <w:color w:val="000000"/>
        </w:rPr>
      </w:pPr>
      <w:r w:rsidRPr="00B06C2F">
        <w:rPr>
          <w:b/>
        </w:rPr>
        <w:t>SUBJECT:</w:t>
      </w:r>
      <w:r w:rsidRPr="00B06C2F">
        <w:tab/>
      </w:r>
      <w:bookmarkStart w:id="0" w:name="_Hlk66369185"/>
      <w:r w:rsidRPr="00B06C2F">
        <w:t>Update on the Implementation of the Integrated Local, State, and Federal Accountability and Continuous Improvement System: Report on the Impact of the Dashboard Alternative School Status Graduation Rate on School Enrollment Patterns.</w:t>
      </w:r>
      <w:bookmarkEnd w:id="0"/>
    </w:p>
    <w:p w14:paraId="53CA9392" w14:textId="77777777" w:rsidR="00B47306" w:rsidRPr="00B06C2F" w:rsidRDefault="00B47306" w:rsidP="00B47306">
      <w:pPr>
        <w:pStyle w:val="Heading2"/>
        <w:rPr>
          <w:rFonts w:eastAsia="Arial" w:cs="Arial"/>
          <w:szCs w:val="36"/>
        </w:rPr>
      </w:pPr>
      <w:r w:rsidRPr="00B06C2F">
        <w:rPr>
          <w:rFonts w:eastAsia="Arial" w:cs="Arial"/>
          <w:szCs w:val="36"/>
        </w:rPr>
        <w:t>Summary of Key Issues</w:t>
      </w:r>
    </w:p>
    <w:p w14:paraId="76F3D4CA" w14:textId="77777777" w:rsidR="00653A5D" w:rsidRPr="00B06C2F" w:rsidRDefault="00653A5D" w:rsidP="00653A5D">
      <w:pPr>
        <w:spacing w:after="240"/>
        <w:rPr>
          <w:rFonts w:eastAsia="Arial"/>
        </w:rPr>
      </w:pPr>
      <w:r w:rsidRPr="00B06C2F">
        <w:rPr>
          <w:rFonts w:eastAsia="Arial"/>
        </w:rPr>
        <w:t>In May 2018, the State Board of Education (SBE) approved the methodology for calculating the Dashboard Alternative School Status (DASS) graduation rate. During the meeting, SBE members raised concerns about how the modified Graduation Rate Indicator could potentially impact student transfers between non-alternative and DASS schools. Specifically, the SBE was concerned about the potential increase of student transfers from non-alternative high schools into DASS high schools and directed the California Department of Education (CDE) to conduct analyses of enrollment data when it became available.</w:t>
      </w:r>
    </w:p>
    <w:p w14:paraId="38B4AC55" w14:textId="77777777" w:rsidR="00653A5D" w:rsidRPr="00B06C2F" w:rsidRDefault="00653A5D" w:rsidP="00653A5D">
      <w:pPr>
        <w:spacing w:after="240"/>
        <w:rPr>
          <w:rFonts w:eastAsia="Arial"/>
        </w:rPr>
      </w:pPr>
      <w:r w:rsidRPr="00B06C2F">
        <w:rPr>
          <w:rFonts w:eastAsia="Arial"/>
        </w:rPr>
        <w:t xml:space="preserve">In August 2019 and April 2021, the CDE provided the SBE trends in student transfers from non-alternative high schools to DASS high schools. The data within these Information Memoranda identified the enrollment patterns during the 2017–18, 2018–19, and </w:t>
      </w:r>
      <w:r w:rsidRPr="00B06C2F">
        <w:t>2019–20</w:t>
      </w:r>
      <w:r w:rsidRPr="00B06C2F">
        <w:rPr>
          <w:rFonts w:eastAsia="Arial"/>
        </w:rPr>
        <w:t xml:space="preserve"> school years. The analysis revealed that the transfer patterns were relatively consistent between the 2017–18 and 2018–19 school years but there was a notable decline in transfers in the </w:t>
      </w:r>
      <w:r w:rsidRPr="00B06C2F">
        <w:t>2019–20</w:t>
      </w:r>
      <w:r w:rsidRPr="00B06C2F">
        <w:rPr>
          <w:rFonts w:eastAsia="Arial"/>
        </w:rPr>
        <w:t xml:space="preserve"> school year beginning in March 2020. The CDE proposes that the decline was likely due to the 2019 novel coronavirus disease</w:t>
      </w:r>
      <w:r w:rsidRPr="00B06C2F">
        <w:t xml:space="preserve"> (</w:t>
      </w:r>
      <w:r w:rsidRPr="00B06C2F">
        <w:rPr>
          <w:rFonts w:eastAsia="Arial"/>
        </w:rPr>
        <w:t>COVID-19) stay-at-home order issued by Governor Gavin Newsom on March 19, 2020, and the in-person school closures that followed.</w:t>
      </w:r>
    </w:p>
    <w:p w14:paraId="19741D92" w14:textId="77777777" w:rsidR="00653A5D" w:rsidRPr="00B06C2F" w:rsidRDefault="00653A5D" w:rsidP="00653A5D">
      <w:pPr>
        <w:spacing w:after="240"/>
        <w:rPr>
          <w:rFonts w:eastAsia="Arial"/>
        </w:rPr>
      </w:pPr>
      <w:r w:rsidRPr="00B06C2F">
        <w:rPr>
          <w:rFonts w:eastAsia="Arial"/>
        </w:rPr>
        <w:t xml:space="preserve">In October 2020, the CDE received a letter from the ED that raised concerns about California’s use of DASS “modified measures” on the Academic Indicator and the Graduation Rate Indicator. In response to ED’s October 2020 letter, in January 2021, the SBE adopted amendments to the Every Student Succeeds Act (ESSA) State Plan, which included a description of the proposed modifications made to the Academic Indicator cut scores for DASS schools and the one-year graduation rate that was developed for DASS schools. In January 2022, the ED denied the proposed amendments to the consolidated ESSA State Plan. As a result, in March 2022, the SBE </w:t>
      </w:r>
      <w:r w:rsidRPr="00B06C2F">
        <w:rPr>
          <w:rFonts w:eastAsia="Arial"/>
        </w:rPr>
        <w:lastRenderedPageBreak/>
        <w:t xml:space="preserve">approved the submission of a waiver to the ED to request the continued use of an alternative accountability system for DASS schools to </w:t>
      </w:r>
      <w:bookmarkStart w:id="1" w:name="_Hlk95305186"/>
      <w:r w:rsidRPr="00B06C2F">
        <w:rPr>
          <w:rFonts w:eastAsia="Arial"/>
        </w:rPr>
        <w:t>allow California to maintain DASS modified methods business rules for calculating the Academic and Graduation Rate Indicators</w:t>
      </w:r>
      <w:bookmarkEnd w:id="1"/>
      <w:r w:rsidRPr="00B06C2F">
        <w:rPr>
          <w:rFonts w:eastAsia="Arial"/>
        </w:rPr>
        <w:t>.</w:t>
      </w:r>
    </w:p>
    <w:p w14:paraId="6070A5A0" w14:textId="77777777" w:rsidR="00653A5D" w:rsidRPr="00B06C2F" w:rsidRDefault="00653A5D" w:rsidP="00653A5D">
      <w:pPr>
        <w:rPr>
          <w:rFonts w:eastAsia="Arial"/>
        </w:rPr>
      </w:pPr>
      <w:r w:rsidRPr="00B06C2F">
        <w:rPr>
          <w:rFonts w:eastAsia="Arial"/>
        </w:rPr>
        <w:t>Although there is uncertainty of whether the state may be able to continue the application of “modified methods” for DASS schools, which includes the use of the one-year DASS graduation rate, the CDE is committed to continuing to provide the DASS transfer enrollment analyses. Therefore, this Information Memorandum includes the results of the most recent analyses based on data from the last four years (</w:t>
      </w:r>
      <w:r w:rsidRPr="00B06C2F">
        <w:t>2017–18, 2018–19, 2019–20, and 2020–21)</w:t>
      </w:r>
      <w:r w:rsidRPr="00B06C2F">
        <w:rPr>
          <w:rFonts w:eastAsia="Arial"/>
        </w:rPr>
        <w:t>.</w:t>
      </w:r>
    </w:p>
    <w:p w14:paraId="57ADDF1E" w14:textId="77777777" w:rsidR="00B47306" w:rsidRPr="00B06C2F" w:rsidRDefault="00B47306" w:rsidP="00B47306">
      <w:pPr>
        <w:pStyle w:val="Heading2"/>
        <w:rPr>
          <w:rFonts w:eastAsia="Arial" w:cs="Arial"/>
          <w:szCs w:val="36"/>
        </w:rPr>
      </w:pPr>
      <w:r w:rsidRPr="00B06C2F">
        <w:rPr>
          <w:rFonts w:eastAsia="Arial" w:cs="Arial"/>
          <w:szCs w:val="36"/>
        </w:rPr>
        <w:t>Prior State Board of Education Action and Discussion</w:t>
      </w:r>
    </w:p>
    <w:p w14:paraId="53740483" w14:textId="55360BF2" w:rsidR="00B47306" w:rsidRPr="00B06C2F" w:rsidRDefault="00653A5D" w:rsidP="00653A5D">
      <w:pPr>
        <w:spacing w:after="240"/>
        <w:rPr>
          <w:rStyle w:val="normaltextrun"/>
        </w:rPr>
      </w:pPr>
      <w:r w:rsidRPr="00B06C2F">
        <w:rPr>
          <w:rFonts w:eastAsia="Arial"/>
        </w:rPr>
        <w:t xml:space="preserve">In July 2017, the SBE approved criteria for schools to apply for DASS </w:t>
      </w:r>
      <w:r w:rsidR="00B47306" w:rsidRPr="00B06C2F">
        <w:rPr>
          <w:rStyle w:val="normaltextrun"/>
          <w:rFonts w:eastAsia="Arial" w:cs="Arial"/>
          <w:color w:val="000000" w:themeColor="text1"/>
        </w:rPr>
        <w:t>(</w:t>
      </w:r>
      <w:hyperlink r:id="rId13" w:tooltip="https://www.cde.ca.gov/be/ag/ag/yr17/documents/jul17item01.doc">
        <w:r w:rsidR="00B47306" w:rsidRPr="00B06C2F">
          <w:rPr>
            <w:rStyle w:val="normaltextrun"/>
            <w:rFonts w:eastAsia="Arial" w:cs="Arial"/>
            <w:color w:val="0000FF"/>
            <w:u w:val="single"/>
          </w:rPr>
          <w:t>https://www.cde.ca.gov/be/ag/ag/yr17/documents/jul17item01.doc</w:t>
        </w:r>
      </w:hyperlink>
      <w:r w:rsidR="00B47306" w:rsidRPr="00B06C2F">
        <w:rPr>
          <w:rStyle w:val="normaltextrun"/>
          <w:rFonts w:eastAsia="Arial" w:cs="Arial"/>
          <w:color w:val="000000" w:themeColor="text1"/>
        </w:rPr>
        <w:t>).</w:t>
      </w:r>
    </w:p>
    <w:p w14:paraId="4BCB9C73" w14:textId="34506D6D" w:rsidR="00B47306" w:rsidRPr="00B06C2F" w:rsidRDefault="00653A5D" w:rsidP="00653A5D">
      <w:pPr>
        <w:spacing w:after="240"/>
      </w:pPr>
      <w:r w:rsidRPr="00B06C2F">
        <w:rPr>
          <w:rFonts w:eastAsia="Arial"/>
        </w:rPr>
        <w:t xml:space="preserve">In March 2018, the SBE reviewed proposed revisions for the 2018 Dashboard, including the incorporation of modified methods for DASS schools </w:t>
      </w:r>
      <w:r w:rsidR="00B47306" w:rsidRPr="00B06C2F">
        <w:rPr>
          <w:rStyle w:val="normaltextrun"/>
          <w:rFonts w:eastAsia="Arial" w:cs="Arial"/>
          <w:color w:val="000000" w:themeColor="text1"/>
        </w:rPr>
        <w:t>(</w:t>
      </w:r>
      <w:hyperlink r:id="rId14" w:tooltip="https://www.cde.ca.gov/be/ag/ag/yr18/documents/mar18item01.docx">
        <w:r w:rsidR="00B47306" w:rsidRPr="00B06C2F">
          <w:rPr>
            <w:rStyle w:val="normaltextrun"/>
            <w:rFonts w:eastAsia="Arial" w:cs="Arial"/>
            <w:color w:val="0000FF"/>
            <w:u w:val="single"/>
          </w:rPr>
          <w:t>https://www.cde.ca.gov/be/ag/ag/yr18/documents/mar18item01.docx</w:t>
        </w:r>
      </w:hyperlink>
      <w:r w:rsidR="00B47306" w:rsidRPr="00B06C2F">
        <w:rPr>
          <w:rStyle w:val="normaltextrun"/>
          <w:rFonts w:eastAsia="Arial" w:cs="Arial"/>
          <w:color w:val="000000" w:themeColor="text1"/>
        </w:rPr>
        <w:t>).</w:t>
      </w:r>
    </w:p>
    <w:p w14:paraId="68437AAF" w14:textId="45CAE693" w:rsidR="00B47306" w:rsidRPr="00B06C2F" w:rsidRDefault="00653A5D" w:rsidP="00653A5D">
      <w:pPr>
        <w:spacing w:after="240"/>
        <w:rPr>
          <w:rFonts w:eastAsia="Arial"/>
        </w:rPr>
      </w:pPr>
      <w:r w:rsidRPr="00B06C2F">
        <w:rPr>
          <w:rFonts w:eastAsia="Arial"/>
        </w:rPr>
        <w:t xml:space="preserve">In May 2018, the SBE approved the methodology for calculating the one-year graduation rate and directed the CDE to conduct analyses of enrollment data when it became available </w:t>
      </w:r>
      <w:r w:rsidR="00B47306" w:rsidRPr="00B06C2F">
        <w:rPr>
          <w:rStyle w:val="normaltextrun"/>
          <w:rFonts w:eastAsia="Arial" w:cs="Arial"/>
          <w:color w:val="000000" w:themeColor="text1"/>
        </w:rPr>
        <w:t>(</w:t>
      </w:r>
      <w:hyperlink r:id="rId15" w:tooltip="https://www.cde.ca.gov/be/ag/ag/yr18/documents/may18item02.docx">
        <w:r w:rsidR="00B47306" w:rsidRPr="00B06C2F">
          <w:rPr>
            <w:rStyle w:val="normaltextrun"/>
            <w:rFonts w:eastAsia="Arial" w:cs="Arial"/>
            <w:color w:val="0000FF"/>
            <w:u w:val="single"/>
          </w:rPr>
          <w:t>https://www.cde.ca.gov/be/ag/ag/yr18/documents/may18item02.docx</w:t>
        </w:r>
      </w:hyperlink>
      <w:r w:rsidR="00B47306" w:rsidRPr="00B06C2F">
        <w:rPr>
          <w:rStyle w:val="normaltextrun"/>
          <w:rFonts w:eastAsia="Arial" w:cs="Arial"/>
          <w:color w:val="000000" w:themeColor="text1"/>
        </w:rPr>
        <w:t>).</w:t>
      </w:r>
    </w:p>
    <w:p w14:paraId="7BE76E60" w14:textId="1A79B67E" w:rsidR="00B47306" w:rsidRPr="00B06C2F" w:rsidRDefault="00653A5D" w:rsidP="00653A5D">
      <w:pPr>
        <w:spacing w:after="240"/>
        <w:rPr>
          <w:rStyle w:val="normaltextrun"/>
          <w:rFonts w:eastAsia="Arial"/>
        </w:rPr>
      </w:pPr>
      <w:r w:rsidRPr="00B06C2F">
        <w:rPr>
          <w:rFonts w:eastAsia="Arial"/>
        </w:rPr>
        <w:t xml:space="preserve">In August 2019, the SBE received an Information Memorandum identifying the enrollment data for DASS and non-DASS schools and the rates of transition from non-DASS to DASS schools during the 2017–18 and 2018–19 school years </w:t>
      </w:r>
      <w:r w:rsidR="00B47306" w:rsidRPr="00B06C2F">
        <w:rPr>
          <w:rStyle w:val="normaltextrun"/>
          <w:rFonts w:eastAsia="Arial" w:cs="Arial"/>
        </w:rPr>
        <w:t>(</w:t>
      </w:r>
      <w:hyperlink r:id="rId16" w:tooltip="https://www.cde.ca.gov/be/pn/im/documents/memo-pptb-amard-aug19item01.docx">
        <w:r w:rsidR="00B47306" w:rsidRPr="00B06C2F">
          <w:rPr>
            <w:rStyle w:val="normaltextrun"/>
            <w:rFonts w:eastAsia="Arial" w:cs="Arial"/>
            <w:color w:val="0000FF"/>
            <w:u w:val="single"/>
          </w:rPr>
          <w:t>https://www.cde.ca.gov/be/pn/im/documents/memo-pptb-amard-aug19item01.docx</w:t>
        </w:r>
      </w:hyperlink>
      <w:r w:rsidR="00B47306" w:rsidRPr="00B06C2F">
        <w:rPr>
          <w:rStyle w:val="normaltextrun"/>
          <w:rFonts w:eastAsia="Arial" w:cs="Arial"/>
        </w:rPr>
        <w:t>).</w:t>
      </w:r>
    </w:p>
    <w:p w14:paraId="31D1C15A" w14:textId="056D6C5C" w:rsidR="00C611FD" w:rsidRPr="00B06C2F" w:rsidRDefault="005D691B" w:rsidP="00653A5D">
      <w:pPr>
        <w:spacing w:after="240"/>
        <w:rPr>
          <w:rStyle w:val="normaltextrun"/>
        </w:rPr>
      </w:pPr>
      <w:r w:rsidRPr="00B06C2F">
        <w:rPr>
          <w:rFonts w:eastAsia="Arial"/>
        </w:rPr>
        <w:t xml:space="preserve">In April 2021, the CDE </w:t>
      </w:r>
      <w:r w:rsidRPr="00B06C2F">
        <w:t>provided a second analysis on the transfer patterns between non-DASS schools and DASS schools and reviewed the impact of the DASS graduation rate on school transfer patterns during the 2017–18, 2018–19, and 2019–20 school years</w:t>
      </w:r>
      <w:r w:rsidR="00653A5D" w:rsidRPr="00B06C2F">
        <w:t xml:space="preserve"> </w:t>
      </w:r>
      <w:r w:rsidR="00C611FD" w:rsidRPr="00B06C2F">
        <w:rPr>
          <w:rFonts w:eastAsia="Arial" w:cs="Arial"/>
        </w:rPr>
        <w:t>(</w:t>
      </w:r>
      <w:hyperlink r:id="rId17" w:tooltip="https://www.cde.ca.gov/be/pn/im/documents/apr21memoamard01.docx" w:history="1">
        <w:r w:rsidR="00C611FD" w:rsidRPr="00B06C2F">
          <w:rPr>
            <w:rStyle w:val="Hyperlink"/>
            <w:rFonts w:eastAsia="Arial" w:cs="Arial"/>
          </w:rPr>
          <w:t>https://www.cde.ca.gov/be/pn/im/documents/apr21memoamard01.docx</w:t>
        </w:r>
      </w:hyperlink>
      <w:r w:rsidR="00C611FD" w:rsidRPr="00B06C2F">
        <w:rPr>
          <w:rFonts w:eastAsia="Arial" w:cs="Arial"/>
        </w:rPr>
        <w:t>).</w:t>
      </w:r>
    </w:p>
    <w:p w14:paraId="33EA4BB5" w14:textId="1C3066F9" w:rsidR="00C611FD" w:rsidRPr="00B06C2F" w:rsidRDefault="00C611FD" w:rsidP="00653A5D">
      <w:pPr>
        <w:spacing w:after="240"/>
        <w:rPr>
          <w:rStyle w:val="normaltextrun"/>
          <w:rFonts w:eastAsia="Arial" w:cs="Arial"/>
        </w:rPr>
      </w:pPr>
      <w:r w:rsidRPr="00B06C2F">
        <w:rPr>
          <w:bCs/>
        </w:rPr>
        <w:t xml:space="preserve">In February 2022, the SBE received an </w:t>
      </w:r>
      <w:r w:rsidR="00870FCF" w:rsidRPr="00B06C2F">
        <w:rPr>
          <w:bCs/>
        </w:rPr>
        <w:t xml:space="preserve">update to California’s </w:t>
      </w:r>
      <w:r w:rsidRPr="00B06C2F">
        <w:rPr>
          <w:bCs/>
        </w:rPr>
        <w:t xml:space="preserve">Every Student Succeeds Act State Plan </w:t>
      </w:r>
      <w:r w:rsidR="00C16799" w:rsidRPr="00B06C2F">
        <w:rPr>
          <w:bCs/>
        </w:rPr>
        <w:t xml:space="preserve">which included a </w:t>
      </w:r>
      <w:r w:rsidR="00C16799" w:rsidRPr="00B06C2F">
        <w:t>January 12, 2022 letter from the</w:t>
      </w:r>
      <w:r w:rsidRPr="00B06C2F">
        <w:t xml:space="preserve"> ED </w:t>
      </w:r>
      <w:r w:rsidR="00C16799" w:rsidRPr="00B06C2F">
        <w:t>denying</w:t>
      </w:r>
      <w:r w:rsidRPr="00B06C2F">
        <w:t xml:space="preserve"> the amendments approved by the SBE in January 2021 regarding the DASS modified methods.</w:t>
      </w:r>
      <w:r w:rsidR="00653A5D" w:rsidRPr="00B06C2F">
        <w:t xml:space="preserve"> </w:t>
      </w:r>
      <w:r w:rsidRPr="00B06C2F">
        <w:rPr>
          <w:rStyle w:val="normaltextrun"/>
          <w:rFonts w:eastAsia="Arial" w:cs="Arial"/>
        </w:rPr>
        <w:t>(</w:t>
      </w:r>
      <w:hyperlink r:id="rId18" w:tooltip="https://www.cde.ca.gov/be/pn/im/documents/feb22memogad01.docx" w:history="1">
        <w:r w:rsidRPr="00B06C2F">
          <w:rPr>
            <w:rStyle w:val="Hyperlink"/>
            <w:rFonts w:eastAsia="Arial" w:cs="Arial"/>
          </w:rPr>
          <w:t>https://www.cde.ca.gov/be/pn/im/documents/feb22memogad01.docx</w:t>
        </w:r>
      </w:hyperlink>
      <w:r w:rsidRPr="00B06C2F">
        <w:rPr>
          <w:rStyle w:val="normaltextrun"/>
          <w:rFonts w:eastAsia="Arial" w:cs="Arial"/>
        </w:rPr>
        <w:t>)</w:t>
      </w:r>
    </w:p>
    <w:p w14:paraId="6D9B9DB9" w14:textId="2F9CCCEF" w:rsidR="00C16799" w:rsidRPr="00B06C2F" w:rsidRDefault="00653A5D" w:rsidP="00653A5D">
      <w:pPr>
        <w:rPr>
          <w:rStyle w:val="normaltextrun"/>
          <w:rFonts w:eastAsia="Arial"/>
        </w:rPr>
      </w:pPr>
      <w:r w:rsidRPr="00B06C2F">
        <w:rPr>
          <w:rFonts w:eastAsia="Arial"/>
        </w:rPr>
        <w:t xml:space="preserve">In March 2022, the SBE approved the submission of a waiver to the ED to allow the application of the DASS modified methods to continue for the Academic and Graduation Rate Indicators </w:t>
      </w:r>
      <w:r w:rsidR="00F530A8" w:rsidRPr="00B06C2F">
        <w:rPr>
          <w:rStyle w:val="normaltextrun"/>
          <w:rFonts w:eastAsia="Arial" w:cs="Arial"/>
        </w:rPr>
        <w:t>(</w:t>
      </w:r>
      <w:hyperlink r:id="rId19" w:tooltip="https://www.cde.ca.gov/be/ag/ag/yr22/documents/mar22item04.docx" w:history="1">
        <w:r w:rsidR="00F530A8" w:rsidRPr="00B06C2F">
          <w:rPr>
            <w:rStyle w:val="Hyperlink"/>
            <w:rFonts w:eastAsia="Arial" w:cs="Arial"/>
          </w:rPr>
          <w:t>https://www.cde.ca.gov/be/ag/ag/yr22/documents/mar22item04.docx</w:t>
        </w:r>
      </w:hyperlink>
      <w:r w:rsidR="00F530A8" w:rsidRPr="00B06C2F">
        <w:rPr>
          <w:rStyle w:val="normaltextrun"/>
          <w:rFonts w:eastAsia="Arial" w:cs="Arial"/>
        </w:rPr>
        <w:t>)</w:t>
      </w:r>
    </w:p>
    <w:p w14:paraId="679B1EC2" w14:textId="77777777" w:rsidR="00B47306" w:rsidRPr="00B06C2F" w:rsidRDefault="00B47306" w:rsidP="005D691B">
      <w:pPr>
        <w:pStyle w:val="Heading3"/>
      </w:pPr>
      <w:r w:rsidRPr="00B06C2F">
        <w:lastRenderedPageBreak/>
        <w:t>Attachment(s)</w:t>
      </w:r>
    </w:p>
    <w:p w14:paraId="29D6B04F" w14:textId="6D60E6CD" w:rsidR="00B47306" w:rsidRPr="00B06C2F" w:rsidRDefault="00B47306" w:rsidP="002860AE">
      <w:pPr>
        <w:pStyle w:val="ListParagraph"/>
        <w:numPr>
          <w:ilvl w:val="0"/>
          <w:numId w:val="23"/>
        </w:numPr>
        <w:rPr>
          <w:rFonts w:eastAsia="Arial" w:cs="Arial"/>
        </w:rPr>
      </w:pPr>
      <w:r w:rsidRPr="00B06C2F">
        <w:rPr>
          <w:rFonts w:eastAsia="Arial" w:cs="Arial"/>
          <w:b/>
          <w:bCs/>
          <w:szCs w:val="24"/>
        </w:rPr>
        <w:t>Attachment 1:</w:t>
      </w:r>
      <w:r w:rsidRPr="00B06C2F">
        <w:rPr>
          <w:rFonts w:eastAsia="Arial" w:cs="Arial"/>
          <w:szCs w:val="24"/>
        </w:rPr>
        <w:t xml:space="preserve"> Analysis of Student Transfers from Non-Alternative High Schools to Alternative High Schools with Dashboard Alternative School Status</w:t>
      </w:r>
      <w:r w:rsidR="00533255" w:rsidRPr="00B06C2F">
        <w:rPr>
          <w:rFonts w:eastAsia="Arial" w:cs="Arial"/>
          <w:szCs w:val="24"/>
        </w:rPr>
        <w:t xml:space="preserve"> (</w:t>
      </w:r>
      <w:r w:rsidR="00481290">
        <w:rPr>
          <w:rFonts w:eastAsia="Arial" w:cs="Arial"/>
          <w:szCs w:val="24"/>
        </w:rPr>
        <w:t>10</w:t>
      </w:r>
      <w:bookmarkStart w:id="2" w:name="_GoBack"/>
      <w:bookmarkEnd w:id="2"/>
      <w:r w:rsidR="00533255" w:rsidRPr="00B06C2F">
        <w:rPr>
          <w:rFonts w:eastAsia="Arial" w:cs="Arial"/>
          <w:szCs w:val="24"/>
        </w:rPr>
        <w:t xml:space="preserve"> Pages)</w:t>
      </w:r>
    </w:p>
    <w:p w14:paraId="02EB378F" w14:textId="77777777" w:rsidR="00B47306" w:rsidRPr="00B06C2F" w:rsidRDefault="00B47306" w:rsidP="00B47306">
      <w:pPr>
        <w:rPr>
          <w:rFonts w:eastAsia="Arial" w:cs="Arial"/>
        </w:rPr>
        <w:sectPr w:rsidR="00B47306" w:rsidRPr="00B06C2F" w:rsidSect="00FF098A">
          <w:headerReference w:type="default" r:id="rId20"/>
          <w:footerReference w:type="default" r:id="rId21"/>
          <w:headerReference w:type="first" r:id="rId22"/>
          <w:type w:val="continuous"/>
          <w:pgSz w:w="12240" w:h="15840" w:code="1"/>
          <w:pgMar w:top="720" w:right="1440" w:bottom="720" w:left="1440" w:header="720" w:footer="720" w:gutter="0"/>
          <w:pgNumType w:start="1"/>
          <w:cols w:space="720"/>
          <w:docGrid w:linePitch="360"/>
        </w:sectPr>
      </w:pPr>
    </w:p>
    <w:p w14:paraId="7D985487" w14:textId="77777777" w:rsidR="00B47306" w:rsidRPr="00B06C2F" w:rsidRDefault="00B47306" w:rsidP="00307B78">
      <w:pPr>
        <w:pStyle w:val="Heading2"/>
      </w:pPr>
      <w:r w:rsidRPr="00B06C2F">
        <w:lastRenderedPageBreak/>
        <w:t>Attachment 1</w:t>
      </w:r>
    </w:p>
    <w:p w14:paraId="5301606C" w14:textId="77777777" w:rsidR="00B47306" w:rsidRPr="00B06C2F" w:rsidRDefault="00B47306" w:rsidP="00307B78">
      <w:pPr>
        <w:pStyle w:val="Heading3"/>
      </w:pPr>
      <w:r w:rsidRPr="00B06C2F">
        <w:t>Analysis of Student Transfers from Non-Alternative High Schools to Alternative High Schools with Dashboard Alternative School Status</w:t>
      </w:r>
    </w:p>
    <w:p w14:paraId="76E29F1A" w14:textId="678D4B48" w:rsidR="00B47306" w:rsidRPr="00B06C2F" w:rsidRDefault="00B47306" w:rsidP="00307B78">
      <w:pPr>
        <w:spacing w:after="240"/>
        <w:rPr>
          <w:rFonts w:eastAsia="Arial"/>
          <w:color w:val="000000" w:themeColor="text1"/>
        </w:rPr>
      </w:pPr>
      <w:r w:rsidRPr="00B06C2F">
        <w:t xml:space="preserve">This </w:t>
      </w:r>
      <w:r w:rsidR="00AC6B06" w:rsidRPr="00B06C2F">
        <w:t xml:space="preserve">is the </w:t>
      </w:r>
      <w:r w:rsidR="00253D41" w:rsidRPr="00B06C2F">
        <w:t>third</w:t>
      </w:r>
      <w:r w:rsidR="00AC6B06" w:rsidRPr="00B06C2F">
        <w:t xml:space="preserve"> </w:t>
      </w:r>
      <w:r w:rsidRPr="00B06C2F">
        <w:t xml:space="preserve">analysis </w:t>
      </w:r>
      <w:r w:rsidR="00AC6B06" w:rsidRPr="00B06C2F">
        <w:t xml:space="preserve">on the </w:t>
      </w:r>
      <w:r w:rsidRPr="00B06C2F">
        <w:t>transfer patterns between non-alternative high schools and Dashboard Alternative School Status (DASS) high schools and explores the impact of the DASS graduation rate on school transfer patterns.</w:t>
      </w:r>
      <w:r w:rsidR="00917CD7" w:rsidRPr="00B06C2F">
        <w:t xml:space="preserve"> The analyses </w:t>
      </w:r>
      <w:r w:rsidR="00AC6B06" w:rsidRPr="00B06C2F">
        <w:t xml:space="preserve">provided in this Memorandum </w:t>
      </w:r>
      <w:r w:rsidR="00917CD7" w:rsidRPr="00B06C2F">
        <w:t xml:space="preserve">are consistent with the </w:t>
      </w:r>
      <w:r w:rsidR="008A6175" w:rsidRPr="00B06C2F">
        <w:t>analyses that have been conducted to date</w:t>
      </w:r>
      <w:r w:rsidR="00917CD7" w:rsidRPr="00B06C2F">
        <w:t>.</w:t>
      </w:r>
      <w:r w:rsidR="00BB1D31" w:rsidRPr="00B06C2F">
        <w:rPr>
          <w:rFonts w:eastAsia="Arial"/>
          <w:color w:val="000000" w:themeColor="text1"/>
        </w:rPr>
        <w:t xml:space="preserve"> </w:t>
      </w:r>
      <w:r w:rsidR="005025C0" w:rsidRPr="00B06C2F">
        <w:rPr>
          <w:rFonts w:eastAsia="Arial"/>
          <w:color w:val="000000" w:themeColor="text1"/>
        </w:rPr>
        <w:t xml:space="preserve">Because the </w:t>
      </w:r>
      <w:r w:rsidR="001B314A" w:rsidRPr="00B06C2F">
        <w:rPr>
          <w:rFonts w:eastAsia="Arial"/>
          <w:color w:val="000000" w:themeColor="text1"/>
        </w:rPr>
        <w:t xml:space="preserve">current </w:t>
      </w:r>
      <w:r w:rsidR="005025C0" w:rsidRPr="00B06C2F">
        <w:rPr>
          <w:rFonts w:eastAsia="Arial"/>
          <w:color w:val="000000" w:themeColor="text1"/>
        </w:rPr>
        <w:t>analyses</w:t>
      </w:r>
      <w:r w:rsidR="00BE0B44" w:rsidRPr="00B06C2F">
        <w:rPr>
          <w:rFonts w:eastAsia="Arial"/>
          <w:color w:val="000000" w:themeColor="text1"/>
        </w:rPr>
        <w:t xml:space="preserve"> </w:t>
      </w:r>
      <w:r w:rsidR="001F6471" w:rsidRPr="00B06C2F">
        <w:rPr>
          <w:rFonts w:eastAsia="Arial"/>
          <w:color w:val="000000" w:themeColor="text1"/>
        </w:rPr>
        <w:t>reveal</w:t>
      </w:r>
      <w:r w:rsidR="001B314A" w:rsidRPr="00B06C2F">
        <w:rPr>
          <w:rFonts w:eastAsia="Arial"/>
          <w:color w:val="000000" w:themeColor="text1"/>
        </w:rPr>
        <w:t>ed</w:t>
      </w:r>
      <w:r w:rsidR="00BE0B44" w:rsidRPr="00B06C2F">
        <w:rPr>
          <w:rFonts w:eastAsia="Arial"/>
          <w:color w:val="000000" w:themeColor="text1"/>
        </w:rPr>
        <w:t xml:space="preserve"> that the</w:t>
      </w:r>
      <w:r w:rsidR="00BB1D31" w:rsidRPr="00B06C2F">
        <w:rPr>
          <w:rFonts w:eastAsia="Arial"/>
          <w:color w:val="000000" w:themeColor="text1"/>
        </w:rPr>
        <w:t xml:space="preserve"> DASS graduation rate</w:t>
      </w:r>
      <w:r w:rsidR="002C2C35" w:rsidRPr="00B06C2F">
        <w:rPr>
          <w:rFonts w:eastAsia="Arial"/>
          <w:color w:val="000000" w:themeColor="text1"/>
        </w:rPr>
        <w:t xml:space="preserve"> does </w:t>
      </w:r>
      <w:r w:rsidR="00BB1D31" w:rsidRPr="00B06C2F">
        <w:rPr>
          <w:rFonts w:eastAsia="Arial"/>
          <w:color w:val="000000" w:themeColor="text1"/>
        </w:rPr>
        <w:t>not significantly impact student transfers from non-alternative high schools to DASS high schools</w:t>
      </w:r>
      <w:r w:rsidR="005025C0" w:rsidRPr="00B06C2F">
        <w:rPr>
          <w:rFonts w:eastAsia="Arial"/>
          <w:color w:val="000000" w:themeColor="text1"/>
        </w:rPr>
        <w:t>, it</w:t>
      </w:r>
      <w:r w:rsidR="00BE0B44" w:rsidRPr="00B06C2F">
        <w:rPr>
          <w:rFonts w:eastAsia="Arial"/>
          <w:color w:val="000000" w:themeColor="text1"/>
        </w:rPr>
        <w:t xml:space="preserve"> does not warrant any changes to the calculation of the DASS graduation rate</w:t>
      </w:r>
      <w:r w:rsidR="001B314A" w:rsidRPr="00B06C2F">
        <w:rPr>
          <w:rFonts w:eastAsia="Arial"/>
          <w:color w:val="000000" w:themeColor="text1"/>
        </w:rPr>
        <w:t xml:space="preserve"> at this time</w:t>
      </w:r>
      <w:r w:rsidR="00BB1D31" w:rsidRPr="00B06C2F">
        <w:rPr>
          <w:rFonts w:eastAsia="Arial"/>
          <w:color w:val="000000" w:themeColor="text1"/>
        </w:rPr>
        <w:t>.</w:t>
      </w:r>
    </w:p>
    <w:p w14:paraId="0FEDCBE0" w14:textId="35A11829" w:rsidR="00B47306" w:rsidRPr="00B06C2F" w:rsidRDefault="00A7033C" w:rsidP="00B47306">
      <w:pPr>
        <w:spacing w:after="240"/>
        <w:rPr>
          <w:rFonts w:cs="Arial"/>
        </w:rPr>
      </w:pPr>
      <w:r w:rsidRPr="00B06C2F">
        <w:rPr>
          <w:rStyle w:val="normaltextrun"/>
          <w:rFonts w:eastAsia="Arial" w:cs="Arial"/>
          <w:color w:val="000000" w:themeColor="text1"/>
        </w:rPr>
        <w:t xml:space="preserve">The </w:t>
      </w:r>
      <w:r w:rsidR="0053003A" w:rsidRPr="00B06C2F">
        <w:rPr>
          <w:rStyle w:val="normaltextrun"/>
          <w:rFonts w:eastAsia="Arial" w:cs="Arial"/>
          <w:color w:val="000000" w:themeColor="text1"/>
        </w:rPr>
        <w:t>analys</w:t>
      </w:r>
      <w:r w:rsidR="00BE0262" w:rsidRPr="00B06C2F">
        <w:rPr>
          <w:rStyle w:val="normaltextrun"/>
          <w:rFonts w:eastAsia="Arial" w:cs="Arial"/>
          <w:color w:val="000000" w:themeColor="text1"/>
        </w:rPr>
        <w:t>es</w:t>
      </w:r>
      <w:r w:rsidR="0053003A" w:rsidRPr="00B06C2F">
        <w:rPr>
          <w:rStyle w:val="normaltextrun"/>
          <w:rFonts w:eastAsia="Arial" w:cs="Arial"/>
          <w:color w:val="000000" w:themeColor="text1"/>
        </w:rPr>
        <w:t xml:space="preserve"> in this Memorandum review</w:t>
      </w:r>
      <w:r w:rsidR="00BE0262" w:rsidRPr="00B06C2F">
        <w:rPr>
          <w:rStyle w:val="normaltextrun"/>
          <w:rFonts w:eastAsia="Arial" w:cs="Arial"/>
          <w:color w:val="000000" w:themeColor="text1"/>
        </w:rPr>
        <w:t>s</w:t>
      </w:r>
      <w:r w:rsidR="0053003A" w:rsidRPr="00B06C2F">
        <w:rPr>
          <w:rStyle w:val="normaltextrun"/>
          <w:rFonts w:eastAsia="Arial" w:cs="Arial"/>
          <w:color w:val="000000" w:themeColor="text1"/>
        </w:rPr>
        <w:t xml:space="preserve"> the </w:t>
      </w:r>
      <w:r w:rsidR="00384ACD" w:rsidRPr="00B06C2F">
        <w:rPr>
          <w:rStyle w:val="normaltextrun"/>
          <w:rFonts w:eastAsia="Arial" w:cs="Arial"/>
          <w:color w:val="000000" w:themeColor="text1"/>
        </w:rPr>
        <w:t xml:space="preserve">transfer </w:t>
      </w:r>
      <w:r w:rsidR="00B40FAE" w:rsidRPr="00B06C2F">
        <w:rPr>
          <w:rStyle w:val="normaltextrun"/>
          <w:rFonts w:eastAsia="Arial" w:cs="Arial"/>
          <w:color w:val="000000" w:themeColor="text1"/>
        </w:rPr>
        <w:t xml:space="preserve">patterns </w:t>
      </w:r>
      <w:r w:rsidR="00C70B01" w:rsidRPr="00B06C2F">
        <w:rPr>
          <w:rStyle w:val="normaltextrun"/>
          <w:rFonts w:eastAsia="Arial" w:cs="Arial"/>
          <w:color w:val="000000" w:themeColor="text1"/>
        </w:rPr>
        <w:t xml:space="preserve">between the </w:t>
      </w:r>
      <w:r w:rsidRPr="00B06C2F">
        <w:rPr>
          <w:rStyle w:val="normaltextrun"/>
          <w:rFonts w:eastAsia="Arial" w:cs="Arial"/>
          <w:color w:val="000000" w:themeColor="text1"/>
        </w:rPr>
        <w:t>2017–18</w:t>
      </w:r>
      <w:r w:rsidR="00C70B01" w:rsidRPr="00B06C2F">
        <w:rPr>
          <w:rStyle w:val="normaltextrun"/>
          <w:rFonts w:eastAsia="Arial" w:cs="Arial"/>
          <w:color w:val="000000" w:themeColor="text1"/>
        </w:rPr>
        <w:t xml:space="preserve"> and </w:t>
      </w:r>
      <w:r w:rsidRPr="00B06C2F">
        <w:rPr>
          <w:rFonts w:cs="Arial"/>
        </w:rPr>
        <w:t>20</w:t>
      </w:r>
      <w:r w:rsidR="00C70B01" w:rsidRPr="00B06C2F">
        <w:rPr>
          <w:rFonts w:cs="Arial"/>
        </w:rPr>
        <w:t>20</w:t>
      </w:r>
      <w:r w:rsidRPr="00B06C2F">
        <w:rPr>
          <w:rFonts w:cs="Arial"/>
        </w:rPr>
        <w:t>–2</w:t>
      </w:r>
      <w:r w:rsidR="00C70B01" w:rsidRPr="00B06C2F">
        <w:rPr>
          <w:rFonts w:cs="Arial"/>
        </w:rPr>
        <w:t>1</w:t>
      </w:r>
      <w:r w:rsidRPr="00B06C2F">
        <w:rPr>
          <w:rStyle w:val="normaltextrun"/>
          <w:rFonts w:eastAsia="Arial" w:cs="Arial"/>
          <w:color w:val="000000" w:themeColor="text1"/>
        </w:rPr>
        <w:t xml:space="preserve"> school years. </w:t>
      </w:r>
      <w:r w:rsidR="00B47306" w:rsidRPr="00B06C2F">
        <w:rPr>
          <w:rFonts w:cs="Arial"/>
        </w:rPr>
        <w:t xml:space="preserve">Student-level enrollment data from the California Longitudinal Pupil Achievement Data System (CALPADS) was used to identify student transfers from non-alternative high schools to DASS high schools. The student exits and enrollments in this analysis occurred within the school year windows of </w:t>
      </w:r>
      <w:r w:rsidR="00C70B01" w:rsidRPr="00B06C2F">
        <w:rPr>
          <w:rFonts w:cs="Arial"/>
        </w:rPr>
        <w:t>July 1, 2017, to June 30</w:t>
      </w:r>
      <w:r w:rsidR="00B47306" w:rsidRPr="00B06C2F">
        <w:rPr>
          <w:rFonts w:cs="Arial"/>
        </w:rPr>
        <w:t>, 2018; July 1, 2018, to June 30, 2019; July 1, 2019 to June 30, 2020</w:t>
      </w:r>
      <w:r w:rsidR="00C70B01" w:rsidRPr="00B06C2F">
        <w:rPr>
          <w:rFonts w:cs="Arial"/>
        </w:rPr>
        <w:t>; and July 1, 2020, to June 30, 2021.</w:t>
      </w:r>
    </w:p>
    <w:p w14:paraId="70EB6039" w14:textId="77777777" w:rsidR="00B47306" w:rsidRPr="00B06C2F" w:rsidRDefault="00B47306" w:rsidP="00307B78">
      <w:pPr>
        <w:spacing w:after="240"/>
      </w:pPr>
      <w:bookmarkStart w:id="3" w:name="_Hlk94611566"/>
      <w:r w:rsidRPr="00B06C2F">
        <w:t>To calculate the frequency of transfers, students who exited from a non-alternative public high school and sequentially enrolled in a DASS high school were only counted once. If a student had multiple transfers, only the first transfer was captured. This unduplicated count methodology ensures that each student is equally represented in the total transfer count.</w:t>
      </w:r>
      <w:bookmarkEnd w:id="3"/>
    </w:p>
    <w:p w14:paraId="1F97DAA4" w14:textId="08299D51" w:rsidR="00B47306" w:rsidRPr="00B06C2F" w:rsidRDefault="00B47306" w:rsidP="00B47306">
      <w:pPr>
        <w:spacing w:after="240"/>
        <w:rPr>
          <w:rFonts w:cs="Arial"/>
        </w:rPr>
      </w:pPr>
      <w:r w:rsidRPr="00B06C2F">
        <w:rPr>
          <w:rFonts w:cs="Arial"/>
        </w:rPr>
        <w:t>A yearly transfer total, along with monthly totals, was calculated for the 20</w:t>
      </w:r>
      <w:r w:rsidR="00C70B01" w:rsidRPr="00B06C2F">
        <w:rPr>
          <w:rFonts w:cs="Arial"/>
        </w:rPr>
        <w:t>20</w:t>
      </w:r>
      <w:r w:rsidR="00AC30F7" w:rsidRPr="00B06C2F">
        <w:rPr>
          <w:rFonts w:cs="Arial"/>
        </w:rPr>
        <w:t>–</w:t>
      </w:r>
      <w:r w:rsidRPr="00B06C2F">
        <w:rPr>
          <w:rFonts w:cs="Arial"/>
        </w:rPr>
        <w:t>2</w:t>
      </w:r>
      <w:r w:rsidR="00C70B01" w:rsidRPr="00B06C2F">
        <w:rPr>
          <w:rFonts w:cs="Arial"/>
        </w:rPr>
        <w:t>1</w:t>
      </w:r>
      <w:r w:rsidRPr="00B06C2F">
        <w:rPr>
          <w:rFonts w:cs="Arial"/>
        </w:rPr>
        <w:t xml:space="preserve"> </w:t>
      </w:r>
      <w:r w:rsidR="00697D4B" w:rsidRPr="00B06C2F">
        <w:rPr>
          <w:rFonts w:cs="Arial"/>
        </w:rPr>
        <w:t>school year</w:t>
      </w:r>
      <w:r w:rsidRPr="00B06C2F">
        <w:rPr>
          <w:rFonts w:cs="Arial"/>
        </w:rPr>
        <w:t xml:space="preserve"> and compared to the </w:t>
      </w:r>
      <w:r w:rsidR="00C70B01" w:rsidRPr="00B06C2F">
        <w:rPr>
          <w:rFonts w:cs="Arial"/>
        </w:rPr>
        <w:t>prior three years (</w:t>
      </w:r>
      <w:r w:rsidRPr="00B06C2F">
        <w:rPr>
          <w:rFonts w:cs="Arial"/>
        </w:rPr>
        <w:t>2017</w:t>
      </w:r>
      <w:r w:rsidR="00AC30F7" w:rsidRPr="00B06C2F">
        <w:rPr>
          <w:rFonts w:cs="Arial"/>
        </w:rPr>
        <w:t>–</w:t>
      </w:r>
      <w:r w:rsidRPr="00B06C2F">
        <w:rPr>
          <w:rFonts w:cs="Arial"/>
        </w:rPr>
        <w:t>18</w:t>
      </w:r>
      <w:r w:rsidR="00C70B01" w:rsidRPr="00B06C2F">
        <w:rPr>
          <w:rFonts w:cs="Arial"/>
        </w:rPr>
        <w:t xml:space="preserve">, </w:t>
      </w:r>
      <w:r w:rsidRPr="00B06C2F">
        <w:rPr>
          <w:rFonts w:cs="Arial"/>
        </w:rPr>
        <w:t>2018</w:t>
      </w:r>
      <w:r w:rsidR="00AC30F7" w:rsidRPr="00B06C2F">
        <w:rPr>
          <w:rFonts w:cs="Arial"/>
        </w:rPr>
        <w:t>–</w:t>
      </w:r>
      <w:r w:rsidRPr="00B06C2F">
        <w:rPr>
          <w:rFonts w:cs="Arial"/>
        </w:rPr>
        <w:t>19</w:t>
      </w:r>
      <w:r w:rsidR="00C70B01" w:rsidRPr="00B06C2F">
        <w:rPr>
          <w:rFonts w:cs="Arial"/>
        </w:rPr>
        <w:t>, and 2019–20) of</w:t>
      </w:r>
      <w:r w:rsidRPr="00B06C2F">
        <w:rPr>
          <w:rFonts w:cs="Arial"/>
        </w:rPr>
        <w:t xml:space="preserve"> data. The month-by-month analysis reveals how transfer counts fluctuate over the course of a </w:t>
      </w:r>
      <w:r w:rsidR="00697D4B" w:rsidRPr="00B06C2F">
        <w:rPr>
          <w:rFonts w:cs="Arial"/>
        </w:rPr>
        <w:t>school year</w:t>
      </w:r>
      <w:r w:rsidRPr="00B06C2F">
        <w:rPr>
          <w:rFonts w:cs="Arial"/>
        </w:rPr>
        <w:t>. The month in which a student transfer occurred was determined by the withdrawal date from the student’s non-alternative public high school.</w:t>
      </w:r>
    </w:p>
    <w:p w14:paraId="5B1A75AC" w14:textId="0028A0DC" w:rsidR="00B47306" w:rsidRPr="00B06C2F" w:rsidRDefault="00C263FD" w:rsidP="00B47306">
      <w:pPr>
        <w:spacing w:after="240"/>
        <w:rPr>
          <w:rFonts w:cs="Arial"/>
        </w:rPr>
      </w:pPr>
      <w:r w:rsidRPr="00B06C2F">
        <w:rPr>
          <w:rFonts w:cs="Arial"/>
        </w:rPr>
        <w:t xml:space="preserve">As in prior years, </w:t>
      </w:r>
      <w:r w:rsidR="00C70B01" w:rsidRPr="00B06C2F">
        <w:rPr>
          <w:rFonts w:cs="Arial"/>
        </w:rPr>
        <w:t>the following questions</w:t>
      </w:r>
      <w:r w:rsidR="00B47306" w:rsidRPr="00B06C2F">
        <w:rPr>
          <w:rFonts w:cs="Arial"/>
        </w:rPr>
        <w:t xml:space="preserve"> informed </w:t>
      </w:r>
      <w:r w:rsidR="00533255" w:rsidRPr="00B06C2F">
        <w:rPr>
          <w:rFonts w:cs="Arial"/>
        </w:rPr>
        <w:t>the analysis</w:t>
      </w:r>
      <w:r w:rsidR="00B47306" w:rsidRPr="00B06C2F">
        <w:rPr>
          <w:rFonts w:cs="Arial"/>
        </w:rPr>
        <w:t>:</w:t>
      </w:r>
    </w:p>
    <w:p w14:paraId="32DB3FE0" w14:textId="21A9947B" w:rsidR="00B47306" w:rsidRPr="00B06C2F" w:rsidRDefault="00B47306" w:rsidP="00D24FBD">
      <w:pPr>
        <w:pStyle w:val="ListParagraph"/>
        <w:numPr>
          <w:ilvl w:val="0"/>
          <w:numId w:val="35"/>
        </w:numPr>
        <w:spacing w:after="240"/>
      </w:pPr>
      <w:r w:rsidRPr="00B06C2F">
        <w:t>Was there a substantial increase in student transfers from non-alternative high schools to DASS high schools between the 2017–18 and 20</w:t>
      </w:r>
      <w:r w:rsidR="00C70B01" w:rsidRPr="00B06C2F">
        <w:t>20</w:t>
      </w:r>
      <w:r w:rsidRPr="00B06C2F">
        <w:t>–2</w:t>
      </w:r>
      <w:r w:rsidR="00C70B01" w:rsidRPr="00B06C2F">
        <w:t>1</w:t>
      </w:r>
      <w:r w:rsidRPr="00B06C2F">
        <w:t xml:space="preserve"> school years?</w:t>
      </w:r>
    </w:p>
    <w:p w14:paraId="75CC584F" w14:textId="26EDE7D1" w:rsidR="00B47306" w:rsidRPr="00B06C2F" w:rsidRDefault="5084460A" w:rsidP="00D24FBD">
      <w:pPr>
        <w:pStyle w:val="ListParagraph"/>
        <w:numPr>
          <w:ilvl w:val="0"/>
          <w:numId w:val="35"/>
        </w:numPr>
        <w:spacing w:after="240"/>
      </w:pPr>
      <w:r w:rsidRPr="00B06C2F">
        <w:t>During which months did transfers from non-alternative high schools to DASS schools most frequently occur?</w:t>
      </w:r>
    </w:p>
    <w:p w14:paraId="4BB5F4CE" w14:textId="2C2CCD30" w:rsidR="00B47306" w:rsidRPr="00B06C2F" w:rsidRDefault="5084460A" w:rsidP="00D24FBD">
      <w:pPr>
        <w:pStyle w:val="ListParagraph"/>
        <w:numPr>
          <w:ilvl w:val="0"/>
          <w:numId w:val="35"/>
        </w:numPr>
      </w:pPr>
      <w:r w:rsidRPr="00B06C2F">
        <w:t>Which student groups were most frequently transferred from non-alternative high schools to DASS schools?</w:t>
      </w:r>
    </w:p>
    <w:p w14:paraId="64B25AAE" w14:textId="3D4E3232" w:rsidR="00B47306" w:rsidRPr="00B06C2F" w:rsidRDefault="00B47306" w:rsidP="00D24FBD">
      <w:pPr>
        <w:pStyle w:val="ListParagraph"/>
        <w:numPr>
          <w:ilvl w:val="0"/>
          <w:numId w:val="35"/>
        </w:numPr>
        <w:spacing w:after="240"/>
      </w:pPr>
      <w:r w:rsidRPr="00B06C2F">
        <w:lastRenderedPageBreak/>
        <w:t>Do transfer patterns from 2017–2018 continue through the 20</w:t>
      </w:r>
      <w:r w:rsidR="00B82E86" w:rsidRPr="00B06C2F">
        <w:t>20</w:t>
      </w:r>
      <w:r w:rsidRPr="00B06C2F">
        <w:t>–2</w:t>
      </w:r>
      <w:r w:rsidR="00B82E86" w:rsidRPr="00B06C2F">
        <w:t>1</w:t>
      </w:r>
      <w:r w:rsidRPr="00B06C2F">
        <w:t xml:space="preserve"> school year?</w:t>
      </w:r>
    </w:p>
    <w:p w14:paraId="67CF6338" w14:textId="113216F0" w:rsidR="00B47306" w:rsidRPr="00B06C2F" w:rsidRDefault="00B47306" w:rsidP="00D24FBD">
      <w:pPr>
        <w:pStyle w:val="Heading4"/>
      </w:pPr>
      <w:r w:rsidRPr="00B06C2F">
        <w:t xml:space="preserve">Comparison of Transfer Patterns across </w:t>
      </w:r>
      <w:r w:rsidR="008A0E29" w:rsidRPr="00B06C2F">
        <w:t>Four</w:t>
      </w:r>
      <w:r w:rsidRPr="00B06C2F">
        <w:t xml:space="preserve"> </w:t>
      </w:r>
      <w:r w:rsidR="00697D4B" w:rsidRPr="00B06C2F">
        <w:t xml:space="preserve">School </w:t>
      </w:r>
      <w:r w:rsidR="008A0E29" w:rsidRPr="00B06C2F">
        <w:t>Y</w:t>
      </w:r>
      <w:r w:rsidR="00697D4B" w:rsidRPr="00B06C2F">
        <w:t>ear</w:t>
      </w:r>
      <w:r w:rsidRPr="00B06C2F">
        <w:t>s</w:t>
      </w:r>
    </w:p>
    <w:p w14:paraId="41F11C13" w14:textId="77777777" w:rsidR="00B47306" w:rsidRPr="00B06C2F" w:rsidRDefault="00B47306" w:rsidP="00D24FBD">
      <w:pPr>
        <w:pStyle w:val="Heading5"/>
      </w:pPr>
      <w:r w:rsidRPr="00B06C2F">
        <w:t>Monthly Transfer Patterns</w:t>
      </w:r>
    </w:p>
    <w:p w14:paraId="35F0E273" w14:textId="7A57456F" w:rsidR="00B47306" w:rsidRPr="00B06C2F" w:rsidRDefault="00B47306" w:rsidP="00B47306">
      <w:pPr>
        <w:spacing w:after="240"/>
        <w:rPr>
          <w:rFonts w:cs="Arial"/>
        </w:rPr>
      </w:pPr>
      <w:r w:rsidRPr="00B06C2F">
        <w:rPr>
          <w:rFonts w:eastAsia="Arial" w:cs="Arial"/>
        </w:rPr>
        <w:t xml:space="preserve">The first question that we explored </w:t>
      </w:r>
      <w:r w:rsidRPr="00B06C2F">
        <w:rPr>
          <w:rFonts w:cs="Arial"/>
        </w:rPr>
        <w:t>– Was there a substantial increase in student transfers from non-alternative high schools to DASS high schools between the 2017–2018 and 20</w:t>
      </w:r>
      <w:r w:rsidR="007C14F0" w:rsidRPr="00B06C2F">
        <w:rPr>
          <w:rFonts w:cs="Arial"/>
        </w:rPr>
        <w:t>20</w:t>
      </w:r>
      <w:r w:rsidRPr="00B06C2F">
        <w:rPr>
          <w:rFonts w:cs="Arial"/>
        </w:rPr>
        <w:t>–202</w:t>
      </w:r>
      <w:r w:rsidR="007C14F0" w:rsidRPr="00B06C2F">
        <w:rPr>
          <w:rFonts w:cs="Arial"/>
        </w:rPr>
        <w:t>1</w:t>
      </w:r>
      <w:r w:rsidRPr="00B06C2F">
        <w:rPr>
          <w:rFonts w:cs="Arial"/>
        </w:rPr>
        <w:t xml:space="preserve"> school years? – is answered in Figure 1, below.</w:t>
      </w:r>
    </w:p>
    <w:p w14:paraId="4E221D00" w14:textId="5FD4D3F9" w:rsidR="00B47306" w:rsidRPr="00B06C2F" w:rsidRDefault="00B47306" w:rsidP="00B47306">
      <w:pPr>
        <w:pStyle w:val="Heading5"/>
        <w:rPr>
          <w:rFonts w:eastAsia="Arial" w:cs="Arial"/>
          <w:b w:val="0"/>
          <w:i w:val="0"/>
          <w:color w:val="000000" w:themeColor="text1"/>
        </w:rPr>
      </w:pPr>
      <w:r w:rsidRPr="00B06C2F">
        <w:rPr>
          <w:rFonts w:eastAsia="Arial" w:cs="Arial"/>
          <w:b w:val="0"/>
          <w:i w:val="0"/>
          <w:color w:val="000000" w:themeColor="text1"/>
        </w:rPr>
        <w:t>Figure 1. Month-by-Month Transfer Totals across 2017–18, 2018–19, 2019–20</w:t>
      </w:r>
      <w:r w:rsidR="00C263FD" w:rsidRPr="00B06C2F">
        <w:rPr>
          <w:rFonts w:eastAsia="Arial" w:cs="Arial"/>
          <w:b w:val="0"/>
          <w:i w:val="0"/>
          <w:color w:val="000000" w:themeColor="text1"/>
        </w:rPr>
        <w:t>, and 2020–21</w:t>
      </w:r>
    </w:p>
    <w:p w14:paraId="5A39BBE3" w14:textId="77777777" w:rsidR="00B47306" w:rsidRPr="00B06C2F" w:rsidRDefault="00B47306" w:rsidP="00B47306">
      <w:pPr>
        <w:rPr>
          <w:rFonts w:eastAsia="Arial"/>
          <w:sz w:val="16"/>
        </w:rPr>
      </w:pPr>
    </w:p>
    <w:p w14:paraId="41C8F396" w14:textId="12A4401A" w:rsidR="00B47306" w:rsidRPr="00B06C2F" w:rsidRDefault="5B6F259C" w:rsidP="00B47306">
      <w:r w:rsidRPr="00B06C2F">
        <w:rPr>
          <w:noProof/>
        </w:rPr>
        <w:drawing>
          <wp:inline distT="0" distB="0" distL="0" distR="0" wp14:anchorId="423BEAD4" wp14:editId="08426880">
            <wp:extent cx="5943600" cy="3717925"/>
            <wp:effectExtent l="0" t="0" r="0" b="0"/>
            <wp:docPr id="1" name="Picture 1" descr="Graph depicting the number of DASS student transfers between July to June from 2017-18 to 20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943600" cy="3717925"/>
                    </a:xfrm>
                    <a:prstGeom prst="rect">
                      <a:avLst/>
                    </a:prstGeom>
                  </pic:spPr>
                </pic:pic>
              </a:graphicData>
            </a:graphic>
          </wp:inline>
        </w:drawing>
      </w:r>
    </w:p>
    <w:p w14:paraId="1EFDD54E" w14:textId="328DF701" w:rsidR="00B47306" w:rsidRPr="00B06C2F" w:rsidRDefault="00B47306" w:rsidP="00D24FBD">
      <w:pPr>
        <w:pStyle w:val="Heading4"/>
      </w:pPr>
      <w:r w:rsidRPr="00B06C2F">
        <w:t>Summary of Month-to-Month Transfer Totals</w:t>
      </w:r>
    </w:p>
    <w:p w14:paraId="06B2C8CC" w14:textId="483EFABE" w:rsidR="00DC5B5A" w:rsidRPr="00B06C2F" w:rsidRDefault="5D0A5890" w:rsidP="00BE3748">
      <w:pPr>
        <w:spacing w:after="240"/>
        <w:rPr>
          <w:rFonts w:cs="Arial"/>
        </w:rPr>
      </w:pPr>
      <w:r w:rsidRPr="00B06C2F">
        <w:rPr>
          <w:rFonts w:eastAsia="Arial" w:cs="Arial"/>
          <w:color w:val="000000" w:themeColor="text1"/>
        </w:rPr>
        <w:t xml:space="preserve">As noted earlier, </w:t>
      </w:r>
      <w:r w:rsidR="690ACE6A" w:rsidRPr="00B06C2F">
        <w:rPr>
          <w:rFonts w:eastAsia="Arial" w:cs="Arial"/>
          <w:color w:val="000000" w:themeColor="text1"/>
        </w:rPr>
        <w:t xml:space="preserve">last year </w:t>
      </w:r>
      <w:r w:rsidR="5069CA17" w:rsidRPr="00B06C2F">
        <w:rPr>
          <w:rFonts w:eastAsia="Arial" w:cs="Arial"/>
          <w:color w:val="000000" w:themeColor="text1"/>
        </w:rPr>
        <w:t>in 2019–20</w:t>
      </w:r>
      <w:r w:rsidRPr="00B06C2F">
        <w:rPr>
          <w:rFonts w:eastAsia="Arial" w:cs="Arial"/>
          <w:color w:val="000000" w:themeColor="text1"/>
        </w:rPr>
        <w:t>, there was a considerable drop in the transfer of students from non-alternative high schools to DASS high schools beginning in March 2020</w:t>
      </w:r>
      <w:r w:rsidR="5069CA17" w:rsidRPr="00B06C2F">
        <w:rPr>
          <w:rFonts w:eastAsia="Arial" w:cs="Arial"/>
          <w:color w:val="000000" w:themeColor="text1"/>
        </w:rPr>
        <w:t>.</w:t>
      </w:r>
      <w:r w:rsidRPr="00B06C2F">
        <w:rPr>
          <w:rFonts w:eastAsia="Arial" w:cs="Arial"/>
        </w:rPr>
        <w:t xml:space="preserve"> </w:t>
      </w:r>
      <w:r w:rsidRPr="00B06C2F">
        <w:rPr>
          <w:rFonts w:eastAsia="Arial" w:cs="Arial"/>
          <w:color w:val="000000" w:themeColor="text1"/>
        </w:rPr>
        <w:t xml:space="preserve">This dramatic decline was likely due to the COVID-19 stay-at-home order issued by Governor Gavin Newsom on March 19, 2020, and the </w:t>
      </w:r>
      <w:r w:rsidR="008E29CE" w:rsidRPr="00B06C2F">
        <w:rPr>
          <w:rFonts w:eastAsia="Arial" w:cs="Arial"/>
          <w:color w:val="000000" w:themeColor="text1"/>
        </w:rPr>
        <w:t xml:space="preserve">in-person </w:t>
      </w:r>
      <w:r w:rsidRPr="00B06C2F">
        <w:rPr>
          <w:rFonts w:eastAsia="Arial" w:cs="Arial"/>
          <w:color w:val="000000" w:themeColor="text1"/>
        </w:rPr>
        <w:t xml:space="preserve">school closures that occurred across the state following the executive order. </w:t>
      </w:r>
      <w:r w:rsidR="51E2DD0A" w:rsidRPr="00B06C2F">
        <w:rPr>
          <w:rFonts w:eastAsia="Arial" w:cs="Arial"/>
          <w:color w:val="000000" w:themeColor="text1"/>
        </w:rPr>
        <w:t>However,</w:t>
      </w:r>
      <w:r w:rsidR="5069CA17" w:rsidRPr="00B06C2F">
        <w:rPr>
          <w:rFonts w:eastAsia="Arial" w:cs="Arial"/>
          <w:color w:val="000000" w:themeColor="text1"/>
        </w:rPr>
        <w:t xml:space="preserve"> as seen in Figure 1, the 2020</w:t>
      </w:r>
      <w:r w:rsidR="5069CA17" w:rsidRPr="00B06C2F">
        <w:rPr>
          <w:rFonts w:cs="Arial"/>
        </w:rPr>
        <w:t xml:space="preserve">–21 </w:t>
      </w:r>
      <w:r w:rsidR="4B38347A" w:rsidRPr="00B06C2F">
        <w:rPr>
          <w:rFonts w:cs="Arial"/>
        </w:rPr>
        <w:t xml:space="preserve">transfer patterns </w:t>
      </w:r>
      <w:r w:rsidR="3F333A8A" w:rsidRPr="00B06C2F">
        <w:rPr>
          <w:rFonts w:cs="Arial"/>
        </w:rPr>
        <w:t xml:space="preserve">reflect the return of the </w:t>
      </w:r>
      <w:r w:rsidR="1AE7F701" w:rsidRPr="00B06C2F">
        <w:rPr>
          <w:rFonts w:cs="Arial"/>
        </w:rPr>
        <w:t xml:space="preserve">general </w:t>
      </w:r>
      <w:r w:rsidR="3F333A8A" w:rsidRPr="00B06C2F">
        <w:rPr>
          <w:rFonts w:cs="Arial"/>
        </w:rPr>
        <w:t xml:space="preserve">trends </w:t>
      </w:r>
      <w:r w:rsidR="4B38347A" w:rsidRPr="00B06C2F">
        <w:rPr>
          <w:rFonts w:cs="Arial"/>
        </w:rPr>
        <w:t>seen in 2017–18 and 2018–19.</w:t>
      </w:r>
      <w:r w:rsidR="1AE7F701" w:rsidRPr="00B06C2F">
        <w:rPr>
          <w:rFonts w:cs="Arial"/>
        </w:rPr>
        <w:t xml:space="preserve"> </w:t>
      </w:r>
      <w:r w:rsidR="11773A3C" w:rsidRPr="00B06C2F">
        <w:rPr>
          <w:rFonts w:cs="Arial"/>
        </w:rPr>
        <w:t xml:space="preserve">This may be due to the </w:t>
      </w:r>
      <w:r w:rsidR="5069CA17" w:rsidRPr="00B06C2F">
        <w:rPr>
          <w:rFonts w:cs="Arial"/>
        </w:rPr>
        <w:t xml:space="preserve">re-establishment of </w:t>
      </w:r>
      <w:r w:rsidR="51E2DD0A" w:rsidRPr="00B06C2F">
        <w:rPr>
          <w:rFonts w:eastAsia="Arial" w:cs="Arial"/>
        </w:rPr>
        <w:t xml:space="preserve">in-person learning beginning </w:t>
      </w:r>
      <w:r w:rsidR="51E2DD0A" w:rsidRPr="00B06C2F">
        <w:rPr>
          <w:rFonts w:eastAsia="Arial" w:cs="Arial"/>
        </w:rPr>
        <w:lastRenderedPageBreak/>
        <w:t>with the 2</w:t>
      </w:r>
      <w:r w:rsidR="51E2DD0A" w:rsidRPr="00B06C2F">
        <w:rPr>
          <w:rFonts w:eastAsia="Arial" w:cs="Arial"/>
          <w:color w:val="000000" w:themeColor="text1"/>
        </w:rPr>
        <w:t>020</w:t>
      </w:r>
      <w:r w:rsidR="51E2DD0A" w:rsidRPr="00B06C2F">
        <w:rPr>
          <w:rFonts w:cs="Arial"/>
        </w:rPr>
        <w:t xml:space="preserve">–21 school year. </w:t>
      </w:r>
      <w:r w:rsidR="51E2DD0A" w:rsidRPr="00B06C2F">
        <w:rPr>
          <w:rFonts w:eastAsia="Arial" w:cs="Arial"/>
          <w:color w:val="000000" w:themeColor="text1"/>
        </w:rPr>
        <w:t xml:space="preserve">This is all evident in Table 1 which reflects the same data as in Figure 1 and </w:t>
      </w:r>
      <w:r w:rsidR="51E2DD0A" w:rsidRPr="00B06C2F">
        <w:rPr>
          <w:rFonts w:cs="Arial"/>
        </w:rPr>
        <w:t>examines the months in which transfers from non-alternative high schools to DASS high schools most frequently occurred.</w:t>
      </w:r>
    </w:p>
    <w:p w14:paraId="394C620B" w14:textId="1C28DC55" w:rsidR="00CE3A68" w:rsidRPr="00B06C2F" w:rsidRDefault="00DC5B5A" w:rsidP="00BE3748">
      <w:pPr>
        <w:spacing w:after="240"/>
        <w:rPr>
          <w:rFonts w:eastAsia="Arial" w:cs="Arial"/>
          <w:color w:val="000000" w:themeColor="text1"/>
        </w:rPr>
      </w:pPr>
      <w:r w:rsidRPr="00B06C2F">
        <w:rPr>
          <w:rFonts w:cs="Arial"/>
        </w:rPr>
        <w:t>O</w:t>
      </w:r>
      <w:r w:rsidR="00F74086" w:rsidRPr="00B06C2F">
        <w:rPr>
          <w:rFonts w:cs="Arial"/>
        </w:rPr>
        <w:t xml:space="preserve">ne significant </w:t>
      </w:r>
      <w:r w:rsidRPr="00B06C2F">
        <w:rPr>
          <w:rFonts w:cs="Arial"/>
        </w:rPr>
        <w:t xml:space="preserve">general trend seen throughout the last four years (2017–18 to </w:t>
      </w:r>
      <w:r w:rsidRPr="00B06C2F">
        <w:rPr>
          <w:rFonts w:eastAsia="Arial" w:cs="Arial"/>
        </w:rPr>
        <w:t>2</w:t>
      </w:r>
      <w:r w:rsidRPr="00B06C2F">
        <w:rPr>
          <w:rFonts w:eastAsia="Arial" w:cs="Arial"/>
          <w:color w:val="000000" w:themeColor="text1"/>
        </w:rPr>
        <w:t>020</w:t>
      </w:r>
      <w:r w:rsidRPr="00B06C2F">
        <w:rPr>
          <w:rFonts w:cs="Arial"/>
        </w:rPr>
        <w:t xml:space="preserve">–21) </w:t>
      </w:r>
      <w:r w:rsidR="00F74086" w:rsidRPr="00B06C2F">
        <w:rPr>
          <w:rFonts w:cs="Arial"/>
        </w:rPr>
        <w:t>is the overall decline in transfer</w:t>
      </w:r>
      <w:r w:rsidR="00923D7F" w:rsidRPr="00B06C2F">
        <w:rPr>
          <w:rFonts w:cs="Arial"/>
        </w:rPr>
        <w:t xml:space="preserve"> counts</w:t>
      </w:r>
      <w:r w:rsidR="00F74086" w:rsidRPr="00B06C2F">
        <w:rPr>
          <w:rFonts w:cs="Arial"/>
        </w:rPr>
        <w:t>. This begs the question if this may be due to a decrease in the number of enrolled DASS students compared to prior years, which will be examined later.</w:t>
      </w:r>
    </w:p>
    <w:p w14:paraId="2A61D866" w14:textId="28A0D8E4" w:rsidR="00B47306" w:rsidRPr="00B06C2F" w:rsidRDefault="00B47306" w:rsidP="00D24FBD">
      <w:pPr>
        <w:pStyle w:val="Heading5"/>
      </w:pPr>
      <w:r w:rsidRPr="00B06C2F">
        <w:t>Table 1. Difference and Percent Change of Transfer Totals</w:t>
      </w:r>
    </w:p>
    <w:tbl>
      <w:tblPr>
        <w:tblStyle w:val="TableGrid3"/>
        <w:tblW w:w="9445" w:type="dxa"/>
        <w:tblLayout w:type="fixed"/>
        <w:tblLook w:val="06A0" w:firstRow="1" w:lastRow="0" w:firstColumn="1" w:lastColumn="0" w:noHBand="1" w:noVBand="1"/>
        <w:tblCaption w:val="Difference and Percent Change of Transfer Total"/>
        <w:tblDescription w:val="Difference and Percent Change of Transfer Totals for the 2017–18, 2018–19, 2019–20, and 2020–21 school years"/>
      </w:tblPr>
      <w:tblGrid>
        <w:gridCol w:w="1435"/>
        <w:gridCol w:w="1170"/>
        <w:gridCol w:w="1170"/>
        <w:gridCol w:w="1170"/>
        <w:gridCol w:w="1170"/>
        <w:gridCol w:w="1665"/>
        <w:gridCol w:w="1665"/>
      </w:tblGrid>
      <w:tr w:rsidR="00E9268C" w:rsidRPr="00B06C2F" w14:paraId="29BCFD21" w14:textId="77777777" w:rsidTr="007B055E">
        <w:trPr>
          <w:cantSplit/>
          <w:trHeight w:val="675"/>
          <w:tblHeader/>
        </w:trPr>
        <w:tc>
          <w:tcPr>
            <w:tcW w:w="1435" w:type="dxa"/>
            <w:shd w:val="clear" w:color="auto" w:fill="D9D9D9" w:themeFill="background1" w:themeFillShade="D9"/>
            <w:vAlign w:val="center"/>
          </w:tcPr>
          <w:p w14:paraId="401F8812" w14:textId="77777777" w:rsidR="00E9268C" w:rsidRPr="00B06C2F" w:rsidRDefault="00E9268C" w:rsidP="00A43A0B">
            <w:pPr>
              <w:rPr>
                <w:rFonts w:eastAsia="Arial" w:cs="Arial"/>
                <w:b/>
                <w:bCs/>
                <w:sz w:val="24"/>
                <w:szCs w:val="24"/>
              </w:rPr>
            </w:pPr>
            <w:r w:rsidRPr="00B06C2F">
              <w:rPr>
                <w:rFonts w:eastAsia="Arial" w:cs="Arial"/>
                <w:b/>
                <w:bCs/>
                <w:sz w:val="24"/>
                <w:szCs w:val="24"/>
              </w:rPr>
              <w:t>Month</w:t>
            </w:r>
          </w:p>
        </w:tc>
        <w:tc>
          <w:tcPr>
            <w:tcW w:w="1170" w:type="dxa"/>
            <w:shd w:val="clear" w:color="auto" w:fill="D9D9D9" w:themeFill="background1" w:themeFillShade="D9"/>
            <w:vAlign w:val="center"/>
          </w:tcPr>
          <w:p w14:paraId="069C6609" w14:textId="77777777" w:rsidR="00E9268C" w:rsidRPr="00B06C2F" w:rsidRDefault="00E9268C" w:rsidP="00A43A0B">
            <w:pPr>
              <w:jc w:val="right"/>
              <w:rPr>
                <w:rFonts w:eastAsia="Arial" w:cs="Arial"/>
                <w:b/>
                <w:bCs/>
                <w:sz w:val="24"/>
                <w:szCs w:val="24"/>
              </w:rPr>
            </w:pPr>
            <w:r w:rsidRPr="00B06C2F">
              <w:rPr>
                <w:rFonts w:eastAsia="Arial" w:cs="Arial"/>
                <w:b/>
                <w:bCs/>
                <w:sz w:val="24"/>
                <w:szCs w:val="24"/>
              </w:rPr>
              <w:t>2017–18 Counts</w:t>
            </w:r>
          </w:p>
        </w:tc>
        <w:tc>
          <w:tcPr>
            <w:tcW w:w="1170" w:type="dxa"/>
            <w:shd w:val="clear" w:color="auto" w:fill="D9D9D9" w:themeFill="background1" w:themeFillShade="D9"/>
            <w:vAlign w:val="center"/>
          </w:tcPr>
          <w:p w14:paraId="12BD497C" w14:textId="70B7C025" w:rsidR="00E9268C" w:rsidRPr="00B06C2F" w:rsidRDefault="00E9268C" w:rsidP="00A43A0B">
            <w:pPr>
              <w:jc w:val="right"/>
              <w:rPr>
                <w:rFonts w:eastAsia="Arial" w:cs="Arial"/>
                <w:b/>
                <w:bCs/>
                <w:sz w:val="24"/>
                <w:szCs w:val="24"/>
              </w:rPr>
            </w:pPr>
            <w:r w:rsidRPr="00B06C2F">
              <w:rPr>
                <w:rFonts w:eastAsia="Arial" w:cs="Arial"/>
                <w:b/>
                <w:bCs/>
                <w:sz w:val="24"/>
                <w:szCs w:val="24"/>
              </w:rPr>
              <w:t>2018–19</w:t>
            </w:r>
          </w:p>
          <w:p w14:paraId="3FFA1F7E" w14:textId="703A96EF" w:rsidR="00E9268C" w:rsidRPr="00B06C2F" w:rsidRDefault="00E9268C" w:rsidP="00A43A0B">
            <w:pPr>
              <w:jc w:val="right"/>
              <w:rPr>
                <w:rFonts w:eastAsia="Arial" w:cs="Arial"/>
                <w:b/>
                <w:bCs/>
                <w:sz w:val="24"/>
                <w:szCs w:val="24"/>
              </w:rPr>
            </w:pPr>
            <w:r w:rsidRPr="00B06C2F">
              <w:rPr>
                <w:rFonts w:eastAsia="Arial" w:cs="Arial"/>
                <w:b/>
                <w:bCs/>
                <w:sz w:val="24"/>
                <w:szCs w:val="24"/>
              </w:rPr>
              <w:t>Counts</w:t>
            </w:r>
          </w:p>
        </w:tc>
        <w:tc>
          <w:tcPr>
            <w:tcW w:w="1170" w:type="dxa"/>
            <w:shd w:val="clear" w:color="auto" w:fill="D9D9D9" w:themeFill="background1" w:themeFillShade="D9"/>
            <w:vAlign w:val="center"/>
          </w:tcPr>
          <w:p w14:paraId="08B10856" w14:textId="54533550" w:rsidR="00E9268C" w:rsidRPr="00B06C2F" w:rsidRDefault="00E9268C" w:rsidP="00A43A0B">
            <w:pPr>
              <w:jc w:val="right"/>
              <w:rPr>
                <w:rFonts w:eastAsia="Arial" w:cs="Arial"/>
                <w:b/>
                <w:bCs/>
                <w:sz w:val="24"/>
                <w:szCs w:val="24"/>
              </w:rPr>
            </w:pPr>
            <w:r w:rsidRPr="00B06C2F">
              <w:rPr>
                <w:rFonts w:eastAsia="Arial" w:cs="Arial"/>
                <w:b/>
                <w:bCs/>
                <w:sz w:val="24"/>
                <w:szCs w:val="24"/>
              </w:rPr>
              <w:t>2019–20</w:t>
            </w:r>
          </w:p>
          <w:p w14:paraId="65264C3E" w14:textId="02B8DADD" w:rsidR="00E9268C" w:rsidRPr="00B06C2F" w:rsidRDefault="00E9268C" w:rsidP="00A43A0B">
            <w:pPr>
              <w:jc w:val="right"/>
              <w:rPr>
                <w:rFonts w:eastAsia="Arial" w:cs="Arial"/>
                <w:b/>
                <w:bCs/>
                <w:sz w:val="24"/>
                <w:szCs w:val="24"/>
              </w:rPr>
            </w:pPr>
            <w:r w:rsidRPr="00B06C2F">
              <w:rPr>
                <w:rFonts w:eastAsia="Arial" w:cs="Arial"/>
                <w:b/>
                <w:bCs/>
                <w:sz w:val="24"/>
                <w:szCs w:val="24"/>
              </w:rPr>
              <w:t>Counts</w:t>
            </w:r>
          </w:p>
        </w:tc>
        <w:tc>
          <w:tcPr>
            <w:tcW w:w="1170" w:type="dxa"/>
            <w:shd w:val="clear" w:color="auto" w:fill="D9D9D9" w:themeFill="background1" w:themeFillShade="D9"/>
            <w:vAlign w:val="center"/>
          </w:tcPr>
          <w:p w14:paraId="1CA4B923" w14:textId="1731313B" w:rsidR="00E9268C" w:rsidRPr="00B06C2F" w:rsidRDefault="00E9268C" w:rsidP="00A43A0B">
            <w:pPr>
              <w:jc w:val="right"/>
              <w:rPr>
                <w:rFonts w:eastAsia="Arial" w:cs="Arial"/>
                <w:b/>
                <w:bCs/>
                <w:sz w:val="24"/>
                <w:szCs w:val="24"/>
              </w:rPr>
            </w:pPr>
            <w:r w:rsidRPr="00B06C2F">
              <w:rPr>
                <w:rFonts w:eastAsia="Arial" w:cs="Arial"/>
                <w:b/>
                <w:bCs/>
                <w:sz w:val="24"/>
                <w:szCs w:val="24"/>
              </w:rPr>
              <w:t>2020–21</w:t>
            </w:r>
          </w:p>
          <w:p w14:paraId="650D9A20" w14:textId="765F40F7" w:rsidR="00E9268C" w:rsidRPr="00B06C2F" w:rsidRDefault="00E9268C" w:rsidP="00A43A0B">
            <w:pPr>
              <w:jc w:val="right"/>
              <w:rPr>
                <w:rFonts w:eastAsia="Arial" w:cs="Arial"/>
                <w:b/>
                <w:bCs/>
                <w:sz w:val="24"/>
                <w:szCs w:val="24"/>
              </w:rPr>
            </w:pPr>
            <w:r w:rsidRPr="00B06C2F">
              <w:rPr>
                <w:rFonts w:eastAsia="Arial" w:cs="Arial"/>
                <w:b/>
                <w:bCs/>
                <w:sz w:val="24"/>
                <w:szCs w:val="24"/>
              </w:rPr>
              <w:t>Counts</w:t>
            </w:r>
          </w:p>
        </w:tc>
        <w:tc>
          <w:tcPr>
            <w:tcW w:w="1665" w:type="dxa"/>
            <w:shd w:val="clear" w:color="auto" w:fill="D9D9D9" w:themeFill="background1" w:themeFillShade="D9"/>
            <w:vAlign w:val="center"/>
          </w:tcPr>
          <w:p w14:paraId="60DCD38D" w14:textId="000C6892" w:rsidR="00E9268C" w:rsidRPr="00B06C2F" w:rsidRDefault="00E9268C" w:rsidP="00A43A0B">
            <w:pPr>
              <w:jc w:val="right"/>
              <w:rPr>
                <w:rFonts w:eastAsia="Arial" w:cs="Arial"/>
                <w:b/>
                <w:bCs/>
                <w:sz w:val="24"/>
                <w:szCs w:val="24"/>
              </w:rPr>
            </w:pPr>
            <w:r w:rsidRPr="00B06C2F">
              <w:rPr>
                <w:rFonts w:eastAsia="Arial" w:cs="Arial"/>
                <w:b/>
                <w:bCs/>
                <w:sz w:val="24"/>
                <w:szCs w:val="24"/>
              </w:rPr>
              <w:t>Difference 2017–18 to 2020–21</w:t>
            </w:r>
          </w:p>
        </w:tc>
        <w:tc>
          <w:tcPr>
            <w:tcW w:w="1665" w:type="dxa"/>
            <w:shd w:val="clear" w:color="auto" w:fill="D9D9D9" w:themeFill="background1" w:themeFillShade="D9"/>
            <w:vAlign w:val="center"/>
          </w:tcPr>
          <w:p w14:paraId="3416021C" w14:textId="2B95B47C" w:rsidR="00E9268C" w:rsidRPr="00B06C2F" w:rsidRDefault="00E9268C" w:rsidP="00A43A0B">
            <w:pPr>
              <w:jc w:val="right"/>
              <w:rPr>
                <w:rFonts w:eastAsia="Arial" w:cs="Arial"/>
                <w:b/>
                <w:bCs/>
                <w:sz w:val="24"/>
                <w:szCs w:val="24"/>
              </w:rPr>
            </w:pPr>
            <w:r w:rsidRPr="00B06C2F">
              <w:rPr>
                <w:rFonts w:eastAsia="Arial" w:cs="Arial"/>
                <w:b/>
                <w:bCs/>
                <w:sz w:val="24"/>
                <w:szCs w:val="24"/>
              </w:rPr>
              <w:t>Percent Change</w:t>
            </w:r>
          </w:p>
          <w:p w14:paraId="2AD7F8CC" w14:textId="639F14FA" w:rsidR="00E9268C" w:rsidRPr="00B06C2F" w:rsidRDefault="00E9268C" w:rsidP="00A43A0B">
            <w:pPr>
              <w:jc w:val="right"/>
              <w:rPr>
                <w:rFonts w:eastAsia="Arial" w:cs="Arial"/>
                <w:b/>
                <w:bCs/>
                <w:sz w:val="24"/>
                <w:szCs w:val="24"/>
              </w:rPr>
            </w:pPr>
            <w:r w:rsidRPr="00B06C2F">
              <w:rPr>
                <w:rFonts w:eastAsia="Arial" w:cs="Arial"/>
                <w:b/>
                <w:bCs/>
                <w:sz w:val="24"/>
                <w:szCs w:val="24"/>
              </w:rPr>
              <w:t>2017–18 to 2020–21</w:t>
            </w:r>
          </w:p>
        </w:tc>
      </w:tr>
      <w:tr w:rsidR="00C32B9F" w:rsidRPr="00B06C2F" w14:paraId="75F3C651" w14:textId="77777777" w:rsidTr="007B055E">
        <w:trPr>
          <w:cantSplit/>
          <w:trHeight w:val="343"/>
        </w:trPr>
        <w:tc>
          <w:tcPr>
            <w:tcW w:w="1435" w:type="dxa"/>
            <w:vAlign w:val="center"/>
          </w:tcPr>
          <w:p w14:paraId="2B6B7341" w14:textId="77777777" w:rsidR="00C32B9F" w:rsidRPr="00B06C2F" w:rsidRDefault="00C32B9F" w:rsidP="00A43A0B">
            <w:pPr>
              <w:rPr>
                <w:rFonts w:eastAsia="Arial" w:cs="Arial"/>
                <w:sz w:val="24"/>
                <w:szCs w:val="24"/>
              </w:rPr>
            </w:pPr>
            <w:r w:rsidRPr="00B06C2F">
              <w:rPr>
                <w:rFonts w:eastAsia="Arial" w:cs="Arial"/>
                <w:sz w:val="24"/>
                <w:szCs w:val="24"/>
              </w:rPr>
              <w:t>July</w:t>
            </w:r>
          </w:p>
        </w:tc>
        <w:tc>
          <w:tcPr>
            <w:tcW w:w="1170" w:type="dxa"/>
            <w:vAlign w:val="center"/>
          </w:tcPr>
          <w:p w14:paraId="66710ED8" w14:textId="77777777" w:rsidR="00C32B9F" w:rsidRPr="00B06C2F" w:rsidRDefault="00C32B9F" w:rsidP="00A43A0B">
            <w:pPr>
              <w:jc w:val="right"/>
              <w:rPr>
                <w:rFonts w:eastAsia="Arial" w:cs="Arial"/>
                <w:sz w:val="24"/>
                <w:szCs w:val="24"/>
              </w:rPr>
            </w:pPr>
            <w:r w:rsidRPr="00B06C2F">
              <w:rPr>
                <w:rFonts w:eastAsia="Arial" w:cs="Arial"/>
                <w:sz w:val="24"/>
                <w:szCs w:val="24"/>
              </w:rPr>
              <w:t>190</w:t>
            </w:r>
          </w:p>
        </w:tc>
        <w:tc>
          <w:tcPr>
            <w:tcW w:w="1170" w:type="dxa"/>
            <w:vAlign w:val="center"/>
          </w:tcPr>
          <w:p w14:paraId="144EC99B" w14:textId="77777777" w:rsidR="00C32B9F" w:rsidRPr="00B06C2F" w:rsidRDefault="00C32B9F" w:rsidP="00A43A0B">
            <w:pPr>
              <w:jc w:val="right"/>
              <w:rPr>
                <w:rFonts w:eastAsia="Arial" w:cs="Arial"/>
                <w:sz w:val="24"/>
                <w:szCs w:val="24"/>
              </w:rPr>
            </w:pPr>
            <w:r w:rsidRPr="00B06C2F">
              <w:rPr>
                <w:rFonts w:eastAsia="Arial" w:cs="Arial"/>
                <w:sz w:val="24"/>
                <w:szCs w:val="24"/>
              </w:rPr>
              <w:t>246</w:t>
            </w:r>
          </w:p>
        </w:tc>
        <w:tc>
          <w:tcPr>
            <w:tcW w:w="1170" w:type="dxa"/>
            <w:vAlign w:val="center"/>
          </w:tcPr>
          <w:p w14:paraId="6464CB4F" w14:textId="77777777" w:rsidR="00C32B9F" w:rsidRPr="00B06C2F" w:rsidRDefault="00C32B9F" w:rsidP="00A43A0B">
            <w:pPr>
              <w:jc w:val="right"/>
              <w:rPr>
                <w:rFonts w:eastAsia="Arial" w:cs="Arial"/>
                <w:sz w:val="24"/>
                <w:szCs w:val="24"/>
              </w:rPr>
            </w:pPr>
            <w:r w:rsidRPr="00B06C2F">
              <w:rPr>
                <w:rFonts w:eastAsia="Arial" w:cs="Arial"/>
                <w:sz w:val="24"/>
                <w:szCs w:val="24"/>
              </w:rPr>
              <w:t>304</w:t>
            </w:r>
          </w:p>
        </w:tc>
        <w:tc>
          <w:tcPr>
            <w:tcW w:w="1170" w:type="dxa"/>
            <w:vAlign w:val="center"/>
          </w:tcPr>
          <w:p w14:paraId="5C78C772" w14:textId="5ABF89E9" w:rsidR="00C32B9F" w:rsidRPr="00B06C2F" w:rsidRDefault="00C32B9F" w:rsidP="00A43A0B">
            <w:pPr>
              <w:jc w:val="right"/>
              <w:rPr>
                <w:rFonts w:eastAsia="Arial" w:cs="Arial"/>
                <w:sz w:val="24"/>
                <w:szCs w:val="24"/>
              </w:rPr>
            </w:pPr>
            <w:r w:rsidRPr="00B06C2F">
              <w:rPr>
                <w:rFonts w:eastAsia="Arial" w:cs="Arial"/>
                <w:sz w:val="24"/>
                <w:szCs w:val="24"/>
              </w:rPr>
              <w:t>164</w:t>
            </w:r>
          </w:p>
        </w:tc>
        <w:tc>
          <w:tcPr>
            <w:tcW w:w="1665" w:type="dxa"/>
            <w:vAlign w:val="center"/>
          </w:tcPr>
          <w:p w14:paraId="04ACAAC3" w14:textId="768D47B0" w:rsidR="00C32B9F" w:rsidRPr="00B06C2F" w:rsidRDefault="00C32B9F" w:rsidP="00A43A0B">
            <w:pPr>
              <w:jc w:val="right"/>
              <w:rPr>
                <w:rFonts w:eastAsia="Arial" w:cs="Arial"/>
                <w:sz w:val="24"/>
                <w:szCs w:val="24"/>
              </w:rPr>
            </w:pPr>
            <w:r w:rsidRPr="00B06C2F">
              <w:rPr>
                <w:rFonts w:cs="Arial"/>
                <w:color w:val="000000"/>
                <w:sz w:val="24"/>
                <w:szCs w:val="24"/>
              </w:rPr>
              <w:t>-26</w:t>
            </w:r>
          </w:p>
        </w:tc>
        <w:tc>
          <w:tcPr>
            <w:tcW w:w="1665" w:type="dxa"/>
            <w:vAlign w:val="center"/>
          </w:tcPr>
          <w:p w14:paraId="386F2CE9" w14:textId="60685DCA" w:rsidR="00C32B9F" w:rsidRPr="00B06C2F" w:rsidRDefault="00C32B9F" w:rsidP="00A43A0B">
            <w:pPr>
              <w:jc w:val="right"/>
              <w:rPr>
                <w:rFonts w:eastAsia="Arial" w:cs="Arial"/>
                <w:sz w:val="24"/>
                <w:szCs w:val="24"/>
              </w:rPr>
            </w:pPr>
            <w:r w:rsidRPr="00B06C2F">
              <w:rPr>
                <w:rFonts w:cs="Arial"/>
                <w:color w:val="000000"/>
                <w:sz w:val="24"/>
                <w:szCs w:val="24"/>
              </w:rPr>
              <w:t>-13.7%</w:t>
            </w:r>
          </w:p>
        </w:tc>
      </w:tr>
      <w:tr w:rsidR="00C32B9F" w:rsidRPr="00B06C2F" w14:paraId="37E7A7FB" w14:textId="77777777" w:rsidTr="007B055E">
        <w:trPr>
          <w:cantSplit/>
          <w:trHeight w:val="343"/>
        </w:trPr>
        <w:tc>
          <w:tcPr>
            <w:tcW w:w="1435" w:type="dxa"/>
            <w:vAlign w:val="center"/>
          </w:tcPr>
          <w:p w14:paraId="2F604E88" w14:textId="545F1898" w:rsidR="00C32B9F" w:rsidRPr="00B06C2F" w:rsidRDefault="00C32B9F" w:rsidP="00A43A0B">
            <w:pPr>
              <w:rPr>
                <w:rFonts w:eastAsia="Arial" w:cs="Arial"/>
                <w:sz w:val="24"/>
                <w:szCs w:val="24"/>
              </w:rPr>
            </w:pPr>
            <w:r w:rsidRPr="00B06C2F">
              <w:rPr>
                <w:rFonts w:eastAsia="Arial" w:cs="Arial"/>
                <w:sz w:val="24"/>
                <w:szCs w:val="24"/>
              </w:rPr>
              <w:t>Aug</w:t>
            </w:r>
            <w:r w:rsidR="001872F6" w:rsidRPr="00B06C2F">
              <w:rPr>
                <w:rFonts w:eastAsia="Arial" w:cs="Arial"/>
                <w:sz w:val="24"/>
                <w:szCs w:val="24"/>
              </w:rPr>
              <w:t>ust</w:t>
            </w:r>
          </w:p>
        </w:tc>
        <w:tc>
          <w:tcPr>
            <w:tcW w:w="1170" w:type="dxa"/>
            <w:vAlign w:val="center"/>
          </w:tcPr>
          <w:p w14:paraId="07F3F798" w14:textId="77777777" w:rsidR="00C32B9F" w:rsidRPr="00B06C2F" w:rsidRDefault="00C32B9F" w:rsidP="00A43A0B">
            <w:pPr>
              <w:jc w:val="right"/>
              <w:rPr>
                <w:rFonts w:eastAsia="Arial" w:cs="Arial"/>
                <w:sz w:val="24"/>
                <w:szCs w:val="24"/>
              </w:rPr>
            </w:pPr>
            <w:r w:rsidRPr="00B06C2F">
              <w:rPr>
                <w:rFonts w:eastAsia="Arial" w:cs="Arial"/>
                <w:sz w:val="24"/>
                <w:szCs w:val="24"/>
              </w:rPr>
              <w:t>4,180</w:t>
            </w:r>
          </w:p>
        </w:tc>
        <w:tc>
          <w:tcPr>
            <w:tcW w:w="1170" w:type="dxa"/>
            <w:vAlign w:val="center"/>
          </w:tcPr>
          <w:p w14:paraId="64939219" w14:textId="77777777" w:rsidR="00C32B9F" w:rsidRPr="00B06C2F" w:rsidRDefault="00C32B9F" w:rsidP="00A43A0B">
            <w:pPr>
              <w:jc w:val="right"/>
              <w:rPr>
                <w:rFonts w:eastAsia="Arial" w:cs="Arial"/>
                <w:sz w:val="24"/>
                <w:szCs w:val="24"/>
              </w:rPr>
            </w:pPr>
            <w:r w:rsidRPr="00B06C2F">
              <w:rPr>
                <w:rFonts w:eastAsia="Arial" w:cs="Arial"/>
                <w:sz w:val="24"/>
                <w:szCs w:val="24"/>
              </w:rPr>
              <w:t>4,888</w:t>
            </w:r>
          </w:p>
        </w:tc>
        <w:tc>
          <w:tcPr>
            <w:tcW w:w="1170" w:type="dxa"/>
            <w:vAlign w:val="center"/>
          </w:tcPr>
          <w:p w14:paraId="66CE6A5B" w14:textId="77777777" w:rsidR="00C32B9F" w:rsidRPr="00B06C2F" w:rsidRDefault="00C32B9F" w:rsidP="00A43A0B">
            <w:pPr>
              <w:jc w:val="right"/>
              <w:rPr>
                <w:rFonts w:eastAsia="Arial" w:cs="Arial"/>
                <w:sz w:val="24"/>
                <w:szCs w:val="24"/>
              </w:rPr>
            </w:pPr>
            <w:r w:rsidRPr="00B06C2F">
              <w:rPr>
                <w:rFonts w:eastAsia="Arial" w:cs="Arial"/>
                <w:sz w:val="24"/>
                <w:szCs w:val="24"/>
              </w:rPr>
              <w:t>4,163</w:t>
            </w:r>
          </w:p>
        </w:tc>
        <w:tc>
          <w:tcPr>
            <w:tcW w:w="1170" w:type="dxa"/>
            <w:vAlign w:val="center"/>
          </w:tcPr>
          <w:p w14:paraId="27ADC494" w14:textId="0EEAB708" w:rsidR="00C32B9F" w:rsidRPr="00B06C2F" w:rsidRDefault="00C32B9F" w:rsidP="00A43A0B">
            <w:pPr>
              <w:jc w:val="right"/>
              <w:rPr>
                <w:rFonts w:eastAsia="Arial" w:cs="Arial"/>
                <w:sz w:val="24"/>
                <w:szCs w:val="24"/>
              </w:rPr>
            </w:pPr>
            <w:r w:rsidRPr="00B06C2F">
              <w:rPr>
                <w:rFonts w:eastAsia="Arial" w:cs="Arial"/>
                <w:sz w:val="24"/>
                <w:szCs w:val="24"/>
              </w:rPr>
              <w:t>2,974</w:t>
            </w:r>
          </w:p>
        </w:tc>
        <w:tc>
          <w:tcPr>
            <w:tcW w:w="1665" w:type="dxa"/>
            <w:vAlign w:val="center"/>
          </w:tcPr>
          <w:p w14:paraId="106C0672" w14:textId="2A8D0505" w:rsidR="00C32B9F" w:rsidRPr="00B06C2F" w:rsidRDefault="00C32B9F" w:rsidP="00A43A0B">
            <w:pPr>
              <w:jc w:val="right"/>
              <w:rPr>
                <w:rFonts w:eastAsia="Arial" w:cs="Arial"/>
                <w:sz w:val="24"/>
                <w:szCs w:val="24"/>
              </w:rPr>
            </w:pPr>
            <w:r w:rsidRPr="00B06C2F">
              <w:rPr>
                <w:rFonts w:cs="Arial"/>
                <w:color w:val="000000"/>
                <w:sz w:val="24"/>
                <w:szCs w:val="24"/>
              </w:rPr>
              <w:t>-1,206</w:t>
            </w:r>
          </w:p>
        </w:tc>
        <w:tc>
          <w:tcPr>
            <w:tcW w:w="1665" w:type="dxa"/>
            <w:vAlign w:val="center"/>
          </w:tcPr>
          <w:p w14:paraId="7C273784" w14:textId="1EE309B8" w:rsidR="00C32B9F" w:rsidRPr="00B06C2F" w:rsidRDefault="00C32B9F" w:rsidP="00A43A0B">
            <w:pPr>
              <w:jc w:val="right"/>
              <w:rPr>
                <w:rFonts w:eastAsia="Arial" w:cs="Arial"/>
                <w:sz w:val="24"/>
                <w:szCs w:val="24"/>
              </w:rPr>
            </w:pPr>
            <w:r w:rsidRPr="00B06C2F">
              <w:rPr>
                <w:rFonts w:cs="Arial"/>
                <w:color w:val="000000"/>
                <w:sz w:val="24"/>
                <w:szCs w:val="24"/>
              </w:rPr>
              <w:t>-28.9%</w:t>
            </w:r>
          </w:p>
        </w:tc>
      </w:tr>
      <w:tr w:rsidR="00C32B9F" w:rsidRPr="00B06C2F" w14:paraId="31884E6A" w14:textId="77777777" w:rsidTr="007B055E">
        <w:trPr>
          <w:cantSplit/>
          <w:trHeight w:val="343"/>
        </w:trPr>
        <w:tc>
          <w:tcPr>
            <w:tcW w:w="1435" w:type="dxa"/>
            <w:vAlign w:val="center"/>
          </w:tcPr>
          <w:p w14:paraId="145FF611" w14:textId="47C48B48" w:rsidR="00C32B9F" w:rsidRPr="00B06C2F" w:rsidRDefault="00C32B9F" w:rsidP="00A43A0B">
            <w:pPr>
              <w:rPr>
                <w:rFonts w:eastAsia="Arial" w:cs="Arial"/>
                <w:sz w:val="24"/>
                <w:szCs w:val="24"/>
              </w:rPr>
            </w:pPr>
            <w:r w:rsidRPr="00B06C2F">
              <w:rPr>
                <w:rFonts w:eastAsia="Arial" w:cs="Arial"/>
                <w:sz w:val="24"/>
                <w:szCs w:val="24"/>
              </w:rPr>
              <w:t>September</w:t>
            </w:r>
          </w:p>
        </w:tc>
        <w:tc>
          <w:tcPr>
            <w:tcW w:w="1170" w:type="dxa"/>
            <w:vAlign w:val="center"/>
          </w:tcPr>
          <w:p w14:paraId="25FC07CD" w14:textId="77777777" w:rsidR="00C32B9F" w:rsidRPr="00B06C2F" w:rsidRDefault="00C32B9F" w:rsidP="00A43A0B">
            <w:pPr>
              <w:jc w:val="right"/>
              <w:rPr>
                <w:rFonts w:eastAsia="Arial" w:cs="Arial"/>
                <w:sz w:val="24"/>
                <w:szCs w:val="24"/>
              </w:rPr>
            </w:pPr>
            <w:r w:rsidRPr="00B06C2F">
              <w:rPr>
                <w:rFonts w:eastAsia="Arial" w:cs="Arial"/>
                <w:sz w:val="24"/>
                <w:szCs w:val="24"/>
              </w:rPr>
              <w:t>5,153</w:t>
            </w:r>
          </w:p>
        </w:tc>
        <w:tc>
          <w:tcPr>
            <w:tcW w:w="1170" w:type="dxa"/>
            <w:vAlign w:val="center"/>
          </w:tcPr>
          <w:p w14:paraId="44C26B46" w14:textId="77777777" w:rsidR="00C32B9F" w:rsidRPr="00B06C2F" w:rsidRDefault="00C32B9F" w:rsidP="00A43A0B">
            <w:pPr>
              <w:jc w:val="right"/>
              <w:rPr>
                <w:rFonts w:eastAsia="Arial" w:cs="Arial"/>
                <w:sz w:val="24"/>
                <w:szCs w:val="24"/>
              </w:rPr>
            </w:pPr>
            <w:r w:rsidRPr="00B06C2F">
              <w:rPr>
                <w:rFonts w:eastAsia="Arial" w:cs="Arial"/>
                <w:sz w:val="24"/>
                <w:szCs w:val="24"/>
              </w:rPr>
              <w:t>5,257</w:t>
            </w:r>
          </w:p>
        </w:tc>
        <w:tc>
          <w:tcPr>
            <w:tcW w:w="1170" w:type="dxa"/>
            <w:vAlign w:val="center"/>
          </w:tcPr>
          <w:p w14:paraId="65A4C339" w14:textId="77777777" w:rsidR="00C32B9F" w:rsidRPr="00B06C2F" w:rsidRDefault="00C32B9F" w:rsidP="00A43A0B">
            <w:pPr>
              <w:jc w:val="right"/>
              <w:rPr>
                <w:rFonts w:eastAsia="Arial" w:cs="Arial"/>
                <w:sz w:val="24"/>
                <w:szCs w:val="24"/>
              </w:rPr>
            </w:pPr>
            <w:r w:rsidRPr="00B06C2F">
              <w:rPr>
                <w:rFonts w:eastAsia="Arial" w:cs="Arial"/>
                <w:sz w:val="24"/>
                <w:szCs w:val="24"/>
              </w:rPr>
              <w:t>4,918</w:t>
            </w:r>
          </w:p>
        </w:tc>
        <w:tc>
          <w:tcPr>
            <w:tcW w:w="1170" w:type="dxa"/>
            <w:vAlign w:val="center"/>
          </w:tcPr>
          <w:p w14:paraId="5219B3E2" w14:textId="5D7C5E3C" w:rsidR="00C32B9F" w:rsidRPr="00B06C2F" w:rsidRDefault="00C32B9F" w:rsidP="00A43A0B">
            <w:pPr>
              <w:jc w:val="right"/>
              <w:rPr>
                <w:rFonts w:eastAsia="Arial" w:cs="Arial"/>
                <w:sz w:val="24"/>
                <w:szCs w:val="24"/>
              </w:rPr>
            </w:pPr>
            <w:r w:rsidRPr="00B06C2F">
              <w:rPr>
                <w:rFonts w:eastAsia="Arial" w:cs="Arial"/>
                <w:sz w:val="24"/>
                <w:szCs w:val="24"/>
              </w:rPr>
              <w:t>3,854</w:t>
            </w:r>
          </w:p>
        </w:tc>
        <w:tc>
          <w:tcPr>
            <w:tcW w:w="1665" w:type="dxa"/>
            <w:vAlign w:val="center"/>
          </w:tcPr>
          <w:p w14:paraId="57AD5701" w14:textId="7F06657B" w:rsidR="00C32B9F" w:rsidRPr="00B06C2F" w:rsidRDefault="00C32B9F" w:rsidP="00A43A0B">
            <w:pPr>
              <w:jc w:val="right"/>
              <w:rPr>
                <w:rFonts w:eastAsia="Arial" w:cs="Arial"/>
                <w:sz w:val="24"/>
                <w:szCs w:val="24"/>
              </w:rPr>
            </w:pPr>
            <w:r w:rsidRPr="00B06C2F">
              <w:rPr>
                <w:rFonts w:cs="Arial"/>
                <w:color w:val="000000"/>
                <w:sz w:val="24"/>
                <w:szCs w:val="24"/>
              </w:rPr>
              <w:t>-1,299</w:t>
            </w:r>
          </w:p>
        </w:tc>
        <w:tc>
          <w:tcPr>
            <w:tcW w:w="1665" w:type="dxa"/>
            <w:vAlign w:val="center"/>
          </w:tcPr>
          <w:p w14:paraId="1D9C51A7" w14:textId="06F8A194" w:rsidR="00C32B9F" w:rsidRPr="00B06C2F" w:rsidRDefault="00C32B9F" w:rsidP="00A43A0B">
            <w:pPr>
              <w:jc w:val="right"/>
              <w:rPr>
                <w:rFonts w:eastAsia="Arial" w:cs="Arial"/>
                <w:sz w:val="24"/>
                <w:szCs w:val="24"/>
              </w:rPr>
            </w:pPr>
            <w:r w:rsidRPr="00B06C2F">
              <w:rPr>
                <w:rFonts w:cs="Arial"/>
                <w:color w:val="000000"/>
                <w:sz w:val="24"/>
                <w:szCs w:val="24"/>
              </w:rPr>
              <w:t>-25.2%</w:t>
            </w:r>
          </w:p>
        </w:tc>
      </w:tr>
      <w:tr w:rsidR="00C32B9F" w:rsidRPr="00B06C2F" w14:paraId="55086AA7" w14:textId="77777777" w:rsidTr="007B055E">
        <w:trPr>
          <w:cantSplit/>
          <w:trHeight w:val="343"/>
        </w:trPr>
        <w:tc>
          <w:tcPr>
            <w:tcW w:w="1435" w:type="dxa"/>
            <w:vAlign w:val="center"/>
          </w:tcPr>
          <w:p w14:paraId="4A3FA225" w14:textId="0B778302" w:rsidR="00C32B9F" w:rsidRPr="00B06C2F" w:rsidRDefault="00C32B9F" w:rsidP="00A43A0B">
            <w:pPr>
              <w:rPr>
                <w:rFonts w:eastAsia="Arial" w:cs="Arial"/>
                <w:sz w:val="24"/>
                <w:szCs w:val="24"/>
              </w:rPr>
            </w:pPr>
            <w:r w:rsidRPr="00B06C2F">
              <w:rPr>
                <w:rFonts w:eastAsia="Arial" w:cs="Arial"/>
                <w:sz w:val="24"/>
                <w:szCs w:val="24"/>
              </w:rPr>
              <w:t>October</w:t>
            </w:r>
          </w:p>
        </w:tc>
        <w:tc>
          <w:tcPr>
            <w:tcW w:w="1170" w:type="dxa"/>
            <w:vAlign w:val="center"/>
          </w:tcPr>
          <w:p w14:paraId="05536815" w14:textId="77777777" w:rsidR="00C32B9F" w:rsidRPr="00B06C2F" w:rsidRDefault="00C32B9F" w:rsidP="00A43A0B">
            <w:pPr>
              <w:jc w:val="right"/>
              <w:rPr>
                <w:rFonts w:eastAsia="Arial" w:cs="Arial"/>
                <w:sz w:val="24"/>
                <w:szCs w:val="24"/>
              </w:rPr>
            </w:pPr>
            <w:r w:rsidRPr="00B06C2F">
              <w:rPr>
                <w:rFonts w:eastAsia="Arial" w:cs="Arial"/>
                <w:sz w:val="24"/>
                <w:szCs w:val="24"/>
              </w:rPr>
              <w:t>6,402</w:t>
            </w:r>
          </w:p>
        </w:tc>
        <w:tc>
          <w:tcPr>
            <w:tcW w:w="1170" w:type="dxa"/>
            <w:vAlign w:val="center"/>
          </w:tcPr>
          <w:p w14:paraId="183C42D2" w14:textId="77777777" w:rsidR="00C32B9F" w:rsidRPr="00B06C2F" w:rsidRDefault="00C32B9F" w:rsidP="00A43A0B">
            <w:pPr>
              <w:jc w:val="right"/>
              <w:rPr>
                <w:rFonts w:eastAsia="Arial" w:cs="Arial"/>
                <w:sz w:val="24"/>
                <w:szCs w:val="24"/>
              </w:rPr>
            </w:pPr>
            <w:r w:rsidRPr="00B06C2F">
              <w:rPr>
                <w:rFonts w:eastAsia="Arial" w:cs="Arial"/>
                <w:sz w:val="24"/>
                <w:szCs w:val="24"/>
              </w:rPr>
              <w:t>6,543</w:t>
            </w:r>
          </w:p>
        </w:tc>
        <w:tc>
          <w:tcPr>
            <w:tcW w:w="1170" w:type="dxa"/>
            <w:vAlign w:val="center"/>
          </w:tcPr>
          <w:p w14:paraId="1FFE7D8E" w14:textId="77777777" w:rsidR="00C32B9F" w:rsidRPr="00B06C2F" w:rsidRDefault="00C32B9F" w:rsidP="00A43A0B">
            <w:pPr>
              <w:jc w:val="right"/>
              <w:rPr>
                <w:rFonts w:eastAsia="Arial" w:cs="Arial"/>
                <w:sz w:val="24"/>
                <w:szCs w:val="24"/>
              </w:rPr>
            </w:pPr>
            <w:r w:rsidRPr="00B06C2F">
              <w:rPr>
                <w:rFonts w:eastAsia="Arial" w:cs="Arial"/>
                <w:sz w:val="24"/>
                <w:szCs w:val="24"/>
              </w:rPr>
              <w:t>5,993</w:t>
            </w:r>
          </w:p>
        </w:tc>
        <w:tc>
          <w:tcPr>
            <w:tcW w:w="1170" w:type="dxa"/>
            <w:shd w:val="clear" w:color="auto" w:fill="auto"/>
            <w:vAlign w:val="center"/>
          </w:tcPr>
          <w:p w14:paraId="681DA468" w14:textId="073803B5" w:rsidR="00C32B9F" w:rsidRPr="00B06C2F" w:rsidRDefault="00C32B9F" w:rsidP="00A43A0B">
            <w:pPr>
              <w:jc w:val="right"/>
              <w:rPr>
                <w:rFonts w:eastAsia="Arial" w:cs="Arial"/>
                <w:sz w:val="24"/>
                <w:szCs w:val="24"/>
              </w:rPr>
            </w:pPr>
            <w:r w:rsidRPr="00B06C2F">
              <w:rPr>
                <w:rFonts w:eastAsia="Arial" w:cs="Arial"/>
                <w:sz w:val="24"/>
                <w:szCs w:val="24"/>
              </w:rPr>
              <w:t>4,922</w:t>
            </w:r>
          </w:p>
        </w:tc>
        <w:tc>
          <w:tcPr>
            <w:tcW w:w="1665" w:type="dxa"/>
            <w:shd w:val="clear" w:color="auto" w:fill="auto"/>
            <w:vAlign w:val="center"/>
          </w:tcPr>
          <w:p w14:paraId="7C1CF6D3" w14:textId="337029A1" w:rsidR="00C32B9F" w:rsidRPr="00B06C2F" w:rsidRDefault="00C32B9F" w:rsidP="00A43A0B">
            <w:pPr>
              <w:jc w:val="right"/>
              <w:rPr>
                <w:rFonts w:eastAsia="Arial" w:cs="Arial"/>
                <w:sz w:val="24"/>
                <w:szCs w:val="24"/>
              </w:rPr>
            </w:pPr>
            <w:r w:rsidRPr="00B06C2F">
              <w:rPr>
                <w:rFonts w:cs="Arial"/>
                <w:color w:val="000000"/>
                <w:sz w:val="24"/>
                <w:szCs w:val="24"/>
              </w:rPr>
              <w:t>-1,480</w:t>
            </w:r>
          </w:p>
        </w:tc>
        <w:tc>
          <w:tcPr>
            <w:tcW w:w="1665" w:type="dxa"/>
            <w:shd w:val="clear" w:color="auto" w:fill="auto"/>
            <w:vAlign w:val="center"/>
          </w:tcPr>
          <w:p w14:paraId="22FC2C54" w14:textId="0B5B540E" w:rsidR="00C32B9F" w:rsidRPr="00B06C2F" w:rsidRDefault="00C32B9F" w:rsidP="00A43A0B">
            <w:pPr>
              <w:jc w:val="right"/>
              <w:rPr>
                <w:rFonts w:eastAsia="Arial" w:cs="Arial"/>
                <w:sz w:val="24"/>
                <w:szCs w:val="24"/>
              </w:rPr>
            </w:pPr>
            <w:r w:rsidRPr="00B06C2F">
              <w:rPr>
                <w:rFonts w:cs="Arial"/>
                <w:color w:val="000000"/>
                <w:sz w:val="24"/>
                <w:szCs w:val="24"/>
              </w:rPr>
              <w:t>-23.1%</w:t>
            </w:r>
          </w:p>
        </w:tc>
      </w:tr>
      <w:tr w:rsidR="00C32B9F" w:rsidRPr="00B06C2F" w14:paraId="6F115B49" w14:textId="77777777" w:rsidTr="007B055E">
        <w:trPr>
          <w:cantSplit/>
          <w:trHeight w:val="343"/>
        </w:trPr>
        <w:tc>
          <w:tcPr>
            <w:tcW w:w="1435" w:type="dxa"/>
            <w:vAlign w:val="center"/>
          </w:tcPr>
          <w:p w14:paraId="49C0D58B" w14:textId="7E461CB7" w:rsidR="00C32B9F" w:rsidRPr="00B06C2F" w:rsidRDefault="00C32B9F" w:rsidP="00A43A0B">
            <w:pPr>
              <w:rPr>
                <w:rFonts w:eastAsia="Arial" w:cs="Arial"/>
                <w:sz w:val="24"/>
                <w:szCs w:val="24"/>
              </w:rPr>
            </w:pPr>
            <w:r w:rsidRPr="00B06C2F">
              <w:rPr>
                <w:rFonts w:eastAsia="Arial" w:cs="Arial"/>
                <w:sz w:val="24"/>
                <w:szCs w:val="24"/>
              </w:rPr>
              <w:t>November</w:t>
            </w:r>
          </w:p>
        </w:tc>
        <w:tc>
          <w:tcPr>
            <w:tcW w:w="1170" w:type="dxa"/>
            <w:vAlign w:val="center"/>
          </w:tcPr>
          <w:p w14:paraId="29245B02" w14:textId="77777777" w:rsidR="00C32B9F" w:rsidRPr="00B06C2F" w:rsidRDefault="00C32B9F" w:rsidP="00A43A0B">
            <w:pPr>
              <w:jc w:val="right"/>
              <w:rPr>
                <w:rFonts w:eastAsia="Arial" w:cs="Arial"/>
                <w:sz w:val="24"/>
                <w:szCs w:val="24"/>
              </w:rPr>
            </w:pPr>
            <w:r w:rsidRPr="00B06C2F">
              <w:rPr>
                <w:rFonts w:eastAsia="Arial" w:cs="Arial"/>
                <w:sz w:val="24"/>
                <w:szCs w:val="24"/>
              </w:rPr>
              <w:t>4,122</w:t>
            </w:r>
          </w:p>
        </w:tc>
        <w:tc>
          <w:tcPr>
            <w:tcW w:w="1170" w:type="dxa"/>
            <w:vAlign w:val="center"/>
          </w:tcPr>
          <w:p w14:paraId="7E695F84" w14:textId="77777777" w:rsidR="00C32B9F" w:rsidRPr="00B06C2F" w:rsidRDefault="00C32B9F" w:rsidP="00A43A0B">
            <w:pPr>
              <w:jc w:val="right"/>
              <w:rPr>
                <w:rFonts w:eastAsia="Arial" w:cs="Arial"/>
                <w:sz w:val="24"/>
                <w:szCs w:val="24"/>
              </w:rPr>
            </w:pPr>
            <w:r w:rsidRPr="00B06C2F">
              <w:rPr>
                <w:rFonts w:eastAsia="Arial" w:cs="Arial"/>
                <w:sz w:val="24"/>
                <w:szCs w:val="24"/>
              </w:rPr>
              <w:t>4,025</w:t>
            </w:r>
          </w:p>
        </w:tc>
        <w:tc>
          <w:tcPr>
            <w:tcW w:w="1170" w:type="dxa"/>
            <w:vAlign w:val="center"/>
          </w:tcPr>
          <w:p w14:paraId="695DA222" w14:textId="77777777" w:rsidR="00C32B9F" w:rsidRPr="00B06C2F" w:rsidRDefault="00C32B9F" w:rsidP="00A43A0B">
            <w:pPr>
              <w:jc w:val="right"/>
              <w:rPr>
                <w:rFonts w:eastAsia="Arial" w:cs="Arial"/>
                <w:sz w:val="24"/>
                <w:szCs w:val="24"/>
              </w:rPr>
            </w:pPr>
            <w:r w:rsidRPr="00B06C2F">
              <w:rPr>
                <w:rFonts w:eastAsia="Arial" w:cs="Arial"/>
                <w:sz w:val="24"/>
                <w:szCs w:val="24"/>
              </w:rPr>
              <w:t>3,859</w:t>
            </w:r>
          </w:p>
        </w:tc>
        <w:tc>
          <w:tcPr>
            <w:tcW w:w="1170" w:type="dxa"/>
            <w:shd w:val="clear" w:color="auto" w:fill="auto"/>
            <w:vAlign w:val="center"/>
          </w:tcPr>
          <w:p w14:paraId="302EF8AB" w14:textId="0AF2FD6A" w:rsidR="00C32B9F" w:rsidRPr="00B06C2F" w:rsidRDefault="00C32B9F" w:rsidP="00A43A0B">
            <w:pPr>
              <w:jc w:val="right"/>
              <w:rPr>
                <w:rFonts w:eastAsia="Arial" w:cs="Arial"/>
                <w:sz w:val="24"/>
                <w:szCs w:val="24"/>
              </w:rPr>
            </w:pPr>
            <w:r w:rsidRPr="00B06C2F">
              <w:rPr>
                <w:rFonts w:eastAsia="Arial" w:cs="Arial"/>
                <w:sz w:val="24"/>
                <w:szCs w:val="24"/>
              </w:rPr>
              <w:t>2,566</w:t>
            </w:r>
          </w:p>
        </w:tc>
        <w:tc>
          <w:tcPr>
            <w:tcW w:w="1665" w:type="dxa"/>
            <w:shd w:val="clear" w:color="auto" w:fill="auto"/>
            <w:vAlign w:val="center"/>
          </w:tcPr>
          <w:p w14:paraId="14B36706" w14:textId="70F9C866" w:rsidR="00C32B9F" w:rsidRPr="00B06C2F" w:rsidRDefault="00C32B9F" w:rsidP="00A43A0B">
            <w:pPr>
              <w:jc w:val="right"/>
              <w:rPr>
                <w:rFonts w:eastAsia="Arial" w:cs="Arial"/>
                <w:sz w:val="24"/>
                <w:szCs w:val="24"/>
              </w:rPr>
            </w:pPr>
            <w:r w:rsidRPr="00B06C2F">
              <w:rPr>
                <w:rFonts w:cs="Arial"/>
                <w:color w:val="000000"/>
                <w:sz w:val="24"/>
                <w:szCs w:val="24"/>
              </w:rPr>
              <w:t>-1,556</w:t>
            </w:r>
          </w:p>
        </w:tc>
        <w:tc>
          <w:tcPr>
            <w:tcW w:w="1665" w:type="dxa"/>
            <w:shd w:val="clear" w:color="auto" w:fill="auto"/>
            <w:vAlign w:val="center"/>
          </w:tcPr>
          <w:p w14:paraId="4E479004" w14:textId="49B453C9" w:rsidR="00C32B9F" w:rsidRPr="00B06C2F" w:rsidRDefault="00C32B9F" w:rsidP="00A43A0B">
            <w:pPr>
              <w:jc w:val="right"/>
              <w:rPr>
                <w:rFonts w:eastAsia="Arial" w:cs="Arial"/>
                <w:sz w:val="24"/>
                <w:szCs w:val="24"/>
              </w:rPr>
            </w:pPr>
            <w:r w:rsidRPr="00B06C2F">
              <w:rPr>
                <w:rFonts w:cs="Arial"/>
                <w:color w:val="000000"/>
                <w:sz w:val="24"/>
                <w:szCs w:val="24"/>
              </w:rPr>
              <w:t>-37.7%</w:t>
            </w:r>
          </w:p>
        </w:tc>
      </w:tr>
      <w:tr w:rsidR="00C32B9F" w:rsidRPr="00B06C2F" w14:paraId="2A1A1BE5" w14:textId="77777777" w:rsidTr="007B055E">
        <w:trPr>
          <w:cantSplit/>
          <w:trHeight w:val="343"/>
        </w:trPr>
        <w:tc>
          <w:tcPr>
            <w:tcW w:w="1435" w:type="dxa"/>
            <w:vAlign w:val="center"/>
          </w:tcPr>
          <w:p w14:paraId="30921E40" w14:textId="0F379406" w:rsidR="00C32B9F" w:rsidRPr="00B06C2F" w:rsidRDefault="00C32B9F" w:rsidP="00A43A0B">
            <w:pPr>
              <w:rPr>
                <w:rFonts w:eastAsia="Arial" w:cs="Arial"/>
                <w:sz w:val="24"/>
                <w:szCs w:val="24"/>
              </w:rPr>
            </w:pPr>
            <w:r w:rsidRPr="00B06C2F">
              <w:rPr>
                <w:rFonts w:eastAsia="Arial" w:cs="Arial"/>
                <w:sz w:val="24"/>
                <w:szCs w:val="24"/>
              </w:rPr>
              <w:t>December</w:t>
            </w:r>
          </w:p>
        </w:tc>
        <w:tc>
          <w:tcPr>
            <w:tcW w:w="1170" w:type="dxa"/>
            <w:vAlign w:val="center"/>
          </w:tcPr>
          <w:p w14:paraId="549A8407" w14:textId="77777777" w:rsidR="00C32B9F" w:rsidRPr="00B06C2F" w:rsidRDefault="00C32B9F" w:rsidP="00A43A0B">
            <w:pPr>
              <w:jc w:val="right"/>
              <w:rPr>
                <w:rFonts w:eastAsia="Arial" w:cs="Arial"/>
                <w:sz w:val="24"/>
                <w:szCs w:val="24"/>
              </w:rPr>
            </w:pPr>
            <w:r w:rsidRPr="00B06C2F">
              <w:rPr>
                <w:rFonts w:eastAsia="Arial" w:cs="Arial"/>
                <w:sz w:val="24"/>
                <w:szCs w:val="24"/>
              </w:rPr>
              <w:t>5,754</w:t>
            </w:r>
          </w:p>
        </w:tc>
        <w:tc>
          <w:tcPr>
            <w:tcW w:w="1170" w:type="dxa"/>
            <w:vAlign w:val="center"/>
          </w:tcPr>
          <w:p w14:paraId="35E1B7BB" w14:textId="77777777" w:rsidR="00C32B9F" w:rsidRPr="00B06C2F" w:rsidRDefault="00C32B9F" w:rsidP="00A43A0B">
            <w:pPr>
              <w:jc w:val="right"/>
              <w:rPr>
                <w:rFonts w:eastAsia="Arial" w:cs="Arial"/>
                <w:sz w:val="24"/>
                <w:szCs w:val="24"/>
              </w:rPr>
            </w:pPr>
            <w:r w:rsidRPr="00B06C2F">
              <w:rPr>
                <w:rFonts w:eastAsia="Arial" w:cs="Arial"/>
                <w:sz w:val="24"/>
                <w:szCs w:val="24"/>
              </w:rPr>
              <w:t>6,338</w:t>
            </w:r>
          </w:p>
        </w:tc>
        <w:tc>
          <w:tcPr>
            <w:tcW w:w="1170" w:type="dxa"/>
            <w:vAlign w:val="center"/>
          </w:tcPr>
          <w:p w14:paraId="669CC89C" w14:textId="77777777" w:rsidR="00C32B9F" w:rsidRPr="00B06C2F" w:rsidRDefault="00C32B9F" w:rsidP="00A43A0B">
            <w:pPr>
              <w:jc w:val="right"/>
              <w:rPr>
                <w:rFonts w:eastAsia="Arial" w:cs="Arial"/>
                <w:sz w:val="24"/>
                <w:szCs w:val="24"/>
              </w:rPr>
            </w:pPr>
            <w:r w:rsidRPr="00B06C2F">
              <w:rPr>
                <w:rFonts w:eastAsia="Arial" w:cs="Arial"/>
                <w:sz w:val="24"/>
                <w:szCs w:val="24"/>
              </w:rPr>
              <w:t>6,367</w:t>
            </w:r>
          </w:p>
        </w:tc>
        <w:tc>
          <w:tcPr>
            <w:tcW w:w="1170" w:type="dxa"/>
            <w:shd w:val="clear" w:color="auto" w:fill="auto"/>
            <w:vAlign w:val="center"/>
          </w:tcPr>
          <w:p w14:paraId="365FAFF5" w14:textId="26F08A00" w:rsidR="00C32B9F" w:rsidRPr="00B06C2F" w:rsidRDefault="00C32B9F" w:rsidP="00A43A0B">
            <w:pPr>
              <w:jc w:val="right"/>
              <w:rPr>
                <w:rFonts w:eastAsia="Arial" w:cs="Arial"/>
                <w:sz w:val="24"/>
                <w:szCs w:val="24"/>
              </w:rPr>
            </w:pPr>
            <w:r w:rsidRPr="00B06C2F">
              <w:rPr>
                <w:rFonts w:eastAsia="Arial" w:cs="Arial"/>
                <w:sz w:val="24"/>
                <w:szCs w:val="24"/>
              </w:rPr>
              <w:t>4,676</w:t>
            </w:r>
          </w:p>
        </w:tc>
        <w:tc>
          <w:tcPr>
            <w:tcW w:w="1665" w:type="dxa"/>
            <w:shd w:val="clear" w:color="auto" w:fill="auto"/>
            <w:vAlign w:val="center"/>
          </w:tcPr>
          <w:p w14:paraId="5B918873" w14:textId="3989D2C3" w:rsidR="00C32B9F" w:rsidRPr="00B06C2F" w:rsidRDefault="00C32B9F" w:rsidP="00A43A0B">
            <w:pPr>
              <w:jc w:val="right"/>
              <w:rPr>
                <w:rFonts w:eastAsia="Arial" w:cs="Arial"/>
                <w:sz w:val="24"/>
                <w:szCs w:val="24"/>
              </w:rPr>
            </w:pPr>
            <w:r w:rsidRPr="00B06C2F">
              <w:rPr>
                <w:rFonts w:cs="Arial"/>
                <w:color w:val="000000"/>
                <w:sz w:val="24"/>
                <w:szCs w:val="24"/>
              </w:rPr>
              <w:t>-1,078</w:t>
            </w:r>
          </w:p>
        </w:tc>
        <w:tc>
          <w:tcPr>
            <w:tcW w:w="1665" w:type="dxa"/>
            <w:shd w:val="clear" w:color="auto" w:fill="auto"/>
            <w:vAlign w:val="center"/>
          </w:tcPr>
          <w:p w14:paraId="55F45004" w14:textId="25FF106D" w:rsidR="00C32B9F" w:rsidRPr="00B06C2F" w:rsidRDefault="00C32B9F" w:rsidP="00A43A0B">
            <w:pPr>
              <w:jc w:val="right"/>
              <w:rPr>
                <w:rFonts w:eastAsia="Arial" w:cs="Arial"/>
                <w:sz w:val="24"/>
                <w:szCs w:val="24"/>
              </w:rPr>
            </w:pPr>
            <w:r w:rsidRPr="00B06C2F">
              <w:rPr>
                <w:rFonts w:cs="Arial"/>
                <w:color w:val="000000"/>
                <w:sz w:val="24"/>
                <w:szCs w:val="24"/>
              </w:rPr>
              <w:t>-18.7%</w:t>
            </w:r>
          </w:p>
        </w:tc>
      </w:tr>
      <w:tr w:rsidR="00C32B9F" w:rsidRPr="00B06C2F" w14:paraId="7A8F422B" w14:textId="77777777" w:rsidTr="007B055E">
        <w:trPr>
          <w:cantSplit/>
          <w:trHeight w:val="343"/>
        </w:trPr>
        <w:tc>
          <w:tcPr>
            <w:tcW w:w="1435" w:type="dxa"/>
            <w:vAlign w:val="center"/>
          </w:tcPr>
          <w:p w14:paraId="31DF3301" w14:textId="4F1F225B" w:rsidR="00C32B9F" w:rsidRPr="00B06C2F" w:rsidRDefault="00C32B9F" w:rsidP="00A43A0B">
            <w:pPr>
              <w:rPr>
                <w:rFonts w:eastAsia="Arial" w:cs="Arial"/>
                <w:sz w:val="24"/>
                <w:szCs w:val="24"/>
              </w:rPr>
            </w:pPr>
            <w:r w:rsidRPr="00B06C2F">
              <w:rPr>
                <w:rFonts w:eastAsia="Arial" w:cs="Arial"/>
                <w:sz w:val="24"/>
                <w:szCs w:val="24"/>
              </w:rPr>
              <w:t>January</w:t>
            </w:r>
          </w:p>
        </w:tc>
        <w:tc>
          <w:tcPr>
            <w:tcW w:w="1170" w:type="dxa"/>
            <w:vAlign w:val="center"/>
          </w:tcPr>
          <w:p w14:paraId="500D93F0" w14:textId="77777777" w:rsidR="00C32B9F" w:rsidRPr="00B06C2F" w:rsidRDefault="00C32B9F" w:rsidP="00A43A0B">
            <w:pPr>
              <w:jc w:val="right"/>
              <w:rPr>
                <w:rFonts w:eastAsia="Arial" w:cs="Arial"/>
                <w:sz w:val="24"/>
                <w:szCs w:val="24"/>
              </w:rPr>
            </w:pPr>
            <w:r w:rsidRPr="00B06C2F">
              <w:rPr>
                <w:rFonts w:eastAsia="Arial" w:cs="Arial"/>
                <w:sz w:val="24"/>
                <w:szCs w:val="24"/>
              </w:rPr>
              <w:t>7,728</w:t>
            </w:r>
          </w:p>
        </w:tc>
        <w:tc>
          <w:tcPr>
            <w:tcW w:w="1170" w:type="dxa"/>
            <w:vAlign w:val="center"/>
          </w:tcPr>
          <w:p w14:paraId="0232AF41" w14:textId="77777777" w:rsidR="00C32B9F" w:rsidRPr="00B06C2F" w:rsidRDefault="00C32B9F" w:rsidP="00A43A0B">
            <w:pPr>
              <w:jc w:val="right"/>
              <w:rPr>
                <w:rFonts w:eastAsia="Arial" w:cs="Arial"/>
                <w:sz w:val="24"/>
                <w:szCs w:val="24"/>
              </w:rPr>
            </w:pPr>
            <w:r w:rsidRPr="00B06C2F">
              <w:rPr>
                <w:rFonts w:eastAsia="Arial" w:cs="Arial"/>
                <w:sz w:val="24"/>
                <w:szCs w:val="24"/>
              </w:rPr>
              <w:t>7,195</w:t>
            </w:r>
          </w:p>
        </w:tc>
        <w:tc>
          <w:tcPr>
            <w:tcW w:w="1170" w:type="dxa"/>
            <w:vAlign w:val="center"/>
          </w:tcPr>
          <w:p w14:paraId="72E96F4F" w14:textId="77777777" w:rsidR="00C32B9F" w:rsidRPr="00B06C2F" w:rsidRDefault="00C32B9F" w:rsidP="00A43A0B">
            <w:pPr>
              <w:jc w:val="right"/>
              <w:rPr>
                <w:rFonts w:eastAsia="Arial" w:cs="Arial"/>
                <w:sz w:val="24"/>
                <w:szCs w:val="24"/>
              </w:rPr>
            </w:pPr>
            <w:r w:rsidRPr="00B06C2F">
              <w:rPr>
                <w:rFonts w:eastAsia="Arial" w:cs="Arial"/>
                <w:sz w:val="24"/>
                <w:szCs w:val="24"/>
              </w:rPr>
              <w:t>6,808</w:t>
            </w:r>
          </w:p>
        </w:tc>
        <w:tc>
          <w:tcPr>
            <w:tcW w:w="1170" w:type="dxa"/>
            <w:shd w:val="clear" w:color="auto" w:fill="auto"/>
            <w:vAlign w:val="center"/>
          </w:tcPr>
          <w:p w14:paraId="3B30062E" w14:textId="74EAE834" w:rsidR="00C32B9F" w:rsidRPr="00B06C2F" w:rsidRDefault="00C32B9F" w:rsidP="00A43A0B">
            <w:pPr>
              <w:jc w:val="right"/>
              <w:rPr>
                <w:rFonts w:eastAsia="Arial" w:cs="Arial"/>
                <w:sz w:val="24"/>
                <w:szCs w:val="24"/>
              </w:rPr>
            </w:pPr>
            <w:r w:rsidRPr="00B06C2F">
              <w:rPr>
                <w:rFonts w:eastAsia="Arial" w:cs="Arial"/>
                <w:sz w:val="24"/>
                <w:szCs w:val="24"/>
              </w:rPr>
              <w:t>5,413</w:t>
            </w:r>
          </w:p>
        </w:tc>
        <w:tc>
          <w:tcPr>
            <w:tcW w:w="1665" w:type="dxa"/>
            <w:shd w:val="clear" w:color="auto" w:fill="auto"/>
            <w:vAlign w:val="center"/>
          </w:tcPr>
          <w:p w14:paraId="7AE496DE" w14:textId="77675748" w:rsidR="00C32B9F" w:rsidRPr="00B06C2F" w:rsidRDefault="00C32B9F" w:rsidP="00A43A0B">
            <w:pPr>
              <w:jc w:val="right"/>
              <w:rPr>
                <w:rFonts w:eastAsia="Arial" w:cs="Arial"/>
                <w:sz w:val="24"/>
                <w:szCs w:val="24"/>
              </w:rPr>
            </w:pPr>
            <w:r w:rsidRPr="00B06C2F">
              <w:rPr>
                <w:rFonts w:cs="Arial"/>
                <w:color w:val="000000"/>
                <w:sz w:val="24"/>
                <w:szCs w:val="24"/>
              </w:rPr>
              <w:t>-2,315</w:t>
            </w:r>
          </w:p>
        </w:tc>
        <w:tc>
          <w:tcPr>
            <w:tcW w:w="1665" w:type="dxa"/>
            <w:shd w:val="clear" w:color="auto" w:fill="auto"/>
            <w:vAlign w:val="center"/>
          </w:tcPr>
          <w:p w14:paraId="1FEC0052" w14:textId="4525E73C" w:rsidR="00C32B9F" w:rsidRPr="00B06C2F" w:rsidRDefault="00C32B9F" w:rsidP="00A43A0B">
            <w:pPr>
              <w:jc w:val="right"/>
              <w:rPr>
                <w:rFonts w:eastAsia="Arial" w:cs="Arial"/>
                <w:sz w:val="24"/>
                <w:szCs w:val="24"/>
              </w:rPr>
            </w:pPr>
            <w:r w:rsidRPr="00B06C2F">
              <w:rPr>
                <w:rFonts w:cs="Arial"/>
                <w:color w:val="000000"/>
                <w:sz w:val="24"/>
                <w:szCs w:val="24"/>
              </w:rPr>
              <w:t>-30.0%</w:t>
            </w:r>
          </w:p>
        </w:tc>
      </w:tr>
      <w:tr w:rsidR="00C32B9F" w:rsidRPr="00B06C2F" w14:paraId="50908198" w14:textId="77777777" w:rsidTr="007B055E">
        <w:trPr>
          <w:cantSplit/>
          <w:trHeight w:val="343"/>
        </w:trPr>
        <w:tc>
          <w:tcPr>
            <w:tcW w:w="1435" w:type="dxa"/>
            <w:vAlign w:val="center"/>
          </w:tcPr>
          <w:p w14:paraId="1EA88070" w14:textId="2814B74D" w:rsidR="00C32B9F" w:rsidRPr="00B06C2F" w:rsidRDefault="00C32B9F" w:rsidP="00A43A0B">
            <w:pPr>
              <w:rPr>
                <w:rFonts w:eastAsia="Arial" w:cs="Arial"/>
                <w:sz w:val="24"/>
                <w:szCs w:val="24"/>
              </w:rPr>
            </w:pPr>
            <w:r w:rsidRPr="00B06C2F">
              <w:rPr>
                <w:rFonts w:eastAsia="Arial" w:cs="Arial"/>
                <w:sz w:val="24"/>
                <w:szCs w:val="24"/>
              </w:rPr>
              <w:t>February</w:t>
            </w:r>
          </w:p>
        </w:tc>
        <w:tc>
          <w:tcPr>
            <w:tcW w:w="1170" w:type="dxa"/>
            <w:vAlign w:val="center"/>
          </w:tcPr>
          <w:p w14:paraId="7C097D0B" w14:textId="77777777" w:rsidR="00C32B9F" w:rsidRPr="00B06C2F" w:rsidRDefault="00C32B9F" w:rsidP="00A43A0B">
            <w:pPr>
              <w:jc w:val="right"/>
              <w:rPr>
                <w:rFonts w:eastAsia="Arial" w:cs="Arial"/>
                <w:sz w:val="24"/>
                <w:szCs w:val="24"/>
              </w:rPr>
            </w:pPr>
            <w:r w:rsidRPr="00B06C2F">
              <w:rPr>
                <w:rFonts w:eastAsia="Arial" w:cs="Arial"/>
                <w:sz w:val="24"/>
                <w:szCs w:val="24"/>
              </w:rPr>
              <w:t>5,028</w:t>
            </w:r>
          </w:p>
        </w:tc>
        <w:tc>
          <w:tcPr>
            <w:tcW w:w="1170" w:type="dxa"/>
            <w:vAlign w:val="center"/>
          </w:tcPr>
          <w:p w14:paraId="7215E6E3" w14:textId="77777777" w:rsidR="00C32B9F" w:rsidRPr="00B06C2F" w:rsidRDefault="00C32B9F" w:rsidP="00A43A0B">
            <w:pPr>
              <w:jc w:val="right"/>
              <w:rPr>
                <w:rFonts w:eastAsia="Arial" w:cs="Arial"/>
                <w:sz w:val="24"/>
                <w:szCs w:val="24"/>
              </w:rPr>
            </w:pPr>
            <w:r w:rsidRPr="00B06C2F">
              <w:rPr>
                <w:rFonts w:eastAsia="Arial" w:cs="Arial"/>
                <w:sz w:val="24"/>
                <w:szCs w:val="24"/>
              </w:rPr>
              <w:t>5,083</w:t>
            </w:r>
          </w:p>
        </w:tc>
        <w:tc>
          <w:tcPr>
            <w:tcW w:w="1170" w:type="dxa"/>
            <w:vAlign w:val="center"/>
          </w:tcPr>
          <w:p w14:paraId="2420475E" w14:textId="77777777" w:rsidR="00C32B9F" w:rsidRPr="00B06C2F" w:rsidRDefault="00C32B9F" w:rsidP="00A43A0B">
            <w:pPr>
              <w:jc w:val="right"/>
              <w:rPr>
                <w:rFonts w:eastAsia="Arial" w:cs="Arial"/>
                <w:sz w:val="24"/>
                <w:szCs w:val="24"/>
              </w:rPr>
            </w:pPr>
            <w:r w:rsidRPr="00B06C2F">
              <w:rPr>
                <w:rFonts w:eastAsia="Arial" w:cs="Arial"/>
                <w:sz w:val="24"/>
                <w:szCs w:val="24"/>
              </w:rPr>
              <w:t>4,688</w:t>
            </w:r>
          </w:p>
        </w:tc>
        <w:tc>
          <w:tcPr>
            <w:tcW w:w="1170" w:type="dxa"/>
            <w:shd w:val="clear" w:color="auto" w:fill="auto"/>
            <w:vAlign w:val="center"/>
          </w:tcPr>
          <w:p w14:paraId="45517E28" w14:textId="72DB1AA8" w:rsidR="00C32B9F" w:rsidRPr="00B06C2F" w:rsidRDefault="00C32B9F" w:rsidP="00A43A0B">
            <w:pPr>
              <w:jc w:val="right"/>
              <w:rPr>
                <w:rFonts w:eastAsia="Arial" w:cs="Arial"/>
                <w:sz w:val="24"/>
                <w:szCs w:val="24"/>
              </w:rPr>
            </w:pPr>
            <w:r w:rsidRPr="00B06C2F">
              <w:rPr>
                <w:rFonts w:eastAsia="Arial" w:cs="Arial"/>
                <w:sz w:val="24"/>
                <w:szCs w:val="24"/>
              </w:rPr>
              <w:t>3,890</w:t>
            </w:r>
          </w:p>
        </w:tc>
        <w:tc>
          <w:tcPr>
            <w:tcW w:w="1665" w:type="dxa"/>
            <w:shd w:val="clear" w:color="auto" w:fill="auto"/>
            <w:vAlign w:val="center"/>
          </w:tcPr>
          <w:p w14:paraId="2E455DE2" w14:textId="528C5A32" w:rsidR="00C32B9F" w:rsidRPr="00B06C2F" w:rsidRDefault="00C32B9F" w:rsidP="00A43A0B">
            <w:pPr>
              <w:jc w:val="right"/>
              <w:rPr>
                <w:rFonts w:eastAsia="Arial" w:cs="Arial"/>
                <w:sz w:val="24"/>
                <w:szCs w:val="24"/>
              </w:rPr>
            </w:pPr>
            <w:r w:rsidRPr="00B06C2F">
              <w:rPr>
                <w:rFonts w:cs="Arial"/>
                <w:color w:val="000000"/>
                <w:sz w:val="24"/>
                <w:szCs w:val="24"/>
              </w:rPr>
              <w:t>-1,138</w:t>
            </w:r>
          </w:p>
        </w:tc>
        <w:tc>
          <w:tcPr>
            <w:tcW w:w="1665" w:type="dxa"/>
            <w:shd w:val="clear" w:color="auto" w:fill="auto"/>
            <w:vAlign w:val="center"/>
          </w:tcPr>
          <w:p w14:paraId="4A917D3B" w14:textId="5A24C721" w:rsidR="00C32B9F" w:rsidRPr="00B06C2F" w:rsidRDefault="00C32B9F" w:rsidP="00A43A0B">
            <w:pPr>
              <w:jc w:val="right"/>
              <w:rPr>
                <w:rFonts w:eastAsia="Arial" w:cs="Arial"/>
                <w:sz w:val="24"/>
                <w:szCs w:val="24"/>
              </w:rPr>
            </w:pPr>
            <w:r w:rsidRPr="00B06C2F">
              <w:rPr>
                <w:rFonts w:cs="Arial"/>
                <w:color w:val="000000"/>
                <w:sz w:val="24"/>
                <w:szCs w:val="24"/>
              </w:rPr>
              <w:t>-22.6%</w:t>
            </w:r>
          </w:p>
        </w:tc>
      </w:tr>
      <w:tr w:rsidR="00C32B9F" w:rsidRPr="00B06C2F" w14:paraId="43908F66" w14:textId="77777777" w:rsidTr="007B055E">
        <w:trPr>
          <w:cantSplit/>
          <w:trHeight w:val="343"/>
        </w:trPr>
        <w:tc>
          <w:tcPr>
            <w:tcW w:w="1435" w:type="dxa"/>
            <w:vAlign w:val="center"/>
          </w:tcPr>
          <w:p w14:paraId="0F78500B" w14:textId="77777777" w:rsidR="00C32B9F" w:rsidRPr="00B06C2F" w:rsidRDefault="00C32B9F" w:rsidP="00A43A0B">
            <w:pPr>
              <w:rPr>
                <w:rFonts w:eastAsia="Arial" w:cs="Arial"/>
                <w:sz w:val="24"/>
                <w:szCs w:val="24"/>
              </w:rPr>
            </w:pPr>
            <w:r w:rsidRPr="00B06C2F">
              <w:rPr>
                <w:rFonts w:eastAsia="Arial" w:cs="Arial"/>
                <w:sz w:val="24"/>
                <w:szCs w:val="24"/>
              </w:rPr>
              <w:t>March</w:t>
            </w:r>
          </w:p>
        </w:tc>
        <w:tc>
          <w:tcPr>
            <w:tcW w:w="1170" w:type="dxa"/>
            <w:vAlign w:val="center"/>
          </w:tcPr>
          <w:p w14:paraId="5BE5D399" w14:textId="77777777" w:rsidR="00C32B9F" w:rsidRPr="00B06C2F" w:rsidRDefault="00C32B9F" w:rsidP="00A43A0B">
            <w:pPr>
              <w:jc w:val="right"/>
              <w:rPr>
                <w:rFonts w:eastAsia="Arial" w:cs="Arial"/>
                <w:sz w:val="24"/>
                <w:szCs w:val="24"/>
              </w:rPr>
            </w:pPr>
            <w:r w:rsidRPr="00B06C2F">
              <w:rPr>
                <w:rFonts w:eastAsia="Arial" w:cs="Arial"/>
                <w:sz w:val="24"/>
                <w:szCs w:val="24"/>
              </w:rPr>
              <w:t>5,518</w:t>
            </w:r>
          </w:p>
        </w:tc>
        <w:tc>
          <w:tcPr>
            <w:tcW w:w="1170" w:type="dxa"/>
            <w:vAlign w:val="center"/>
          </w:tcPr>
          <w:p w14:paraId="2E8ED806" w14:textId="77777777" w:rsidR="00C32B9F" w:rsidRPr="00B06C2F" w:rsidRDefault="00C32B9F" w:rsidP="00A43A0B">
            <w:pPr>
              <w:jc w:val="right"/>
              <w:rPr>
                <w:rFonts w:eastAsia="Arial" w:cs="Arial"/>
                <w:sz w:val="24"/>
                <w:szCs w:val="24"/>
              </w:rPr>
            </w:pPr>
            <w:r w:rsidRPr="00B06C2F">
              <w:rPr>
                <w:rFonts w:eastAsia="Arial" w:cs="Arial"/>
                <w:sz w:val="24"/>
                <w:szCs w:val="24"/>
              </w:rPr>
              <w:t>5,912</w:t>
            </w:r>
          </w:p>
        </w:tc>
        <w:tc>
          <w:tcPr>
            <w:tcW w:w="1170" w:type="dxa"/>
            <w:vAlign w:val="center"/>
          </w:tcPr>
          <w:p w14:paraId="4DD7DD84" w14:textId="77777777" w:rsidR="00C32B9F" w:rsidRPr="00B06C2F" w:rsidRDefault="00C32B9F" w:rsidP="00A43A0B">
            <w:pPr>
              <w:jc w:val="right"/>
              <w:rPr>
                <w:rFonts w:eastAsia="Arial" w:cs="Arial"/>
                <w:sz w:val="24"/>
                <w:szCs w:val="24"/>
              </w:rPr>
            </w:pPr>
            <w:r w:rsidRPr="00B06C2F">
              <w:rPr>
                <w:rFonts w:eastAsia="Arial" w:cs="Arial"/>
                <w:sz w:val="24"/>
                <w:szCs w:val="24"/>
              </w:rPr>
              <w:t>2,748</w:t>
            </w:r>
          </w:p>
        </w:tc>
        <w:tc>
          <w:tcPr>
            <w:tcW w:w="1170" w:type="dxa"/>
            <w:shd w:val="clear" w:color="auto" w:fill="auto"/>
            <w:vAlign w:val="center"/>
          </w:tcPr>
          <w:p w14:paraId="54170A6D" w14:textId="5A9AA454" w:rsidR="00C32B9F" w:rsidRPr="00B06C2F" w:rsidRDefault="00C32B9F" w:rsidP="00A43A0B">
            <w:pPr>
              <w:jc w:val="right"/>
              <w:rPr>
                <w:rFonts w:eastAsia="Arial" w:cs="Arial"/>
                <w:sz w:val="24"/>
                <w:szCs w:val="24"/>
              </w:rPr>
            </w:pPr>
            <w:r w:rsidRPr="00B06C2F">
              <w:rPr>
                <w:rFonts w:eastAsia="Arial" w:cs="Arial"/>
                <w:sz w:val="24"/>
                <w:szCs w:val="24"/>
              </w:rPr>
              <w:t>4,360</w:t>
            </w:r>
          </w:p>
        </w:tc>
        <w:tc>
          <w:tcPr>
            <w:tcW w:w="1665" w:type="dxa"/>
            <w:shd w:val="clear" w:color="auto" w:fill="auto"/>
            <w:vAlign w:val="center"/>
          </w:tcPr>
          <w:p w14:paraId="7EE23931" w14:textId="6D6CFF83" w:rsidR="00C32B9F" w:rsidRPr="00B06C2F" w:rsidRDefault="00C32B9F" w:rsidP="00A43A0B">
            <w:pPr>
              <w:jc w:val="right"/>
              <w:rPr>
                <w:rFonts w:eastAsia="Arial" w:cs="Arial"/>
                <w:sz w:val="24"/>
                <w:szCs w:val="24"/>
              </w:rPr>
            </w:pPr>
            <w:r w:rsidRPr="00B06C2F">
              <w:rPr>
                <w:rFonts w:cs="Arial"/>
                <w:color w:val="000000"/>
                <w:sz w:val="24"/>
                <w:szCs w:val="24"/>
              </w:rPr>
              <w:t>-1,158</w:t>
            </w:r>
          </w:p>
        </w:tc>
        <w:tc>
          <w:tcPr>
            <w:tcW w:w="1665" w:type="dxa"/>
            <w:shd w:val="clear" w:color="auto" w:fill="auto"/>
            <w:vAlign w:val="center"/>
          </w:tcPr>
          <w:p w14:paraId="0B5FD20E" w14:textId="4FF83120" w:rsidR="00C32B9F" w:rsidRPr="00B06C2F" w:rsidRDefault="00C32B9F" w:rsidP="00A43A0B">
            <w:pPr>
              <w:jc w:val="right"/>
              <w:rPr>
                <w:rFonts w:eastAsia="Arial" w:cs="Arial"/>
                <w:sz w:val="24"/>
                <w:szCs w:val="24"/>
              </w:rPr>
            </w:pPr>
            <w:r w:rsidRPr="00B06C2F">
              <w:rPr>
                <w:rFonts w:cs="Arial"/>
                <w:color w:val="000000"/>
                <w:sz w:val="24"/>
                <w:szCs w:val="24"/>
              </w:rPr>
              <w:t>-21.0%</w:t>
            </w:r>
          </w:p>
        </w:tc>
      </w:tr>
      <w:tr w:rsidR="00C32B9F" w:rsidRPr="00B06C2F" w14:paraId="01862BCF" w14:textId="77777777" w:rsidTr="007B055E">
        <w:trPr>
          <w:cantSplit/>
          <w:trHeight w:val="343"/>
        </w:trPr>
        <w:tc>
          <w:tcPr>
            <w:tcW w:w="1435" w:type="dxa"/>
            <w:vAlign w:val="center"/>
          </w:tcPr>
          <w:p w14:paraId="7D7D0F63" w14:textId="77777777" w:rsidR="00C32B9F" w:rsidRPr="00B06C2F" w:rsidRDefault="00C32B9F" w:rsidP="00A43A0B">
            <w:pPr>
              <w:rPr>
                <w:rFonts w:eastAsia="Arial" w:cs="Arial"/>
                <w:sz w:val="24"/>
                <w:szCs w:val="24"/>
              </w:rPr>
            </w:pPr>
            <w:r w:rsidRPr="00B06C2F">
              <w:rPr>
                <w:rFonts w:eastAsia="Arial" w:cs="Arial"/>
                <w:sz w:val="24"/>
                <w:szCs w:val="24"/>
              </w:rPr>
              <w:t>April</w:t>
            </w:r>
          </w:p>
        </w:tc>
        <w:tc>
          <w:tcPr>
            <w:tcW w:w="1170" w:type="dxa"/>
            <w:vAlign w:val="center"/>
          </w:tcPr>
          <w:p w14:paraId="0E913B5C" w14:textId="77777777" w:rsidR="00C32B9F" w:rsidRPr="00B06C2F" w:rsidRDefault="00C32B9F" w:rsidP="00A43A0B">
            <w:pPr>
              <w:jc w:val="right"/>
              <w:rPr>
                <w:rFonts w:eastAsia="Arial" w:cs="Arial"/>
                <w:sz w:val="24"/>
                <w:szCs w:val="24"/>
              </w:rPr>
            </w:pPr>
            <w:r w:rsidRPr="00B06C2F">
              <w:rPr>
                <w:rFonts w:eastAsia="Arial" w:cs="Arial"/>
                <w:sz w:val="24"/>
                <w:szCs w:val="24"/>
              </w:rPr>
              <w:t>3,184</w:t>
            </w:r>
          </w:p>
        </w:tc>
        <w:tc>
          <w:tcPr>
            <w:tcW w:w="1170" w:type="dxa"/>
            <w:vAlign w:val="center"/>
          </w:tcPr>
          <w:p w14:paraId="2ADB3579" w14:textId="77777777" w:rsidR="00C32B9F" w:rsidRPr="00B06C2F" w:rsidRDefault="00C32B9F" w:rsidP="00A43A0B">
            <w:pPr>
              <w:jc w:val="right"/>
              <w:rPr>
                <w:rFonts w:eastAsia="Arial" w:cs="Arial"/>
                <w:sz w:val="24"/>
                <w:szCs w:val="24"/>
              </w:rPr>
            </w:pPr>
            <w:r w:rsidRPr="00B06C2F">
              <w:rPr>
                <w:rFonts w:eastAsia="Arial" w:cs="Arial"/>
                <w:sz w:val="24"/>
                <w:szCs w:val="24"/>
              </w:rPr>
              <w:t>3,118</w:t>
            </w:r>
          </w:p>
        </w:tc>
        <w:tc>
          <w:tcPr>
            <w:tcW w:w="1170" w:type="dxa"/>
            <w:vAlign w:val="center"/>
          </w:tcPr>
          <w:p w14:paraId="42011925" w14:textId="77777777" w:rsidR="00C32B9F" w:rsidRPr="00B06C2F" w:rsidRDefault="00C32B9F" w:rsidP="00A43A0B">
            <w:pPr>
              <w:jc w:val="right"/>
              <w:rPr>
                <w:rFonts w:eastAsia="Arial" w:cs="Arial"/>
                <w:sz w:val="24"/>
                <w:szCs w:val="24"/>
              </w:rPr>
            </w:pPr>
            <w:r w:rsidRPr="00B06C2F">
              <w:rPr>
                <w:rFonts w:eastAsia="Arial" w:cs="Arial"/>
                <w:sz w:val="24"/>
                <w:szCs w:val="24"/>
              </w:rPr>
              <w:t>333</w:t>
            </w:r>
          </w:p>
        </w:tc>
        <w:tc>
          <w:tcPr>
            <w:tcW w:w="1170" w:type="dxa"/>
            <w:shd w:val="clear" w:color="auto" w:fill="auto"/>
            <w:vAlign w:val="center"/>
          </w:tcPr>
          <w:p w14:paraId="4AD6A894" w14:textId="799F09BF" w:rsidR="00C32B9F" w:rsidRPr="00B06C2F" w:rsidRDefault="00C32B9F" w:rsidP="00A43A0B">
            <w:pPr>
              <w:jc w:val="right"/>
              <w:rPr>
                <w:rFonts w:eastAsia="Arial" w:cs="Arial"/>
                <w:sz w:val="24"/>
                <w:szCs w:val="24"/>
              </w:rPr>
            </w:pPr>
            <w:r w:rsidRPr="00B06C2F">
              <w:rPr>
                <w:rFonts w:eastAsia="Arial" w:cs="Arial"/>
                <w:sz w:val="24"/>
                <w:szCs w:val="24"/>
              </w:rPr>
              <w:t>2,421</w:t>
            </w:r>
          </w:p>
        </w:tc>
        <w:tc>
          <w:tcPr>
            <w:tcW w:w="1665" w:type="dxa"/>
            <w:shd w:val="clear" w:color="auto" w:fill="auto"/>
            <w:vAlign w:val="center"/>
          </w:tcPr>
          <w:p w14:paraId="5730762B" w14:textId="3F525F61" w:rsidR="00C32B9F" w:rsidRPr="00B06C2F" w:rsidRDefault="00C32B9F" w:rsidP="00A43A0B">
            <w:pPr>
              <w:jc w:val="right"/>
              <w:rPr>
                <w:rFonts w:eastAsia="Arial" w:cs="Arial"/>
                <w:sz w:val="24"/>
                <w:szCs w:val="24"/>
              </w:rPr>
            </w:pPr>
            <w:r w:rsidRPr="00B06C2F">
              <w:rPr>
                <w:rFonts w:cs="Arial"/>
                <w:color w:val="000000"/>
                <w:sz w:val="24"/>
                <w:szCs w:val="24"/>
              </w:rPr>
              <w:t>-763</w:t>
            </w:r>
          </w:p>
        </w:tc>
        <w:tc>
          <w:tcPr>
            <w:tcW w:w="1665" w:type="dxa"/>
            <w:shd w:val="clear" w:color="auto" w:fill="auto"/>
            <w:vAlign w:val="center"/>
          </w:tcPr>
          <w:p w14:paraId="65C51CA4" w14:textId="7F81874A" w:rsidR="00C32B9F" w:rsidRPr="00B06C2F" w:rsidRDefault="00C32B9F" w:rsidP="00A43A0B">
            <w:pPr>
              <w:jc w:val="right"/>
              <w:rPr>
                <w:rFonts w:eastAsia="Arial" w:cs="Arial"/>
                <w:sz w:val="24"/>
                <w:szCs w:val="24"/>
              </w:rPr>
            </w:pPr>
            <w:r w:rsidRPr="00B06C2F">
              <w:rPr>
                <w:rFonts w:cs="Arial"/>
                <w:color w:val="000000"/>
                <w:sz w:val="24"/>
                <w:szCs w:val="24"/>
              </w:rPr>
              <w:t>-24.0%</w:t>
            </w:r>
          </w:p>
        </w:tc>
      </w:tr>
      <w:tr w:rsidR="00C32B9F" w:rsidRPr="00B06C2F" w14:paraId="09FFD4F0" w14:textId="77777777" w:rsidTr="007B055E">
        <w:trPr>
          <w:cantSplit/>
          <w:trHeight w:val="343"/>
        </w:trPr>
        <w:tc>
          <w:tcPr>
            <w:tcW w:w="1435" w:type="dxa"/>
            <w:vAlign w:val="center"/>
          </w:tcPr>
          <w:p w14:paraId="722A26A7" w14:textId="77777777" w:rsidR="00C32B9F" w:rsidRPr="00B06C2F" w:rsidRDefault="00C32B9F" w:rsidP="00A43A0B">
            <w:pPr>
              <w:rPr>
                <w:rFonts w:eastAsia="Arial" w:cs="Arial"/>
                <w:sz w:val="24"/>
                <w:szCs w:val="24"/>
              </w:rPr>
            </w:pPr>
            <w:r w:rsidRPr="00B06C2F">
              <w:rPr>
                <w:rFonts w:eastAsia="Arial" w:cs="Arial"/>
                <w:sz w:val="24"/>
                <w:szCs w:val="24"/>
              </w:rPr>
              <w:t>May</w:t>
            </w:r>
          </w:p>
        </w:tc>
        <w:tc>
          <w:tcPr>
            <w:tcW w:w="1170" w:type="dxa"/>
            <w:vAlign w:val="center"/>
          </w:tcPr>
          <w:p w14:paraId="2225E2A5" w14:textId="77777777" w:rsidR="00C32B9F" w:rsidRPr="00B06C2F" w:rsidRDefault="00C32B9F" w:rsidP="00A43A0B">
            <w:pPr>
              <w:jc w:val="right"/>
              <w:rPr>
                <w:rFonts w:eastAsia="Arial" w:cs="Arial"/>
                <w:sz w:val="24"/>
                <w:szCs w:val="24"/>
              </w:rPr>
            </w:pPr>
            <w:r w:rsidRPr="00B06C2F">
              <w:rPr>
                <w:rFonts w:eastAsia="Arial" w:cs="Arial"/>
                <w:sz w:val="24"/>
                <w:szCs w:val="24"/>
              </w:rPr>
              <w:t>1,267</w:t>
            </w:r>
          </w:p>
        </w:tc>
        <w:tc>
          <w:tcPr>
            <w:tcW w:w="1170" w:type="dxa"/>
            <w:vAlign w:val="center"/>
          </w:tcPr>
          <w:p w14:paraId="2CAFE0AE" w14:textId="77777777" w:rsidR="00C32B9F" w:rsidRPr="00B06C2F" w:rsidRDefault="00C32B9F" w:rsidP="00A43A0B">
            <w:pPr>
              <w:jc w:val="right"/>
              <w:rPr>
                <w:rFonts w:eastAsia="Arial" w:cs="Arial"/>
                <w:sz w:val="24"/>
                <w:szCs w:val="24"/>
              </w:rPr>
            </w:pPr>
            <w:r w:rsidRPr="00B06C2F">
              <w:rPr>
                <w:rFonts w:eastAsia="Arial" w:cs="Arial"/>
                <w:sz w:val="24"/>
                <w:szCs w:val="24"/>
              </w:rPr>
              <w:t>730</w:t>
            </w:r>
          </w:p>
        </w:tc>
        <w:tc>
          <w:tcPr>
            <w:tcW w:w="1170" w:type="dxa"/>
            <w:vAlign w:val="center"/>
          </w:tcPr>
          <w:p w14:paraId="64507562" w14:textId="77777777" w:rsidR="00C32B9F" w:rsidRPr="00B06C2F" w:rsidRDefault="00C32B9F" w:rsidP="00A43A0B">
            <w:pPr>
              <w:jc w:val="right"/>
              <w:rPr>
                <w:rFonts w:eastAsia="Arial" w:cs="Arial"/>
                <w:sz w:val="24"/>
                <w:szCs w:val="24"/>
              </w:rPr>
            </w:pPr>
            <w:r w:rsidRPr="00B06C2F">
              <w:rPr>
                <w:rFonts w:eastAsia="Arial" w:cs="Arial"/>
                <w:sz w:val="24"/>
                <w:szCs w:val="24"/>
              </w:rPr>
              <w:t>151</w:t>
            </w:r>
          </w:p>
        </w:tc>
        <w:tc>
          <w:tcPr>
            <w:tcW w:w="1170" w:type="dxa"/>
            <w:shd w:val="clear" w:color="auto" w:fill="auto"/>
            <w:vAlign w:val="center"/>
          </w:tcPr>
          <w:p w14:paraId="40E6630C" w14:textId="7E107797" w:rsidR="00C32B9F" w:rsidRPr="00B06C2F" w:rsidRDefault="00C32B9F" w:rsidP="00A43A0B">
            <w:pPr>
              <w:jc w:val="right"/>
              <w:rPr>
                <w:rFonts w:eastAsia="Arial" w:cs="Arial"/>
                <w:sz w:val="24"/>
                <w:szCs w:val="24"/>
              </w:rPr>
            </w:pPr>
            <w:r w:rsidRPr="00B06C2F">
              <w:rPr>
                <w:rFonts w:eastAsia="Arial" w:cs="Arial"/>
                <w:sz w:val="24"/>
                <w:szCs w:val="24"/>
              </w:rPr>
              <w:t>750</w:t>
            </w:r>
          </w:p>
        </w:tc>
        <w:tc>
          <w:tcPr>
            <w:tcW w:w="1665" w:type="dxa"/>
            <w:shd w:val="clear" w:color="auto" w:fill="auto"/>
            <w:vAlign w:val="center"/>
          </w:tcPr>
          <w:p w14:paraId="10F48836" w14:textId="5621E57A" w:rsidR="00C32B9F" w:rsidRPr="00B06C2F" w:rsidRDefault="00C32B9F" w:rsidP="00A43A0B">
            <w:pPr>
              <w:jc w:val="right"/>
              <w:rPr>
                <w:rFonts w:eastAsia="Arial" w:cs="Arial"/>
                <w:sz w:val="24"/>
                <w:szCs w:val="24"/>
              </w:rPr>
            </w:pPr>
            <w:r w:rsidRPr="00B06C2F">
              <w:rPr>
                <w:rFonts w:cs="Arial"/>
                <w:color w:val="000000"/>
                <w:sz w:val="24"/>
                <w:szCs w:val="24"/>
              </w:rPr>
              <w:t>-517</w:t>
            </w:r>
          </w:p>
        </w:tc>
        <w:tc>
          <w:tcPr>
            <w:tcW w:w="1665" w:type="dxa"/>
            <w:shd w:val="clear" w:color="auto" w:fill="auto"/>
            <w:vAlign w:val="center"/>
          </w:tcPr>
          <w:p w14:paraId="58A38A8B" w14:textId="27302CF4" w:rsidR="00C32B9F" w:rsidRPr="00B06C2F" w:rsidRDefault="00C32B9F" w:rsidP="00A43A0B">
            <w:pPr>
              <w:jc w:val="right"/>
              <w:rPr>
                <w:rFonts w:eastAsia="Arial" w:cs="Arial"/>
                <w:sz w:val="24"/>
                <w:szCs w:val="24"/>
              </w:rPr>
            </w:pPr>
            <w:r w:rsidRPr="00B06C2F">
              <w:rPr>
                <w:rFonts w:cs="Arial"/>
                <w:color w:val="000000"/>
                <w:sz w:val="24"/>
                <w:szCs w:val="24"/>
              </w:rPr>
              <w:t>-40.8%</w:t>
            </w:r>
          </w:p>
        </w:tc>
      </w:tr>
      <w:tr w:rsidR="00C32B9F" w:rsidRPr="00B06C2F" w14:paraId="190A7F32" w14:textId="77777777" w:rsidTr="007B055E">
        <w:trPr>
          <w:cantSplit/>
          <w:trHeight w:val="343"/>
        </w:trPr>
        <w:tc>
          <w:tcPr>
            <w:tcW w:w="1435" w:type="dxa"/>
            <w:vAlign w:val="center"/>
          </w:tcPr>
          <w:p w14:paraId="70BFE85D" w14:textId="77777777" w:rsidR="00C32B9F" w:rsidRPr="00B06C2F" w:rsidRDefault="00C32B9F" w:rsidP="00A43A0B">
            <w:pPr>
              <w:rPr>
                <w:rFonts w:eastAsia="Arial" w:cs="Arial"/>
                <w:sz w:val="24"/>
                <w:szCs w:val="24"/>
              </w:rPr>
            </w:pPr>
            <w:r w:rsidRPr="00B06C2F">
              <w:rPr>
                <w:rFonts w:eastAsia="Arial" w:cs="Arial"/>
                <w:sz w:val="24"/>
                <w:szCs w:val="24"/>
              </w:rPr>
              <w:t>June</w:t>
            </w:r>
          </w:p>
        </w:tc>
        <w:tc>
          <w:tcPr>
            <w:tcW w:w="1170" w:type="dxa"/>
            <w:vAlign w:val="center"/>
          </w:tcPr>
          <w:p w14:paraId="1B5ACE85" w14:textId="77777777" w:rsidR="00C32B9F" w:rsidRPr="00B06C2F" w:rsidRDefault="00C32B9F" w:rsidP="00A43A0B">
            <w:pPr>
              <w:jc w:val="right"/>
              <w:rPr>
                <w:rFonts w:eastAsia="Arial" w:cs="Arial"/>
                <w:sz w:val="24"/>
                <w:szCs w:val="24"/>
              </w:rPr>
            </w:pPr>
            <w:r w:rsidRPr="00B06C2F">
              <w:rPr>
                <w:rFonts w:eastAsia="Arial" w:cs="Arial"/>
                <w:sz w:val="24"/>
                <w:szCs w:val="24"/>
              </w:rPr>
              <w:t>148</w:t>
            </w:r>
          </w:p>
        </w:tc>
        <w:tc>
          <w:tcPr>
            <w:tcW w:w="1170" w:type="dxa"/>
            <w:vAlign w:val="center"/>
          </w:tcPr>
          <w:p w14:paraId="4B584315" w14:textId="77777777" w:rsidR="00C32B9F" w:rsidRPr="00B06C2F" w:rsidRDefault="00C32B9F" w:rsidP="00A43A0B">
            <w:pPr>
              <w:jc w:val="right"/>
              <w:rPr>
                <w:rFonts w:eastAsia="Arial" w:cs="Arial"/>
                <w:sz w:val="24"/>
                <w:szCs w:val="24"/>
              </w:rPr>
            </w:pPr>
            <w:r w:rsidRPr="00B06C2F">
              <w:rPr>
                <w:rFonts w:eastAsia="Arial" w:cs="Arial"/>
                <w:sz w:val="24"/>
                <w:szCs w:val="24"/>
              </w:rPr>
              <w:t>0</w:t>
            </w:r>
          </w:p>
        </w:tc>
        <w:tc>
          <w:tcPr>
            <w:tcW w:w="1170" w:type="dxa"/>
            <w:vAlign w:val="center"/>
          </w:tcPr>
          <w:p w14:paraId="3D5C510C" w14:textId="77777777" w:rsidR="00C32B9F" w:rsidRPr="00B06C2F" w:rsidRDefault="00C32B9F" w:rsidP="00A43A0B">
            <w:pPr>
              <w:jc w:val="right"/>
              <w:rPr>
                <w:rFonts w:eastAsia="Arial" w:cs="Arial"/>
                <w:sz w:val="24"/>
                <w:szCs w:val="24"/>
              </w:rPr>
            </w:pPr>
            <w:r w:rsidRPr="00B06C2F">
              <w:rPr>
                <w:rFonts w:eastAsia="Arial" w:cs="Arial"/>
                <w:sz w:val="24"/>
                <w:szCs w:val="24"/>
              </w:rPr>
              <w:t>35</w:t>
            </w:r>
          </w:p>
        </w:tc>
        <w:tc>
          <w:tcPr>
            <w:tcW w:w="1170" w:type="dxa"/>
            <w:shd w:val="clear" w:color="auto" w:fill="auto"/>
            <w:vAlign w:val="center"/>
          </w:tcPr>
          <w:p w14:paraId="03C94D6E" w14:textId="58C8EA85" w:rsidR="00C32B9F" w:rsidRPr="00B06C2F" w:rsidRDefault="00C32B9F" w:rsidP="00A43A0B">
            <w:pPr>
              <w:jc w:val="right"/>
              <w:rPr>
                <w:rFonts w:eastAsia="Arial" w:cs="Arial"/>
                <w:sz w:val="24"/>
                <w:szCs w:val="24"/>
              </w:rPr>
            </w:pPr>
            <w:r w:rsidRPr="00B06C2F">
              <w:rPr>
                <w:rFonts w:eastAsia="Arial" w:cs="Arial"/>
                <w:sz w:val="24"/>
                <w:szCs w:val="24"/>
              </w:rPr>
              <w:t>115</w:t>
            </w:r>
          </w:p>
        </w:tc>
        <w:tc>
          <w:tcPr>
            <w:tcW w:w="1665" w:type="dxa"/>
            <w:shd w:val="clear" w:color="auto" w:fill="auto"/>
            <w:vAlign w:val="center"/>
          </w:tcPr>
          <w:p w14:paraId="54B1D37E" w14:textId="6D6D5FF8" w:rsidR="00C32B9F" w:rsidRPr="00B06C2F" w:rsidRDefault="00C32B9F" w:rsidP="00A43A0B">
            <w:pPr>
              <w:jc w:val="right"/>
              <w:rPr>
                <w:rFonts w:eastAsia="Arial" w:cs="Arial"/>
                <w:sz w:val="24"/>
                <w:szCs w:val="24"/>
              </w:rPr>
            </w:pPr>
            <w:r w:rsidRPr="00B06C2F">
              <w:rPr>
                <w:rFonts w:cs="Arial"/>
                <w:color w:val="000000"/>
                <w:sz w:val="24"/>
                <w:szCs w:val="24"/>
              </w:rPr>
              <w:t>-33</w:t>
            </w:r>
          </w:p>
        </w:tc>
        <w:tc>
          <w:tcPr>
            <w:tcW w:w="1665" w:type="dxa"/>
            <w:shd w:val="clear" w:color="auto" w:fill="auto"/>
            <w:vAlign w:val="center"/>
          </w:tcPr>
          <w:p w14:paraId="627BBB87" w14:textId="7E3944E9" w:rsidR="00C32B9F" w:rsidRPr="00B06C2F" w:rsidRDefault="00C32B9F" w:rsidP="00A43A0B">
            <w:pPr>
              <w:jc w:val="right"/>
              <w:rPr>
                <w:rFonts w:eastAsia="Arial" w:cs="Arial"/>
                <w:sz w:val="24"/>
                <w:szCs w:val="24"/>
              </w:rPr>
            </w:pPr>
            <w:r w:rsidRPr="00B06C2F">
              <w:rPr>
                <w:rFonts w:cs="Arial"/>
                <w:color w:val="000000"/>
                <w:sz w:val="24"/>
                <w:szCs w:val="24"/>
              </w:rPr>
              <w:t>-22.3%</w:t>
            </w:r>
          </w:p>
        </w:tc>
      </w:tr>
      <w:tr w:rsidR="00C32B9F" w:rsidRPr="00B06C2F" w14:paraId="3B9A0830" w14:textId="77777777" w:rsidTr="007B055E">
        <w:trPr>
          <w:cantSplit/>
          <w:trHeight w:val="343"/>
        </w:trPr>
        <w:tc>
          <w:tcPr>
            <w:tcW w:w="1435" w:type="dxa"/>
            <w:vAlign w:val="center"/>
          </w:tcPr>
          <w:p w14:paraId="46FE0C09" w14:textId="77777777" w:rsidR="00C32B9F" w:rsidRPr="00B06C2F" w:rsidRDefault="00C32B9F" w:rsidP="00A43A0B">
            <w:pPr>
              <w:rPr>
                <w:rFonts w:eastAsia="Arial" w:cs="Arial"/>
                <w:b/>
                <w:bCs/>
                <w:sz w:val="24"/>
                <w:szCs w:val="24"/>
              </w:rPr>
            </w:pPr>
            <w:r w:rsidRPr="00B06C2F">
              <w:rPr>
                <w:rFonts w:eastAsia="Arial" w:cs="Arial"/>
                <w:b/>
                <w:bCs/>
                <w:sz w:val="24"/>
                <w:szCs w:val="24"/>
              </w:rPr>
              <w:t>Total</w:t>
            </w:r>
          </w:p>
        </w:tc>
        <w:tc>
          <w:tcPr>
            <w:tcW w:w="1170" w:type="dxa"/>
            <w:vAlign w:val="center"/>
          </w:tcPr>
          <w:p w14:paraId="7F9C3725" w14:textId="77777777" w:rsidR="00C32B9F" w:rsidRPr="00B06C2F" w:rsidRDefault="00C32B9F" w:rsidP="00A43A0B">
            <w:pPr>
              <w:jc w:val="right"/>
              <w:rPr>
                <w:rFonts w:eastAsia="Arial" w:cs="Arial"/>
                <w:b/>
                <w:bCs/>
                <w:sz w:val="24"/>
                <w:szCs w:val="24"/>
              </w:rPr>
            </w:pPr>
            <w:r w:rsidRPr="00B06C2F">
              <w:rPr>
                <w:rFonts w:eastAsia="Arial" w:cs="Arial"/>
                <w:b/>
                <w:bCs/>
                <w:sz w:val="24"/>
                <w:szCs w:val="24"/>
              </w:rPr>
              <w:t>48,674</w:t>
            </w:r>
          </w:p>
        </w:tc>
        <w:tc>
          <w:tcPr>
            <w:tcW w:w="1170" w:type="dxa"/>
            <w:vAlign w:val="center"/>
          </w:tcPr>
          <w:p w14:paraId="55B68352" w14:textId="77777777" w:rsidR="00C32B9F" w:rsidRPr="00B06C2F" w:rsidRDefault="00C32B9F" w:rsidP="00A43A0B">
            <w:pPr>
              <w:jc w:val="right"/>
              <w:rPr>
                <w:rFonts w:eastAsia="Arial" w:cs="Arial"/>
                <w:b/>
                <w:bCs/>
                <w:sz w:val="24"/>
                <w:szCs w:val="24"/>
              </w:rPr>
            </w:pPr>
            <w:r w:rsidRPr="00B06C2F">
              <w:rPr>
                <w:rFonts w:eastAsia="Arial" w:cs="Arial"/>
                <w:b/>
                <w:bCs/>
                <w:sz w:val="24"/>
                <w:szCs w:val="24"/>
              </w:rPr>
              <w:t>49,335</w:t>
            </w:r>
          </w:p>
        </w:tc>
        <w:tc>
          <w:tcPr>
            <w:tcW w:w="1170" w:type="dxa"/>
            <w:vAlign w:val="center"/>
          </w:tcPr>
          <w:p w14:paraId="709016E6" w14:textId="77777777" w:rsidR="00C32B9F" w:rsidRPr="00B06C2F" w:rsidRDefault="00C32B9F" w:rsidP="00A43A0B">
            <w:pPr>
              <w:jc w:val="right"/>
              <w:rPr>
                <w:rFonts w:eastAsia="Arial" w:cs="Arial"/>
                <w:b/>
                <w:bCs/>
                <w:sz w:val="24"/>
                <w:szCs w:val="24"/>
              </w:rPr>
            </w:pPr>
            <w:r w:rsidRPr="00B06C2F">
              <w:rPr>
                <w:rFonts w:eastAsia="Arial" w:cs="Arial"/>
                <w:b/>
                <w:bCs/>
                <w:sz w:val="24"/>
                <w:szCs w:val="24"/>
              </w:rPr>
              <w:t>40,367</w:t>
            </w:r>
          </w:p>
        </w:tc>
        <w:tc>
          <w:tcPr>
            <w:tcW w:w="1170" w:type="dxa"/>
            <w:vAlign w:val="center"/>
          </w:tcPr>
          <w:p w14:paraId="5278AF4B" w14:textId="481E9DAF" w:rsidR="00C32B9F" w:rsidRPr="00B06C2F" w:rsidRDefault="00C32B9F" w:rsidP="00A43A0B">
            <w:pPr>
              <w:jc w:val="right"/>
              <w:rPr>
                <w:rFonts w:eastAsia="Arial" w:cs="Arial"/>
                <w:b/>
                <w:bCs/>
                <w:sz w:val="24"/>
                <w:szCs w:val="24"/>
              </w:rPr>
            </w:pPr>
            <w:r w:rsidRPr="00B06C2F">
              <w:rPr>
                <w:rFonts w:eastAsia="Arial" w:cs="Arial"/>
                <w:b/>
                <w:bCs/>
                <w:sz w:val="24"/>
                <w:szCs w:val="24"/>
              </w:rPr>
              <w:t>36,105</w:t>
            </w:r>
          </w:p>
        </w:tc>
        <w:tc>
          <w:tcPr>
            <w:tcW w:w="1665" w:type="dxa"/>
            <w:vAlign w:val="center"/>
          </w:tcPr>
          <w:p w14:paraId="1DD2EDB6" w14:textId="1807A774" w:rsidR="00C32B9F" w:rsidRPr="00B06C2F" w:rsidRDefault="00C32B9F" w:rsidP="00A43A0B">
            <w:pPr>
              <w:jc w:val="right"/>
              <w:rPr>
                <w:rFonts w:eastAsia="Arial" w:cs="Arial"/>
                <w:b/>
                <w:bCs/>
                <w:sz w:val="24"/>
                <w:szCs w:val="24"/>
              </w:rPr>
            </w:pPr>
            <w:r w:rsidRPr="00B06C2F">
              <w:rPr>
                <w:rFonts w:cs="Arial"/>
                <w:b/>
                <w:bCs/>
                <w:color w:val="000000"/>
                <w:sz w:val="24"/>
                <w:szCs w:val="24"/>
              </w:rPr>
              <w:t>-12,569</w:t>
            </w:r>
          </w:p>
        </w:tc>
        <w:tc>
          <w:tcPr>
            <w:tcW w:w="1665" w:type="dxa"/>
            <w:vAlign w:val="center"/>
          </w:tcPr>
          <w:p w14:paraId="3EA2B6D3" w14:textId="7615884A" w:rsidR="00C32B9F" w:rsidRPr="00B06C2F" w:rsidRDefault="00C32B9F" w:rsidP="00A43A0B">
            <w:pPr>
              <w:jc w:val="right"/>
              <w:rPr>
                <w:rFonts w:eastAsia="Arial" w:cs="Arial"/>
                <w:b/>
                <w:bCs/>
                <w:sz w:val="24"/>
                <w:szCs w:val="24"/>
              </w:rPr>
            </w:pPr>
            <w:r w:rsidRPr="00B06C2F">
              <w:rPr>
                <w:rFonts w:cs="Arial"/>
                <w:b/>
                <w:color w:val="000000"/>
                <w:sz w:val="24"/>
                <w:szCs w:val="24"/>
              </w:rPr>
              <w:t>-25.8%</w:t>
            </w:r>
          </w:p>
        </w:tc>
      </w:tr>
    </w:tbl>
    <w:p w14:paraId="00EF4573" w14:textId="3DAD7C25" w:rsidR="00B47306" w:rsidRPr="00B06C2F" w:rsidRDefault="005A54DC" w:rsidP="00BE3748">
      <w:pPr>
        <w:spacing w:before="240" w:after="240" w:line="276" w:lineRule="exact"/>
        <w:rPr>
          <w:rFonts w:eastAsia="Arial" w:cs="Arial"/>
          <w:color w:val="000000" w:themeColor="text1"/>
        </w:rPr>
      </w:pPr>
      <w:r w:rsidRPr="00B06C2F">
        <w:rPr>
          <w:rFonts w:eastAsia="Arial" w:cs="Arial"/>
          <w:color w:val="000000" w:themeColor="text1"/>
        </w:rPr>
        <w:t>Percent</w:t>
      </w:r>
      <w:r w:rsidR="00B47306" w:rsidRPr="00B06C2F">
        <w:rPr>
          <w:rFonts w:eastAsia="Arial" w:cs="Arial"/>
          <w:color w:val="000000" w:themeColor="text1"/>
        </w:rPr>
        <w:t xml:space="preserve"> Change </w:t>
      </w:r>
      <w:r w:rsidRPr="00B06C2F">
        <w:rPr>
          <w:rFonts w:eastAsia="Arial" w:cs="Arial"/>
          <w:color w:val="000000" w:themeColor="text1"/>
        </w:rPr>
        <w:t xml:space="preserve">Calculation: </w:t>
      </w:r>
      <w:r w:rsidR="00B47306" w:rsidRPr="00B06C2F">
        <w:rPr>
          <w:rFonts w:eastAsia="Arial" w:cs="Arial"/>
          <w:color w:val="000000" w:themeColor="text1"/>
        </w:rPr>
        <w:t>100 x [(New Value - Old Value) ÷ Old Value]</w:t>
      </w:r>
    </w:p>
    <w:p w14:paraId="6E71B696" w14:textId="3FBD6104" w:rsidR="00B47306" w:rsidRPr="00B06C2F" w:rsidRDefault="00B47306" w:rsidP="000215EE">
      <w:pPr>
        <w:pStyle w:val="Heading4"/>
        <w:rPr>
          <w:i/>
        </w:rPr>
      </w:pPr>
      <w:r w:rsidRPr="00B06C2F">
        <w:rPr>
          <w:rFonts w:eastAsia="Arial"/>
        </w:rPr>
        <w:t>Summary of Difference and Percent Change of Transfer Totals</w:t>
      </w:r>
    </w:p>
    <w:p w14:paraId="4808D390" w14:textId="51C61A28" w:rsidR="00B47306" w:rsidRPr="00B06C2F" w:rsidRDefault="00B47306" w:rsidP="00BE3748">
      <w:pPr>
        <w:spacing w:after="240"/>
        <w:rPr>
          <w:rFonts w:eastAsia="Arial" w:cs="Arial"/>
          <w:color w:val="000000" w:themeColor="text1"/>
        </w:rPr>
      </w:pPr>
      <w:r w:rsidRPr="00B06C2F">
        <w:rPr>
          <w:rFonts w:eastAsia="Arial" w:cs="Arial"/>
          <w:color w:val="000000" w:themeColor="text1"/>
        </w:rPr>
        <w:t xml:space="preserve">As shown in Table 1, the total number of transfers </w:t>
      </w:r>
      <w:r w:rsidR="00027713" w:rsidRPr="00B06C2F">
        <w:rPr>
          <w:rFonts w:eastAsia="Arial" w:cs="Arial"/>
          <w:color w:val="000000" w:themeColor="text1"/>
        </w:rPr>
        <w:t xml:space="preserve">has continued to decrease compared to the </w:t>
      </w:r>
      <w:r w:rsidRPr="00B06C2F">
        <w:rPr>
          <w:rFonts w:eastAsia="Arial" w:cs="Arial"/>
          <w:color w:val="000000" w:themeColor="text1"/>
        </w:rPr>
        <w:t>2017–18 base year to 20</w:t>
      </w:r>
      <w:r w:rsidR="00027713" w:rsidRPr="00B06C2F">
        <w:rPr>
          <w:rFonts w:eastAsia="Arial" w:cs="Arial"/>
          <w:color w:val="000000" w:themeColor="text1"/>
        </w:rPr>
        <w:t>20</w:t>
      </w:r>
      <w:r w:rsidRPr="00B06C2F">
        <w:rPr>
          <w:rFonts w:eastAsia="Arial" w:cs="Arial"/>
          <w:color w:val="000000" w:themeColor="text1"/>
        </w:rPr>
        <w:t>–</w:t>
      </w:r>
      <w:r w:rsidR="00027713" w:rsidRPr="00B06C2F">
        <w:rPr>
          <w:rFonts w:eastAsia="Arial" w:cs="Arial"/>
          <w:color w:val="000000" w:themeColor="text1"/>
        </w:rPr>
        <w:t>21</w:t>
      </w:r>
      <w:r w:rsidRPr="00B06C2F">
        <w:rPr>
          <w:rFonts w:eastAsia="Arial" w:cs="Arial"/>
          <w:color w:val="000000" w:themeColor="text1"/>
        </w:rPr>
        <w:t>, owing</w:t>
      </w:r>
      <w:r w:rsidR="00027713" w:rsidRPr="00B06C2F">
        <w:rPr>
          <w:rFonts w:eastAsia="Arial" w:cs="Arial"/>
          <w:color w:val="000000" w:themeColor="text1"/>
        </w:rPr>
        <w:t xml:space="preserve">, perhaps, </w:t>
      </w:r>
      <w:r w:rsidRPr="00B06C2F">
        <w:rPr>
          <w:rFonts w:eastAsia="Arial" w:cs="Arial"/>
          <w:color w:val="000000" w:themeColor="text1"/>
        </w:rPr>
        <w:t xml:space="preserve">in large part to the </w:t>
      </w:r>
      <w:r w:rsidR="00027713" w:rsidRPr="00B06C2F">
        <w:rPr>
          <w:rFonts w:eastAsia="Arial" w:cs="Arial"/>
          <w:color w:val="000000" w:themeColor="text1"/>
        </w:rPr>
        <w:t xml:space="preserve">continued uncertainties that have plagued schools and students since </w:t>
      </w:r>
      <w:r w:rsidR="002860AE" w:rsidRPr="00B06C2F">
        <w:rPr>
          <w:rFonts w:eastAsia="Arial" w:cs="Arial"/>
          <w:color w:val="000000" w:themeColor="text1"/>
        </w:rPr>
        <w:t>the</w:t>
      </w:r>
      <w:r w:rsidR="00787924" w:rsidRPr="00B06C2F">
        <w:rPr>
          <w:rFonts w:eastAsia="Arial" w:cs="Arial"/>
          <w:color w:val="000000" w:themeColor="text1"/>
        </w:rPr>
        <w:t xml:space="preserve"> start of COVID-19 in </w:t>
      </w:r>
      <w:r w:rsidR="00027713" w:rsidRPr="00B06C2F">
        <w:rPr>
          <w:rFonts w:eastAsia="Arial" w:cs="Arial"/>
          <w:color w:val="000000" w:themeColor="text1"/>
        </w:rPr>
        <w:t>2019–20</w:t>
      </w:r>
      <w:r w:rsidRPr="00B06C2F">
        <w:rPr>
          <w:rFonts w:eastAsia="Arial" w:cs="Arial"/>
          <w:color w:val="000000" w:themeColor="text1"/>
        </w:rPr>
        <w:t xml:space="preserve">. Overall, there were </w:t>
      </w:r>
      <w:r w:rsidR="00027713" w:rsidRPr="00B06C2F">
        <w:rPr>
          <w:rFonts w:eastAsia="Arial" w:cs="Arial"/>
          <w:color w:val="000000" w:themeColor="text1"/>
        </w:rPr>
        <w:t>12,569</w:t>
      </w:r>
      <w:r w:rsidR="00027713" w:rsidRPr="00B06C2F">
        <w:rPr>
          <w:rFonts w:cs="Arial"/>
          <w:b/>
          <w:bCs/>
          <w:color w:val="000000"/>
        </w:rPr>
        <w:t xml:space="preserve"> </w:t>
      </w:r>
      <w:r w:rsidRPr="00B06C2F">
        <w:rPr>
          <w:rFonts w:eastAsia="Arial" w:cs="Arial"/>
          <w:color w:val="000000" w:themeColor="text1"/>
        </w:rPr>
        <w:t xml:space="preserve">fewer transfers, or a percent change of </w:t>
      </w:r>
      <w:r w:rsidR="0093738E" w:rsidRPr="00B06C2F">
        <w:rPr>
          <w:rFonts w:eastAsia="Arial" w:cs="Arial"/>
          <w:color w:val="000000" w:themeColor="text1"/>
        </w:rPr>
        <w:t>-</w:t>
      </w:r>
      <w:r w:rsidR="00027713" w:rsidRPr="00B06C2F">
        <w:rPr>
          <w:rFonts w:cs="Arial"/>
          <w:color w:val="000000"/>
        </w:rPr>
        <w:t>25.8</w:t>
      </w:r>
      <w:r w:rsidRPr="00B06C2F">
        <w:rPr>
          <w:rFonts w:eastAsia="Arial" w:cs="Arial"/>
          <w:color w:val="000000" w:themeColor="text1"/>
        </w:rPr>
        <w:t>, from 2017–18 through 20</w:t>
      </w:r>
      <w:r w:rsidR="00027713" w:rsidRPr="00B06C2F">
        <w:rPr>
          <w:rFonts w:eastAsia="Arial" w:cs="Arial"/>
          <w:color w:val="000000" w:themeColor="text1"/>
        </w:rPr>
        <w:t>20</w:t>
      </w:r>
      <w:r w:rsidRPr="00B06C2F">
        <w:rPr>
          <w:rFonts w:eastAsia="Arial" w:cs="Arial"/>
          <w:color w:val="000000" w:themeColor="text1"/>
        </w:rPr>
        <w:t>–2</w:t>
      </w:r>
      <w:r w:rsidR="00027713" w:rsidRPr="00B06C2F">
        <w:rPr>
          <w:rFonts w:eastAsia="Arial" w:cs="Arial"/>
          <w:color w:val="000000" w:themeColor="text1"/>
        </w:rPr>
        <w:t>1</w:t>
      </w:r>
      <w:r w:rsidRPr="00B06C2F">
        <w:rPr>
          <w:rFonts w:eastAsia="Arial" w:cs="Arial"/>
          <w:color w:val="000000" w:themeColor="text1"/>
        </w:rPr>
        <w:t>.</w:t>
      </w:r>
    </w:p>
    <w:p w14:paraId="39054C8F" w14:textId="41D11185" w:rsidR="00A872B6" w:rsidRPr="00B06C2F" w:rsidRDefault="00A872B6" w:rsidP="00BE3748">
      <w:pPr>
        <w:spacing w:after="240"/>
        <w:rPr>
          <w:rFonts w:eastAsia="Arial" w:cs="Arial"/>
          <w:color w:val="000000" w:themeColor="text1"/>
        </w:rPr>
      </w:pPr>
      <w:r w:rsidRPr="00B06C2F">
        <w:rPr>
          <w:rFonts w:eastAsia="Arial" w:cs="Arial"/>
          <w:color w:val="000000" w:themeColor="text1"/>
        </w:rPr>
        <w:t xml:space="preserve">But, even with the drop in </w:t>
      </w:r>
      <w:r w:rsidR="00701499" w:rsidRPr="00B06C2F">
        <w:rPr>
          <w:rFonts w:eastAsia="Arial" w:cs="Arial"/>
          <w:color w:val="000000" w:themeColor="text1"/>
        </w:rPr>
        <w:t>total transfer numbers, both Figure 1 and Table 1 display a nearly identical pattern in fluctuation in 2017</w:t>
      </w:r>
      <w:r w:rsidR="0093738E" w:rsidRPr="00B06C2F">
        <w:rPr>
          <w:rFonts w:eastAsia="Arial" w:cs="Arial"/>
          <w:color w:val="000000" w:themeColor="text1"/>
        </w:rPr>
        <w:t>–</w:t>
      </w:r>
      <w:r w:rsidR="00701499" w:rsidRPr="00B06C2F">
        <w:rPr>
          <w:rFonts w:eastAsia="Arial" w:cs="Arial"/>
          <w:color w:val="000000" w:themeColor="text1"/>
        </w:rPr>
        <w:t>18, 2018</w:t>
      </w:r>
      <w:r w:rsidR="0093738E" w:rsidRPr="00B06C2F">
        <w:rPr>
          <w:rFonts w:eastAsia="Arial" w:cs="Arial"/>
          <w:color w:val="000000" w:themeColor="text1"/>
        </w:rPr>
        <w:t>–</w:t>
      </w:r>
      <w:r w:rsidR="00701499" w:rsidRPr="00B06C2F">
        <w:rPr>
          <w:rFonts w:eastAsia="Arial" w:cs="Arial"/>
          <w:color w:val="000000" w:themeColor="text1"/>
        </w:rPr>
        <w:t>19, and 2020</w:t>
      </w:r>
      <w:r w:rsidR="0093738E" w:rsidRPr="00B06C2F">
        <w:rPr>
          <w:rFonts w:eastAsia="Arial" w:cs="Arial"/>
          <w:color w:val="000000" w:themeColor="text1"/>
        </w:rPr>
        <w:t>–</w:t>
      </w:r>
      <w:r w:rsidR="00701499" w:rsidRPr="00B06C2F">
        <w:rPr>
          <w:rFonts w:eastAsia="Arial" w:cs="Arial"/>
          <w:color w:val="000000" w:themeColor="text1"/>
        </w:rPr>
        <w:t>21. In all three academic years:</w:t>
      </w:r>
    </w:p>
    <w:p w14:paraId="5FD570BB" w14:textId="7126AD7A" w:rsidR="00DC5B5A" w:rsidRPr="00B06C2F" w:rsidRDefault="00701499" w:rsidP="00BE3748">
      <w:pPr>
        <w:pStyle w:val="ListParagraph"/>
        <w:numPr>
          <w:ilvl w:val="0"/>
          <w:numId w:val="23"/>
        </w:numPr>
        <w:spacing w:after="240"/>
        <w:rPr>
          <w:rFonts w:eastAsia="Arial" w:cs="Arial"/>
          <w:color w:val="000000" w:themeColor="text1"/>
        </w:rPr>
      </w:pPr>
      <w:r w:rsidRPr="00B06C2F">
        <w:rPr>
          <w:rFonts w:eastAsia="Arial" w:cs="Arial"/>
          <w:color w:val="000000" w:themeColor="text1"/>
        </w:rPr>
        <w:lastRenderedPageBreak/>
        <w:t>The highest transfer counts were in January, October, December and March</w:t>
      </w:r>
      <w:r w:rsidR="00DC5B5A" w:rsidRPr="00B06C2F">
        <w:rPr>
          <w:rFonts w:eastAsia="Arial" w:cs="Arial"/>
          <w:color w:val="000000" w:themeColor="text1"/>
        </w:rPr>
        <w:t>.</w:t>
      </w:r>
    </w:p>
    <w:p w14:paraId="705EE2B0" w14:textId="728B6830" w:rsidR="00DC5B5A" w:rsidRPr="00B06C2F" w:rsidRDefault="1C09BB46" w:rsidP="00BE3748">
      <w:pPr>
        <w:pStyle w:val="ListParagraph"/>
        <w:numPr>
          <w:ilvl w:val="0"/>
          <w:numId w:val="23"/>
        </w:numPr>
        <w:spacing w:after="240"/>
        <w:rPr>
          <w:rFonts w:eastAsia="Arial" w:cs="Arial"/>
          <w:color w:val="000000" w:themeColor="text1"/>
          <w:szCs w:val="24"/>
        </w:rPr>
      </w:pPr>
      <w:r w:rsidRPr="00B06C2F">
        <w:rPr>
          <w:rFonts w:eastAsia="Arial" w:cs="Arial"/>
          <w:color w:val="000000" w:themeColor="text1"/>
          <w:szCs w:val="24"/>
        </w:rPr>
        <w:t>The lowest transfer count</w:t>
      </w:r>
      <w:r w:rsidR="62B73888" w:rsidRPr="00B06C2F">
        <w:rPr>
          <w:rFonts w:eastAsia="Arial" w:cs="Arial"/>
          <w:color w:val="000000" w:themeColor="text1"/>
          <w:szCs w:val="24"/>
        </w:rPr>
        <w:t xml:space="preserve"> was</w:t>
      </w:r>
      <w:r w:rsidRPr="00B06C2F">
        <w:rPr>
          <w:rFonts w:eastAsia="Arial" w:cs="Arial"/>
          <w:color w:val="000000" w:themeColor="text1"/>
          <w:szCs w:val="24"/>
        </w:rPr>
        <w:t xml:space="preserve"> in June with a low </w:t>
      </w:r>
      <w:r w:rsidR="62B73888" w:rsidRPr="00B06C2F">
        <w:rPr>
          <w:rFonts w:eastAsia="Arial" w:cs="Arial"/>
          <w:color w:val="000000" w:themeColor="text1"/>
          <w:szCs w:val="24"/>
        </w:rPr>
        <w:t xml:space="preserve">number of </w:t>
      </w:r>
      <w:r w:rsidRPr="00B06C2F">
        <w:rPr>
          <w:rFonts w:eastAsia="Arial" w:cs="Arial"/>
          <w:color w:val="000000" w:themeColor="text1"/>
          <w:szCs w:val="24"/>
        </w:rPr>
        <w:t xml:space="preserve">transfers occurring between April to </w:t>
      </w:r>
      <w:r w:rsidR="6533AA77" w:rsidRPr="00B06C2F">
        <w:rPr>
          <w:rFonts w:eastAsia="Arial" w:cs="Arial"/>
          <w:color w:val="000000" w:themeColor="text1"/>
          <w:szCs w:val="24"/>
        </w:rPr>
        <w:t>July</w:t>
      </w:r>
      <w:r w:rsidRPr="00B06C2F">
        <w:rPr>
          <w:rFonts w:eastAsia="Arial" w:cs="Arial"/>
          <w:color w:val="000000" w:themeColor="text1"/>
          <w:szCs w:val="24"/>
        </w:rPr>
        <w:t>.</w:t>
      </w:r>
    </w:p>
    <w:p w14:paraId="41C35619" w14:textId="33394AA9" w:rsidR="00DC5B5A" w:rsidRPr="00B06C2F" w:rsidRDefault="2F1AC126" w:rsidP="00BE3748">
      <w:pPr>
        <w:spacing w:after="240"/>
        <w:rPr>
          <w:rFonts w:eastAsia="Arial" w:cs="Arial"/>
          <w:color w:val="000000" w:themeColor="text1"/>
        </w:rPr>
      </w:pPr>
      <w:r w:rsidRPr="00B06C2F">
        <w:rPr>
          <w:rFonts w:eastAsia="Arial" w:cs="Arial"/>
          <w:color w:val="000000" w:themeColor="text1"/>
        </w:rPr>
        <w:t xml:space="preserve">When compared to the transfer counts in 2017–18, the </w:t>
      </w:r>
      <w:r w:rsidR="07471FE4" w:rsidRPr="00B06C2F">
        <w:rPr>
          <w:rFonts w:eastAsia="Arial" w:cs="Arial"/>
          <w:color w:val="000000" w:themeColor="text1"/>
        </w:rPr>
        <w:t xml:space="preserve">largest percentage change seen in 2020–21 </w:t>
      </w:r>
      <w:r w:rsidRPr="00B06C2F">
        <w:rPr>
          <w:rFonts w:eastAsia="Arial" w:cs="Arial"/>
          <w:color w:val="000000" w:themeColor="text1"/>
        </w:rPr>
        <w:t>was</w:t>
      </w:r>
      <w:r w:rsidR="07471FE4" w:rsidRPr="00B06C2F">
        <w:rPr>
          <w:rFonts w:eastAsia="Arial" w:cs="Arial"/>
          <w:color w:val="000000" w:themeColor="text1"/>
        </w:rPr>
        <w:t xml:space="preserve"> in November and May, with </w:t>
      </w:r>
      <w:r w:rsidR="006159A5" w:rsidRPr="00B06C2F">
        <w:rPr>
          <w:rFonts w:eastAsia="Arial" w:cs="Arial"/>
          <w:color w:val="000000" w:themeColor="text1"/>
        </w:rPr>
        <w:t>-</w:t>
      </w:r>
      <w:r w:rsidR="07471FE4" w:rsidRPr="00B06C2F">
        <w:rPr>
          <w:rFonts w:eastAsia="Arial" w:cs="Arial"/>
          <w:color w:val="000000" w:themeColor="text1"/>
        </w:rPr>
        <w:t xml:space="preserve">37.7 percent change and </w:t>
      </w:r>
      <w:r w:rsidR="006159A5" w:rsidRPr="00B06C2F">
        <w:rPr>
          <w:rFonts w:eastAsia="Arial" w:cs="Arial"/>
          <w:color w:val="000000" w:themeColor="text1"/>
        </w:rPr>
        <w:t>-</w:t>
      </w:r>
      <w:r w:rsidR="07471FE4" w:rsidRPr="00B06C2F">
        <w:rPr>
          <w:rFonts w:eastAsia="Arial" w:cs="Arial"/>
          <w:color w:val="000000" w:themeColor="text1"/>
        </w:rPr>
        <w:t xml:space="preserve">40.8 percent change respectively. </w:t>
      </w:r>
      <w:r w:rsidRPr="00B06C2F">
        <w:rPr>
          <w:rFonts w:eastAsia="Arial" w:cs="Arial"/>
          <w:color w:val="000000" w:themeColor="text1"/>
        </w:rPr>
        <w:t>This signifies that compared to 2017–18, fewer students are transferring from a non-alternative high school to a DASS high school during these months.</w:t>
      </w:r>
    </w:p>
    <w:p w14:paraId="0E66A2E1" w14:textId="38D94C9C" w:rsidR="00B47306" w:rsidRPr="00B06C2F" w:rsidRDefault="00B47306" w:rsidP="00D24FBD">
      <w:pPr>
        <w:pStyle w:val="Heading4"/>
      </w:pPr>
      <w:r w:rsidRPr="00B06C2F">
        <w:t>Changes in Student Group Representation from 2017–18 to 20</w:t>
      </w:r>
      <w:r w:rsidR="00B82E86" w:rsidRPr="00B06C2F">
        <w:t>20</w:t>
      </w:r>
      <w:r w:rsidRPr="00B06C2F">
        <w:t>–2</w:t>
      </w:r>
      <w:r w:rsidR="00B82E86" w:rsidRPr="00B06C2F">
        <w:t>1</w:t>
      </w:r>
    </w:p>
    <w:p w14:paraId="65954A65" w14:textId="75E0E510" w:rsidR="00B47306" w:rsidRPr="00B06C2F" w:rsidRDefault="00B47306" w:rsidP="00BE3748">
      <w:pPr>
        <w:spacing w:after="240"/>
        <w:rPr>
          <w:rFonts w:eastAsia="Helvetica" w:cs="Arial"/>
          <w:bCs/>
          <w:color w:val="000000" w:themeColor="text1"/>
        </w:rPr>
      </w:pPr>
      <w:r w:rsidRPr="00B06C2F">
        <w:rPr>
          <w:rFonts w:eastAsia="Arial" w:cs="Arial"/>
        </w:rPr>
        <w:t xml:space="preserve">The next set of tables </w:t>
      </w:r>
      <w:r w:rsidRPr="00B06C2F">
        <w:rPr>
          <w:rFonts w:eastAsia="Helvetica" w:cs="Arial"/>
          <w:bCs/>
          <w:color w:val="000000" w:themeColor="text1"/>
        </w:rPr>
        <w:t xml:space="preserve">examine the changes in student group representation from </w:t>
      </w:r>
      <w:r w:rsidRPr="00B06C2F">
        <w:rPr>
          <w:rFonts w:eastAsia="Arial" w:cs="Arial"/>
          <w:color w:val="000000" w:themeColor="text1"/>
        </w:rPr>
        <w:t>2017–18 to 20</w:t>
      </w:r>
      <w:r w:rsidR="00DD2C3D" w:rsidRPr="00B06C2F">
        <w:rPr>
          <w:rFonts w:eastAsia="Arial" w:cs="Arial"/>
          <w:color w:val="000000" w:themeColor="text1"/>
        </w:rPr>
        <w:t>20</w:t>
      </w:r>
      <w:r w:rsidRPr="00B06C2F">
        <w:rPr>
          <w:rFonts w:eastAsia="Arial" w:cs="Arial"/>
          <w:color w:val="000000" w:themeColor="text1"/>
        </w:rPr>
        <w:t>–2</w:t>
      </w:r>
      <w:r w:rsidR="00DD2C3D" w:rsidRPr="00B06C2F">
        <w:rPr>
          <w:rFonts w:eastAsia="Arial" w:cs="Arial"/>
          <w:color w:val="000000" w:themeColor="text1"/>
        </w:rPr>
        <w:t>1</w:t>
      </w:r>
      <w:r w:rsidRPr="00B06C2F">
        <w:rPr>
          <w:rFonts w:eastAsia="Helvetica" w:cs="Arial"/>
          <w:bCs/>
          <w:color w:val="000000" w:themeColor="text1"/>
        </w:rPr>
        <w:t xml:space="preserve">. </w:t>
      </w:r>
      <w:r w:rsidRPr="00B06C2F">
        <w:rPr>
          <w:rFonts w:eastAsia="Arial" w:cs="Arial"/>
        </w:rPr>
        <w:t xml:space="preserve">Table 2 </w:t>
      </w:r>
      <w:r w:rsidRPr="00B06C2F">
        <w:rPr>
          <w:rFonts w:cs="Arial"/>
        </w:rPr>
        <w:t>provides a breakdown in transfer counts by racial/ethnic student groups, while Table 3 provides the data at the program level.</w:t>
      </w:r>
    </w:p>
    <w:p w14:paraId="0A8E9531" w14:textId="55F97C39" w:rsidR="00B47306" w:rsidRPr="00B06C2F" w:rsidRDefault="00B47306" w:rsidP="00D24FBD">
      <w:pPr>
        <w:pStyle w:val="Heading5"/>
      </w:pPr>
      <w:r w:rsidRPr="00B06C2F">
        <w:t xml:space="preserve">Table 2. Change in Race/Ethnicity Representation </w:t>
      </w:r>
      <w:r w:rsidR="005C6824" w:rsidRPr="00B06C2F">
        <w:t>A</w:t>
      </w:r>
      <w:r w:rsidRPr="00B06C2F">
        <w:t xml:space="preserve">cross </w:t>
      </w:r>
      <w:r w:rsidR="00697D4B" w:rsidRPr="00B06C2F">
        <w:t xml:space="preserve">School </w:t>
      </w:r>
      <w:r w:rsidR="005C6824" w:rsidRPr="00B06C2F">
        <w:t>Y</w:t>
      </w:r>
      <w:r w:rsidR="00697D4B" w:rsidRPr="00B06C2F">
        <w:t>ear</w:t>
      </w:r>
      <w:r w:rsidRPr="00B06C2F">
        <w:t>s</w:t>
      </w:r>
    </w:p>
    <w:tbl>
      <w:tblPr>
        <w:tblStyle w:val="TableGrid"/>
        <w:tblW w:w="9755" w:type="dxa"/>
        <w:tblLook w:val="04A0" w:firstRow="1" w:lastRow="0" w:firstColumn="1" w:lastColumn="0" w:noHBand="0" w:noVBand="1"/>
        <w:tblCaption w:val="Change in Race/Ethnicity Representation Across School Years"/>
        <w:tblDescription w:val="Change in Race/Ethnicity representation across student groups for the 2017–18, 2018–19, 2019–20, and 2020–21 school years"/>
      </w:tblPr>
      <w:tblGrid>
        <w:gridCol w:w="1870"/>
        <w:gridCol w:w="1275"/>
        <w:gridCol w:w="1200"/>
        <w:gridCol w:w="1200"/>
        <w:gridCol w:w="1200"/>
        <w:gridCol w:w="1480"/>
        <w:gridCol w:w="1530"/>
      </w:tblGrid>
      <w:tr w:rsidR="00B100CB" w:rsidRPr="00B06C2F" w14:paraId="126D2629" w14:textId="77777777" w:rsidTr="002933AF">
        <w:trPr>
          <w:cantSplit/>
          <w:tblHeader/>
        </w:trPr>
        <w:tc>
          <w:tcPr>
            <w:tcW w:w="1870" w:type="dxa"/>
            <w:shd w:val="clear" w:color="auto" w:fill="D9D9D9" w:themeFill="background1" w:themeFillShade="D9"/>
            <w:vAlign w:val="center"/>
          </w:tcPr>
          <w:p w14:paraId="3D5EA32C" w14:textId="397557FE" w:rsidR="004E732A" w:rsidRPr="00B06C2F" w:rsidRDefault="004E732A"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b/>
                <w:bCs/>
                <w:sz w:val="24"/>
                <w:szCs w:val="24"/>
              </w:rPr>
              <w:t>Race/Ethnicity Student Group</w:t>
            </w:r>
          </w:p>
        </w:tc>
        <w:tc>
          <w:tcPr>
            <w:tcW w:w="1275" w:type="dxa"/>
            <w:shd w:val="clear" w:color="auto" w:fill="D9D9D9" w:themeFill="background1" w:themeFillShade="D9"/>
            <w:vAlign w:val="center"/>
          </w:tcPr>
          <w:p w14:paraId="72A69C15" w14:textId="4787A297" w:rsidR="004E732A" w:rsidRPr="00B06C2F" w:rsidRDefault="004E732A"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2017–18 Counts</w:t>
            </w:r>
          </w:p>
        </w:tc>
        <w:tc>
          <w:tcPr>
            <w:tcW w:w="1200" w:type="dxa"/>
            <w:shd w:val="clear" w:color="auto" w:fill="D9D9D9" w:themeFill="background1" w:themeFillShade="D9"/>
            <w:vAlign w:val="center"/>
          </w:tcPr>
          <w:p w14:paraId="7CBECE4E" w14:textId="7F4CFCB5" w:rsidR="004E732A" w:rsidRPr="00B06C2F" w:rsidRDefault="004E732A"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2018–19 Counts</w:t>
            </w:r>
          </w:p>
        </w:tc>
        <w:tc>
          <w:tcPr>
            <w:tcW w:w="1200" w:type="dxa"/>
            <w:shd w:val="clear" w:color="auto" w:fill="D9D9D9" w:themeFill="background1" w:themeFillShade="D9"/>
            <w:vAlign w:val="center"/>
          </w:tcPr>
          <w:p w14:paraId="3EFD9021" w14:textId="65BD7CA5" w:rsidR="004E732A" w:rsidRPr="00B06C2F" w:rsidRDefault="004E732A"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color w:val="000000"/>
                <w:sz w:val="24"/>
                <w:szCs w:val="24"/>
              </w:rPr>
              <w:t>2019</w:t>
            </w:r>
            <w:r w:rsidRPr="00B06C2F">
              <w:rPr>
                <w:rStyle w:val="normaltextrun"/>
                <w:rFonts w:eastAsiaTheme="majorEastAsia" w:cs="Arial"/>
                <w:b/>
                <w:bCs/>
                <w:sz w:val="24"/>
                <w:szCs w:val="24"/>
              </w:rPr>
              <w:t>–</w:t>
            </w:r>
            <w:r w:rsidRPr="00B06C2F">
              <w:rPr>
                <w:rStyle w:val="normaltextrun"/>
                <w:rFonts w:eastAsiaTheme="majorEastAsia" w:cs="Arial"/>
                <w:b/>
                <w:bCs/>
                <w:color w:val="000000"/>
                <w:sz w:val="24"/>
                <w:szCs w:val="24"/>
              </w:rPr>
              <w:t>20 Counts</w:t>
            </w:r>
          </w:p>
        </w:tc>
        <w:tc>
          <w:tcPr>
            <w:tcW w:w="1200" w:type="dxa"/>
            <w:shd w:val="clear" w:color="auto" w:fill="D9D9D9" w:themeFill="background1" w:themeFillShade="D9"/>
            <w:vAlign w:val="center"/>
          </w:tcPr>
          <w:p w14:paraId="53232F9C" w14:textId="3163A9D2" w:rsidR="004E732A" w:rsidRPr="00B06C2F" w:rsidRDefault="004E732A" w:rsidP="00A43A0B">
            <w:pPr>
              <w:pStyle w:val="paragraph"/>
              <w:spacing w:before="0" w:beforeAutospacing="0" w:after="0" w:afterAutospacing="0"/>
              <w:jc w:val="right"/>
              <w:textAlignment w:val="baseline"/>
              <w:rPr>
                <w:rStyle w:val="normaltextrun"/>
                <w:rFonts w:eastAsiaTheme="majorEastAsia" w:cs="Arial"/>
                <w:b/>
                <w:bCs/>
                <w:sz w:val="24"/>
                <w:szCs w:val="24"/>
              </w:rPr>
            </w:pPr>
            <w:r w:rsidRPr="00B06C2F">
              <w:rPr>
                <w:rStyle w:val="normaltextrun"/>
                <w:rFonts w:eastAsiaTheme="majorEastAsia" w:cs="Arial"/>
                <w:b/>
                <w:bCs/>
                <w:color w:val="000000"/>
                <w:sz w:val="24"/>
                <w:szCs w:val="24"/>
              </w:rPr>
              <w:t>2020</w:t>
            </w:r>
            <w:r w:rsidRPr="00B06C2F">
              <w:rPr>
                <w:rStyle w:val="normaltextrun"/>
                <w:rFonts w:eastAsiaTheme="majorEastAsia" w:cs="Arial"/>
                <w:b/>
                <w:bCs/>
                <w:sz w:val="24"/>
                <w:szCs w:val="24"/>
              </w:rPr>
              <w:t>–</w:t>
            </w:r>
            <w:r w:rsidRPr="00B06C2F">
              <w:rPr>
                <w:rStyle w:val="normaltextrun"/>
                <w:rFonts w:eastAsiaTheme="majorEastAsia" w:cs="Arial"/>
                <w:b/>
                <w:bCs/>
                <w:color w:val="000000"/>
                <w:sz w:val="24"/>
                <w:szCs w:val="24"/>
              </w:rPr>
              <w:t>21 Counts</w:t>
            </w:r>
          </w:p>
        </w:tc>
        <w:tc>
          <w:tcPr>
            <w:tcW w:w="1480" w:type="dxa"/>
            <w:shd w:val="clear" w:color="auto" w:fill="D9D9D9" w:themeFill="background1" w:themeFillShade="D9"/>
            <w:vAlign w:val="center"/>
          </w:tcPr>
          <w:p w14:paraId="2D64E31A" w14:textId="4FADF791" w:rsidR="004E732A" w:rsidRPr="00B06C2F" w:rsidRDefault="004E732A"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Difference</w:t>
            </w:r>
            <w:r w:rsidR="00B100CB" w:rsidRPr="00B06C2F">
              <w:rPr>
                <w:rStyle w:val="normaltextrun"/>
                <w:rFonts w:eastAsiaTheme="majorEastAsia" w:cs="Arial"/>
                <w:b/>
                <w:bCs/>
                <w:sz w:val="24"/>
                <w:szCs w:val="24"/>
              </w:rPr>
              <w:t xml:space="preserve"> </w:t>
            </w:r>
            <w:r w:rsidRPr="00B06C2F">
              <w:rPr>
                <w:rStyle w:val="normaltextrun"/>
                <w:rFonts w:eastAsiaTheme="majorEastAsia" w:cs="Arial"/>
                <w:b/>
                <w:bCs/>
                <w:sz w:val="24"/>
                <w:szCs w:val="24"/>
              </w:rPr>
              <w:t>2017–18 to 20</w:t>
            </w:r>
            <w:r w:rsidR="001B0EBF" w:rsidRPr="00B06C2F">
              <w:rPr>
                <w:rStyle w:val="normaltextrun"/>
                <w:rFonts w:eastAsiaTheme="majorEastAsia" w:cs="Arial"/>
                <w:b/>
                <w:bCs/>
                <w:sz w:val="24"/>
                <w:szCs w:val="24"/>
              </w:rPr>
              <w:t>20</w:t>
            </w:r>
            <w:r w:rsidRPr="00B06C2F">
              <w:rPr>
                <w:rStyle w:val="normaltextrun"/>
                <w:rFonts w:eastAsiaTheme="majorEastAsia" w:cs="Arial"/>
                <w:b/>
                <w:bCs/>
                <w:sz w:val="24"/>
                <w:szCs w:val="24"/>
              </w:rPr>
              <w:t>–2</w:t>
            </w:r>
            <w:r w:rsidR="001B0EBF" w:rsidRPr="00B06C2F">
              <w:rPr>
                <w:rStyle w:val="normaltextrun"/>
                <w:rFonts w:eastAsiaTheme="majorEastAsia" w:cs="Arial"/>
                <w:b/>
                <w:bCs/>
                <w:sz w:val="24"/>
                <w:szCs w:val="24"/>
              </w:rPr>
              <w:t>1</w:t>
            </w:r>
          </w:p>
        </w:tc>
        <w:tc>
          <w:tcPr>
            <w:tcW w:w="1530" w:type="dxa"/>
            <w:shd w:val="clear" w:color="auto" w:fill="D9D9D9" w:themeFill="background1" w:themeFillShade="D9"/>
            <w:vAlign w:val="center"/>
          </w:tcPr>
          <w:p w14:paraId="6868AACB" w14:textId="2FB4FD03" w:rsidR="004E732A" w:rsidRPr="00B06C2F" w:rsidRDefault="004E732A"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Percent Change</w:t>
            </w:r>
            <w:r w:rsidR="00B100CB" w:rsidRPr="00B06C2F">
              <w:rPr>
                <w:rStyle w:val="normaltextrun"/>
                <w:rFonts w:eastAsiaTheme="majorEastAsia" w:cs="Arial"/>
                <w:b/>
                <w:bCs/>
                <w:sz w:val="24"/>
                <w:szCs w:val="24"/>
              </w:rPr>
              <w:t xml:space="preserve"> </w:t>
            </w:r>
            <w:r w:rsidRPr="00B06C2F">
              <w:rPr>
                <w:rStyle w:val="normaltextrun"/>
                <w:rFonts w:eastAsiaTheme="majorEastAsia" w:cs="Arial"/>
                <w:b/>
                <w:bCs/>
                <w:sz w:val="24"/>
                <w:szCs w:val="24"/>
              </w:rPr>
              <w:t>2017–18 to 20</w:t>
            </w:r>
            <w:r w:rsidR="001B0EBF" w:rsidRPr="00B06C2F">
              <w:rPr>
                <w:rStyle w:val="normaltextrun"/>
                <w:rFonts w:eastAsiaTheme="majorEastAsia" w:cs="Arial"/>
                <w:b/>
                <w:bCs/>
                <w:sz w:val="24"/>
                <w:szCs w:val="24"/>
              </w:rPr>
              <w:t>20</w:t>
            </w:r>
            <w:r w:rsidRPr="00B06C2F">
              <w:rPr>
                <w:rStyle w:val="normaltextrun"/>
                <w:rFonts w:eastAsiaTheme="majorEastAsia" w:cs="Arial"/>
                <w:b/>
                <w:bCs/>
                <w:sz w:val="24"/>
                <w:szCs w:val="24"/>
              </w:rPr>
              <w:t>–2</w:t>
            </w:r>
            <w:r w:rsidR="001B0EBF" w:rsidRPr="00B06C2F">
              <w:rPr>
                <w:rStyle w:val="normaltextrun"/>
                <w:rFonts w:eastAsiaTheme="majorEastAsia" w:cs="Arial"/>
                <w:b/>
                <w:bCs/>
                <w:sz w:val="24"/>
                <w:szCs w:val="24"/>
              </w:rPr>
              <w:t>1</w:t>
            </w:r>
          </w:p>
        </w:tc>
      </w:tr>
      <w:tr w:rsidR="00D87033" w:rsidRPr="00B06C2F" w14:paraId="6D70D644" w14:textId="77777777" w:rsidTr="002933AF">
        <w:trPr>
          <w:cantSplit/>
        </w:trPr>
        <w:tc>
          <w:tcPr>
            <w:tcW w:w="1870" w:type="dxa"/>
            <w:vAlign w:val="center"/>
          </w:tcPr>
          <w:p w14:paraId="005DA267" w14:textId="77777777" w:rsidR="00D87033" w:rsidRPr="00B06C2F" w:rsidRDefault="00D87033"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African American</w:t>
            </w:r>
            <w:r w:rsidRPr="00B06C2F">
              <w:rPr>
                <w:rStyle w:val="eop"/>
                <w:rFonts w:eastAsiaTheme="majorEastAsia" w:cs="Arial"/>
                <w:sz w:val="24"/>
                <w:szCs w:val="24"/>
              </w:rPr>
              <w:t> </w:t>
            </w:r>
          </w:p>
        </w:tc>
        <w:tc>
          <w:tcPr>
            <w:tcW w:w="1275" w:type="dxa"/>
            <w:vAlign w:val="center"/>
          </w:tcPr>
          <w:p w14:paraId="232C030A"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4,979</w:t>
            </w:r>
            <w:r w:rsidRPr="00B06C2F">
              <w:rPr>
                <w:rStyle w:val="eop"/>
                <w:rFonts w:eastAsiaTheme="majorEastAsia" w:cs="Arial"/>
                <w:sz w:val="24"/>
                <w:szCs w:val="24"/>
              </w:rPr>
              <w:t> </w:t>
            </w:r>
          </w:p>
        </w:tc>
        <w:tc>
          <w:tcPr>
            <w:tcW w:w="1200" w:type="dxa"/>
            <w:vAlign w:val="center"/>
          </w:tcPr>
          <w:p w14:paraId="6A7D6442"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4,705</w:t>
            </w:r>
            <w:r w:rsidRPr="00B06C2F">
              <w:rPr>
                <w:rStyle w:val="eop"/>
                <w:rFonts w:eastAsiaTheme="majorEastAsia" w:cs="Arial"/>
                <w:sz w:val="24"/>
                <w:szCs w:val="24"/>
              </w:rPr>
              <w:t> </w:t>
            </w:r>
          </w:p>
        </w:tc>
        <w:tc>
          <w:tcPr>
            <w:tcW w:w="1200" w:type="dxa"/>
            <w:vAlign w:val="center"/>
          </w:tcPr>
          <w:p w14:paraId="677C2718"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3,792</w:t>
            </w:r>
            <w:r w:rsidRPr="00B06C2F">
              <w:rPr>
                <w:rStyle w:val="eop"/>
                <w:rFonts w:eastAsiaTheme="majorEastAsia" w:cs="Arial"/>
                <w:color w:val="000000"/>
                <w:sz w:val="24"/>
                <w:szCs w:val="24"/>
              </w:rPr>
              <w:t> </w:t>
            </w:r>
          </w:p>
        </w:tc>
        <w:tc>
          <w:tcPr>
            <w:tcW w:w="1200" w:type="dxa"/>
            <w:vAlign w:val="center"/>
          </w:tcPr>
          <w:p w14:paraId="2B1E3668" w14:textId="5E4807E1" w:rsidR="00D87033" w:rsidRPr="00B06C2F" w:rsidRDefault="00D87033"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2,655</w:t>
            </w:r>
          </w:p>
        </w:tc>
        <w:tc>
          <w:tcPr>
            <w:tcW w:w="1480" w:type="dxa"/>
            <w:vAlign w:val="center"/>
          </w:tcPr>
          <w:p w14:paraId="20F4ABDF" w14:textId="2603DA66"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-2,324</w:t>
            </w:r>
          </w:p>
        </w:tc>
        <w:tc>
          <w:tcPr>
            <w:tcW w:w="1530" w:type="dxa"/>
            <w:vAlign w:val="center"/>
          </w:tcPr>
          <w:p w14:paraId="65724FEB" w14:textId="06B582B4"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-46.7%</w:t>
            </w:r>
          </w:p>
        </w:tc>
      </w:tr>
      <w:tr w:rsidR="00D87033" w:rsidRPr="00B06C2F" w14:paraId="422B671A" w14:textId="77777777" w:rsidTr="002933AF">
        <w:trPr>
          <w:cantSplit/>
        </w:trPr>
        <w:tc>
          <w:tcPr>
            <w:tcW w:w="1870" w:type="dxa"/>
            <w:vAlign w:val="center"/>
          </w:tcPr>
          <w:p w14:paraId="1CD8DE20" w14:textId="77777777" w:rsidR="00D87033" w:rsidRPr="00B06C2F" w:rsidRDefault="00D87033"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American Indian or Alaska Native</w:t>
            </w:r>
            <w:r w:rsidRPr="00B06C2F">
              <w:rPr>
                <w:rStyle w:val="eop"/>
                <w:rFonts w:eastAsiaTheme="majorEastAsia" w:cs="Arial"/>
                <w:sz w:val="24"/>
                <w:szCs w:val="24"/>
              </w:rPr>
              <w:t> </w:t>
            </w:r>
          </w:p>
        </w:tc>
        <w:tc>
          <w:tcPr>
            <w:tcW w:w="1275" w:type="dxa"/>
            <w:vAlign w:val="center"/>
          </w:tcPr>
          <w:p w14:paraId="46CE28FF"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550</w:t>
            </w:r>
            <w:r w:rsidRPr="00B06C2F">
              <w:rPr>
                <w:rStyle w:val="eop"/>
                <w:rFonts w:eastAsiaTheme="majorEastAsia" w:cs="Arial"/>
                <w:sz w:val="24"/>
                <w:szCs w:val="24"/>
              </w:rPr>
              <w:t> </w:t>
            </w:r>
          </w:p>
        </w:tc>
        <w:tc>
          <w:tcPr>
            <w:tcW w:w="1200" w:type="dxa"/>
            <w:vAlign w:val="center"/>
          </w:tcPr>
          <w:p w14:paraId="6E07A164"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538</w:t>
            </w:r>
            <w:r w:rsidRPr="00B06C2F">
              <w:rPr>
                <w:rStyle w:val="eop"/>
                <w:rFonts w:eastAsiaTheme="majorEastAsia" w:cs="Arial"/>
                <w:sz w:val="24"/>
                <w:szCs w:val="24"/>
              </w:rPr>
              <w:t> </w:t>
            </w:r>
          </w:p>
        </w:tc>
        <w:tc>
          <w:tcPr>
            <w:tcW w:w="1200" w:type="dxa"/>
            <w:vAlign w:val="center"/>
          </w:tcPr>
          <w:p w14:paraId="35C7629A"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390</w:t>
            </w:r>
            <w:r w:rsidRPr="00B06C2F">
              <w:rPr>
                <w:rStyle w:val="eop"/>
                <w:rFonts w:eastAsiaTheme="majorEastAsia" w:cs="Arial"/>
                <w:color w:val="000000"/>
                <w:sz w:val="24"/>
                <w:szCs w:val="24"/>
              </w:rPr>
              <w:t> </w:t>
            </w:r>
          </w:p>
        </w:tc>
        <w:tc>
          <w:tcPr>
            <w:tcW w:w="1200" w:type="dxa"/>
            <w:vAlign w:val="center"/>
          </w:tcPr>
          <w:p w14:paraId="1E95096E" w14:textId="0C631E3B" w:rsidR="00D87033" w:rsidRPr="00B06C2F" w:rsidRDefault="00D87033"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343</w:t>
            </w:r>
          </w:p>
        </w:tc>
        <w:tc>
          <w:tcPr>
            <w:tcW w:w="1480" w:type="dxa"/>
            <w:vAlign w:val="center"/>
          </w:tcPr>
          <w:p w14:paraId="3D1E8FBA" w14:textId="7CDE49CD"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-207</w:t>
            </w:r>
          </w:p>
        </w:tc>
        <w:tc>
          <w:tcPr>
            <w:tcW w:w="1530" w:type="dxa"/>
            <w:vAlign w:val="center"/>
          </w:tcPr>
          <w:p w14:paraId="587CADFB" w14:textId="7C63F16E"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-37.6%</w:t>
            </w:r>
          </w:p>
        </w:tc>
      </w:tr>
      <w:tr w:rsidR="00D87033" w:rsidRPr="00B06C2F" w14:paraId="6D0BA449" w14:textId="77777777" w:rsidTr="002933AF">
        <w:trPr>
          <w:cantSplit/>
        </w:trPr>
        <w:tc>
          <w:tcPr>
            <w:tcW w:w="1870" w:type="dxa"/>
            <w:vAlign w:val="center"/>
          </w:tcPr>
          <w:p w14:paraId="161F2006" w14:textId="77777777" w:rsidR="00D87033" w:rsidRPr="00B06C2F" w:rsidRDefault="00D87033"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Asian</w:t>
            </w:r>
            <w:r w:rsidRPr="00B06C2F">
              <w:rPr>
                <w:rStyle w:val="eop"/>
                <w:rFonts w:eastAsiaTheme="majorEastAsia" w:cs="Arial"/>
                <w:sz w:val="24"/>
                <w:szCs w:val="24"/>
              </w:rPr>
              <w:t> </w:t>
            </w:r>
          </w:p>
        </w:tc>
        <w:tc>
          <w:tcPr>
            <w:tcW w:w="1275" w:type="dxa"/>
            <w:vAlign w:val="center"/>
          </w:tcPr>
          <w:p w14:paraId="431C35E9"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828</w:t>
            </w:r>
            <w:r w:rsidRPr="00B06C2F">
              <w:rPr>
                <w:rStyle w:val="eop"/>
                <w:rFonts w:eastAsiaTheme="majorEastAsia" w:cs="Arial"/>
                <w:sz w:val="24"/>
                <w:szCs w:val="24"/>
              </w:rPr>
              <w:t> </w:t>
            </w:r>
          </w:p>
        </w:tc>
        <w:tc>
          <w:tcPr>
            <w:tcW w:w="1200" w:type="dxa"/>
            <w:vAlign w:val="center"/>
          </w:tcPr>
          <w:p w14:paraId="2C4CFA2C"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911</w:t>
            </w:r>
            <w:r w:rsidRPr="00B06C2F">
              <w:rPr>
                <w:rStyle w:val="eop"/>
                <w:rFonts w:eastAsiaTheme="majorEastAsia" w:cs="Arial"/>
                <w:sz w:val="24"/>
                <w:szCs w:val="24"/>
              </w:rPr>
              <w:t> </w:t>
            </w:r>
          </w:p>
        </w:tc>
        <w:tc>
          <w:tcPr>
            <w:tcW w:w="1200" w:type="dxa"/>
            <w:vAlign w:val="center"/>
          </w:tcPr>
          <w:p w14:paraId="20262B40"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730</w:t>
            </w:r>
            <w:r w:rsidRPr="00B06C2F">
              <w:rPr>
                <w:rStyle w:val="eop"/>
                <w:rFonts w:eastAsiaTheme="majorEastAsia" w:cs="Arial"/>
                <w:color w:val="000000"/>
                <w:sz w:val="24"/>
                <w:szCs w:val="24"/>
              </w:rPr>
              <w:t> </w:t>
            </w:r>
          </w:p>
        </w:tc>
        <w:tc>
          <w:tcPr>
            <w:tcW w:w="1200" w:type="dxa"/>
            <w:vAlign w:val="center"/>
          </w:tcPr>
          <w:p w14:paraId="0C0A1679" w14:textId="518B6897" w:rsidR="00D87033" w:rsidRPr="00B06C2F" w:rsidRDefault="00D87033"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716</w:t>
            </w:r>
          </w:p>
        </w:tc>
        <w:tc>
          <w:tcPr>
            <w:tcW w:w="1480" w:type="dxa"/>
            <w:vAlign w:val="center"/>
          </w:tcPr>
          <w:p w14:paraId="7355F1BE" w14:textId="76C23A00"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-112</w:t>
            </w:r>
          </w:p>
        </w:tc>
        <w:tc>
          <w:tcPr>
            <w:tcW w:w="1530" w:type="dxa"/>
            <w:vAlign w:val="center"/>
          </w:tcPr>
          <w:p w14:paraId="4327E868" w14:textId="2131F216"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-13.5%</w:t>
            </w:r>
          </w:p>
        </w:tc>
      </w:tr>
      <w:tr w:rsidR="00D87033" w:rsidRPr="00B06C2F" w14:paraId="10E4DFA9" w14:textId="77777777" w:rsidTr="002933AF">
        <w:trPr>
          <w:cantSplit/>
        </w:trPr>
        <w:tc>
          <w:tcPr>
            <w:tcW w:w="1870" w:type="dxa"/>
            <w:vAlign w:val="center"/>
          </w:tcPr>
          <w:p w14:paraId="72AA81CC" w14:textId="77777777" w:rsidR="00D87033" w:rsidRPr="00B06C2F" w:rsidRDefault="00D87033"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Filipino</w:t>
            </w:r>
            <w:r w:rsidRPr="00B06C2F">
              <w:rPr>
                <w:rStyle w:val="eop"/>
                <w:rFonts w:eastAsiaTheme="majorEastAsia" w:cs="Arial"/>
                <w:sz w:val="24"/>
                <w:szCs w:val="24"/>
              </w:rPr>
              <w:t> </w:t>
            </w:r>
          </w:p>
        </w:tc>
        <w:tc>
          <w:tcPr>
            <w:tcW w:w="1275" w:type="dxa"/>
            <w:vAlign w:val="center"/>
          </w:tcPr>
          <w:p w14:paraId="124263ED"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380</w:t>
            </w:r>
            <w:r w:rsidRPr="00B06C2F">
              <w:rPr>
                <w:rStyle w:val="eop"/>
                <w:rFonts w:eastAsiaTheme="majorEastAsia" w:cs="Arial"/>
                <w:sz w:val="24"/>
                <w:szCs w:val="24"/>
              </w:rPr>
              <w:t> </w:t>
            </w:r>
          </w:p>
        </w:tc>
        <w:tc>
          <w:tcPr>
            <w:tcW w:w="1200" w:type="dxa"/>
            <w:vAlign w:val="center"/>
          </w:tcPr>
          <w:p w14:paraId="18003578"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383</w:t>
            </w:r>
            <w:r w:rsidRPr="00B06C2F">
              <w:rPr>
                <w:rStyle w:val="eop"/>
                <w:rFonts w:eastAsiaTheme="majorEastAsia" w:cs="Arial"/>
                <w:sz w:val="24"/>
                <w:szCs w:val="24"/>
              </w:rPr>
              <w:t> </w:t>
            </w:r>
          </w:p>
        </w:tc>
        <w:tc>
          <w:tcPr>
            <w:tcW w:w="1200" w:type="dxa"/>
            <w:vAlign w:val="center"/>
          </w:tcPr>
          <w:p w14:paraId="5B10032D"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331</w:t>
            </w:r>
            <w:r w:rsidRPr="00B06C2F">
              <w:rPr>
                <w:rStyle w:val="eop"/>
                <w:rFonts w:eastAsiaTheme="majorEastAsia" w:cs="Arial"/>
                <w:color w:val="000000"/>
                <w:sz w:val="24"/>
                <w:szCs w:val="24"/>
              </w:rPr>
              <w:t> </w:t>
            </w:r>
          </w:p>
        </w:tc>
        <w:tc>
          <w:tcPr>
            <w:tcW w:w="1200" w:type="dxa"/>
            <w:vAlign w:val="center"/>
          </w:tcPr>
          <w:p w14:paraId="5B991E28" w14:textId="6C385AAB" w:rsidR="00D87033" w:rsidRPr="00B06C2F" w:rsidRDefault="00D87033"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345</w:t>
            </w:r>
          </w:p>
        </w:tc>
        <w:tc>
          <w:tcPr>
            <w:tcW w:w="1480" w:type="dxa"/>
            <w:vAlign w:val="center"/>
          </w:tcPr>
          <w:p w14:paraId="1056B33C" w14:textId="14380E02"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-35</w:t>
            </w:r>
          </w:p>
        </w:tc>
        <w:tc>
          <w:tcPr>
            <w:tcW w:w="1530" w:type="dxa"/>
            <w:vAlign w:val="center"/>
          </w:tcPr>
          <w:p w14:paraId="6926CF20" w14:textId="142109D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-9.2%</w:t>
            </w:r>
          </w:p>
        </w:tc>
      </w:tr>
      <w:tr w:rsidR="00D87033" w:rsidRPr="00B06C2F" w14:paraId="4BE94087" w14:textId="77777777" w:rsidTr="002933AF">
        <w:trPr>
          <w:cantSplit/>
        </w:trPr>
        <w:tc>
          <w:tcPr>
            <w:tcW w:w="1870" w:type="dxa"/>
            <w:vAlign w:val="center"/>
          </w:tcPr>
          <w:p w14:paraId="3765127D" w14:textId="77777777" w:rsidR="00D87033" w:rsidRPr="00B06C2F" w:rsidRDefault="00D87033"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Hispanic or Latino</w:t>
            </w:r>
            <w:r w:rsidRPr="00B06C2F">
              <w:rPr>
                <w:rStyle w:val="eop"/>
                <w:rFonts w:eastAsiaTheme="majorEastAsia" w:cs="Arial"/>
                <w:sz w:val="24"/>
                <w:szCs w:val="24"/>
              </w:rPr>
              <w:t> </w:t>
            </w:r>
          </w:p>
        </w:tc>
        <w:tc>
          <w:tcPr>
            <w:tcW w:w="1275" w:type="dxa"/>
            <w:vAlign w:val="center"/>
          </w:tcPr>
          <w:p w14:paraId="3B8312D0"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31,725</w:t>
            </w:r>
            <w:r w:rsidRPr="00B06C2F">
              <w:rPr>
                <w:rStyle w:val="eop"/>
                <w:rFonts w:eastAsiaTheme="majorEastAsia" w:cs="Arial"/>
                <w:sz w:val="24"/>
                <w:szCs w:val="24"/>
              </w:rPr>
              <w:t> </w:t>
            </w:r>
          </w:p>
        </w:tc>
        <w:tc>
          <w:tcPr>
            <w:tcW w:w="1200" w:type="dxa"/>
            <w:vAlign w:val="center"/>
          </w:tcPr>
          <w:p w14:paraId="2E758164"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31,922</w:t>
            </w:r>
            <w:r w:rsidRPr="00B06C2F">
              <w:rPr>
                <w:rStyle w:val="eop"/>
                <w:rFonts w:eastAsiaTheme="majorEastAsia" w:cs="Arial"/>
                <w:sz w:val="24"/>
                <w:szCs w:val="24"/>
              </w:rPr>
              <w:t> </w:t>
            </w:r>
          </w:p>
        </w:tc>
        <w:tc>
          <w:tcPr>
            <w:tcW w:w="1200" w:type="dxa"/>
            <w:vAlign w:val="center"/>
          </w:tcPr>
          <w:p w14:paraId="6CF1AC45"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27,528</w:t>
            </w:r>
            <w:r w:rsidRPr="00B06C2F">
              <w:rPr>
                <w:rStyle w:val="eop"/>
                <w:rFonts w:eastAsiaTheme="majorEastAsia" w:cs="Arial"/>
                <w:color w:val="000000"/>
                <w:sz w:val="24"/>
                <w:szCs w:val="24"/>
              </w:rPr>
              <w:t> </w:t>
            </w:r>
          </w:p>
        </w:tc>
        <w:tc>
          <w:tcPr>
            <w:tcW w:w="1200" w:type="dxa"/>
            <w:vAlign w:val="center"/>
          </w:tcPr>
          <w:p w14:paraId="1595D1DC" w14:textId="48FB4EF4" w:rsidR="00D87033" w:rsidRPr="00B06C2F" w:rsidRDefault="00D87033"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24,505</w:t>
            </w:r>
          </w:p>
        </w:tc>
        <w:tc>
          <w:tcPr>
            <w:tcW w:w="1480" w:type="dxa"/>
            <w:vAlign w:val="center"/>
          </w:tcPr>
          <w:p w14:paraId="0E6AD632" w14:textId="457E2DE1"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-7,220</w:t>
            </w:r>
          </w:p>
        </w:tc>
        <w:tc>
          <w:tcPr>
            <w:tcW w:w="1530" w:type="dxa"/>
            <w:vAlign w:val="center"/>
          </w:tcPr>
          <w:p w14:paraId="33A7EAD8" w14:textId="52833A65"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-22.8%</w:t>
            </w:r>
          </w:p>
        </w:tc>
      </w:tr>
      <w:tr w:rsidR="00D87033" w:rsidRPr="00B06C2F" w14:paraId="34F77773" w14:textId="77777777" w:rsidTr="002933AF">
        <w:trPr>
          <w:cantSplit/>
        </w:trPr>
        <w:tc>
          <w:tcPr>
            <w:tcW w:w="1870" w:type="dxa"/>
            <w:vAlign w:val="center"/>
          </w:tcPr>
          <w:p w14:paraId="4E5D4FA3" w14:textId="77777777" w:rsidR="00D87033" w:rsidRPr="00B06C2F" w:rsidRDefault="00D87033"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Native Hawaiian or Pacific Islander</w:t>
            </w:r>
            <w:r w:rsidRPr="00B06C2F">
              <w:rPr>
                <w:rStyle w:val="eop"/>
                <w:rFonts w:eastAsiaTheme="majorEastAsia" w:cs="Arial"/>
                <w:sz w:val="24"/>
                <w:szCs w:val="24"/>
              </w:rPr>
              <w:t> </w:t>
            </w:r>
          </w:p>
        </w:tc>
        <w:tc>
          <w:tcPr>
            <w:tcW w:w="1275" w:type="dxa"/>
            <w:vAlign w:val="center"/>
          </w:tcPr>
          <w:p w14:paraId="6CC4FCD3"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291</w:t>
            </w:r>
            <w:r w:rsidRPr="00B06C2F">
              <w:rPr>
                <w:rStyle w:val="eop"/>
                <w:rFonts w:eastAsiaTheme="majorEastAsia" w:cs="Arial"/>
                <w:sz w:val="24"/>
                <w:szCs w:val="24"/>
              </w:rPr>
              <w:t> </w:t>
            </w:r>
          </w:p>
        </w:tc>
        <w:tc>
          <w:tcPr>
            <w:tcW w:w="1200" w:type="dxa"/>
            <w:vAlign w:val="center"/>
          </w:tcPr>
          <w:p w14:paraId="5C2417F9"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266</w:t>
            </w:r>
            <w:r w:rsidRPr="00B06C2F">
              <w:rPr>
                <w:rStyle w:val="eop"/>
                <w:rFonts w:eastAsiaTheme="majorEastAsia" w:cs="Arial"/>
                <w:sz w:val="24"/>
                <w:szCs w:val="24"/>
              </w:rPr>
              <w:t> </w:t>
            </w:r>
          </w:p>
        </w:tc>
        <w:tc>
          <w:tcPr>
            <w:tcW w:w="1200" w:type="dxa"/>
            <w:vAlign w:val="center"/>
          </w:tcPr>
          <w:p w14:paraId="6FB885E5" w14:textId="77777777"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197</w:t>
            </w:r>
            <w:r w:rsidRPr="00B06C2F">
              <w:rPr>
                <w:rStyle w:val="eop"/>
                <w:rFonts w:eastAsiaTheme="majorEastAsia" w:cs="Arial"/>
                <w:color w:val="000000"/>
                <w:sz w:val="24"/>
                <w:szCs w:val="24"/>
              </w:rPr>
              <w:t> </w:t>
            </w:r>
          </w:p>
        </w:tc>
        <w:tc>
          <w:tcPr>
            <w:tcW w:w="1200" w:type="dxa"/>
            <w:vAlign w:val="center"/>
          </w:tcPr>
          <w:p w14:paraId="3F53CF1B" w14:textId="6C10B1CB" w:rsidR="00D87033" w:rsidRPr="00B06C2F" w:rsidRDefault="00D87033"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194</w:t>
            </w:r>
          </w:p>
        </w:tc>
        <w:tc>
          <w:tcPr>
            <w:tcW w:w="1480" w:type="dxa"/>
            <w:vAlign w:val="center"/>
          </w:tcPr>
          <w:p w14:paraId="14F58540" w14:textId="14B2F1B3"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-97</w:t>
            </w:r>
          </w:p>
        </w:tc>
        <w:tc>
          <w:tcPr>
            <w:tcW w:w="1530" w:type="dxa"/>
            <w:vAlign w:val="center"/>
          </w:tcPr>
          <w:p w14:paraId="2A05A0D3" w14:textId="0F6424DD" w:rsidR="00D87033" w:rsidRPr="00B06C2F" w:rsidRDefault="00D87033"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-33.3%</w:t>
            </w:r>
          </w:p>
        </w:tc>
      </w:tr>
      <w:tr w:rsidR="00C44F19" w:rsidRPr="00B06C2F" w14:paraId="3C99FEDB" w14:textId="77777777" w:rsidTr="002933AF">
        <w:trPr>
          <w:cantSplit/>
        </w:trPr>
        <w:tc>
          <w:tcPr>
            <w:tcW w:w="1870" w:type="dxa"/>
            <w:vAlign w:val="center"/>
          </w:tcPr>
          <w:p w14:paraId="14AE447B" w14:textId="7CB2C200" w:rsidR="00C44F19" w:rsidRPr="00B06C2F" w:rsidRDefault="00C44F19"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White</w:t>
            </w:r>
            <w:r w:rsidRPr="00B06C2F">
              <w:rPr>
                <w:rStyle w:val="eop"/>
                <w:rFonts w:eastAsiaTheme="majorEastAsia" w:cs="Arial"/>
                <w:sz w:val="24"/>
                <w:szCs w:val="24"/>
              </w:rPr>
              <w:t> </w:t>
            </w:r>
          </w:p>
        </w:tc>
        <w:tc>
          <w:tcPr>
            <w:tcW w:w="1275" w:type="dxa"/>
            <w:vAlign w:val="center"/>
          </w:tcPr>
          <w:p w14:paraId="7C85E405"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8,078</w:t>
            </w:r>
            <w:r w:rsidRPr="00B06C2F">
              <w:rPr>
                <w:rStyle w:val="eop"/>
                <w:rFonts w:eastAsiaTheme="majorEastAsia" w:cs="Arial"/>
                <w:sz w:val="24"/>
                <w:szCs w:val="24"/>
              </w:rPr>
              <w:t> </w:t>
            </w:r>
          </w:p>
        </w:tc>
        <w:tc>
          <w:tcPr>
            <w:tcW w:w="1200" w:type="dxa"/>
            <w:vAlign w:val="center"/>
          </w:tcPr>
          <w:p w14:paraId="37897CA4"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7,854</w:t>
            </w:r>
            <w:r w:rsidRPr="00B06C2F">
              <w:rPr>
                <w:rStyle w:val="eop"/>
                <w:rFonts w:eastAsiaTheme="majorEastAsia" w:cs="Arial"/>
                <w:sz w:val="24"/>
                <w:szCs w:val="24"/>
              </w:rPr>
              <w:t> </w:t>
            </w:r>
          </w:p>
        </w:tc>
        <w:tc>
          <w:tcPr>
            <w:tcW w:w="1200" w:type="dxa"/>
            <w:vAlign w:val="center"/>
          </w:tcPr>
          <w:p w14:paraId="307F7DEA"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5,928</w:t>
            </w:r>
            <w:r w:rsidRPr="00B06C2F">
              <w:rPr>
                <w:rStyle w:val="eop"/>
                <w:rFonts w:eastAsiaTheme="majorEastAsia" w:cs="Arial"/>
                <w:color w:val="000000"/>
                <w:sz w:val="24"/>
                <w:szCs w:val="24"/>
              </w:rPr>
              <w:t> </w:t>
            </w:r>
          </w:p>
        </w:tc>
        <w:tc>
          <w:tcPr>
            <w:tcW w:w="1200" w:type="dxa"/>
            <w:vAlign w:val="center"/>
          </w:tcPr>
          <w:p w14:paraId="7BCAAB44" w14:textId="578199B4" w:rsidR="00C44F19" w:rsidRPr="00B06C2F" w:rsidRDefault="00C44F19"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6,059</w:t>
            </w:r>
          </w:p>
        </w:tc>
        <w:tc>
          <w:tcPr>
            <w:tcW w:w="1480" w:type="dxa"/>
            <w:vAlign w:val="center"/>
          </w:tcPr>
          <w:p w14:paraId="260E47C9" w14:textId="2FEF152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-2,019</w:t>
            </w:r>
          </w:p>
        </w:tc>
        <w:tc>
          <w:tcPr>
            <w:tcW w:w="1530" w:type="dxa"/>
            <w:vAlign w:val="center"/>
          </w:tcPr>
          <w:p w14:paraId="0CE4B254" w14:textId="0FE6E28B"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-25.0%</w:t>
            </w:r>
          </w:p>
        </w:tc>
      </w:tr>
      <w:tr w:rsidR="00C44F19" w:rsidRPr="00B06C2F" w14:paraId="12FF33D5" w14:textId="77777777" w:rsidTr="002933AF">
        <w:trPr>
          <w:cantSplit/>
        </w:trPr>
        <w:tc>
          <w:tcPr>
            <w:tcW w:w="1870" w:type="dxa"/>
            <w:vAlign w:val="center"/>
          </w:tcPr>
          <w:p w14:paraId="7AD2F631" w14:textId="77777777" w:rsidR="00C44F19" w:rsidRPr="00B06C2F" w:rsidRDefault="00C44F19"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Two or More Races</w:t>
            </w:r>
            <w:r w:rsidRPr="00B06C2F">
              <w:rPr>
                <w:rStyle w:val="eop"/>
                <w:rFonts w:eastAsiaTheme="majorEastAsia" w:cs="Arial"/>
                <w:sz w:val="24"/>
                <w:szCs w:val="24"/>
              </w:rPr>
              <w:t> </w:t>
            </w:r>
          </w:p>
        </w:tc>
        <w:tc>
          <w:tcPr>
            <w:tcW w:w="1275" w:type="dxa"/>
            <w:vAlign w:val="center"/>
          </w:tcPr>
          <w:p w14:paraId="0A3B9F74"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1,180</w:t>
            </w:r>
            <w:r w:rsidRPr="00B06C2F">
              <w:rPr>
                <w:rStyle w:val="eop"/>
                <w:rFonts w:eastAsiaTheme="majorEastAsia" w:cs="Arial"/>
                <w:sz w:val="24"/>
                <w:szCs w:val="24"/>
              </w:rPr>
              <w:t> </w:t>
            </w:r>
          </w:p>
        </w:tc>
        <w:tc>
          <w:tcPr>
            <w:tcW w:w="1200" w:type="dxa"/>
            <w:vAlign w:val="center"/>
          </w:tcPr>
          <w:p w14:paraId="2C60DD1D"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1,169</w:t>
            </w:r>
            <w:r w:rsidRPr="00B06C2F">
              <w:rPr>
                <w:rStyle w:val="eop"/>
                <w:rFonts w:eastAsiaTheme="majorEastAsia" w:cs="Arial"/>
                <w:sz w:val="24"/>
                <w:szCs w:val="24"/>
              </w:rPr>
              <w:t> </w:t>
            </w:r>
          </w:p>
        </w:tc>
        <w:tc>
          <w:tcPr>
            <w:tcW w:w="1200" w:type="dxa"/>
            <w:vAlign w:val="center"/>
          </w:tcPr>
          <w:p w14:paraId="1B0F6F50"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1,091</w:t>
            </w:r>
            <w:r w:rsidRPr="00B06C2F">
              <w:rPr>
                <w:rStyle w:val="eop"/>
                <w:rFonts w:eastAsiaTheme="majorEastAsia" w:cs="Arial"/>
                <w:color w:val="000000"/>
                <w:sz w:val="24"/>
                <w:szCs w:val="24"/>
              </w:rPr>
              <w:t> </w:t>
            </w:r>
          </w:p>
        </w:tc>
        <w:tc>
          <w:tcPr>
            <w:tcW w:w="1200" w:type="dxa"/>
            <w:vAlign w:val="center"/>
          </w:tcPr>
          <w:p w14:paraId="4B7744E4" w14:textId="21F26A08" w:rsidR="00C44F19" w:rsidRPr="00B06C2F" w:rsidRDefault="00C44F19"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sz w:val="24"/>
                <w:szCs w:val="24"/>
              </w:rPr>
              <w:t>1,019</w:t>
            </w:r>
          </w:p>
        </w:tc>
        <w:tc>
          <w:tcPr>
            <w:tcW w:w="1480" w:type="dxa"/>
            <w:vAlign w:val="center"/>
          </w:tcPr>
          <w:p w14:paraId="3A2E185E" w14:textId="020B4AB2"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-161</w:t>
            </w:r>
          </w:p>
        </w:tc>
        <w:tc>
          <w:tcPr>
            <w:tcW w:w="1530" w:type="dxa"/>
            <w:vAlign w:val="center"/>
          </w:tcPr>
          <w:p w14:paraId="1569B2DB" w14:textId="278DA113"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-13.6%</w:t>
            </w:r>
          </w:p>
        </w:tc>
      </w:tr>
      <w:tr w:rsidR="00C44F19" w:rsidRPr="00B06C2F" w14:paraId="61CE0B39" w14:textId="77777777" w:rsidTr="002933AF">
        <w:trPr>
          <w:cantSplit/>
        </w:trPr>
        <w:tc>
          <w:tcPr>
            <w:tcW w:w="1870" w:type="dxa"/>
            <w:vAlign w:val="center"/>
          </w:tcPr>
          <w:p w14:paraId="637435AA" w14:textId="77777777" w:rsidR="00C44F19" w:rsidRPr="00B06C2F" w:rsidRDefault="00C44F19"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All Students</w:t>
            </w:r>
            <w:r w:rsidRPr="00B06C2F">
              <w:rPr>
                <w:rStyle w:val="eop"/>
                <w:rFonts w:eastAsiaTheme="majorEastAsia" w:cs="Arial"/>
                <w:sz w:val="24"/>
                <w:szCs w:val="24"/>
              </w:rPr>
              <w:t> </w:t>
            </w:r>
          </w:p>
        </w:tc>
        <w:tc>
          <w:tcPr>
            <w:tcW w:w="1275" w:type="dxa"/>
            <w:vAlign w:val="center"/>
          </w:tcPr>
          <w:p w14:paraId="7C3B98F0"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48,011</w:t>
            </w:r>
            <w:r w:rsidRPr="00B06C2F">
              <w:rPr>
                <w:rStyle w:val="eop"/>
                <w:rFonts w:eastAsiaTheme="majorEastAsia" w:cs="Arial"/>
                <w:sz w:val="24"/>
                <w:szCs w:val="24"/>
              </w:rPr>
              <w:t> </w:t>
            </w:r>
          </w:p>
        </w:tc>
        <w:tc>
          <w:tcPr>
            <w:tcW w:w="1200" w:type="dxa"/>
            <w:vAlign w:val="center"/>
          </w:tcPr>
          <w:p w14:paraId="15673BC2"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47,748</w:t>
            </w:r>
            <w:r w:rsidRPr="00B06C2F">
              <w:rPr>
                <w:rStyle w:val="eop"/>
                <w:rFonts w:eastAsiaTheme="majorEastAsia" w:cs="Arial"/>
                <w:sz w:val="24"/>
                <w:szCs w:val="24"/>
              </w:rPr>
              <w:t> </w:t>
            </w:r>
          </w:p>
        </w:tc>
        <w:tc>
          <w:tcPr>
            <w:tcW w:w="1200" w:type="dxa"/>
            <w:vAlign w:val="center"/>
          </w:tcPr>
          <w:p w14:paraId="346C2BAA" w14:textId="77777777"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39,987</w:t>
            </w:r>
            <w:r w:rsidRPr="00B06C2F">
              <w:rPr>
                <w:rStyle w:val="eop"/>
                <w:rFonts w:eastAsiaTheme="majorEastAsia" w:cs="Arial"/>
                <w:color w:val="000000"/>
                <w:sz w:val="24"/>
                <w:szCs w:val="24"/>
              </w:rPr>
              <w:t> </w:t>
            </w:r>
          </w:p>
        </w:tc>
        <w:tc>
          <w:tcPr>
            <w:tcW w:w="1200" w:type="dxa"/>
            <w:vAlign w:val="center"/>
          </w:tcPr>
          <w:p w14:paraId="7E217B82" w14:textId="21A1FBDD" w:rsidR="00C44F19" w:rsidRPr="00B06C2F" w:rsidRDefault="00C44F19"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Style w:val="normaltextrun"/>
                <w:rFonts w:eastAsiaTheme="majorEastAsia" w:cs="Arial"/>
                <w:color w:val="000000"/>
                <w:sz w:val="24"/>
                <w:szCs w:val="24"/>
              </w:rPr>
              <w:t>35,836</w:t>
            </w:r>
          </w:p>
        </w:tc>
        <w:tc>
          <w:tcPr>
            <w:tcW w:w="1480" w:type="dxa"/>
            <w:vAlign w:val="center"/>
          </w:tcPr>
          <w:p w14:paraId="34D3D65A" w14:textId="063D33C2"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-12,175</w:t>
            </w:r>
          </w:p>
        </w:tc>
        <w:tc>
          <w:tcPr>
            <w:tcW w:w="1530" w:type="dxa"/>
            <w:vAlign w:val="center"/>
          </w:tcPr>
          <w:p w14:paraId="3DD2FA03" w14:textId="7F6920AD" w:rsidR="00C44F19" w:rsidRPr="00B06C2F" w:rsidRDefault="00C44F19"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-25.4%</w:t>
            </w:r>
          </w:p>
        </w:tc>
      </w:tr>
    </w:tbl>
    <w:p w14:paraId="2294448E" w14:textId="502BA87E" w:rsidR="00C44F19" w:rsidRPr="00B06C2F" w:rsidRDefault="55239842" w:rsidP="00D24FBD">
      <w:pPr>
        <w:spacing w:before="240"/>
        <w:rPr>
          <w:rFonts w:cs="Arial"/>
        </w:rPr>
      </w:pPr>
      <w:r w:rsidRPr="00B06C2F">
        <w:rPr>
          <w:rFonts w:cs="Arial"/>
        </w:rPr>
        <w:t xml:space="preserve">Note that the </w:t>
      </w:r>
      <w:r w:rsidR="5B0CAA39" w:rsidRPr="00B06C2F">
        <w:rPr>
          <w:rFonts w:cs="Arial"/>
        </w:rPr>
        <w:t>counts</w:t>
      </w:r>
      <w:r w:rsidRPr="00B06C2F">
        <w:rPr>
          <w:rFonts w:cs="Arial"/>
        </w:rPr>
        <w:t xml:space="preserve"> in the All Students row </w:t>
      </w:r>
      <w:r w:rsidR="787F8D5C" w:rsidRPr="00B06C2F">
        <w:rPr>
          <w:rFonts w:cs="Arial"/>
        </w:rPr>
        <w:t xml:space="preserve">in Table 2 </w:t>
      </w:r>
      <w:r w:rsidRPr="00B06C2F">
        <w:rPr>
          <w:rFonts w:cs="Arial"/>
        </w:rPr>
        <w:t>does not match the Total counts in Table 1 because Table 2 excludes the number of students that did not report a race/ethnicity.</w:t>
      </w:r>
    </w:p>
    <w:p w14:paraId="34339480" w14:textId="35EBB7B3" w:rsidR="00B47306" w:rsidRPr="00B06C2F" w:rsidRDefault="00B47306" w:rsidP="000215EE">
      <w:pPr>
        <w:pStyle w:val="Heading4"/>
      </w:pPr>
      <w:r w:rsidRPr="00B06C2F">
        <w:lastRenderedPageBreak/>
        <w:t>Summary of Change in Race/Ethnicity Representation</w:t>
      </w:r>
    </w:p>
    <w:p w14:paraId="1BA5E95C" w14:textId="384C8686" w:rsidR="005D6A1A" w:rsidRPr="00B06C2F" w:rsidRDefault="7AEA5FF8" w:rsidP="00BE3748">
      <w:pPr>
        <w:spacing w:after="240"/>
        <w:rPr>
          <w:rFonts w:cs="Arial"/>
        </w:rPr>
      </w:pPr>
      <w:r w:rsidRPr="00B06C2F">
        <w:rPr>
          <w:rFonts w:cs="Arial"/>
        </w:rPr>
        <w:t xml:space="preserve">The </w:t>
      </w:r>
      <w:r w:rsidR="259A3E45" w:rsidRPr="00B06C2F">
        <w:rPr>
          <w:rFonts w:cs="Arial"/>
        </w:rPr>
        <w:t>Hispanic/Latino student</w:t>
      </w:r>
      <w:r w:rsidRPr="00B06C2F">
        <w:rPr>
          <w:rFonts w:cs="Arial"/>
        </w:rPr>
        <w:t xml:space="preserve"> group </w:t>
      </w:r>
      <w:r w:rsidR="259A3E45" w:rsidRPr="00B06C2F">
        <w:rPr>
          <w:rFonts w:cs="Arial"/>
        </w:rPr>
        <w:t>continu</w:t>
      </w:r>
      <w:r w:rsidR="5312994B" w:rsidRPr="00B06C2F">
        <w:rPr>
          <w:rFonts w:cs="Arial"/>
        </w:rPr>
        <w:t>es to</w:t>
      </w:r>
      <w:r w:rsidR="259A3E45" w:rsidRPr="00B06C2F">
        <w:rPr>
          <w:rFonts w:cs="Arial"/>
        </w:rPr>
        <w:t xml:space="preserve"> make up the largest percentage of </w:t>
      </w:r>
      <w:r w:rsidR="5312994B" w:rsidRPr="00B06C2F">
        <w:rPr>
          <w:rFonts w:cs="Arial"/>
        </w:rPr>
        <w:t xml:space="preserve">transfer </w:t>
      </w:r>
      <w:r w:rsidR="259A3E45" w:rsidRPr="00B06C2F">
        <w:rPr>
          <w:rFonts w:cs="Arial"/>
        </w:rPr>
        <w:t xml:space="preserve">students followed by </w:t>
      </w:r>
      <w:r w:rsidR="5312994B" w:rsidRPr="00B06C2F">
        <w:rPr>
          <w:rFonts w:cs="Arial"/>
        </w:rPr>
        <w:t xml:space="preserve">the </w:t>
      </w:r>
      <w:r w:rsidR="259A3E45" w:rsidRPr="00B06C2F">
        <w:rPr>
          <w:rFonts w:cs="Arial"/>
        </w:rPr>
        <w:t>White student group and the African American</w:t>
      </w:r>
      <w:r w:rsidR="5312994B" w:rsidRPr="00B06C2F">
        <w:rPr>
          <w:rFonts w:cs="Arial"/>
        </w:rPr>
        <w:t xml:space="preserve"> student group</w:t>
      </w:r>
      <w:r w:rsidR="259A3E45" w:rsidRPr="00B06C2F">
        <w:rPr>
          <w:rFonts w:cs="Arial"/>
        </w:rPr>
        <w:t xml:space="preserve">. </w:t>
      </w:r>
      <w:r w:rsidRPr="00B06C2F">
        <w:rPr>
          <w:rFonts w:cs="Arial"/>
        </w:rPr>
        <w:t xml:space="preserve">Compared to the 2017–18 transfer counts, </w:t>
      </w:r>
      <w:r w:rsidR="5312994B" w:rsidRPr="00B06C2F">
        <w:rPr>
          <w:rFonts w:eastAsia="Arial" w:cs="Arial"/>
          <w:color w:val="000000" w:themeColor="text1"/>
        </w:rPr>
        <w:t>African American students</w:t>
      </w:r>
      <w:r w:rsidRPr="00B06C2F">
        <w:rPr>
          <w:rFonts w:eastAsia="Arial" w:cs="Arial"/>
          <w:color w:val="000000" w:themeColor="text1"/>
        </w:rPr>
        <w:t xml:space="preserve"> show the most significant decrease in transfers with nearly half of the transfer counts in 2020</w:t>
      </w:r>
      <w:r w:rsidR="003D7EFF" w:rsidRPr="00B06C2F">
        <w:rPr>
          <w:rFonts w:cs="Arial"/>
        </w:rPr>
        <w:t>–</w:t>
      </w:r>
      <w:r w:rsidRPr="00B06C2F">
        <w:rPr>
          <w:rFonts w:eastAsia="Arial" w:cs="Arial"/>
          <w:color w:val="000000" w:themeColor="text1"/>
        </w:rPr>
        <w:t>21</w:t>
      </w:r>
      <w:r w:rsidR="5312994B" w:rsidRPr="00B06C2F">
        <w:rPr>
          <w:rFonts w:eastAsia="Arial" w:cs="Arial"/>
          <w:color w:val="000000" w:themeColor="text1"/>
        </w:rPr>
        <w:t xml:space="preserve"> (46.7 percent</w:t>
      </w:r>
      <w:r w:rsidRPr="00B06C2F">
        <w:rPr>
          <w:rFonts w:eastAsia="Arial" w:cs="Arial"/>
          <w:color w:val="000000" w:themeColor="text1"/>
        </w:rPr>
        <w:t xml:space="preserve"> decrease</w:t>
      </w:r>
      <w:r w:rsidR="5312994B" w:rsidRPr="00B06C2F">
        <w:rPr>
          <w:rFonts w:eastAsia="Arial" w:cs="Arial"/>
          <w:color w:val="000000" w:themeColor="text1"/>
        </w:rPr>
        <w:t>)</w:t>
      </w:r>
      <w:r w:rsidRPr="00B06C2F">
        <w:rPr>
          <w:rFonts w:eastAsia="Arial" w:cs="Arial"/>
          <w:color w:val="000000" w:themeColor="text1"/>
        </w:rPr>
        <w:t>. This is</w:t>
      </w:r>
      <w:r w:rsidR="5312994B" w:rsidRPr="00B06C2F">
        <w:rPr>
          <w:rFonts w:eastAsia="Arial" w:cs="Arial"/>
          <w:color w:val="000000" w:themeColor="text1"/>
        </w:rPr>
        <w:t xml:space="preserve"> followed by American Indian/Alaska Native (37.6 percent</w:t>
      </w:r>
      <w:r w:rsidR="55239842" w:rsidRPr="00B06C2F">
        <w:rPr>
          <w:rFonts w:eastAsia="Arial" w:cs="Arial"/>
          <w:color w:val="000000" w:themeColor="text1"/>
        </w:rPr>
        <w:t xml:space="preserve"> decrease</w:t>
      </w:r>
      <w:r w:rsidR="5312994B" w:rsidRPr="00B06C2F">
        <w:rPr>
          <w:rFonts w:eastAsia="Arial" w:cs="Arial"/>
          <w:color w:val="000000" w:themeColor="text1"/>
        </w:rPr>
        <w:t>) and Native Hawaiian/Pacific Islander (33.3 percent</w:t>
      </w:r>
      <w:r w:rsidR="55239842" w:rsidRPr="00B06C2F">
        <w:rPr>
          <w:rFonts w:eastAsia="Arial" w:cs="Arial"/>
          <w:color w:val="000000" w:themeColor="text1"/>
        </w:rPr>
        <w:t xml:space="preserve"> decrease</w:t>
      </w:r>
      <w:r w:rsidR="5312994B" w:rsidRPr="00B06C2F">
        <w:rPr>
          <w:rFonts w:eastAsia="Arial" w:cs="Arial"/>
          <w:color w:val="000000" w:themeColor="text1"/>
        </w:rPr>
        <w:t>).</w:t>
      </w:r>
    </w:p>
    <w:p w14:paraId="09F5D04D" w14:textId="1E9BE56E" w:rsidR="00B47306" w:rsidRPr="00B06C2F" w:rsidRDefault="00B47306" w:rsidP="000215EE">
      <w:pPr>
        <w:pStyle w:val="Heading5"/>
      </w:pPr>
      <w:r w:rsidRPr="00B06C2F">
        <w:t xml:space="preserve">Table 3. Change in Program Group Representation across </w:t>
      </w:r>
      <w:r w:rsidR="00697D4B" w:rsidRPr="00B06C2F">
        <w:t xml:space="preserve">School </w:t>
      </w:r>
      <w:r w:rsidR="00B72276" w:rsidRPr="00B06C2F">
        <w:t>Y</w:t>
      </w:r>
      <w:r w:rsidR="00697D4B" w:rsidRPr="00B06C2F">
        <w:t>ear</w:t>
      </w:r>
      <w:r w:rsidRPr="00B06C2F">
        <w:t>s</w:t>
      </w:r>
    </w:p>
    <w:tbl>
      <w:tblPr>
        <w:tblStyle w:val="TableGrid"/>
        <w:tblW w:w="9985" w:type="dxa"/>
        <w:tblLook w:val="04A0" w:firstRow="1" w:lastRow="0" w:firstColumn="1" w:lastColumn="0" w:noHBand="0" w:noVBand="1"/>
        <w:tblCaption w:val="Change in Program Group Representation across School Years"/>
        <w:tblDescription w:val="Change in Program Group Representation across school years for 2017–18, 2018–19, 2019–20, and 2020–21"/>
      </w:tblPr>
      <w:tblGrid>
        <w:gridCol w:w="2204"/>
        <w:gridCol w:w="1211"/>
        <w:gridCol w:w="1170"/>
        <w:gridCol w:w="1170"/>
        <w:gridCol w:w="1170"/>
        <w:gridCol w:w="1530"/>
        <w:gridCol w:w="1530"/>
      </w:tblGrid>
      <w:tr w:rsidR="001872F6" w:rsidRPr="00B06C2F" w14:paraId="63A17BB0" w14:textId="77777777" w:rsidTr="00EF3F64">
        <w:trPr>
          <w:cantSplit/>
          <w:tblHeader/>
        </w:trPr>
        <w:tc>
          <w:tcPr>
            <w:tcW w:w="2204" w:type="dxa"/>
            <w:shd w:val="clear" w:color="auto" w:fill="D9D9D9" w:themeFill="background1" w:themeFillShade="D9"/>
            <w:vAlign w:val="center"/>
          </w:tcPr>
          <w:p w14:paraId="2C3663F4" w14:textId="77777777" w:rsidR="00B938FE" w:rsidRPr="00B06C2F" w:rsidRDefault="00B938FE"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b/>
                <w:bCs/>
                <w:sz w:val="24"/>
                <w:szCs w:val="24"/>
              </w:rPr>
              <w:t>Program Student Group</w:t>
            </w:r>
          </w:p>
        </w:tc>
        <w:tc>
          <w:tcPr>
            <w:tcW w:w="1211" w:type="dxa"/>
            <w:shd w:val="clear" w:color="auto" w:fill="D9D9D9" w:themeFill="background1" w:themeFillShade="D9"/>
            <w:vAlign w:val="center"/>
          </w:tcPr>
          <w:p w14:paraId="3DA541A3" w14:textId="77777777" w:rsidR="00B938FE" w:rsidRPr="00B06C2F" w:rsidRDefault="00B938FE"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2017–18 Counts</w:t>
            </w:r>
          </w:p>
        </w:tc>
        <w:tc>
          <w:tcPr>
            <w:tcW w:w="1170" w:type="dxa"/>
            <w:shd w:val="clear" w:color="auto" w:fill="D9D9D9" w:themeFill="background1" w:themeFillShade="D9"/>
            <w:vAlign w:val="center"/>
          </w:tcPr>
          <w:p w14:paraId="07D3D453" w14:textId="77777777" w:rsidR="00B938FE" w:rsidRPr="00B06C2F" w:rsidRDefault="00B938FE"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2018–19 Counts</w:t>
            </w:r>
          </w:p>
        </w:tc>
        <w:tc>
          <w:tcPr>
            <w:tcW w:w="1170" w:type="dxa"/>
            <w:shd w:val="clear" w:color="auto" w:fill="D9D9D9" w:themeFill="background1" w:themeFillShade="D9"/>
            <w:vAlign w:val="center"/>
          </w:tcPr>
          <w:p w14:paraId="648519EA" w14:textId="77777777" w:rsidR="00B938FE" w:rsidRPr="00B06C2F" w:rsidRDefault="00B938FE"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2019–20 Counts</w:t>
            </w:r>
          </w:p>
        </w:tc>
        <w:tc>
          <w:tcPr>
            <w:tcW w:w="1170" w:type="dxa"/>
            <w:shd w:val="clear" w:color="auto" w:fill="D9D9D9" w:themeFill="background1" w:themeFillShade="D9"/>
            <w:vAlign w:val="center"/>
          </w:tcPr>
          <w:p w14:paraId="3F6E4A04" w14:textId="68731E11" w:rsidR="00B938FE" w:rsidRPr="00B06C2F" w:rsidRDefault="00B938FE" w:rsidP="00A43A0B">
            <w:pPr>
              <w:pStyle w:val="paragraph"/>
              <w:spacing w:before="0" w:beforeAutospacing="0" w:after="0" w:afterAutospacing="0"/>
              <w:jc w:val="right"/>
              <w:textAlignment w:val="baseline"/>
              <w:rPr>
                <w:rStyle w:val="normaltextrun"/>
                <w:rFonts w:eastAsiaTheme="majorEastAsia" w:cs="Arial"/>
                <w:b/>
                <w:bCs/>
                <w:sz w:val="24"/>
                <w:szCs w:val="24"/>
              </w:rPr>
            </w:pPr>
            <w:r w:rsidRPr="00B06C2F">
              <w:rPr>
                <w:rStyle w:val="normaltextrun"/>
                <w:rFonts w:eastAsiaTheme="majorEastAsia" w:cs="Arial"/>
                <w:b/>
                <w:bCs/>
                <w:sz w:val="24"/>
                <w:szCs w:val="24"/>
              </w:rPr>
              <w:t>2020–21 Counts</w:t>
            </w:r>
          </w:p>
        </w:tc>
        <w:tc>
          <w:tcPr>
            <w:tcW w:w="1530" w:type="dxa"/>
            <w:shd w:val="clear" w:color="auto" w:fill="D9D9D9" w:themeFill="background1" w:themeFillShade="D9"/>
            <w:vAlign w:val="center"/>
          </w:tcPr>
          <w:p w14:paraId="614014D3" w14:textId="3A24A43F" w:rsidR="00B938FE" w:rsidRPr="00B06C2F" w:rsidRDefault="00B938FE"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Difference 2017–18 to 2020–21</w:t>
            </w:r>
          </w:p>
        </w:tc>
        <w:tc>
          <w:tcPr>
            <w:tcW w:w="1530" w:type="dxa"/>
            <w:shd w:val="clear" w:color="auto" w:fill="D9D9D9" w:themeFill="background1" w:themeFillShade="D9"/>
            <w:vAlign w:val="center"/>
          </w:tcPr>
          <w:p w14:paraId="2DE274A4" w14:textId="579AA4A1" w:rsidR="00B938FE" w:rsidRPr="00B06C2F" w:rsidRDefault="00B938FE"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b/>
                <w:bCs/>
                <w:sz w:val="24"/>
                <w:szCs w:val="24"/>
              </w:rPr>
              <w:t>Percent Change</w:t>
            </w:r>
            <w:r w:rsidR="00A43A0B" w:rsidRPr="00B06C2F">
              <w:rPr>
                <w:rStyle w:val="normaltextrun"/>
                <w:rFonts w:eastAsiaTheme="majorEastAsia" w:cs="Arial"/>
                <w:b/>
                <w:bCs/>
                <w:sz w:val="24"/>
                <w:szCs w:val="24"/>
              </w:rPr>
              <w:t xml:space="preserve"> </w:t>
            </w:r>
            <w:r w:rsidRPr="00B06C2F">
              <w:rPr>
                <w:rStyle w:val="normaltextrun"/>
                <w:rFonts w:eastAsiaTheme="majorEastAsia" w:cs="Arial"/>
                <w:b/>
                <w:bCs/>
                <w:sz w:val="24"/>
                <w:szCs w:val="24"/>
              </w:rPr>
              <w:t>2017–18 to 2020–21</w:t>
            </w:r>
          </w:p>
        </w:tc>
      </w:tr>
      <w:tr w:rsidR="001872F6" w:rsidRPr="00B06C2F" w14:paraId="714038EA" w14:textId="77777777" w:rsidTr="00EF3F64">
        <w:trPr>
          <w:cantSplit/>
        </w:trPr>
        <w:tc>
          <w:tcPr>
            <w:tcW w:w="2204" w:type="dxa"/>
            <w:vAlign w:val="center"/>
          </w:tcPr>
          <w:p w14:paraId="4512ED0C" w14:textId="77777777" w:rsidR="002063D2" w:rsidRPr="00B06C2F" w:rsidRDefault="002063D2"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English Learners</w:t>
            </w:r>
            <w:r w:rsidRPr="00B06C2F">
              <w:rPr>
                <w:rStyle w:val="eop"/>
                <w:rFonts w:eastAsiaTheme="majorEastAsia" w:cs="Arial"/>
                <w:sz w:val="24"/>
                <w:szCs w:val="24"/>
              </w:rPr>
              <w:t> </w:t>
            </w:r>
          </w:p>
        </w:tc>
        <w:tc>
          <w:tcPr>
            <w:tcW w:w="1211" w:type="dxa"/>
            <w:vAlign w:val="center"/>
          </w:tcPr>
          <w:p w14:paraId="021CC499"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8,686</w:t>
            </w:r>
            <w:r w:rsidRPr="00B06C2F">
              <w:rPr>
                <w:rStyle w:val="eop"/>
                <w:rFonts w:eastAsiaTheme="majorEastAsia" w:cs="Arial"/>
                <w:sz w:val="24"/>
                <w:szCs w:val="24"/>
              </w:rPr>
              <w:t> </w:t>
            </w:r>
          </w:p>
        </w:tc>
        <w:tc>
          <w:tcPr>
            <w:tcW w:w="1170" w:type="dxa"/>
            <w:vAlign w:val="center"/>
          </w:tcPr>
          <w:p w14:paraId="24AECFE4"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9,212</w:t>
            </w:r>
            <w:r w:rsidRPr="00B06C2F">
              <w:rPr>
                <w:rStyle w:val="eop"/>
                <w:rFonts w:eastAsiaTheme="majorEastAsia" w:cs="Arial"/>
                <w:sz w:val="24"/>
                <w:szCs w:val="24"/>
              </w:rPr>
              <w:t> </w:t>
            </w:r>
          </w:p>
        </w:tc>
        <w:tc>
          <w:tcPr>
            <w:tcW w:w="1170" w:type="dxa"/>
            <w:vAlign w:val="center"/>
          </w:tcPr>
          <w:p w14:paraId="616A1B0C"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7,104</w:t>
            </w:r>
            <w:r w:rsidRPr="00B06C2F">
              <w:rPr>
                <w:rStyle w:val="eop"/>
                <w:rFonts w:eastAsiaTheme="majorEastAsia" w:cs="Arial"/>
                <w:color w:val="000000"/>
                <w:sz w:val="24"/>
                <w:szCs w:val="24"/>
              </w:rPr>
              <w:t> </w:t>
            </w:r>
          </w:p>
        </w:tc>
        <w:tc>
          <w:tcPr>
            <w:tcW w:w="1170" w:type="dxa"/>
            <w:vAlign w:val="center"/>
          </w:tcPr>
          <w:p w14:paraId="5CCB80FD" w14:textId="75640A6C" w:rsidR="002063D2" w:rsidRPr="00B06C2F" w:rsidRDefault="002063D2"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Fonts w:cs="Arial"/>
                <w:color w:val="000000"/>
                <w:sz w:val="24"/>
                <w:szCs w:val="24"/>
              </w:rPr>
              <w:t>5,831</w:t>
            </w:r>
          </w:p>
        </w:tc>
        <w:tc>
          <w:tcPr>
            <w:tcW w:w="1530" w:type="dxa"/>
            <w:vAlign w:val="center"/>
          </w:tcPr>
          <w:p w14:paraId="3E9C7533" w14:textId="26E05EB5"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w:t>
            </w:r>
            <w:r w:rsidR="00D2758E" w:rsidRPr="00B06C2F">
              <w:rPr>
                <w:rFonts w:cs="Arial"/>
                <w:color w:val="000000"/>
                <w:sz w:val="24"/>
                <w:szCs w:val="24"/>
              </w:rPr>
              <w:t>,</w:t>
            </w:r>
            <w:r w:rsidRPr="00B06C2F">
              <w:rPr>
                <w:rFonts w:cs="Arial"/>
                <w:color w:val="000000"/>
                <w:sz w:val="24"/>
                <w:szCs w:val="24"/>
              </w:rPr>
              <w:t>855</w:t>
            </w:r>
          </w:p>
        </w:tc>
        <w:tc>
          <w:tcPr>
            <w:tcW w:w="1530" w:type="dxa"/>
            <w:vAlign w:val="center"/>
          </w:tcPr>
          <w:p w14:paraId="1348F734" w14:textId="111CC8C2"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-32.9%</w:t>
            </w:r>
          </w:p>
        </w:tc>
      </w:tr>
      <w:tr w:rsidR="001872F6" w:rsidRPr="00B06C2F" w14:paraId="708AD693" w14:textId="77777777" w:rsidTr="00EF3F64">
        <w:trPr>
          <w:cantSplit/>
        </w:trPr>
        <w:tc>
          <w:tcPr>
            <w:tcW w:w="2204" w:type="dxa"/>
            <w:vAlign w:val="center"/>
          </w:tcPr>
          <w:p w14:paraId="47D45D99" w14:textId="77777777" w:rsidR="002063D2" w:rsidRPr="00B06C2F" w:rsidRDefault="002063D2"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Foster Youth</w:t>
            </w:r>
            <w:r w:rsidRPr="00B06C2F">
              <w:rPr>
                <w:rStyle w:val="eop"/>
                <w:rFonts w:eastAsiaTheme="majorEastAsia" w:cs="Arial"/>
                <w:sz w:val="24"/>
                <w:szCs w:val="24"/>
              </w:rPr>
              <w:t> </w:t>
            </w:r>
          </w:p>
        </w:tc>
        <w:tc>
          <w:tcPr>
            <w:tcW w:w="1211" w:type="dxa"/>
            <w:vAlign w:val="center"/>
          </w:tcPr>
          <w:p w14:paraId="39178256"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2,025</w:t>
            </w:r>
            <w:r w:rsidRPr="00B06C2F">
              <w:rPr>
                <w:rStyle w:val="eop"/>
                <w:rFonts w:eastAsiaTheme="majorEastAsia" w:cs="Arial"/>
                <w:sz w:val="24"/>
                <w:szCs w:val="24"/>
              </w:rPr>
              <w:t> </w:t>
            </w:r>
          </w:p>
        </w:tc>
        <w:tc>
          <w:tcPr>
            <w:tcW w:w="1170" w:type="dxa"/>
            <w:vAlign w:val="center"/>
          </w:tcPr>
          <w:p w14:paraId="55EFE938"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1,379</w:t>
            </w:r>
            <w:r w:rsidRPr="00B06C2F">
              <w:rPr>
                <w:rStyle w:val="eop"/>
                <w:rFonts w:eastAsiaTheme="majorEastAsia" w:cs="Arial"/>
                <w:sz w:val="24"/>
                <w:szCs w:val="24"/>
              </w:rPr>
              <w:t> </w:t>
            </w:r>
          </w:p>
        </w:tc>
        <w:tc>
          <w:tcPr>
            <w:tcW w:w="1170" w:type="dxa"/>
            <w:vAlign w:val="center"/>
          </w:tcPr>
          <w:p w14:paraId="6FD2EA39"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1,458</w:t>
            </w:r>
            <w:r w:rsidRPr="00B06C2F">
              <w:rPr>
                <w:rStyle w:val="eop"/>
                <w:rFonts w:eastAsiaTheme="majorEastAsia" w:cs="Arial"/>
                <w:color w:val="000000"/>
                <w:sz w:val="24"/>
                <w:szCs w:val="24"/>
              </w:rPr>
              <w:t> </w:t>
            </w:r>
          </w:p>
        </w:tc>
        <w:tc>
          <w:tcPr>
            <w:tcW w:w="1170" w:type="dxa"/>
            <w:vAlign w:val="center"/>
          </w:tcPr>
          <w:p w14:paraId="1FCB234D" w14:textId="19F0BFC2" w:rsidR="002063D2" w:rsidRPr="00B06C2F" w:rsidRDefault="002063D2"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Fonts w:cs="Arial"/>
                <w:color w:val="000000"/>
                <w:sz w:val="24"/>
                <w:szCs w:val="24"/>
              </w:rPr>
              <w:t>1,054</w:t>
            </w:r>
          </w:p>
        </w:tc>
        <w:tc>
          <w:tcPr>
            <w:tcW w:w="1530" w:type="dxa"/>
            <w:vAlign w:val="center"/>
          </w:tcPr>
          <w:p w14:paraId="09708798" w14:textId="5760F5C6"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-971</w:t>
            </w:r>
          </w:p>
        </w:tc>
        <w:tc>
          <w:tcPr>
            <w:tcW w:w="1530" w:type="dxa"/>
            <w:vAlign w:val="center"/>
          </w:tcPr>
          <w:p w14:paraId="3D0E8180" w14:textId="184E84F5"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-48.0%</w:t>
            </w:r>
          </w:p>
        </w:tc>
      </w:tr>
      <w:tr w:rsidR="001872F6" w:rsidRPr="00B06C2F" w14:paraId="11F1079A" w14:textId="77777777" w:rsidTr="00EF3F64">
        <w:trPr>
          <w:cantSplit/>
        </w:trPr>
        <w:tc>
          <w:tcPr>
            <w:tcW w:w="2204" w:type="dxa"/>
            <w:vAlign w:val="center"/>
          </w:tcPr>
          <w:p w14:paraId="1956C5C2" w14:textId="77777777" w:rsidR="002063D2" w:rsidRPr="00B06C2F" w:rsidRDefault="002063D2"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Homeless Students</w:t>
            </w:r>
            <w:r w:rsidRPr="00B06C2F">
              <w:rPr>
                <w:rStyle w:val="eop"/>
                <w:rFonts w:eastAsiaTheme="majorEastAsia" w:cs="Arial"/>
                <w:sz w:val="24"/>
                <w:szCs w:val="24"/>
              </w:rPr>
              <w:t> </w:t>
            </w:r>
          </w:p>
        </w:tc>
        <w:tc>
          <w:tcPr>
            <w:tcW w:w="1211" w:type="dxa"/>
            <w:vAlign w:val="center"/>
          </w:tcPr>
          <w:p w14:paraId="30ED5CCC"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2,843</w:t>
            </w:r>
            <w:r w:rsidRPr="00B06C2F">
              <w:rPr>
                <w:rStyle w:val="eop"/>
                <w:rFonts w:eastAsiaTheme="majorEastAsia" w:cs="Arial"/>
                <w:sz w:val="24"/>
                <w:szCs w:val="24"/>
              </w:rPr>
              <w:t> </w:t>
            </w:r>
          </w:p>
        </w:tc>
        <w:tc>
          <w:tcPr>
            <w:tcW w:w="1170" w:type="dxa"/>
            <w:vAlign w:val="center"/>
          </w:tcPr>
          <w:p w14:paraId="1D0DD63A"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2,920</w:t>
            </w:r>
            <w:r w:rsidRPr="00B06C2F">
              <w:rPr>
                <w:rStyle w:val="eop"/>
                <w:rFonts w:eastAsiaTheme="majorEastAsia" w:cs="Arial"/>
                <w:sz w:val="24"/>
                <w:szCs w:val="24"/>
              </w:rPr>
              <w:t> </w:t>
            </w:r>
          </w:p>
        </w:tc>
        <w:tc>
          <w:tcPr>
            <w:tcW w:w="1170" w:type="dxa"/>
            <w:vAlign w:val="center"/>
          </w:tcPr>
          <w:p w14:paraId="36E039ED"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2,170</w:t>
            </w:r>
            <w:r w:rsidRPr="00B06C2F">
              <w:rPr>
                <w:rStyle w:val="eop"/>
                <w:rFonts w:eastAsiaTheme="majorEastAsia" w:cs="Arial"/>
                <w:color w:val="000000"/>
                <w:sz w:val="24"/>
                <w:szCs w:val="24"/>
              </w:rPr>
              <w:t> </w:t>
            </w:r>
          </w:p>
        </w:tc>
        <w:tc>
          <w:tcPr>
            <w:tcW w:w="1170" w:type="dxa"/>
            <w:vAlign w:val="center"/>
          </w:tcPr>
          <w:p w14:paraId="1C9F7FCA" w14:textId="43F925F5" w:rsidR="002063D2" w:rsidRPr="00B06C2F" w:rsidRDefault="002063D2"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Fonts w:cs="Arial"/>
                <w:color w:val="000000"/>
                <w:sz w:val="24"/>
                <w:szCs w:val="24"/>
              </w:rPr>
              <w:t>1,813</w:t>
            </w:r>
          </w:p>
        </w:tc>
        <w:tc>
          <w:tcPr>
            <w:tcW w:w="1530" w:type="dxa"/>
            <w:vAlign w:val="center"/>
          </w:tcPr>
          <w:p w14:paraId="531AFE2E" w14:textId="089E0AEB"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w:t>
            </w:r>
            <w:r w:rsidR="00D2758E" w:rsidRPr="00B06C2F">
              <w:rPr>
                <w:rFonts w:cs="Arial"/>
                <w:color w:val="000000"/>
                <w:sz w:val="24"/>
                <w:szCs w:val="24"/>
              </w:rPr>
              <w:t>,</w:t>
            </w:r>
            <w:r w:rsidRPr="00B06C2F">
              <w:rPr>
                <w:rFonts w:cs="Arial"/>
                <w:color w:val="000000"/>
                <w:sz w:val="24"/>
                <w:szCs w:val="24"/>
              </w:rPr>
              <w:t>030</w:t>
            </w:r>
          </w:p>
        </w:tc>
        <w:tc>
          <w:tcPr>
            <w:tcW w:w="1530" w:type="dxa"/>
            <w:vAlign w:val="center"/>
          </w:tcPr>
          <w:p w14:paraId="4D9616AF" w14:textId="174F739D"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-36.2%</w:t>
            </w:r>
          </w:p>
        </w:tc>
      </w:tr>
      <w:tr w:rsidR="001872F6" w:rsidRPr="00B06C2F" w14:paraId="7D10D42C" w14:textId="77777777" w:rsidTr="00EF3F64">
        <w:trPr>
          <w:cantSplit/>
        </w:trPr>
        <w:tc>
          <w:tcPr>
            <w:tcW w:w="2204" w:type="dxa"/>
            <w:vAlign w:val="center"/>
          </w:tcPr>
          <w:p w14:paraId="66BD521F" w14:textId="77777777" w:rsidR="002063D2" w:rsidRPr="00B06C2F" w:rsidRDefault="002063D2"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Socioeconomically Disadvantaged</w:t>
            </w:r>
            <w:r w:rsidRPr="00B06C2F">
              <w:rPr>
                <w:rStyle w:val="eop"/>
                <w:rFonts w:eastAsiaTheme="majorEastAsia" w:cs="Arial"/>
                <w:sz w:val="24"/>
                <w:szCs w:val="24"/>
              </w:rPr>
              <w:t> </w:t>
            </w:r>
          </w:p>
        </w:tc>
        <w:tc>
          <w:tcPr>
            <w:tcW w:w="1211" w:type="dxa"/>
            <w:vAlign w:val="center"/>
          </w:tcPr>
          <w:p w14:paraId="08044B6D"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39,089</w:t>
            </w:r>
            <w:r w:rsidRPr="00B06C2F">
              <w:rPr>
                <w:rStyle w:val="eop"/>
                <w:rFonts w:eastAsiaTheme="majorEastAsia" w:cs="Arial"/>
                <w:sz w:val="24"/>
                <w:szCs w:val="24"/>
              </w:rPr>
              <w:t> </w:t>
            </w:r>
          </w:p>
        </w:tc>
        <w:tc>
          <w:tcPr>
            <w:tcW w:w="1170" w:type="dxa"/>
            <w:vAlign w:val="center"/>
          </w:tcPr>
          <w:p w14:paraId="27CE581C"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39,903</w:t>
            </w:r>
            <w:r w:rsidRPr="00B06C2F">
              <w:rPr>
                <w:rStyle w:val="eop"/>
                <w:rFonts w:eastAsiaTheme="majorEastAsia" w:cs="Arial"/>
                <w:sz w:val="24"/>
                <w:szCs w:val="24"/>
              </w:rPr>
              <w:t> </w:t>
            </w:r>
          </w:p>
        </w:tc>
        <w:tc>
          <w:tcPr>
            <w:tcW w:w="1170" w:type="dxa"/>
            <w:vAlign w:val="center"/>
          </w:tcPr>
          <w:p w14:paraId="3216F6E6"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33,139</w:t>
            </w:r>
            <w:r w:rsidRPr="00B06C2F">
              <w:rPr>
                <w:rStyle w:val="eop"/>
                <w:rFonts w:eastAsiaTheme="majorEastAsia" w:cs="Arial"/>
                <w:color w:val="000000"/>
                <w:sz w:val="24"/>
                <w:szCs w:val="24"/>
              </w:rPr>
              <w:t> </w:t>
            </w:r>
          </w:p>
        </w:tc>
        <w:tc>
          <w:tcPr>
            <w:tcW w:w="1170" w:type="dxa"/>
            <w:vAlign w:val="center"/>
          </w:tcPr>
          <w:p w14:paraId="59D627B5" w14:textId="4831EF7C" w:rsidR="002063D2" w:rsidRPr="00B06C2F" w:rsidRDefault="002063D2"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Fonts w:cs="Arial"/>
                <w:color w:val="000000"/>
                <w:sz w:val="24"/>
                <w:szCs w:val="24"/>
              </w:rPr>
              <w:t>28,085</w:t>
            </w:r>
          </w:p>
        </w:tc>
        <w:tc>
          <w:tcPr>
            <w:tcW w:w="1530" w:type="dxa"/>
            <w:vAlign w:val="center"/>
          </w:tcPr>
          <w:p w14:paraId="360AAF65" w14:textId="32157F96"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-11</w:t>
            </w:r>
            <w:r w:rsidR="00D2758E" w:rsidRPr="00B06C2F">
              <w:rPr>
                <w:rFonts w:cs="Arial"/>
                <w:color w:val="000000"/>
                <w:sz w:val="24"/>
                <w:szCs w:val="24"/>
              </w:rPr>
              <w:t>,</w:t>
            </w:r>
            <w:r w:rsidRPr="00B06C2F">
              <w:rPr>
                <w:rFonts w:cs="Arial"/>
                <w:color w:val="000000"/>
                <w:sz w:val="24"/>
                <w:szCs w:val="24"/>
              </w:rPr>
              <w:t>004</w:t>
            </w:r>
          </w:p>
        </w:tc>
        <w:tc>
          <w:tcPr>
            <w:tcW w:w="1530" w:type="dxa"/>
            <w:vAlign w:val="center"/>
          </w:tcPr>
          <w:p w14:paraId="52F7875D" w14:textId="5E1301E2"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-28.2%</w:t>
            </w:r>
          </w:p>
        </w:tc>
      </w:tr>
      <w:tr w:rsidR="001872F6" w:rsidRPr="00B06C2F" w14:paraId="7B90F110" w14:textId="77777777" w:rsidTr="00EF3F64">
        <w:trPr>
          <w:cantSplit/>
        </w:trPr>
        <w:tc>
          <w:tcPr>
            <w:tcW w:w="2204" w:type="dxa"/>
            <w:vAlign w:val="center"/>
          </w:tcPr>
          <w:p w14:paraId="09A89094" w14:textId="77777777" w:rsidR="002063D2" w:rsidRPr="00B06C2F" w:rsidRDefault="002063D2"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Students with Disabilities</w:t>
            </w:r>
            <w:r w:rsidRPr="00B06C2F">
              <w:rPr>
                <w:rStyle w:val="eop"/>
                <w:rFonts w:eastAsiaTheme="majorEastAsia" w:cs="Arial"/>
                <w:sz w:val="24"/>
                <w:szCs w:val="24"/>
              </w:rPr>
              <w:t> </w:t>
            </w:r>
          </w:p>
        </w:tc>
        <w:tc>
          <w:tcPr>
            <w:tcW w:w="1211" w:type="dxa"/>
            <w:vAlign w:val="center"/>
          </w:tcPr>
          <w:p w14:paraId="22BF2328"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6,818</w:t>
            </w:r>
            <w:r w:rsidRPr="00B06C2F">
              <w:rPr>
                <w:rStyle w:val="eop"/>
                <w:rFonts w:eastAsiaTheme="majorEastAsia" w:cs="Arial"/>
                <w:sz w:val="24"/>
                <w:szCs w:val="24"/>
              </w:rPr>
              <w:t> </w:t>
            </w:r>
          </w:p>
        </w:tc>
        <w:tc>
          <w:tcPr>
            <w:tcW w:w="1170" w:type="dxa"/>
            <w:vAlign w:val="center"/>
          </w:tcPr>
          <w:p w14:paraId="19B48183"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6,959</w:t>
            </w:r>
            <w:r w:rsidRPr="00B06C2F">
              <w:rPr>
                <w:rStyle w:val="eop"/>
                <w:rFonts w:eastAsiaTheme="majorEastAsia" w:cs="Arial"/>
                <w:sz w:val="24"/>
                <w:szCs w:val="24"/>
              </w:rPr>
              <w:t> </w:t>
            </w:r>
          </w:p>
        </w:tc>
        <w:tc>
          <w:tcPr>
            <w:tcW w:w="1170" w:type="dxa"/>
            <w:vAlign w:val="center"/>
          </w:tcPr>
          <w:p w14:paraId="3CD9391C"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5,930</w:t>
            </w:r>
            <w:r w:rsidRPr="00B06C2F">
              <w:rPr>
                <w:rStyle w:val="eop"/>
                <w:rFonts w:eastAsiaTheme="majorEastAsia" w:cs="Arial"/>
                <w:color w:val="000000"/>
                <w:sz w:val="24"/>
                <w:szCs w:val="24"/>
              </w:rPr>
              <w:t> </w:t>
            </w:r>
          </w:p>
        </w:tc>
        <w:tc>
          <w:tcPr>
            <w:tcW w:w="1170" w:type="dxa"/>
            <w:vAlign w:val="center"/>
          </w:tcPr>
          <w:p w14:paraId="26C2138B" w14:textId="3EBD4CD3" w:rsidR="002063D2" w:rsidRPr="00B06C2F" w:rsidRDefault="002063D2"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Fonts w:cs="Arial"/>
                <w:color w:val="000000"/>
                <w:sz w:val="24"/>
                <w:szCs w:val="24"/>
              </w:rPr>
              <w:t>4,659</w:t>
            </w:r>
          </w:p>
        </w:tc>
        <w:tc>
          <w:tcPr>
            <w:tcW w:w="1530" w:type="dxa"/>
            <w:vAlign w:val="center"/>
          </w:tcPr>
          <w:p w14:paraId="7470BBB0" w14:textId="2183A73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-2</w:t>
            </w:r>
            <w:r w:rsidR="00374B94" w:rsidRPr="00B06C2F">
              <w:rPr>
                <w:rFonts w:cs="Arial"/>
                <w:color w:val="000000"/>
                <w:sz w:val="24"/>
                <w:szCs w:val="24"/>
              </w:rPr>
              <w:t>,</w:t>
            </w:r>
            <w:r w:rsidRPr="00B06C2F">
              <w:rPr>
                <w:rFonts w:cs="Arial"/>
                <w:color w:val="000000"/>
                <w:sz w:val="24"/>
                <w:szCs w:val="24"/>
              </w:rPr>
              <w:t>159</w:t>
            </w:r>
          </w:p>
        </w:tc>
        <w:tc>
          <w:tcPr>
            <w:tcW w:w="1530" w:type="dxa"/>
            <w:vAlign w:val="center"/>
          </w:tcPr>
          <w:p w14:paraId="23DD4AF2" w14:textId="1A3C2F9E"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-31.7%</w:t>
            </w:r>
          </w:p>
        </w:tc>
      </w:tr>
      <w:tr w:rsidR="001872F6" w:rsidRPr="00B06C2F" w14:paraId="12920660" w14:textId="77777777" w:rsidTr="00EF3F64">
        <w:trPr>
          <w:cantSplit/>
        </w:trPr>
        <w:tc>
          <w:tcPr>
            <w:tcW w:w="2204" w:type="dxa"/>
            <w:vAlign w:val="center"/>
          </w:tcPr>
          <w:p w14:paraId="027CFA23" w14:textId="77777777" w:rsidR="002063D2" w:rsidRPr="00B06C2F" w:rsidRDefault="002063D2" w:rsidP="00A43A0B">
            <w:pPr>
              <w:pStyle w:val="paragraph"/>
              <w:spacing w:before="0" w:beforeAutospacing="0" w:after="0" w:afterAutospacing="0"/>
              <w:textAlignment w:val="baseline"/>
              <w:rPr>
                <w:rFonts w:cs="Arial"/>
                <w:sz w:val="24"/>
                <w:szCs w:val="24"/>
              </w:rPr>
            </w:pPr>
            <w:r w:rsidRPr="00B06C2F">
              <w:rPr>
                <w:rStyle w:val="normaltextrun"/>
                <w:rFonts w:eastAsiaTheme="majorEastAsia" w:cs="Arial"/>
                <w:sz w:val="24"/>
                <w:szCs w:val="24"/>
              </w:rPr>
              <w:t>All Students</w:t>
            </w:r>
            <w:r w:rsidRPr="00B06C2F">
              <w:rPr>
                <w:rStyle w:val="eop"/>
                <w:rFonts w:eastAsiaTheme="majorEastAsia" w:cs="Arial"/>
                <w:sz w:val="24"/>
                <w:szCs w:val="24"/>
              </w:rPr>
              <w:t> </w:t>
            </w:r>
          </w:p>
        </w:tc>
        <w:tc>
          <w:tcPr>
            <w:tcW w:w="1211" w:type="dxa"/>
            <w:vAlign w:val="center"/>
          </w:tcPr>
          <w:p w14:paraId="0F94C5FE"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59,461</w:t>
            </w:r>
            <w:r w:rsidRPr="00B06C2F">
              <w:rPr>
                <w:rStyle w:val="eop"/>
                <w:rFonts w:eastAsiaTheme="majorEastAsia" w:cs="Arial"/>
                <w:sz w:val="24"/>
                <w:szCs w:val="24"/>
              </w:rPr>
              <w:t> </w:t>
            </w:r>
          </w:p>
        </w:tc>
        <w:tc>
          <w:tcPr>
            <w:tcW w:w="1170" w:type="dxa"/>
            <w:vAlign w:val="center"/>
          </w:tcPr>
          <w:p w14:paraId="597C5A5F"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sz w:val="24"/>
                <w:szCs w:val="24"/>
              </w:rPr>
              <w:t>60,373</w:t>
            </w:r>
            <w:r w:rsidRPr="00B06C2F">
              <w:rPr>
                <w:rStyle w:val="eop"/>
                <w:rFonts w:eastAsiaTheme="majorEastAsia" w:cs="Arial"/>
                <w:sz w:val="24"/>
                <w:szCs w:val="24"/>
              </w:rPr>
              <w:t> </w:t>
            </w:r>
          </w:p>
        </w:tc>
        <w:tc>
          <w:tcPr>
            <w:tcW w:w="1170" w:type="dxa"/>
            <w:vAlign w:val="center"/>
          </w:tcPr>
          <w:p w14:paraId="12A3C8BA" w14:textId="77777777"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Style w:val="normaltextrun"/>
                <w:rFonts w:eastAsiaTheme="majorEastAsia" w:cs="Arial"/>
                <w:color w:val="000000"/>
                <w:sz w:val="24"/>
                <w:szCs w:val="24"/>
              </w:rPr>
              <w:t>49,801</w:t>
            </w:r>
            <w:r w:rsidRPr="00B06C2F">
              <w:rPr>
                <w:rStyle w:val="eop"/>
                <w:rFonts w:eastAsiaTheme="majorEastAsia" w:cs="Arial"/>
                <w:color w:val="000000"/>
                <w:sz w:val="24"/>
                <w:szCs w:val="24"/>
              </w:rPr>
              <w:t> </w:t>
            </w:r>
          </w:p>
        </w:tc>
        <w:tc>
          <w:tcPr>
            <w:tcW w:w="1170" w:type="dxa"/>
            <w:vAlign w:val="bottom"/>
          </w:tcPr>
          <w:p w14:paraId="59301A4F" w14:textId="7F392040" w:rsidR="002063D2" w:rsidRPr="00B06C2F" w:rsidRDefault="002063D2" w:rsidP="00A43A0B">
            <w:pPr>
              <w:pStyle w:val="paragraph"/>
              <w:spacing w:before="0" w:beforeAutospacing="0" w:after="0" w:afterAutospacing="0"/>
              <w:jc w:val="right"/>
              <w:textAlignment w:val="baseline"/>
              <w:rPr>
                <w:rStyle w:val="normaltextrun"/>
                <w:rFonts w:eastAsiaTheme="majorEastAsia" w:cs="Arial"/>
                <w:color w:val="000000"/>
                <w:sz w:val="24"/>
                <w:szCs w:val="24"/>
              </w:rPr>
            </w:pPr>
            <w:r w:rsidRPr="00B06C2F">
              <w:rPr>
                <w:rFonts w:cs="Arial"/>
                <w:color w:val="000000"/>
                <w:sz w:val="24"/>
                <w:szCs w:val="24"/>
              </w:rPr>
              <w:t>41,442</w:t>
            </w:r>
          </w:p>
        </w:tc>
        <w:tc>
          <w:tcPr>
            <w:tcW w:w="1530" w:type="dxa"/>
            <w:vAlign w:val="center"/>
          </w:tcPr>
          <w:p w14:paraId="305855B9" w14:textId="52B2A36C"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-18</w:t>
            </w:r>
            <w:r w:rsidR="00374B94" w:rsidRPr="00B06C2F">
              <w:rPr>
                <w:rFonts w:cs="Arial"/>
                <w:color w:val="000000"/>
                <w:sz w:val="24"/>
                <w:szCs w:val="24"/>
              </w:rPr>
              <w:t>,</w:t>
            </w:r>
            <w:r w:rsidRPr="00B06C2F">
              <w:rPr>
                <w:rFonts w:cs="Arial"/>
                <w:color w:val="000000"/>
                <w:sz w:val="24"/>
                <w:szCs w:val="24"/>
              </w:rPr>
              <w:t>019</w:t>
            </w:r>
          </w:p>
        </w:tc>
        <w:tc>
          <w:tcPr>
            <w:tcW w:w="1530" w:type="dxa"/>
            <w:vAlign w:val="center"/>
          </w:tcPr>
          <w:p w14:paraId="47DD5EFE" w14:textId="11FB8530" w:rsidR="002063D2" w:rsidRPr="00B06C2F" w:rsidRDefault="002063D2" w:rsidP="00A43A0B">
            <w:pPr>
              <w:pStyle w:val="paragraph"/>
              <w:spacing w:before="0" w:beforeAutospacing="0" w:after="0" w:afterAutospacing="0"/>
              <w:jc w:val="right"/>
              <w:textAlignment w:val="baseline"/>
              <w:rPr>
                <w:rFonts w:cs="Arial"/>
                <w:sz w:val="24"/>
                <w:szCs w:val="24"/>
              </w:rPr>
            </w:pPr>
            <w:r w:rsidRPr="00B06C2F">
              <w:rPr>
                <w:rFonts w:cs="Arial"/>
                <w:color w:val="000000"/>
                <w:sz w:val="24"/>
                <w:szCs w:val="24"/>
              </w:rPr>
              <w:t>-30.3%</w:t>
            </w:r>
          </w:p>
        </w:tc>
      </w:tr>
    </w:tbl>
    <w:p w14:paraId="27CC8535" w14:textId="49765A05" w:rsidR="00B47306" w:rsidRPr="00B06C2F" w:rsidRDefault="00B47306" w:rsidP="00D24FBD">
      <w:pPr>
        <w:pStyle w:val="Heading4"/>
      </w:pPr>
      <w:r w:rsidRPr="00B06C2F">
        <w:t>Summary of Change in Program Student Group Representation</w:t>
      </w:r>
    </w:p>
    <w:p w14:paraId="023DC506" w14:textId="5C684583" w:rsidR="00B47306" w:rsidRPr="00B06C2F" w:rsidRDefault="7AEA5FF8" w:rsidP="00BE3748">
      <w:pPr>
        <w:spacing w:after="240"/>
        <w:rPr>
          <w:rFonts w:eastAsia="Arial" w:cs="Arial"/>
          <w:color w:val="000000" w:themeColor="text1"/>
        </w:rPr>
      </w:pPr>
      <w:r w:rsidRPr="00B06C2F">
        <w:rPr>
          <w:rFonts w:eastAsia="Arial" w:cs="Arial"/>
          <w:color w:val="000000" w:themeColor="text1"/>
        </w:rPr>
        <w:t>The student groups represented in Table 3 also reflect a decline in the number of students transferring from non-alternative high schools to DASS high schools. The most significant decrease is with the Foster Youth student group with 48 percent.</w:t>
      </w:r>
    </w:p>
    <w:p w14:paraId="2EE7FD51" w14:textId="4C584541" w:rsidR="00B47306" w:rsidRPr="00B06C2F" w:rsidRDefault="00B47306" w:rsidP="00D24FBD">
      <w:pPr>
        <w:pStyle w:val="Heading4"/>
      </w:pPr>
      <w:r w:rsidRPr="00B06C2F">
        <w:t>Disproportionality in</w:t>
      </w:r>
      <w:r w:rsidR="00374B94" w:rsidRPr="00B06C2F">
        <w:t xml:space="preserve"> </w:t>
      </w:r>
      <w:r w:rsidRPr="00B06C2F">
        <w:t>Student Group Transfers</w:t>
      </w:r>
    </w:p>
    <w:p w14:paraId="46A22647" w14:textId="7165AE98" w:rsidR="00B47306" w:rsidRPr="00B06C2F" w:rsidRDefault="00B47306" w:rsidP="00BE3748">
      <w:pPr>
        <w:spacing w:after="240"/>
        <w:rPr>
          <w:rFonts w:eastAsia="Arial" w:cs="Arial"/>
          <w:color w:val="000000" w:themeColor="text1"/>
        </w:rPr>
      </w:pPr>
      <w:r w:rsidRPr="00B06C2F">
        <w:rPr>
          <w:rFonts w:cs="Arial"/>
        </w:rPr>
        <w:t xml:space="preserve">The Disproportionality Index helps us determine whether a particular student group is being transferred at a higher or lower rate than expected, given the group’s actual numbers within the general student population. </w:t>
      </w:r>
      <w:r w:rsidRPr="00B06C2F">
        <w:rPr>
          <w:rFonts w:eastAsia="Arial" w:cs="Arial"/>
          <w:color w:val="000000" w:themeColor="text1"/>
        </w:rPr>
        <w:t>An index of less than 1 indicates a lower representation of the group in the transfer population compared to the general population, while an index of higher than 1 indicates a higher representation. If the index is 1 or close to 1, this indicates an equal or nearly equal representation.</w:t>
      </w:r>
    </w:p>
    <w:p w14:paraId="1A455FFC" w14:textId="324E2403" w:rsidR="00B47306" w:rsidRPr="00B06C2F" w:rsidRDefault="00B47306" w:rsidP="00653A5D">
      <w:pPr>
        <w:pStyle w:val="Heading5"/>
      </w:pPr>
      <w:r w:rsidRPr="00B06C2F">
        <w:t>Race/Ethnicity Composition in Transfer Group Compared to Statewide Student Enrollment Population</w:t>
      </w:r>
    </w:p>
    <w:p w14:paraId="25FA3363" w14:textId="223D7494" w:rsidR="00B47306" w:rsidRPr="00B06C2F" w:rsidRDefault="00B47306" w:rsidP="006B49CD">
      <w:pPr>
        <w:rPr>
          <w:rFonts w:cs="Arial"/>
        </w:rPr>
      </w:pPr>
      <w:r w:rsidRPr="00B06C2F">
        <w:rPr>
          <w:rFonts w:cs="Arial"/>
        </w:rPr>
        <w:t>To check for disproportionality of race/ethnicity representation in</w:t>
      </w:r>
      <w:r w:rsidR="001A7920" w:rsidRPr="00B06C2F">
        <w:rPr>
          <w:rFonts w:cs="Arial"/>
        </w:rPr>
        <w:t xml:space="preserve"> the</w:t>
      </w:r>
      <w:r w:rsidRPr="00B06C2F">
        <w:rPr>
          <w:rFonts w:cs="Arial"/>
        </w:rPr>
        <w:t xml:space="preserve"> transfer population, transfer student group percentages were compared against statewide student group </w:t>
      </w:r>
      <w:r w:rsidRPr="00B06C2F">
        <w:rPr>
          <w:rFonts w:cs="Arial"/>
        </w:rPr>
        <w:lastRenderedPageBreak/>
        <w:t xml:space="preserve">percentages. The </w:t>
      </w:r>
      <w:r w:rsidR="004B3B6B" w:rsidRPr="00B06C2F">
        <w:rPr>
          <w:rFonts w:cs="Arial"/>
        </w:rPr>
        <w:t>Disproportionality</w:t>
      </w:r>
      <w:r w:rsidR="00874F01" w:rsidRPr="00B06C2F">
        <w:rPr>
          <w:rFonts w:cs="Arial"/>
        </w:rPr>
        <w:t xml:space="preserve"> </w:t>
      </w:r>
      <w:r w:rsidR="004B3B6B" w:rsidRPr="00B06C2F">
        <w:rPr>
          <w:rFonts w:cs="Arial"/>
        </w:rPr>
        <w:t>I</w:t>
      </w:r>
      <w:r w:rsidR="00874F01" w:rsidRPr="00B06C2F">
        <w:rPr>
          <w:rFonts w:cs="Arial"/>
        </w:rPr>
        <w:t>ndex</w:t>
      </w:r>
      <w:r w:rsidRPr="00B06C2F">
        <w:rPr>
          <w:rFonts w:cs="Arial"/>
        </w:rPr>
        <w:t xml:space="preserve"> for racial/ethnic student groups </w:t>
      </w:r>
      <w:r w:rsidR="00011401" w:rsidRPr="00B06C2F">
        <w:rPr>
          <w:rFonts w:cs="Arial"/>
        </w:rPr>
        <w:t>were</w:t>
      </w:r>
      <w:r w:rsidRPr="00B06C2F">
        <w:rPr>
          <w:rFonts w:cs="Arial"/>
        </w:rPr>
        <w:t xml:space="preserve"> calculated as follows:</w:t>
      </w:r>
    </w:p>
    <w:p w14:paraId="0123A286" w14:textId="6BBEBE58" w:rsidR="00B47306" w:rsidRPr="00B06C2F" w:rsidRDefault="00B47306" w:rsidP="006B49CD">
      <w:pPr>
        <w:rPr>
          <w:rFonts w:cs="Arial"/>
        </w:rPr>
      </w:pPr>
      <m:oMathPara>
        <m:oMath>
          <m:r>
            <m:rPr>
              <m:nor/>
            </m:rPr>
            <w:rPr>
              <w:rFonts w:cs="Arial"/>
            </w:rPr>
            <m:t xml:space="preserve">  </m:t>
          </m:r>
          <m:f>
            <m:fPr>
              <m:ctrlPr>
                <w:rPr>
                  <w:rFonts w:ascii="Cambria Math" w:hAnsi="Cambria Math" w:cs="Arial"/>
                </w:rPr>
              </m:ctrlPr>
            </m:fPr>
            <m:num>
              <m:r>
                <m:rPr>
                  <m:nor/>
                </m:rPr>
                <w:rPr>
                  <w:rFonts w:cs="Arial"/>
                </w:rPr>
                <m:t>Number of Transfer Students in Race or Ethnic Group ÷ Total Transfer Population</m:t>
              </m:r>
            </m:num>
            <m:den>
              <m:r>
                <m:rPr>
                  <m:nor/>
                </m:rPr>
                <w:rPr>
                  <w:rFonts w:cs="Arial"/>
                </w:rPr>
                <m:t>Number of Students in Race or Ethnicity in Student Population ÷ Total Student Population</m:t>
              </m:r>
            </m:den>
          </m:f>
        </m:oMath>
      </m:oMathPara>
    </w:p>
    <w:p w14:paraId="539E59BF" w14:textId="1BE85F73" w:rsidR="00B47306" w:rsidRPr="00B06C2F" w:rsidRDefault="5084460A" w:rsidP="00D24FBD">
      <w:pPr>
        <w:pStyle w:val="Heading5"/>
      </w:pPr>
      <w:r w:rsidRPr="00B06C2F">
        <w:t>Table 4 provides the disproportionality breakdown by racial and ethnic groups from 2017–18 through 20</w:t>
      </w:r>
      <w:r w:rsidR="53C9E00F" w:rsidRPr="00B06C2F">
        <w:t>20</w:t>
      </w:r>
      <w:r w:rsidRPr="00B06C2F">
        <w:t>–2</w:t>
      </w:r>
      <w:r w:rsidR="53C9E00F" w:rsidRPr="00B06C2F">
        <w:t>1</w:t>
      </w:r>
      <w:r w:rsidRPr="00B06C2F">
        <w:t>.</w:t>
      </w:r>
    </w:p>
    <w:p w14:paraId="34CE0A41" w14:textId="77777777" w:rsidR="00B47306" w:rsidRPr="00B06C2F" w:rsidRDefault="00B47306" w:rsidP="00B47306">
      <w:pPr>
        <w:pStyle w:val="Heading4"/>
        <w:rPr>
          <w:rFonts w:cs="Arial"/>
          <w:b w:val="0"/>
          <w:i/>
          <w:color w:val="000000" w:themeColor="text1"/>
          <w:sz w:val="4"/>
        </w:rPr>
      </w:pPr>
    </w:p>
    <w:p w14:paraId="62EBF3C5" w14:textId="77777777" w:rsidR="00B47306" w:rsidRPr="00B06C2F" w:rsidRDefault="00B47306" w:rsidP="00B47306">
      <w:pPr>
        <w:pStyle w:val="Heading4"/>
        <w:rPr>
          <w:rFonts w:cs="Arial"/>
          <w:b w:val="0"/>
          <w:i/>
          <w:color w:val="000000" w:themeColor="text1"/>
        </w:rPr>
        <w:sectPr w:rsidR="00B47306" w:rsidRPr="00B06C2F" w:rsidSect="00FF098A">
          <w:headerReference w:type="default" r:id="rId24"/>
          <w:footerReference w:type="default" r:id="rId25"/>
          <w:headerReference w:type="first" r:id="rId26"/>
          <w:pgSz w:w="12240" w:h="15840"/>
          <w:pgMar w:top="720" w:right="1440" w:bottom="1440" w:left="1440" w:header="720" w:footer="720" w:gutter="0"/>
          <w:pgNumType w:start="1"/>
          <w:cols w:space="720"/>
          <w:docGrid w:linePitch="326"/>
        </w:sectPr>
      </w:pPr>
    </w:p>
    <w:p w14:paraId="3C6FCFAD" w14:textId="082838B1" w:rsidR="00B47306" w:rsidRPr="00B06C2F" w:rsidRDefault="00B47306" w:rsidP="00D24FBD">
      <w:pPr>
        <w:pStyle w:val="Heading5"/>
      </w:pPr>
      <w:r w:rsidRPr="00B06C2F">
        <w:lastRenderedPageBreak/>
        <w:t xml:space="preserve">Table 4. Disproportionality of Race/Ethnicity in 2017–18, 2018–19, </w:t>
      </w:r>
      <w:r w:rsidR="00D71C04" w:rsidRPr="00B06C2F">
        <w:t>2019–20, and 2020–21</w:t>
      </w:r>
    </w:p>
    <w:tbl>
      <w:tblPr>
        <w:tblStyle w:val="TableGrid"/>
        <w:tblW w:w="14580" w:type="dxa"/>
        <w:tblInd w:w="-95" w:type="dxa"/>
        <w:tblLayout w:type="fixed"/>
        <w:tblLook w:val="04A0" w:firstRow="1" w:lastRow="0" w:firstColumn="1" w:lastColumn="0" w:noHBand="0" w:noVBand="1"/>
        <w:tblCaption w:val="Disproprotionality of Race/Ethnicity in 2017-18; 2018-2019; 2019-20; 2020-21"/>
        <w:tblDescription w:val="Disproprotionality of race/ethnicity for the 2017–18, 2018–19, 2019–20, and 2020–21 school years"/>
      </w:tblPr>
      <w:tblGrid>
        <w:gridCol w:w="1260"/>
        <w:gridCol w:w="1260"/>
        <w:gridCol w:w="1260"/>
        <w:gridCol w:w="1260"/>
        <w:gridCol w:w="1260"/>
        <w:gridCol w:w="1260"/>
        <w:gridCol w:w="1260"/>
        <w:gridCol w:w="1260"/>
        <w:gridCol w:w="1260"/>
        <w:gridCol w:w="810"/>
        <w:gridCol w:w="810"/>
        <w:gridCol w:w="810"/>
        <w:gridCol w:w="810"/>
      </w:tblGrid>
      <w:tr w:rsidR="00E276F4" w:rsidRPr="00B06C2F" w14:paraId="29E4086D" w14:textId="5B4DB3D4" w:rsidTr="00EF3F64">
        <w:trPr>
          <w:cantSplit/>
          <w:tblHeader/>
        </w:trPr>
        <w:tc>
          <w:tcPr>
            <w:tcW w:w="1260" w:type="dxa"/>
            <w:shd w:val="clear" w:color="auto" w:fill="D9D9D9" w:themeFill="background1" w:themeFillShade="D9"/>
            <w:vAlign w:val="center"/>
          </w:tcPr>
          <w:p w14:paraId="393DA1C4" w14:textId="6BCE302A" w:rsidR="00E276F4" w:rsidRPr="00B06C2F" w:rsidRDefault="00E276F4" w:rsidP="00E276F4">
            <w:pPr>
              <w:textAlignment w:val="baseline"/>
              <w:rPr>
                <w:rFonts w:cs="Arial"/>
                <w:sz w:val="24"/>
                <w:szCs w:val="24"/>
              </w:rPr>
            </w:pPr>
            <w:r w:rsidRPr="00B06C2F">
              <w:rPr>
                <w:rFonts w:cs="Arial"/>
                <w:b/>
                <w:bCs/>
                <w:sz w:val="24"/>
                <w:szCs w:val="24"/>
              </w:rPr>
              <w:t>Race/</w:t>
            </w:r>
          </w:p>
          <w:p w14:paraId="0C73AEB4" w14:textId="3A9B3846" w:rsidR="00E276F4" w:rsidRPr="00B06C2F" w:rsidRDefault="00E276F4" w:rsidP="00E276F4">
            <w:pPr>
              <w:textAlignment w:val="baseline"/>
              <w:rPr>
                <w:rFonts w:cs="Arial"/>
                <w:sz w:val="24"/>
                <w:szCs w:val="24"/>
              </w:rPr>
            </w:pPr>
            <w:r w:rsidRPr="00B06C2F">
              <w:rPr>
                <w:rFonts w:cs="Arial"/>
                <w:b/>
                <w:bCs/>
                <w:sz w:val="24"/>
                <w:szCs w:val="24"/>
              </w:rPr>
              <w:t>Ethnicity Student Group</w:t>
            </w:r>
          </w:p>
        </w:tc>
        <w:tc>
          <w:tcPr>
            <w:tcW w:w="1260" w:type="dxa"/>
            <w:shd w:val="clear" w:color="auto" w:fill="D9D9D9" w:themeFill="background1" w:themeFillShade="D9"/>
            <w:vAlign w:val="center"/>
          </w:tcPr>
          <w:p w14:paraId="4D01E257" w14:textId="217F1534" w:rsidR="00E276F4" w:rsidRPr="00B06C2F" w:rsidRDefault="00E276F4" w:rsidP="003105EC">
            <w:pPr>
              <w:jc w:val="right"/>
              <w:textAlignment w:val="baseline"/>
              <w:rPr>
                <w:rFonts w:cs="Arial"/>
                <w:sz w:val="24"/>
                <w:szCs w:val="24"/>
              </w:rPr>
            </w:pPr>
            <w:r w:rsidRPr="00B06C2F">
              <w:rPr>
                <w:rFonts w:cs="Arial"/>
                <w:b/>
                <w:bCs/>
                <w:sz w:val="24"/>
                <w:szCs w:val="24"/>
              </w:rPr>
              <w:t xml:space="preserve">Percent Enrolled </w:t>
            </w:r>
            <w:r w:rsidR="003105EC" w:rsidRPr="00B06C2F">
              <w:rPr>
                <w:rFonts w:cs="Arial"/>
                <w:b/>
                <w:bCs/>
                <w:sz w:val="24"/>
                <w:szCs w:val="24"/>
              </w:rPr>
              <w:t>State</w:t>
            </w:r>
            <w:r w:rsidRPr="00B06C2F">
              <w:rPr>
                <w:rFonts w:cs="Arial"/>
                <w:b/>
                <w:bCs/>
                <w:sz w:val="24"/>
                <w:szCs w:val="24"/>
              </w:rPr>
              <w:t xml:space="preserve"> 2017–18</w:t>
            </w:r>
          </w:p>
        </w:tc>
        <w:tc>
          <w:tcPr>
            <w:tcW w:w="1260" w:type="dxa"/>
            <w:shd w:val="clear" w:color="auto" w:fill="D9D9D9" w:themeFill="background1" w:themeFillShade="D9"/>
            <w:vAlign w:val="center"/>
          </w:tcPr>
          <w:p w14:paraId="4682ADF2" w14:textId="780717B0" w:rsidR="00E276F4" w:rsidRPr="00B06C2F" w:rsidRDefault="00E276F4" w:rsidP="003105EC">
            <w:pPr>
              <w:jc w:val="right"/>
              <w:textAlignment w:val="baseline"/>
              <w:rPr>
                <w:rFonts w:cs="Arial"/>
                <w:sz w:val="24"/>
                <w:szCs w:val="24"/>
              </w:rPr>
            </w:pPr>
            <w:r w:rsidRPr="00B06C2F">
              <w:rPr>
                <w:rFonts w:cs="Arial"/>
                <w:b/>
                <w:bCs/>
                <w:sz w:val="24"/>
                <w:szCs w:val="24"/>
              </w:rPr>
              <w:t>Percent Transfer</w:t>
            </w:r>
            <w:r w:rsidR="003105EC" w:rsidRPr="00B06C2F">
              <w:rPr>
                <w:rFonts w:cs="Arial"/>
                <w:b/>
                <w:bCs/>
                <w:sz w:val="24"/>
                <w:szCs w:val="24"/>
              </w:rPr>
              <w:t xml:space="preserve"> </w:t>
            </w:r>
            <w:r w:rsidRPr="00B06C2F">
              <w:rPr>
                <w:rFonts w:cs="Arial"/>
                <w:b/>
                <w:bCs/>
                <w:sz w:val="24"/>
                <w:szCs w:val="24"/>
              </w:rPr>
              <w:t>to DASS 2017–18</w:t>
            </w:r>
          </w:p>
        </w:tc>
        <w:tc>
          <w:tcPr>
            <w:tcW w:w="1260" w:type="dxa"/>
            <w:shd w:val="clear" w:color="auto" w:fill="D9D9D9" w:themeFill="background1" w:themeFillShade="D9"/>
            <w:vAlign w:val="center"/>
          </w:tcPr>
          <w:p w14:paraId="1E57E885" w14:textId="36DD20A2" w:rsidR="00E276F4" w:rsidRPr="00B06C2F" w:rsidRDefault="00E276F4" w:rsidP="003105EC">
            <w:pPr>
              <w:jc w:val="right"/>
              <w:textAlignment w:val="baseline"/>
              <w:rPr>
                <w:rFonts w:cs="Arial"/>
                <w:sz w:val="24"/>
                <w:szCs w:val="24"/>
              </w:rPr>
            </w:pPr>
            <w:r w:rsidRPr="00B06C2F">
              <w:rPr>
                <w:rFonts w:cs="Arial"/>
                <w:b/>
                <w:bCs/>
                <w:sz w:val="24"/>
                <w:szCs w:val="24"/>
              </w:rPr>
              <w:t>Percent Enrolled State 2018-19</w:t>
            </w:r>
          </w:p>
        </w:tc>
        <w:tc>
          <w:tcPr>
            <w:tcW w:w="1260" w:type="dxa"/>
            <w:shd w:val="clear" w:color="auto" w:fill="D9D9D9" w:themeFill="background1" w:themeFillShade="D9"/>
            <w:vAlign w:val="center"/>
          </w:tcPr>
          <w:p w14:paraId="20CE302F" w14:textId="03177C41" w:rsidR="00E276F4" w:rsidRPr="00B06C2F" w:rsidRDefault="00E276F4" w:rsidP="003105EC">
            <w:pPr>
              <w:jc w:val="right"/>
              <w:textAlignment w:val="baseline"/>
              <w:rPr>
                <w:rFonts w:cs="Arial"/>
                <w:sz w:val="24"/>
                <w:szCs w:val="24"/>
              </w:rPr>
            </w:pPr>
            <w:r w:rsidRPr="00B06C2F">
              <w:rPr>
                <w:rFonts w:cs="Arial"/>
                <w:b/>
                <w:bCs/>
                <w:sz w:val="24"/>
                <w:szCs w:val="24"/>
              </w:rPr>
              <w:t>Percent Transfer to DASS 2018–19</w:t>
            </w:r>
          </w:p>
        </w:tc>
        <w:tc>
          <w:tcPr>
            <w:tcW w:w="1260" w:type="dxa"/>
            <w:shd w:val="clear" w:color="auto" w:fill="D9D9D9" w:themeFill="background1" w:themeFillShade="D9"/>
            <w:vAlign w:val="center"/>
          </w:tcPr>
          <w:p w14:paraId="211B4ED9" w14:textId="6C4C4FF5" w:rsidR="00E276F4" w:rsidRPr="00B06C2F" w:rsidRDefault="00E276F4" w:rsidP="003105EC">
            <w:pPr>
              <w:jc w:val="right"/>
              <w:textAlignment w:val="baseline"/>
              <w:rPr>
                <w:rFonts w:cs="Arial"/>
                <w:sz w:val="24"/>
                <w:szCs w:val="24"/>
              </w:rPr>
            </w:pPr>
            <w:r w:rsidRPr="00B06C2F">
              <w:rPr>
                <w:rFonts w:cs="Arial"/>
                <w:b/>
                <w:bCs/>
                <w:sz w:val="24"/>
                <w:szCs w:val="24"/>
              </w:rPr>
              <w:t>Percent Enrolled State 2019–20</w:t>
            </w:r>
          </w:p>
        </w:tc>
        <w:tc>
          <w:tcPr>
            <w:tcW w:w="1260" w:type="dxa"/>
            <w:shd w:val="clear" w:color="auto" w:fill="D9D9D9" w:themeFill="background1" w:themeFillShade="D9"/>
            <w:vAlign w:val="center"/>
          </w:tcPr>
          <w:p w14:paraId="0A497976" w14:textId="1DFA832C" w:rsidR="00E276F4" w:rsidRPr="00B06C2F" w:rsidRDefault="00E276F4" w:rsidP="003105EC">
            <w:pPr>
              <w:jc w:val="right"/>
              <w:textAlignment w:val="baseline"/>
              <w:rPr>
                <w:rFonts w:cs="Arial"/>
                <w:sz w:val="24"/>
                <w:szCs w:val="24"/>
              </w:rPr>
            </w:pPr>
            <w:r w:rsidRPr="00B06C2F">
              <w:rPr>
                <w:rFonts w:cs="Arial"/>
                <w:b/>
                <w:bCs/>
                <w:sz w:val="24"/>
                <w:szCs w:val="24"/>
              </w:rPr>
              <w:t>Percent Transfer to DASS 2019–20</w:t>
            </w:r>
          </w:p>
        </w:tc>
        <w:tc>
          <w:tcPr>
            <w:tcW w:w="1260" w:type="dxa"/>
            <w:shd w:val="clear" w:color="auto" w:fill="D9D9D9" w:themeFill="background1" w:themeFillShade="D9"/>
            <w:vAlign w:val="center"/>
          </w:tcPr>
          <w:p w14:paraId="1134B2FE" w14:textId="2B7EF69E" w:rsidR="00E276F4" w:rsidRPr="00B06C2F" w:rsidRDefault="00E276F4" w:rsidP="003105EC">
            <w:pPr>
              <w:jc w:val="right"/>
              <w:textAlignment w:val="baseline"/>
              <w:rPr>
                <w:rFonts w:cs="Arial"/>
                <w:b/>
                <w:bCs/>
                <w:sz w:val="24"/>
                <w:szCs w:val="24"/>
              </w:rPr>
            </w:pPr>
            <w:r w:rsidRPr="00B06C2F">
              <w:rPr>
                <w:rFonts w:cs="Arial"/>
                <w:b/>
                <w:bCs/>
                <w:sz w:val="24"/>
                <w:szCs w:val="24"/>
              </w:rPr>
              <w:t>Percent Enrolled State 2020–21</w:t>
            </w:r>
          </w:p>
        </w:tc>
        <w:tc>
          <w:tcPr>
            <w:tcW w:w="1260" w:type="dxa"/>
            <w:shd w:val="clear" w:color="auto" w:fill="D9D9D9" w:themeFill="background1" w:themeFillShade="D9"/>
            <w:vAlign w:val="center"/>
          </w:tcPr>
          <w:p w14:paraId="22651D47" w14:textId="37C9EC1D" w:rsidR="00E276F4" w:rsidRPr="00B06C2F" w:rsidRDefault="00E276F4" w:rsidP="003105EC">
            <w:pPr>
              <w:jc w:val="right"/>
              <w:textAlignment w:val="baseline"/>
              <w:rPr>
                <w:rFonts w:cs="Arial"/>
                <w:b/>
                <w:bCs/>
                <w:sz w:val="24"/>
                <w:szCs w:val="24"/>
              </w:rPr>
            </w:pPr>
            <w:r w:rsidRPr="00B06C2F">
              <w:rPr>
                <w:rFonts w:cs="Arial"/>
                <w:b/>
                <w:bCs/>
                <w:sz w:val="24"/>
                <w:szCs w:val="24"/>
              </w:rPr>
              <w:t>Percent Transfer to DASS 2020–21</w:t>
            </w:r>
          </w:p>
        </w:tc>
        <w:tc>
          <w:tcPr>
            <w:tcW w:w="810" w:type="dxa"/>
            <w:shd w:val="clear" w:color="auto" w:fill="D9D9D9" w:themeFill="background1" w:themeFillShade="D9"/>
            <w:vAlign w:val="center"/>
          </w:tcPr>
          <w:p w14:paraId="102AA2DA" w14:textId="3949451C" w:rsidR="00E276F4" w:rsidRPr="00B06C2F" w:rsidRDefault="00E276F4" w:rsidP="003105EC">
            <w:pPr>
              <w:jc w:val="right"/>
              <w:textAlignment w:val="baseline"/>
              <w:rPr>
                <w:rFonts w:cs="Arial"/>
                <w:sz w:val="24"/>
                <w:szCs w:val="24"/>
              </w:rPr>
            </w:pPr>
            <w:r w:rsidRPr="00B06C2F">
              <w:rPr>
                <w:rFonts w:cs="Arial"/>
                <w:b/>
                <w:bCs/>
                <w:sz w:val="24"/>
                <w:szCs w:val="24"/>
              </w:rPr>
              <w:t>DI in 2017–18</w:t>
            </w:r>
          </w:p>
        </w:tc>
        <w:tc>
          <w:tcPr>
            <w:tcW w:w="810" w:type="dxa"/>
            <w:shd w:val="clear" w:color="auto" w:fill="D9D9D9" w:themeFill="background1" w:themeFillShade="D9"/>
            <w:vAlign w:val="center"/>
          </w:tcPr>
          <w:p w14:paraId="407DA696" w14:textId="7C6871AE" w:rsidR="00E276F4" w:rsidRPr="00B06C2F" w:rsidRDefault="00E276F4" w:rsidP="003105EC">
            <w:pPr>
              <w:jc w:val="right"/>
              <w:textAlignment w:val="baseline"/>
              <w:rPr>
                <w:rFonts w:cs="Arial"/>
                <w:sz w:val="24"/>
                <w:szCs w:val="24"/>
              </w:rPr>
            </w:pPr>
            <w:r w:rsidRPr="00B06C2F">
              <w:rPr>
                <w:rFonts w:cs="Arial"/>
                <w:b/>
                <w:bCs/>
                <w:sz w:val="24"/>
                <w:szCs w:val="24"/>
              </w:rPr>
              <w:t>DI</w:t>
            </w:r>
            <w:r w:rsidR="005D691B" w:rsidRPr="00B06C2F">
              <w:rPr>
                <w:rFonts w:cs="Arial"/>
                <w:b/>
                <w:bCs/>
                <w:sz w:val="24"/>
                <w:szCs w:val="24"/>
              </w:rPr>
              <w:t xml:space="preserve"> </w:t>
            </w:r>
            <w:r w:rsidRPr="00B06C2F">
              <w:rPr>
                <w:rFonts w:cs="Arial"/>
                <w:b/>
                <w:bCs/>
                <w:sz w:val="24"/>
                <w:szCs w:val="24"/>
              </w:rPr>
              <w:t>in 2018–19</w:t>
            </w:r>
          </w:p>
        </w:tc>
        <w:tc>
          <w:tcPr>
            <w:tcW w:w="810" w:type="dxa"/>
            <w:shd w:val="clear" w:color="auto" w:fill="D9D9D9" w:themeFill="background1" w:themeFillShade="D9"/>
            <w:vAlign w:val="center"/>
          </w:tcPr>
          <w:p w14:paraId="75D5E5F6" w14:textId="1C22F3A1" w:rsidR="00E276F4" w:rsidRPr="00B06C2F" w:rsidRDefault="00E276F4" w:rsidP="003105EC">
            <w:pPr>
              <w:jc w:val="right"/>
              <w:textAlignment w:val="baseline"/>
              <w:rPr>
                <w:rFonts w:cs="Arial"/>
                <w:sz w:val="24"/>
                <w:szCs w:val="24"/>
              </w:rPr>
            </w:pPr>
            <w:r w:rsidRPr="00B06C2F">
              <w:rPr>
                <w:rFonts w:cs="Arial"/>
                <w:b/>
                <w:bCs/>
                <w:sz w:val="24"/>
                <w:szCs w:val="24"/>
              </w:rPr>
              <w:t>DI in 2019–20</w:t>
            </w:r>
          </w:p>
        </w:tc>
        <w:tc>
          <w:tcPr>
            <w:tcW w:w="810" w:type="dxa"/>
            <w:shd w:val="clear" w:color="auto" w:fill="D9D9D9" w:themeFill="background1" w:themeFillShade="D9"/>
            <w:vAlign w:val="center"/>
          </w:tcPr>
          <w:p w14:paraId="4EF8B178" w14:textId="0A3AF4D3" w:rsidR="00E276F4" w:rsidRPr="00B06C2F" w:rsidRDefault="00E276F4" w:rsidP="003105EC">
            <w:pPr>
              <w:jc w:val="right"/>
              <w:textAlignment w:val="baseline"/>
              <w:rPr>
                <w:rFonts w:cs="Arial"/>
                <w:b/>
                <w:bCs/>
                <w:sz w:val="24"/>
                <w:szCs w:val="24"/>
              </w:rPr>
            </w:pPr>
            <w:r w:rsidRPr="00B06C2F">
              <w:rPr>
                <w:rFonts w:cs="Arial"/>
                <w:b/>
                <w:bCs/>
                <w:sz w:val="24"/>
                <w:szCs w:val="24"/>
              </w:rPr>
              <w:t>DI in 2020–21</w:t>
            </w:r>
          </w:p>
        </w:tc>
      </w:tr>
      <w:tr w:rsidR="003105EC" w:rsidRPr="00B06C2F" w14:paraId="410ED5AE" w14:textId="35BD2030" w:rsidTr="00EF3F64">
        <w:trPr>
          <w:cantSplit/>
          <w:tblHeader/>
        </w:trPr>
        <w:tc>
          <w:tcPr>
            <w:tcW w:w="1260" w:type="dxa"/>
            <w:vAlign w:val="center"/>
          </w:tcPr>
          <w:p w14:paraId="2C241364" w14:textId="6CD4D54C"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African American</w:t>
            </w:r>
          </w:p>
        </w:tc>
        <w:tc>
          <w:tcPr>
            <w:tcW w:w="1260" w:type="dxa"/>
            <w:vAlign w:val="center"/>
          </w:tcPr>
          <w:p w14:paraId="7F08BC57" w14:textId="36C84F23"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5.48%</w:t>
            </w:r>
          </w:p>
        </w:tc>
        <w:tc>
          <w:tcPr>
            <w:tcW w:w="1260" w:type="dxa"/>
            <w:vAlign w:val="center"/>
          </w:tcPr>
          <w:p w14:paraId="0D2E4DB8" w14:textId="3D90C470"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10.23%</w:t>
            </w:r>
          </w:p>
        </w:tc>
        <w:tc>
          <w:tcPr>
            <w:tcW w:w="1260" w:type="dxa"/>
            <w:vAlign w:val="center"/>
          </w:tcPr>
          <w:p w14:paraId="446845EA" w14:textId="75CCC48A"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5.41%</w:t>
            </w:r>
          </w:p>
        </w:tc>
        <w:tc>
          <w:tcPr>
            <w:tcW w:w="1260" w:type="dxa"/>
            <w:vAlign w:val="center"/>
          </w:tcPr>
          <w:p w14:paraId="6F4EF314" w14:textId="4B9CE9C1"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9.54%</w:t>
            </w:r>
          </w:p>
        </w:tc>
        <w:tc>
          <w:tcPr>
            <w:tcW w:w="1260" w:type="dxa"/>
            <w:vAlign w:val="center"/>
          </w:tcPr>
          <w:p w14:paraId="42D034A3" w14:textId="5DC06242" w:rsidR="001542FD" w:rsidRPr="00B06C2F" w:rsidRDefault="001542FD" w:rsidP="003105EC">
            <w:pPr>
              <w:jc w:val="right"/>
              <w:textAlignment w:val="baseline"/>
              <w:rPr>
                <w:rFonts w:cs="Arial"/>
                <w:sz w:val="24"/>
                <w:szCs w:val="24"/>
              </w:rPr>
            </w:pPr>
            <w:r w:rsidRPr="00B06C2F">
              <w:rPr>
                <w:rFonts w:cs="Arial"/>
                <w:color w:val="000000"/>
                <w:sz w:val="24"/>
                <w:szCs w:val="24"/>
              </w:rPr>
              <w:t>5.27%</w:t>
            </w:r>
          </w:p>
        </w:tc>
        <w:tc>
          <w:tcPr>
            <w:tcW w:w="1260" w:type="dxa"/>
            <w:shd w:val="clear" w:color="auto" w:fill="auto"/>
            <w:vAlign w:val="center"/>
          </w:tcPr>
          <w:p w14:paraId="48801A1F" w14:textId="38867351" w:rsidR="001542FD" w:rsidRPr="00B06C2F" w:rsidRDefault="001542FD" w:rsidP="003105EC">
            <w:pPr>
              <w:jc w:val="right"/>
              <w:textAlignment w:val="baseline"/>
              <w:rPr>
                <w:rFonts w:cs="Arial"/>
                <w:sz w:val="24"/>
                <w:szCs w:val="24"/>
              </w:rPr>
            </w:pPr>
            <w:r w:rsidRPr="00B06C2F">
              <w:rPr>
                <w:rFonts w:cs="Arial"/>
                <w:color w:val="000000"/>
                <w:sz w:val="24"/>
                <w:szCs w:val="24"/>
              </w:rPr>
              <w:t>9.39%</w:t>
            </w:r>
          </w:p>
        </w:tc>
        <w:tc>
          <w:tcPr>
            <w:tcW w:w="1260" w:type="dxa"/>
            <w:shd w:val="clear" w:color="auto" w:fill="auto"/>
            <w:vAlign w:val="center"/>
          </w:tcPr>
          <w:p w14:paraId="3DE8C9D4" w14:textId="50FFDD77"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5.16%</w:t>
            </w:r>
          </w:p>
        </w:tc>
        <w:tc>
          <w:tcPr>
            <w:tcW w:w="1260" w:type="dxa"/>
            <w:shd w:val="clear" w:color="auto" w:fill="auto"/>
            <w:vAlign w:val="center"/>
          </w:tcPr>
          <w:p w14:paraId="3958EE6A" w14:textId="756853D8" w:rsidR="001542FD" w:rsidRPr="00B06C2F" w:rsidRDefault="001542FD" w:rsidP="003105EC">
            <w:pPr>
              <w:jc w:val="right"/>
              <w:textAlignment w:val="baseline"/>
              <w:rPr>
                <w:rFonts w:cs="Arial"/>
                <w:sz w:val="24"/>
                <w:szCs w:val="24"/>
              </w:rPr>
            </w:pPr>
            <w:r w:rsidRPr="00B06C2F">
              <w:rPr>
                <w:rFonts w:cs="Arial"/>
                <w:color w:val="000000"/>
                <w:sz w:val="24"/>
                <w:szCs w:val="24"/>
              </w:rPr>
              <w:t>7.41%</w:t>
            </w:r>
          </w:p>
        </w:tc>
        <w:tc>
          <w:tcPr>
            <w:tcW w:w="810" w:type="dxa"/>
            <w:shd w:val="clear" w:color="auto" w:fill="auto"/>
            <w:vAlign w:val="center"/>
          </w:tcPr>
          <w:p w14:paraId="7576E6FC" w14:textId="1902AF23" w:rsidR="001542FD" w:rsidRPr="00B06C2F" w:rsidRDefault="001542FD" w:rsidP="003105EC">
            <w:pPr>
              <w:jc w:val="right"/>
              <w:textAlignment w:val="baseline"/>
              <w:rPr>
                <w:rFonts w:cs="Arial"/>
                <w:sz w:val="24"/>
                <w:szCs w:val="24"/>
              </w:rPr>
            </w:pPr>
            <w:r w:rsidRPr="00B06C2F">
              <w:rPr>
                <w:rFonts w:cs="Arial"/>
                <w:sz w:val="24"/>
                <w:szCs w:val="24"/>
              </w:rPr>
              <w:t>1.87</w:t>
            </w:r>
          </w:p>
        </w:tc>
        <w:tc>
          <w:tcPr>
            <w:tcW w:w="810" w:type="dxa"/>
            <w:vAlign w:val="center"/>
          </w:tcPr>
          <w:p w14:paraId="6D883593" w14:textId="17059AD9" w:rsidR="001542FD" w:rsidRPr="00B06C2F" w:rsidRDefault="001542FD" w:rsidP="003105EC">
            <w:pPr>
              <w:jc w:val="right"/>
              <w:textAlignment w:val="baseline"/>
              <w:rPr>
                <w:rFonts w:cs="Arial"/>
                <w:sz w:val="24"/>
                <w:szCs w:val="24"/>
              </w:rPr>
            </w:pPr>
            <w:r w:rsidRPr="00B06C2F">
              <w:rPr>
                <w:rFonts w:cs="Arial"/>
                <w:sz w:val="24"/>
                <w:szCs w:val="24"/>
              </w:rPr>
              <w:t>1.76</w:t>
            </w:r>
          </w:p>
        </w:tc>
        <w:tc>
          <w:tcPr>
            <w:tcW w:w="810" w:type="dxa"/>
            <w:vAlign w:val="center"/>
          </w:tcPr>
          <w:p w14:paraId="1D7C3520" w14:textId="4D123519" w:rsidR="001542FD" w:rsidRPr="00B06C2F" w:rsidRDefault="001542FD" w:rsidP="003105EC">
            <w:pPr>
              <w:jc w:val="right"/>
              <w:textAlignment w:val="baseline"/>
              <w:rPr>
                <w:rFonts w:cs="Arial"/>
                <w:sz w:val="24"/>
                <w:szCs w:val="24"/>
              </w:rPr>
            </w:pPr>
            <w:r w:rsidRPr="00B06C2F">
              <w:rPr>
                <w:rFonts w:cs="Arial"/>
                <w:color w:val="000000"/>
                <w:sz w:val="24"/>
                <w:szCs w:val="24"/>
              </w:rPr>
              <w:t>1.78</w:t>
            </w:r>
          </w:p>
        </w:tc>
        <w:tc>
          <w:tcPr>
            <w:tcW w:w="810" w:type="dxa"/>
            <w:shd w:val="clear" w:color="auto" w:fill="auto"/>
            <w:vAlign w:val="center"/>
          </w:tcPr>
          <w:p w14:paraId="338891E0" w14:textId="03B4A514"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1.44</w:t>
            </w:r>
          </w:p>
        </w:tc>
      </w:tr>
      <w:tr w:rsidR="003105EC" w:rsidRPr="00B06C2F" w14:paraId="72DF1D27" w14:textId="1951204F" w:rsidTr="00EF3F64">
        <w:trPr>
          <w:cantSplit/>
          <w:tblHeader/>
        </w:trPr>
        <w:tc>
          <w:tcPr>
            <w:tcW w:w="1260" w:type="dxa"/>
            <w:vAlign w:val="center"/>
          </w:tcPr>
          <w:p w14:paraId="712851DE" w14:textId="3C07A904"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American Indian or Alaska Native</w:t>
            </w:r>
          </w:p>
        </w:tc>
        <w:tc>
          <w:tcPr>
            <w:tcW w:w="1260" w:type="dxa"/>
            <w:vAlign w:val="center"/>
          </w:tcPr>
          <w:p w14:paraId="32D9B3CD" w14:textId="06C10ACF"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0.52%</w:t>
            </w:r>
          </w:p>
        </w:tc>
        <w:tc>
          <w:tcPr>
            <w:tcW w:w="1260" w:type="dxa"/>
            <w:vAlign w:val="center"/>
          </w:tcPr>
          <w:p w14:paraId="64D38694" w14:textId="4E8BD7BF"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1.13%</w:t>
            </w:r>
          </w:p>
        </w:tc>
        <w:tc>
          <w:tcPr>
            <w:tcW w:w="1260" w:type="dxa"/>
            <w:vAlign w:val="center"/>
          </w:tcPr>
          <w:p w14:paraId="21DEC411" w14:textId="65E0A828"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0.51%</w:t>
            </w:r>
          </w:p>
        </w:tc>
        <w:tc>
          <w:tcPr>
            <w:tcW w:w="1260" w:type="dxa"/>
            <w:vAlign w:val="center"/>
          </w:tcPr>
          <w:p w14:paraId="7A149404" w14:textId="769FE457"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1.09%</w:t>
            </w:r>
          </w:p>
        </w:tc>
        <w:tc>
          <w:tcPr>
            <w:tcW w:w="1260" w:type="dxa"/>
            <w:vAlign w:val="center"/>
          </w:tcPr>
          <w:p w14:paraId="027F677A" w14:textId="6F07C754" w:rsidR="001542FD" w:rsidRPr="00B06C2F" w:rsidRDefault="001542FD" w:rsidP="003105EC">
            <w:pPr>
              <w:jc w:val="right"/>
              <w:textAlignment w:val="baseline"/>
              <w:rPr>
                <w:rFonts w:cs="Arial"/>
                <w:sz w:val="24"/>
                <w:szCs w:val="24"/>
              </w:rPr>
            </w:pPr>
            <w:r w:rsidRPr="00B06C2F">
              <w:rPr>
                <w:rFonts w:cs="Arial"/>
                <w:color w:val="000000"/>
                <w:sz w:val="24"/>
                <w:szCs w:val="24"/>
              </w:rPr>
              <w:t>0.49%</w:t>
            </w:r>
          </w:p>
        </w:tc>
        <w:tc>
          <w:tcPr>
            <w:tcW w:w="1260" w:type="dxa"/>
            <w:shd w:val="clear" w:color="auto" w:fill="auto"/>
            <w:vAlign w:val="center"/>
          </w:tcPr>
          <w:p w14:paraId="6CB156E9" w14:textId="1876C6BF" w:rsidR="001542FD" w:rsidRPr="00B06C2F" w:rsidRDefault="001542FD" w:rsidP="003105EC">
            <w:pPr>
              <w:jc w:val="right"/>
              <w:textAlignment w:val="baseline"/>
              <w:rPr>
                <w:rFonts w:cs="Arial"/>
                <w:sz w:val="24"/>
                <w:szCs w:val="24"/>
              </w:rPr>
            </w:pPr>
            <w:r w:rsidRPr="00B06C2F">
              <w:rPr>
                <w:rFonts w:cs="Arial"/>
                <w:color w:val="000000"/>
                <w:sz w:val="24"/>
                <w:szCs w:val="24"/>
              </w:rPr>
              <w:t>0.97%</w:t>
            </w:r>
          </w:p>
        </w:tc>
        <w:tc>
          <w:tcPr>
            <w:tcW w:w="1260" w:type="dxa"/>
            <w:shd w:val="clear" w:color="auto" w:fill="auto"/>
            <w:vAlign w:val="center"/>
          </w:tcPr>
          <w:p w14:paraId="06305AB2" w14:textId="636AF129"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0.47%</w:t>
            </w:r>
          </w:p>
        </w:tc>
        <w:tc>
          <w:tcPr>
            <w:tcW w:w="1260" w:type="dxa"/>
            <w:shd w:val="clear" w:color="auto" w:fill="auto"/>
            <w:vAlign w:val="center"/>
          </w:tcPr>
          <w:p w14:paraId="7657D064" w14:textId="57F1075D" w:rsidR="001542FD" w:rsidRPr="00B06C2F" w:rsidRDefault="001542FD" w:rsidP="003105EC">
            <w:pPr>
              <w:jc w:val="right"/>
              <w:textAlignment w:val="baseline"/>
              <w:rPr>
                <w:rFonts w:cs="Arial"/>
                <w:sz w:val="24"/>
                <w:szCs w:val="24"/>
              </w:rPr>
            </w:pPr>
            <w:r w:rsidRPr="00B06C2F">
              <w:rPr>
                <w:rFonts w:cs="Arial"/>
                <w:color w:val="000000"/>
                <w:sz w:val="24"/>
                <w:szCs w:val="24"/>
              </w:rPr>
              <w:t>0.96%</w:t>
            </w:r>
          </w:p>
        </w:tc>
        <w:tc>
          <w:tcPr>
            <w:tcW w:w="810" w:type="dxa"/>
            <w:shd w:val="clear" w:color="auto" w:fill="auto"/>
            <w:vAlign w:val="center"/>
          </w:tcPr>
          <w:p w14:paraId="6A600D33" w14:textId="1FB35026" w:rsidR="001542FD" w:rsidRPr="00B06C2F" w:rsidRDefault="001542FD" w:rsidP="003105EC">
            <w:pPr>
              <w:jc w:val="right"/>
              <w:textAlignment w:val="baseline"/>
              <w:rPr>
                <w:rFonts w:cs="Arial"/>
                <w:sz w:val="24"/>
                <w:szCs w:val="24"/>
              </w:rPr>
            </w:pPr>
            <w:r w:rsidRPr="00B06C2F">
              <w:rPr>
                <w:rFonts w:cs="Arial"/>
                <w:sz w:val="24"/>
                <w:szCs w:val="24"/>
              </w:rPr>
              <w:t>2.16</w:t>
            </w:r>
          </w:p>
        </w:tc>
        <w:tc>
          <w:tcPr>
            <w:tcW w:w="810" w:type="dxa"/>
            <w:vAlign w:val="center"/>
          </w:tcPr>
          <w:p w14:paraId="205A8AC5" w14:textId="3D169593" w:rsidR="001542FD" w:rsidRPr="00B06C2F" w:rsidRDefault="001542FD" w:rsidP="003105EC">
            <w:pPr>
              <w:jc w:val="right"/>
              <w:textAlignment w:val="baseline"/>
              <w:rPr>
                <w:rFonts w:cs="Arial"/>
                <w:sz w:val="24"/>
                <w:szCs w:val="24"/>
              </w:rPr>
            </w:pPr>
            <w:r w:rsidRPr="00B06C2F">
              <w:rPr>
                <w:rFonts w:cs="Arial"/>
                <w:sz w:val="24"/>
                <w:szCs w:val="24"/>
              </w:rPr>
              <w:t>2.15</w:t>
            </w:r>
          </w:p>
        </w:tc>
        <w:tc>
          <w:tcPr>
            <w:tcW w:w="810" w:type="dxa"/>
            <w:vAlign w:val="center"/>
          </w:tcPr>
          <w:p w14:paraId="4C8A5B58" w14:textId="77777777" w:rsidR="001542FD" w:rsidRPr="00B06C2F" w:rsidRDefault="001542FD" w:rsidP="003105EC">
            <w:pPr>
              <w:jc w:val="right"/>
              <w:textAlignment w:val="baseline"/>
              <w:rPr>
                <w:rFonts w:cs="Arial"/>
                <w:sz w:val="24"/>
                <w:szCs w:val="24"/>
              </w:rPr>
            </w:pPr>
            <w:r w:rsidRPr="00B06C2F">
              <w:rPr>
                <w:rFonts w:cs="Arial"/>
                <w:sz w:val="24"/>
                <w:szCs w:val="24"/>
              </w:rPr>
              <w:t>1.97</w:t>
            </w:r>
          </w:p>
        </w:tc>
        <w:tc>
          <w:tcPr>
            <w:tcW w:w="810" w:type="dxa"/>
            <w:shd w:val="clear" w:color="auto" w:fill="auto"/>
            <w:vAlign w:val="center"/>
          </w:tcPr>
          <w:p w14:paraId="585139AF" w14:textId="442DAEC2" w:rsidR="001542FD" w:rsidRPr="00B06C2F" w:rsidRDefault="001542FD" w:rsidP="003105EC">
            <w:pPr>
              <w:jc w:val="right"/>
              <w:textAlignment w:val="baseline"/>
              <w:rPr>
                <w:rFonts w:cs="Arial"/>
                <w:sz w:val="24"/>
                <w:szCs w:val="24"/>
              </w:rPr>
            </w:pPr>
            <w:r w:rsidRPr="00B06C2F">
              <w:rPr>
                <w:rFonts w:cs="Arial"/>
                <w:color w:val="000000"/>
                <w:sz w:val="24"/>
                <w:szCs w:val="24"/>
              </w:rPr>
              <w:t>2.03</w:t>
            </w:r>
          </w:p>
        </w:tc>
      </w:tr>
      <w:tr w:rsidR="003105EC" w:rsidRPr="00B06C2F" w14:paraId="1381A879" w14:textId="3F1ED740" w:rsidTr="00EF3F64">
        <w:trPr>
          <w:cantSplit/>
          <w:tblHeader/>
        </w:trPr>
        <w:tc>
          <w:tcPr>
            <w:tcW w:w="1260" w:type="dxa"/>
            <w:vAlign w:val="center"/>
          </w:tcPr>
          <w:p w14:paraId="746E475E" w14:textId="0CEBC138"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Asian</w:t>
            </w:r>
          </w:p>
        </w:tc>
        <w:tc>
          <w:tcPr>
            <w:tcW w:w="1260" w:type="dxa"/>
            <w:vAlign w:val="center"/>
          </w:tcPr>
          <w:p w14:paraId="45B4D80F" w14:textId="116FBD62"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9.16%</w:t>
            </w:r>
          </w:p>
        </w:tc>
        <w:tc>
          <w:tcPr>
            <w:tcW w:w="1260" w:type="dxa"/>
            <w:vAlign w:val="center"/>
          </w:tcPr>
          <w:p w14:paraId="45D19B7A" w14:textId="26750517"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1.70%</w:t>
            </w:r>
          </w:p>
        </w:tc>
        <w:tc>
          <w:tcPr>
            <w:tcW w:w="1260" w:type="dxa"/>
            <w:vAlign w:val="center"/>
          </w:tcPr>
          <w:p w14:paraId="154683F8" w14:textId="72511147"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9.28%</w:t>
            </w:r>
          </w:p>
        </w:tc>
        <w:tc>
          <w:tcPr>
            <w:tcW w:w="1260" w:type="dxa"/>
            <w:vAlign w:val="center"/>
          </w:tcPr>
          <w:p w14:paraId="4D41831B" w14:textId="2B10CD66"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1.85%</w:t>
            </w:r>
          </w:p>
        </w:tc>
        <w:tc>
          <w:tcPr>
            <w:tcW w:w="1260" w:type="dxa"/>
            <w:vAlign w:val="center"/>
          </w:tcPr>
          <w:p w14:paraId="654F7D9F" w14:textId="3EA49E97" w:rsidR="001542FD" w:rsidRPr="00B06C2F" w:rsidRDefault="001542FD" w:rsidP="003105EC">
            <w:pPr>
              <w:jc w:val="right"/>
              <w:textAlignment w:val="baseline"/>
              <w:rPr>
                <w:rFonts w:cs="Arial"/>
                <w:sz w:val="24"/>
                <w:szCs w:val="24"/>
              </w:rPr>
            </w:pPr>
            <w:r w:rsidRPr="00B06C2F">
              <w:rPr>
                <w:rFonts w:cs="Arial"/>
                <w:color w:val="000000"/>
                <w:sz w:val="24"/>
                <w:szCs w:val="24"/>
              </w:rPr>
              <w:t>9.33%</w:t>
            </w:r>
          </w:p>
        </w:tc>
        <w:tc>
          <w:tcPr>
            <w:tcW w:w="1260" w:type="dxa"/>
            <w:shd w:val="clear" w:color="auto" w:fill="auto"/>
            <w:vAlign w:val="center"/>
          </w:tcPr>
          <w:p w14:paraId="35931C4C" w14:textId="4C64ED35" w:rsidR="001542FD" w:rsidRPr="00B06C2F" w:rsidRDefault="001542FD" w:rsidP="003105EC">
            <w:pPr>
              <w:jc w:val="right"/>
              <w:textAlignment w:val="baseline"/>
              <w:rPr>
                <w:rFonts w:cs="Arial"/>
                <w:sz w:val="24"/>
                <w:szCs w:val="24"/>
              </w:rPr>
            </w:pPr>
            <w:r w:rsidRPr="00B06C2F">
              <w:rPr>
                <w:rFonts w:cs="Arial"/>
                <w:color w:val="000000"/>
                <w:sz w:val="24"/>
                <w:szCs w:val="24"/>
              </w:rPr>
              <w:t>1.81%</w:t>
            </w:r>
          </w:p>
        </w:tc>
        <w:tc>
          <w:tcPr>
            <w:tcW w:w="1260" w:type="dxa"/>
            <w:shd w:val="clear" w:color="auto" w:fill="auto"/>
            <w:vAlign w:val="center"/>
          </w:tcPr>
          <w:p w14:paraId="04C0E3FD" w14:textId="16E67A1C"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9.54%</w:t>
            </w:r>
          </w:p>
        </w:tc>
        <w:tc>
          <w:tcPr>
            <w:tcW w:w="1260" w:type="dxa"/>
            <w:shd w:val="clear" w:color="auto" w:fill="auto"/>
            <w:vAlign w:val="center"/>
          </w:tcPr>
          <w:p w14:paraId="0C8C1FD7" w14:textId="2960BEC9" w:rsidR="001542FD" w:rsidRPr="00B06C2F" w:rsidRDefault="001542FD" w:rsidP="003105EC">
            <w:pPr>
              <w:jc w:val="right"/>
              <w:textAlignment w:val="baseline"/>
              <w:rPr>
                <w:rFonts w:cs="Arial"/>
                <w:sz w:val="24"/>
                <w:szCs w:val="24"/>
              </w:rPr>
            </w:pPr>
            <w:r w:rsidRPr="00B06C2F">
              <w:rPr>
                <w:rFonts w:cs="Arial"/>
                <w:color w:val="000000"/>
                <w:sz w:val="24"/>
                <w:szCs w:val="24"/>
              </w:rPr>
              <w:t>2.00%</w:t>
            </w:r>
          </w:p>
        </w:tc>
        <w:tc>
          <w:tcPr>
            <w:tcW w:w="810" w:type="dxa"/>
            <w:shd w:val="clear" w:color="auto" w:fill="auto"/>
            <w:vAlign w:val="center"/>
          </w:tcPr>
          <w:p w14:paraId="67B159C9" w14:textId="56ECE8BD" w:rsidR="001542FD" w:rsidRPr="00B06C2F" w:rsidRDefault="001542FD" w:rsidP="003105EC">
            <w:pPr>
              <w:jc w:val="right"/>
              <w:textAlignment w:val="baseline"/>
              <w:rPr>
                <w:rFonts w:cs="Arial"/>
                <w:sz w:val="24"/>
                <w:szCs w:val="24"/>
              </w:rPr>
            </w:pPr>
            <w:r w:rsidRPr="00B06C2F">
              <w:rPr>
                <w:rFonts w:cs="Arial"/>
                <w:sz w:val="24"/>
                <w:szCs w:val="24"/>
              </w:rPr>
              <w:t>0.19</w:t>
            </w:r>
          </w:p>
        </w:tc>
        <w:tc>
          <w:tcPr>
            <w:tcW w:w="810" w:type="dxa"/>
            <w:vAlign w:val="center"/>
          </w:tcPr>
          <w:p w14:paraId="19CE6D7B" w14:textId="59A9765F" w:rsidR="001542FD" w:rsidRPr="00B06C2F" w:rsidRDefault="001542FD" w:rsidP="003105EC">
            <w:pPr>
              <w:jc w:val="right"/>
              <w:textAlignment w:val="baseline"/>
              <w:rPr>
                <w:rFonts w:cs="Arial"/>
                <w:sz w:val="24"/>
                <w:szCs w:val="24"/>
              </w:rPr>
            </w:pPr>
            <w:r w:rsidRPr="00B06C2F">
              <w:rPr>
                <w:rFonts w:cs="Arial"/>
                <w:sz w:val="24"/>
                <w:szCs w:val="24"/>
              </w:rPr>
              <w:t>0.20</w:t>
            </w:r>
          </w:p>
        </w:tc>
        <w:tc>
          <w:tcPr>
            <w:tcW w:w="810" w:type="dxa"/>
            <w:vAlign w:val="center"/>
          </w:tcPr>
          <w:p w14:paraId="1F4ACC05" w14:textId="552F00F0" w:rsidR="001542FD" w:rsidRPr="00B06C2F" w:rsidRDefault="001542FD" w:rsidP="003105EC">
            <w:pPr>
              <w:jc w:val="right"/>
              <w:textAlignment w:val="baseline"/>
              <w:rPr>
                <w:rFonts w:cs="Arial"/>
                <w:sz w:val="24"/>
                <w:szCs w:val="24"/>
              </w:rPr>
            </w:pPr>
            <w:r w:rsidRPr="00B06C2F">
              <w:rPr>
                <w:rFonts w:cs="Arial"/>
                <w:color w:val="000000" w:themeColor="text1"/>
                <w:sz w:val="24"/>
                <w:szCs w:val="24"/>
              </w:rPr>
              <w:t>0.19</w:t>
            </w:r>
          </w:p>
        </w:tc>
        <w:tc>
          <w:tcPr>
            <w:tcW w:w="810" w:type="dxa"/>
            <w:shd w:val="clear" w:color="auto" w:fill="auto"/>
            <w:vAlign w:val="center"/>
          </w:tcPr>
          <w:p w14:paraId="1D348293" w14:textId="27960EB0" w:rsidR="001542FD" w:rsidRPr="00B06C2F" w:rsidRDefault="001542FD" w:rsidP="003105EC">
            <w:pPr>
              <w:jc w:val="right"/>
              <w:textAlignment w:val="baseline"/>
              <w:rPr>
                <w:rFonts w:cs="Arial"/>
                <w:color w:val="000000" w:themeColor="text1"/>
                <w:sz w:val="24"/>
                <w:szCs w:val="24"/>
              </w:rPr>
            </w:pPr>
            <w:r w:rsidRPr="00B06C2F">
              <w:rPr>
                <w:rFonts w:cs="Arial"/>
                <w:color w:val="000000"/>
                <w:sz w:val="24"/>
                <w:szCs w:val="24"/>
              </w:rPr>
              <w:t>0.21</w:t>
            </w:r>
          </w:p>
        </w:tc>
      </w:tr>
      <w:tr w:rsidR="003105EC" w:rsidRPr="00B06C2F" w14:paraId="243B24DE" w14:textId="02821075" w:rsidTr="00EF3F64">
        <w:trPr>
          <w:cantSplit/>
          <w:tblHeader/>
        </w:trPr>
        <w:tc>
          <w:tcPr>
            <w:tcW w:w="1260" w:type="dxa"/>
            <w:vAlign w:val="center"/>
          </w:tcPr>
          <w:p w14:paraId="7028D676" w14:textId="4B602EC0"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Filipino</w:t>
            </w:r>
          </w:p>
        </w:tc>
        <w:tc>
          <w:tcPr>
            <w:tcW w:w="1260" w:type="dxa"/>
            <w:vAlign w:val="center"/>
          </w:tcPr>
          <w:p w14:paraId="69B86905" w14:textId="086E7AF5"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2.44%</w:t>
            </w:r>
          </w:p>
        </w:tc>
        <w:tc>
          <w:tcPr>
            <w:tcW w:w="1260" w:type="dxa"/>
            <w:vAlign w:val="center"/>
          </w:tcPr>
          <w:p w14:paraId="62A1E445" w14:textId="0743DCA5"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0.78%</w:t>
            </w:r>
          </w:p>
        </w:tc>
        <w:tc>
          <w:tcPr>
            <w:tcW w:w="1260" w:type="dxa"/>
            <w:vAlign w:val="center"/>
          </w:tcPr>
          <w:p w14:paraId="77BF03C7" w14:textId="5174572B"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2.42%</w:t>
            </w:r>
          </w:p>
        </w:tc>
        <w:tc>
          <w:tcPr>
            <w:tcW w:w="1260" w:type="dxa"/>
            <w:vAlign w:val="center"/>
          </w:tcPr>
          <w:p w14:paraId="7600EBE4" w14:textId="7740F36B"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0.78%</w:t>
            </w:r>
          </w:p>
        </w:tc>
        <w:tc>
          <w:tcPr>
            <w:tcW w:w="1260" w:type="dxa"/>
            <w:vAlign w:val="center"/>
          </w:tcPr>
          <w:p w14:paraId="1C667ABF" w14:textId="11C7582B" w:rsidR="001542FD" w:rsidRPr="00B06C2F" w:rsidRDefault="001542FD" w:rsidP="003105EC">
            <w:pPr>
              <w:jc w:val="right"/>
              <w:textAlignment w:val="baseline"/>
              <w:rPr>
                <w:rFonts w:cs="Arial"/>
                <w:sz w:val="24"/>
                <w:szCs w:val="24"/>
              </w:rPr>
            </w:pPr>
            <w:r w:rsidRPr="00B06C2F">
              <w:rPr>
                <w:rFonts w:cs="Arial"/>
                <w:color w:val="000000"/>
                <w:sz w:val="24"/>
                <w:szCs w:val="24"/>
              </w:rPr>
              <w:t>2.38%</w:t>
            </w:r>
          </w:p>
        </w:tc>
        <w:tc>
          <w:tcPr>
            <w:tcW w:w="1260" w:type="dxa"/>
            <w:shd w:val="clear" w:color="auto" w:fill="auto"/>
            <w:vAlign w:val="center"/>
          </w:tcPr>
          <w:p w14:paraId="227FC10A" w14:textId="278E2CAF" w:rsidR="001542FD" w:rsidRPr="00B06C2F" w:rsidRDefault="001542FD" w:rsidP="003105EC">
            <w:pPr>
              <w:jc w:val="right"/>
              <w:textAlignment w:val="baseline"/>
              <w:rPr>
                <w:rFonts w:cs="Arial"/>
                <w:sz w:val="24"/>
                <w:szCs w:val="24"/>
              </w:rPr>
            </w:pPr>
            <w:r w:rsidRPr="00B06C2F">
              <w:rPr>
                <w:rFonts w:cs="Arial"/>
                <w:color w:val="000000"/>
                <w:sz w:val="24"/>
                <w:szCs w:val="24"/>
              </w:rPr>
              <w:t>0.82%</w:t>
            </w:r>
          </w:p>
        </w:tc>
        <w:tc>
          <w:tcPr>
            <w:tcW w:w="1260" w:type="dxa"/>
            <w:shd w:val="clear" w:color="auto" w:fill="auto"/>
            <w:vAlign w:val="center"/>
          </w:tcPr>
          <w:p w14:paraId="7DF5E13B" w14:textId="1CD87B43"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2.38%</w:t>
            </w:r>
          </w:p>
        </w:tc>
        <w:tc>
          <w:tcPr>
            <w:tcW w:w="1260" w:type="dxa"/>
            <w:shd w:val="clear" w:color="auto" w:fill="auto"/>
            <w:vAlign w:val="center"/>
          </w:tcPr>
          <w:p w14:paraId="1682562B" w14:textId="01AA9F94" w:rsidR="001542FD" w:rsidRPr="00B06C2F" w:rsidRDefault="001542FD" w:rsidP="003105EC">
            <w:pPr>
              <w:jc w:val="right"/>
              <w:textAlignment w:val="baseline"/>
              <w:rPr>
                <w:rFonts w:cs="Arial"/>
                <w:sz w:val="24"/>
                <w:szCs w:val="24"/>
              </w:rPr>
            </w:pPr>
            <w:r w:rsidRPr="00B06C2F">
              <w:rPr>
                <w:rFonts w:cs="Arial"/>
                <w:color w:val="000000"/>
                <w:sz w:val="24"/>
                <w:szCs w:val="24"/>
              </w:rPr>
              <w:t>0.96%</w:t>
            </w:r>
          </w:p>
        </w:tc>
        <w:tc>
          <w:tcPr>
            <w:tcW w:w="810" w:type="dxa"/>
            <w:shd w:val="clear" w:color="auto" w:fill="auto"/>
            <w:vAlign w:val="center"/>
          </w:tcPr>
          <w:p w14:paraId="1A1D5355" w14:textId="1454FEDB" w:rsidR="001542FD" w:rsidRPr="00B06C2F" w:rsidRDefault="001542FD" w:rsidP="003105EC">
            <w:pPr>
              <w:jc w:val="right"/>
              <w:textAlignment w:val="baseline"/>
              <w:rPr>
                <w:rFonts w:cs="Arial"/>
                <w:sz w:val="24"/>
                <w:szCs w:val="24"/>
              </w:rPr>
            </w:pPr>
            <w:r w:rsidRPr="00B06C2F">
              <w:rPr>
                <w:rFonts w:cs="Arial"/>
                <w:sz w:val="24"/>
                <w:szCs w:val="24"/>
              </w:rPr>
              <w:t>0.32</w:t>
            </w:r>
          </w:p>
        </w:tc>
        <w:tc>
          <w:tcPr>
            <w:tcW w:w="810" w:type="dxa"/>
            <w:vAlign w:val="center"/>
          </w:tcPr>
          <w:p w14:paraId="7212AE48" w14:textId="1BC1E3C3" w:rsidR="001542FD" w:rsidRPr="00B06C2F" w:rsidRDefault="001542FD" w:rsidP="003105EC">
            <w:pPr>
              <w:jc w:val="right"/>
              <w:textAlignment w:val="baseline"/>
              <w:rPr>
                <w:rFonts w:cs="Arial"/>
                <w:sz w:val="24"/>
                <w:szCs w:val="24"/>
              </w:rPr>
            </w:pPr>
            <w:r w:rsidRPr="00B06C2F">
              <w:rPr>
                <w:rFonts w:cs="Arial"/>
                <w:sz w:val="24"/>
                <w:szCs w:val="24"/>
              </w:rPr>
              <w:t>0.32</w:t>
            </w:r>
          </w:p>
        </w:tc>
        <w:tc>
          <w:tcPr>
            <w:tcW w:w="810" w:type="dxa"/>
            <w:vAlign w:val="center"/>
          </w:tcPr>
          <w:p w14:paraId="51B4E828" w14:textId="784B7F43" w:rsidR="001542FD" w:rsidRPr="00B06C2F" w:rsidRDefault="001542FD" w:rsidP="003105EC">
            <w:pPr>
              <w:jc w:val="right"/>
              <w:textAlignment w:val="baseline"/>
              <w:rPr>
                <w:rFonts w:cs="Arial"/>
                <w:sz w:val="24"/>
                <w:szCs w:val="24"/>
              </w:rPr>
            </w:pPr>
            <w:r w:rsidRPr="00B06C2F">
              <w:rPr>
                <w:rFonts w:cs="Arial"/>
                <w:color w:val="000000" w:themeColor="text1"/>
                <w:sz w:val="24"/>
                <w:szCs w:val="24"/>
              </w:rPr>
              <w:t>0.34</w:t>
            </w:r>
          </w:p>
        </w:tc>
        <w:tc>
          <w:tcPr>
            <w:tcW w:w="810" w:type="dxa"/>
            <w:shd w:val="clear" w:color="auto" w:fill="auto"/>
            <w:vAlign w:val="center"/>
          </w:tcPr>
          <w:p w14:paraId="52BDFDD1" w14:textId="42BE30FB" w:rsidR="001542FD" w:rsidRPr="00B06C2F" w:rsidRDefault="001542FD" w:rsidP="003105EC">
            <w:pPr>
              <w:jc w:val="right"/>
              <w:textAlignment w:val="baseline"/>
              <w:rPr>
                <w:rFonts w:cs="Arial"/>
                <w:color w:val="000000" w:themeColor="text1"/>
                <w:sz w:val="24"/>
                <w:szCs w:val="24"/>
              </w:rPr>
            </w:pPr>
            <w:r w:rsidRPr="00B06C2F">
              <w:rPr>
                <w:rFonts w:cs="Arial"/>
                <w:color w:val="000000"/>
                <w:sz w:val="24"/>
                <w:szCs w:val="24"/>
              </w:rPr>
              <w:t>0.41</w:t>
            </w:r>
          </w:p>
        </w:tc>
      </w:tr>
      <w:tr w:rsidR="003105EC" w:rsidRPr="00B06C2F" w14:paraId="1404847D" w14:textId="5DBF264D" w:rsidTr="00EF3F64">
        <w:trPr>
          <w:cantSplit/>
          <w:tblHeader/>
        </w:trPr>
        <w:tc>
          <w:tcPr>
            <w:tcW w:w="1260" w:type="dxa"/>
            <w:vAlign w:val="center"/>
          </w:tcPr>
          <w:p w14:paraId="0C02266D" w14:textId="43EE5870"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Hispanic or Latino</w:t>
            </w:r>
          </w:p>
        </w:tc>
        <w:tc>
          <w:tcPr>
            <w:tcW w:w="1260" w:type="dxa"/>
            <w:vAlign w:val="center"/>
          </w:tcPr>
          <w:p w14:paraId="4988EBE7" w14:textId="73AB29C6"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54.28%</w:t>
            </w:r>
          </w:p>
        </w:tc>
        <w:tc>
          <w:tcPr>
            <w:tcW w:w="1260" w:type="dxa"/>
            <w:vAlign w:val="center"/>
          </w:tcPr>
          <w:p w14:paraId="24CEE1A0" w14:textId="035E1BDD"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65.18%</w:t>
            </w:r>
          </w:p>
        </w:tc>
        <w:tc>
          <w:tcPr>
            <w:tcW w:w="1260" w:type="dxa"/>
            <w:vAlign w:val="center"/>
          </w:tcPr>
          <w:p w14:paraId="2FB26F66" w14:textId="4C5F9DC3"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54.60%</w:t>
            </w:r>
          </w:p>
        </w:tc>
        <w:tc>
          <w:tcPr>
            <w:tcW w:w="1260" w:type="dxa"/>
            <w:vAlign w:val="center"/>
          </w:tcPr>
          <w:p w14:paraId="6B685F57" w14:textId="0B342FB0"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64.70%</w:t>
            </w:r>
          </w:p>
        </w:tc>
        <w:tc>
          <w:tcPr>
            <w:tcW w:w="1260" w:type="dxa"/>
            <w:vAlign w:val="center"/>
          </w:tcPr>
          <w:p w14:paraId="1E1E6ACB" w14:textId="6C16315A" w:rsidR="001542FD" w:rsidRPr="00B06C2F" w:rsidRDefault="001542FD" w:rsidP="003105EC">
            <w:pPr>
              <w:jc w:val="right"/>
              <w:textAlignment w:val="baseline"/>
              <w:rPr>
                <w:rFonts w:cs="Arial"/>
                <w:sz w:val="24"/>
                <w:szCs w:val="24"/>
              </w:rPr>
            </w:pPr>
            <w:r w:rsidRPr="00B06C2F">
              <w:rPr>
                <w:rFonts w:cs="Arial"/>
                <w:color w:val="000000"/>
                <w:sz w:val="24"/>
                <w:szCs w:val="24"/>
              </w:rPr>
              <w:t>54.86%</w:t>
            </w:r>
          </w:p>
        </w:tc>
        <w:tc>
          <w:tcPr>
            <w:tcW w:w="1260" w:type="dxa"/>
            <w:shd w:val="clear" w:color="auto" w:fill="auto"/>
            <w:vAlign w:val="center"/>
          </w:tcPr>
          <w:p w14:paraId="0FF3ADAA" w14:textId="2A702F4D" w:rsidR="001542FD" w:rsidRPr="00B06C2F" w:rsidRDefault="001542FD" w:rsidP="003105EC">
            <w:pPr>
              <w:jc w:val="right"/>
              <w:textAlignment w:val="baseline"/>
              <w:rPr>
                <w:rFonts w:cs="Arial"/>
                <w:sz w:val="24"/>
                <w:szCs w:val="24"/>
              </w:rPr>
            </w:pPr>
            <w:r w:rsidRPr="00B06C2F">
              <w:rPr>
                <w:rFonts w:cs="Arial"/>
                <w:color w:val="000000"/>
                <w:sz w:val="24"/>
                <w:szCs w:val="24"/>
              </w:rPr>
              <w:t>68.19%</w:t>
            </w:r>
          </w:p>
        </w:tc>
        <w:tc>
          <w:tcPr>
            <w:tcW w:w="1260" w:type="dxa"/>
            <w:shd w:val="clear" w:color="auto" w:fill="auto"/>
            <w:vAlign w:val="center"/>
          </w:tcPr>
          <w:p w14:paraId="7BC1879D" w14:textId="11D3EDA0"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55.32%</w:t>
            </w:r>
          </w:p>
        </w:tc>
        <w:tc>
          <w:tcPr>
            <w:tcW w:w="1260" w:type="dxa"/>
            <w:shd w:val="clear" w:color="auto" w:fill="auto"/>
            <w:vAlign w:val="center"/>
          </w:tcPr>
          <w:p w14:paraId="5C899762" w14:textId="0A9BBA8C" w:rsidR="001542FD" w:rsidRPr="00B06C2F" w:rsidRDefault="001542FD" w:rsidP="003105EC">
            <w:pPr>
              <w:jc w:val="right"/>
              <w:textAlignment w:val="baseline"/>
              <w:rPr>
                <w:rFonts w:cs="Arial"/>
                <w:sz w:val="24"/>
                <w:szCs w:val="24"/>
              </w:rPr>
            </w:pPr>
            <w:r w:rsidRPr="00B06C2F">
              <w:rPr>
                <w:rFonts w:cs="Arial"/>
                <w:color w:val="000000"/>
                <w:sz w:val="24"/>
                <w:szCs w:val="24"/>
              </w:rPr>
              <w:t>68.38%</w:t>
            </w:r>
          </w:p>
        </w:tc>
        <w:tc>
          <w:tcPr>
            <w:tcW w:w="810" w:type="dxa"/>
            <w:shd w:val="clear" w:color="auto" w:fill="auto"/>
            <w:vAlign w:val="center"/>
          </w:tcPr>
          <w:p w14:paraId="125A03EA" w14:textId="2CD35C24" w:rsidR="001542FD" w:rsidRPr="00B06C2F" w:rsidRDefault="001542FD" w:rsidP="003105EC">
            <w:pPr>
              <w:jc w:val="right"/>
              <w:textAlignment w:val="baseline"/>
              <w:rPr>
                <w:rFonts w:cs="Arial"/>
                <w:sz w:val="24"/>
                <w:szCs w:val="24"/>
              </w:rPr>
            </w:pPr>
            <w:r w:rsidRPr="00B06C2F">
              <w:rPr>
                <w:rFonts w:cs="Arial"/>
                <w:sz w:val="24"/>
                <w:szCs w:val="24"/>
              </w:rPr>
              <w:t>1.20</w:t>
            </w:r>
          </w:p>
        </w:tc>
        <w:tc>
          <w:tcPr>
            <w:tcW w:w="810" w:type="dxa"/>
            <w:vAlign w:val="center"/>
          </w:tcPr>
          <w:p w14:paraId="2254E17B" w14:textId="43828946" w:rsidR="001542FD" w:rsidRPr="00B06C2F" w:rsidRDefault="001542FD" w:rsidP="003105EC">
            <w:pPr>
              <w:jc w:val="right"/>
              <w:textAlignment w:val="baseline"/>
              <w:rPr>
                <w:rFonts w:cs="Arial"/>
                <w:sz w:val="24"/>
                <w:szCs w:val="24"/>
              </w:rPr>
            </w:pPr>
            <w:r w:rsidRPr="00B06C2F">
              <w:rPr>
                <w:rFonts w:cs="Arial"/>
                <w:sz w:val="24"/>
                <w:szCs w:val="24"/>
              </w:rPr>
              <w:t>1.19</w:t>
            </w:r>
          </w:p>
        </w:tc>
        <w:tc>
          <w:tcPr>
            <w:tcW w:w="810" w:type="dxa"/>
            <w:vAlign w:val="center"/>
          </w:tcPr>
          <w:p w14:paraId="2D5AEB60" w14:textId="01D9251D" w:rsidR="001542FD" w:rsidRPr="00B06C2F" w:rsidRDefault="001542FD" w:rsidP="003105EC">
            <w:pPr>
              <w:jc w:val="right"/>
              <w:textAlignment w:val="baseline"/>
              <w:rPr>
                <w:rFonts w:cs="Arial"/>
                <w:sz w:val="24"/>
                <w:szCs w:val="24"/>
              </w:rPr>
            </w:pPr>
            <w:r w:rsidRPr="00B06C2F">
              <w:rPr>
                <w:rFonts w:cs="Arial"/>
                <w:color w:val="000000" w:themeColor="text1"/>
                <w:sz w:val="24"/>
                <w:szCs w:val="24"/>
              </w:rPr>
              <w:t>1.24</w:t>
            </w:r>
          </w:p>
        </w:tc>
        <w:tc>
          <w:tcPr>
            <w:tcW w:w="810" w:type="dxa"/>
            <w:shd w:val="clear" w:color="auto" w:fill="auto"/>
            <w:vAlign w:val="center"/>
          </w:tcPr>
          <w:p w14:paraId="092D2D9F" w14:textId="1569EC1F" w:rsidR="001542FD" w:rsidRPr="00B06C2F" w:rsidRDefault="001542FD" w:rsidP="003105EC">
            <w:pPr>
              <w:jc w:val="right"/>
              <w:textAlignment w:val="baseline"/>
              <w:rPr>
                <w:rFonts w:cs="Arial"/>
                <w:color w:val="000000" w:themeColor="text1"/>
                <w:sz w:val="24"/>
                <w:szCs w:val="24"/>
              </w:rPr>
            </w:pPr>
            <w:r w:rsidRPr="00B06C2F">
              <w:rPr>
                <w:rFonts w:cs="Arial"/>
                <w:color w:val="000000"/>
                <w:sz w:val="24"/>
                <w:szCs w:val="24"/>
              </w:rPr>
              <w:t>1.24</w:t>
            </w:r>
          </w:p>
        </w:tc>
      </w:tr>
      <w:tr w:rsidR="003105EC" w:rsidRPr="00B06C2F" w14:paraId="7F8C3DA3" w14:textId="253BD17B" w:rsidTr="00EF3F64">
        <w:trPr>
          <w:cantSplit/>
          <w:tblHeader/>
        </w:trPr>
        <w:tc>
          <w:tcPr>
            <w:tcW w:w="1260" w:type="dxa"/>
            <w:vAlign w:val="center"/>
          </w:tcPr>
          <w:p w14:paraId="0C5B753F" w14:textId="29C38E9D"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Native Hawaiian or Pacific Islander</w:t>
            </w:r>
          </w:p>
        </w:tc>
        <w:tc>
          <w:tcPr>
            <w:tcW w:w="1260" w:type="dxa"/>
            <w:vAlign w:val="center"/>
          </w:tcPr>
          <w:p w14:paraId="2BADB074" w14:textId="5CD1B21F"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0.46%</w:t>
            </w:r>
          </w:p>
        </w:tc>
        <w:tc>
          <w:tcPr>
            <w:tcW w:w="1260" w:type="dxa"/>
            <w:vAlign w:val="center"/>
          </w:tcPr>
          <w:p w14:paraId="41571F51" w14:textId="0271857B"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0.60%</w:t>
            </w:r>
          </w:p>
        </w:tc>
        <w:tc>
          <w:tcPr>
            <w:tcW w:w="1260" w:type="dxa"/>
            <w:vAlign w:val="center"/>
          </w:tcPr>
          <w:p w14:paraId="465943B6" w14:textId="581A7F26"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0.45%</w:t>
            </w:r>
          </w:p>
        </w:tc>
        <w:tc>
          <w:tcPr>
            <w:tcW w:w="1260" w:type="dxa"/>
            <w:vAlign w:val="center"/>
          </w:tcPr>
          <w:p w14:paraId="69877C6C" w14:textId="0B8CBFE0"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0.54%</w:t>
            </w:r>
          </w:p>
        </w:tc>
        <w:tc>
          <w:tcPr>
            <w:tcW w:w="1260" w:type="dxa"/>
            <w:vAlign w:val="center"/>
          </w:tcPr>
          <w:p w14:paraId="0DBD3D3D" w14:textId="31A9B5DD" w:rsidR="001542FD" w:rsidRPr="00B06C2F" w:rsidRDefault="001542FD" w:rsidP="003105EC">
            <w:pPr>
              <w:jc w:val="right"/>
              <w:textAlignment w:val="baseline"/>
              <w:rPr>
                <w:rFonts w:cs="Arial"/>
                <w:sz w:val="24"/>
                <w:szCs w:val="24"/>
              </w:rPr>
            </w:pPr>
            <w:r w:rsidRPr="00B06C2F">
              <w:rPr>
                <w:rFonts w:cs="Arial"/>
                <w:color w:val="000000"/>
                <w:sz w:val="24"/>
                <w:szCs w:val="24"/>
              </w:rPr>
              <w:t>0.44%</w:t>
            </w:r>
          </w:p>
        </w:tc>
        <w:tc>
          <w:tcPr>
            <w:tcW w:w="1260" w:type="dxa"/>
            <w:shd w:val="clear" w:color="auto" w:fill="auto"/>
            <w:vAlign w:val="center"/>
          </w:tcPr>
          <w:p w14:paraId="2FE30642" w14:textId="56B2AFAF" w:rsidR="001542FD" w:rsidRPr="00B06C2F" w:rsidRDefault="001542FD" w:rsidP="003105EC">
            <w:pPr>
              <w:jc w:val="right"/>
              <w:textAlignment w:val="baseline"/>
              <w:rPr>
                <w:rFonts w:cs="Arial"/>
                <w:sz w:val="24"/>
                <w:szCs w:val="24"/>
              </w:rPr>
            </w:pPr>
            <w:r w:rsidRPr="00B06C2F">
              <w:rPr>
                <w:rFonts w:cs="Arial"/>
                <w:color w:val="000000"/>
                <w:sz w:val="24"/>
                <w:szCs w:val="24"/>
              </w:rPr>
              <w:t>0.49%</w:t>
            </w:r>
          </w:p>
        </w:tc>
        <w:tc>
          <w:tcPr>
            <w:tcW w:w="1260" w:type="dxa"/>
            <w:shd w:val="clear" w:color="auto" w:fill="auto"/>
            <w:vAlign w:val="center"/>
          </w:tcPr>
          <w:p w14:paraId="28399D87" w14:textId="31D62FDE"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0.44%</w:t>
            </w:r>
          </w:p>
        </w:tc>
        <w:tc>
          <w:tcPr>
            <w:tcW w:w="1260" w:type="dxa"/>
            <w:shd w:val="clear" w:color="auto" w:fill="auto"/>
            <w:vAlign w:val="center"/>
          </w:tcPr>
          <w:p w14:paraId="74A2DEEC" w14:textId="09CBECE8" w:rsidR="001542FD" w:rsidRPr="00B06C2F" w:rsidRDefault="001542FD" w:rsidP="003105EC">
            <w:pPr>
              <w:jc w:val="right"/>
              <w:textAlignment w:val="baseline"/>
              <w:rPr>
                <w:rFonts w:cs="Arial"/>
                <w:sz w:val="24"/>
                <w:szCs w:val="24"/>
              </w:rPr>
            </w:pPr>
            <w:r w:rsidRPr="00B06C2F">
              <w:rPr>
                <w:rFonts w:cs="Arial"/>
                <w:color w:val="000000"/>
                <w:sz w:val="24"/>
                <w:szCs w:val="24"/>
              </w:rPr>
              <w:t>0.54%</w:t>
            </w:r>
          </w:p>
        </w:tc>
        <w:tc>
          <w:tcPr>
            <w:tcW w:w="810" w:type="dxa"/>
            <w:shd w:val="clear" w:color="auto" w:fill="auto"/>
            <w:vAlign w:val="center"/>
          </w:tcPr>
          <w:p w14:paraId="7DC669A7" w14:textId="200AA298" w:rsidR="001542FD" w:rsidRPr="00B06C2F" w:rsidRDefault="001542FD" w:rsidP="003105EC">
            <w:pPr>
              <w:jc w:val="right"/>
              <w:textAlignment w:val="baseline"/>
              <w:rPr>
                <w:rFonts w:cs="Arial"/>
                <w:sz w:val="24"/>
                <w:szCs w:val="24"/>
              </w:rPr>
            </w:pPr>
            <w:r w:rsidRPr="00B06C2F">
              <w:rPr>
                <w:rFonts w:cs="Arial"/>
                <w:sz w:val="24"/>
                <w:szCs w:val="24"/>
              </w:rPr>
              <w:t>1.29</w:t>
            </w:r>
          </w:p>
        </w:tc>
        <w:tc>
          <w:tcPr>
            <w:tcW w:w="810" w:type="dxa"/>
            <w:vAlign w:val="center"/>
          </w:tcPr>
          <w:p w14:paraId="2CE88186" w14:textId="683979CA" w:rsidR="001542FD" w:rsidRPr="00B06C2F" w:rsidRDefault="001542FD" w:rsidP="003105EC">
            <w:pPr>
              <w:jc w:val="right"/>
              <w:textAlignment w:val="baseline"/>
              <w:rPr>
                <w:rFonts w:cs="Arial"/>
                <w:sz w:val="24"/>
                <w:szCs w:val="24"/>
              </w:rPr>
            </w:pPr>
            <w:r w:rsidRPr="00B06C2F">
              <w:rPr>
                <w:rFonts w:cs="Arial"/>
                <w:sz w:val="24"/>
                <w:szCs w:val="24"/>
              </w:rPr>
              <w:t>1.19</w:t>
            </w:r>
          </w:p>
        </w:tc>
        <w:tc>
          <w:tcPr>
            <w:tcW w:w="810" w:type="dxa"/>
            <w:vAlign w:val="center"/>
          </w:tcPr>
          <w:p w14:paraId="6EBDB9C2" w14:textId="77777777" w:rsidR="001542FD" w:rsidRPr="00B06C2F" w:rsidRDefault="001542FD" w:rsidP="003105EC">
            <w:pPr>
              <w:jc w:val="right"/>
              <w:textAlignment w:val="baseline"/>
              <w:rPr>
                <w:rFonts w:cs="Arial"/>
                <w:sz w:val="24"/>
                <w:szCs w:val="24"/>
              </w:rPr>
            </w:pPr>
            <w:r w:rsidRPr="00B06C2F">
              <w:rPr>
                <w:rFonts w:cs="Arial"/>
                <w:sz w:val="24"/>
                <w:szCs w:val="24"/>
              </w:rPr>
              <w:t>1.11</w:t>
            </w:r>
          </w:p>
        </w:tc>
        <w:tc>
          <w:tcPr>
            <w:tcW w:w="810" w:type="dxa"/>
            <w:shd w:val="clear" w:color="auto" w:fill="auto"/>
            <w:vAlign w:val="center"/>
          </w:tcPr>
          <w:p w14:paraId="02E00F50" w14:textId="1B941A0F" w:rsidR="001542FD" w:rsidRPr="00B06C2F" w:rsidRDefault="001542FD" w:rsidP="003105EC">
            <w:pPr>
              <w:jc w:val="right"/>
              <w:textAlignment w:val="baseline"/>
              <w:rPr>
                <w:rFonts w:cs="Arial"/>
                <w:sz w:val="24"/>
                <w:szCs w:val="24"/>
              </w:rPr>
            </w:pPr>
            <w:r w:rsidRPr="00B06C2F">
              <w:rPr>
                <w:rFonts w:cs="Arial"/>
                <w:color w:val="000000"/>
                <w:sz w:val="24"/>
                <w:szCs w:val="24"/>
              </w:rPr>
              <w:t>1.24</w:t>
            </w:r>
          </w:p>
        </w:tc>
      </w:tr>
      <w:tr w:rsidR="003105EC" w:rsidRPr="00B06C2F" w14:paraId="66453DA3" w14:textId="68B8294E" w:rsidTr="00EF3F64">
        <w:trPr>
          <w:cantSplit/>
          <w:tblHeader/>
        </w:trPr>
        <w:tc>
          <w:tcPr>
            <w:tcW w:w="1260" w:type="dxa"/>
            <w:vAlign w:val="center"/>
          </w:tcPr>
          <w:p w14:paraId="4225814A" w14:textId="4E42F347" w:rsidR="001542FD" w:rsidRPr="00B06C2F" w:rsidRDefault="001542FD" w:rsidP="00A43A0B">
            <w:pPr>
              <w:textAlignment w:val="baseline"/>
              <w:rPr>
                <w:rFonts w:cs="Arial"/>
                <w:sz w:val="24"/>
                <w:szCs w:val="24"/>
              </w:rPr>
            </w:pPr>
            <w:r w:rsidRPr="00B06C2F">
              <w:rPr>
                <w:rFonts w:cs="Arial"/>
                <w:color w:val="000000"/>
                <w:sz w:val="24"/>
                <w:szCs w:val="24"/>
                <w:shd w:val="clear" w:color="auto" w:fill="FFFFFF"/>
              </w:rPr>
              <w:t>White</w:t>
            </w:r>
          </w:p>
        </w:tc>
        <w:tc>
          <w:tcPr>
            <w:tcW w:w="1260" w:type="dxa"/>
            <w:vAlign w:val="center"/>
          </w:tcPr>
          <w:p w14:paraId="33DDBD17" w14:textId="530C68C6"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23.19%</w:t>
            </w:r>
          </w:p>
        </w:tc>
        <w:tc>
          <w:tcPr>
            <w:tcW w:w="1260" w:type="dxa"/>
            <w:vAlign w:val="center"/>
          </w:tcPr>
          <w:p w14:paraId="5CABE096" w14:textId="1E1C5FAE"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16.60%</w:t>
            </w:r>
          </w:p>
        </w:tc>
        <w:tc>
          <w:tcPr>
            <w:tcW w:w="1260" w:type="dxa"/>
            <w:vAlign w:val="center"/>
          </w:tcPr>
          <w:p w14:paraId="48D3D466" w14:textId="418F5154"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22.91%</w:t>
            </w:r>
          </w:p>
        </w:tc>
        <w:tc>
          <w:tcPr>
            <w:tcW w:w="1260" w:type="dxa"/>
            <w:vAlign w:val="center"/>
          </w:tcPr>
          <w:p w14:paraId="01883B34" w14:textId="322FE96B" w:rsidR="001542FD" w:rsidRPr="00B06C2F" w:rsidRDefault="001542FD" w:rsidP="003105EC">
            <w:pPr>
              <w:jc w:val="right"/>
              <w:textAlignment w:val="baseline"/>
              <w:rPr>
                <w:rFonts w:cs="Arial"/>
                <w:sz w:val="24"/>
                <w:szCs w:val="24"/>
              </w:rPr>
            </w:pPr>
            <w:r w:rsidRPr="00B06C2F">
              <w:rPr>
                <w:rFonts w:cs="Arial"/>
                <w:color w:val="000000"/>
                <w:sz w:val="24"/>
                <w:szCs w:val="24"/>
                <w:shd w:val="clear" w:color="auto" w:fill="FFFFFF"/>
              </w:rPr>
              <w:t>15.92%</w:t>
            </w:r>
          </w:p>
        </w:tc>
        <w:tc>
          <w:tcPr>
            <w:tcW w:w="1260" w:type="dxa"/>
            <w:vAlign w:val="center"/>
          </w:tcPr>
          <w:p w14:paraId="6253EDD0" w14:textId="731A88E8" w:rsidR="001542FD" w:rsidRPr="00B06C2F" w:rsidRDefault="001542FD" w:rsidP="003105EC">
            <w:pPr>
              <w:jc w:val="right"/>
              <w:textAlignment w:val="baseline"/>
              <w:rPr>
                <w:rFonts w:cs="Arial"/>
                <w:sz w:val="24"/>
                <w:szCs w:val="24"/>
              </w:rPr>
            </w:pPr>
            <w:r w:rsidRPr="00B06C2F">
              <w:rPr>
                <w:rFonts w:cs="Arial"/>
                <w:color w:val="000000"/>
                <w:sz w:val="24"/>
                <w:szCs w:val="24"/>
              </w:rPr>
              <w:t>22.42%</w:t>
            </w:r>
          </w:p>
        </w:tc>
        <w:tc>
          <w:tcPr>
            <w:tcW w:w="1260" w:type="dxa"/>
            <w:shd w:val="clear" w:color="auto" w:fill="auto"/>
            <w:vAlign w:val="center"/>
          </w:tcPr>
          <w:p w14:paraId="48D7400C" w14:textId="5C0320B8" w:rsidR="001542FD" w:rsidRPr="00B06C2F" w:rsidRDefault="001542FD" w:rsidP="003105EC">
            <w:pPr>
              <w:jc w:val="right"/>
              <w:textAlignment w:val="baseline"/>
              <w:rPr>
                <w:rFonts w:cs="Arial"/>
                <w:sz w:val="24"/>
                <w:szCs w:val="24"/>
              </w:rPr>
            </w:pPr>
            <w:r w:rsidRPr="00B06C2F">
              <w:rPr>
                <w:rFonts w:cs="Arial"/>
                <w:color w:val="000000"/>
                <w:sz w:val="24"/>
                <w:szCs w:val="24"/>
              </w:rPr>
              <w:t>14.69%</w:t>
            </w:r>
          </w:p>
        </w:tc>
        <w:tc>
          <w:tcPr>
            <w:tcW w:w="1260" w:type="dxa"/>
            <w:shd w:val="clear" w:color="auto" w:fill="auto"/>
            <w:vAlign w:val="center"/>
          </w:tcPr>
          <w:p w14:paraId="1C59866E" w14:textId="2577827D"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21.74%</w:t>
            </w:r>
          </w:p>
        </w:tc>
        <w:tc>
          <w:tcPr>
            <w:tcW w:w="1260" w:type="dxa"/>
            <w:shd w:val="clear" w:color="auto" w:fill="auto"/>
            <w:vAlign w:val="center"/>
          </w:tcPr>
          <w:p w14:paraId="1951CE3C" w14:textId="5A33A218" w:rsidR="001542FD" w:rsidRPr="00B06C2F" w:rsidRDefault="001542FD" w:rsidP="003105EC">
            <w:pPr>
              <w:jc w:val="right"/>
              <w:textAlignment w:val="baseline"/>
              <w:rPr>
                <w:rFonts w:cs="Arial"/>
                <w:sz w:val="24"/>
                <w:szCs w:val="24"/>
              </w:rPr>
            </w:pPr>
            <w:r w:rsidRPr="00B06C2F">
              <w:rPr>
                <w:rFonts w:cs="Arial"/>
                <w:color w:val="000000"/>
                <w:sz w:val="24"/>
                <w:szCs w:val="24"/>
              </w:rPr>
              <w:t>16.91%</w:t>
            </w:r>
          </w:p>
        </w:tc>
        <w:tc>
          <w:tcPr>
            <w:tcW w:w="810" w:type="dxa"/>
            <w:shd w:val="clear" w:color="auto" w:fill="auto"/>
            <w:vAlign w:val="center"/>
          </w:tcPr>
          <w:p w14:paraId="04C0D87E" w14:textId="7F0B172B" w:rsidR="001542FD" w:rsidRPr="00B06C2F" w:rsidRDefault="001542FD" w:rsidP="003105EC">
            <w:pPr>
              <w:jc w:val="right"/>
              <w:textAlignment w:val="baseline"/>
              <w:rPr>
                <w:rFonts w:cs="Arial"/>
                <w:sz w:val="24"/>
                <w:szCs w:val="24"/>
              </w:rPr>
            </w:pPr>
            <w:r w:rsidRPr="00B06C2F">
              <w:rPr>
                <w:rFonts w:cs="Arial"/>
                <w:sz w:val="24"/>
                <w:szCs w:val="24"/>
              </w:rPr>
              <w:t>0.72</w:t>
            </w:r>
          </w:p>
        </w:tc>
        <w:tc>
          <w:tcPr>
            <w:tcW w:w="810" w:type="dxa"/>
            <w:vAlign w:val="center"/>
          </w:tcPr>
          <w:p w14:paraId="753DFBDD" w14:textId="6784D523" w:rsidR="001542FD" w:rsidRPr="00B06C2F" w:rsidRDefault="001542FD" w:rsidP="003105EC">
            <w:pPr>
              <w:jc w:val="right"/>
              <w:textAlignment w:val="baseline"/>
              <w:rPr>
                <w:rFonts w:cs="Arial"/>
                <w:sz w:val="24"/>
                <w:szCs w:val="24"/>
              </w:rPr>
            </w:pPr>
            <w:r w:rsidRPr="00B06C2F">
              <w:rPr>
                <w:rFonts w:cs="Arial"/>
                <w:sz w:val="24"/>
                <w:szCs w:val="24"/>
              </w:rPr>
              <w:t>0.69</w:t>
            </w:r>
          </w:p>
        </w:tc>
        <w:tc>
          <w:tcPr>
            <w:tcW w:w="810" w:type="dxa"/>
            <w:vAlign w:val="center"/>
          </w:tcPr>
          <w:p w14:paraId="65F43FEC" w14:textId="6DF19E1E" w:rsidR="001542FD" w:rsidRPr="00B06C2F" w:rsidRDefault="001542FD" w:rsidP="003105EC">
            <w:pPr>
              <w:jc w:val="right"/>
              <w:textAlignment w:val="baseline"/>
              <w:rPr>
                <w:rFonts w:cs="Arial"/>
                <w:sz w:val="24"/>
                <w:szCs w:val="24"/>
              </w:rPr>
            </w:pPr>
            <w:r w:rsidRPr="00B06C2F">
              <w:rPr>
                <w:rFonts w:cs="Arial"/>
                <w:color w:val="000000"/>
                <w:sz w:val="24"/>
                <w:szCs w:val="24"/>
              </w:rPr>
              <w:t>0.66</w:t>
            </w:r>
          </w:p>
        </w:tc>
        <w:tc>
          <w:tcPr>
            <w:tcW w:w="810" w:type="dxa"/>
            <w:shd w:val="clear" w:color="auto" w:fill="auto"/>
            <w:vAlign w:val="center"/>
          </w:tcPr>
          <w:p w14:paraId="7C158CD8" w14:textId="1BB87F27" w:rsidR="001542FD" w:rsidRPr="00B06C2F" w:rsidRDefault="001542FD" w:rsidP="003105EC">
            <w:pPr>
              <w:jc w:val="right"/>
              <w:textAlignment w:val="baseline"/>
              <w:rPr>
                <w:rFonts w:cs="Arial"/>
                <w:color w:val="000000"/>
                <w:sz w:val="24"/>
                <w:szCs w:val="24"/>
              </w:rPr>
            </w:pPr>
            <w:r w:rsidRPr="00B06C2F">
              <w:rPr>
                <w:rFonts w:cs="Arial"/>
                <w:color w:val="000000"/>
                <w:sz w:val="24"/>
                <w:szCs w:val="24"/>
              </w:rPr>
              <w:t>0.78</w:t>
            </w:r>
          </w:p>
        </w:tc>
      </w:tr>
      <w:tr w:rsidR="003105EC" w:rsidRPr="00B06C2F" w14:paraId="11AF9814" w14:textId="77777777" w:rsidTr="00EF3F64">
        <w:trPr>
          <w:cantSplit/>
          <w:tblHeader/>
        </w:trPr>
        <w:tc>
          <w:tcPr>
            <w:tcW w:w="1260" w:type="dxa"/>
            <w:vAlign w:val="center"/>
          </w:tcPr>
          <w:p w14:paraId="66484CE4" w14:textId="70B99292" w:rsidR="007D1896" w:rsidRPr="00B06C2F" w:rsidRDefault="007D1896" w:rsidP="00A43A0B">
            <w:pPr>
              <w:textAlignment w:val="baseline"/>
              <w:rPr>
                <w:rFonts w:cs="Arial"/>
                <w:color w:val="000000"/>
                <w:sz w:val="24"/>
                <w:szCs w:val="24"/>
                <w:shd w:val="clear" w:color="auto" w:fill="FFFFFF"/>
              </w:rPr>
            </w:pPr>
            <w:r w:rsidRPr="00B06C2F">
              <w:rPr>
                <w:rFonts w:cs="Arial"/>
                <w:color w:val="000000"/>
                <w:sz w:val="24"/>
                <w:szCs w:val="24"/>
                <w:shd w:val="clear" w:color="auto" w:fill="FFFFFF"/>
              </w:rPr>
              <w:t>Two or More Races</w:t>
            </w:r>
          </w:p>
        </w:tc>
        <w:tc>
          <w:tcPr>
            <w:tcW w:w="1260" w:type="dxa"/>
            <w:vAlign w:val="center"/>
          </w:tcPr>
          <w:p w14:paraId="7EBAC0F5" w14:textId="4FE5BDB3" w:rsidR="007D1896" w:rsidRPr="00B06C2F" w:rsidRDefault="006471A0" w:rsidP="003105EC">
            <w:pPr>
              <w:jc w:val="right"/>
              <w:textAlignment w:val="baseline"/>
              <w:rPr>
                <w:rFonts w:cs="Arial"/>
                <w:color w:val="000000"/>
                <w:sz w:val="24"/>
                <w:szCs w:val="24"/>
                <w:shd w:val="clear" w:color="auto" w:fill="FFFFFF"/>
              </w:rPr>
            </w:pPr>
            <w:r w:rsidRPr="00B06C2F">
              <w:rPr>
                <w:rFonts w:cs="Arial"/>
                <w:color w:val="000000"/>
                <w:sz w:val="24"/>
                <w:szCs w:val="24"/>
                <w:shd w:val="clear" w:color="auto" w:fill="FFFFFF"/>
              </w:rPr>
              <w:t>3.53%</w:t>
            </w:r>
          </w:p>
        </w:tc>
        <w:tc>
          <w:tcPr>
            <w:tcW w:w="1260" w:type="dxa"/>
            <w:vAlign w:val="center"/>
          </w:tcPr>
          <w:p w14:paraId="5D897A0D" w14:textId="3AC804F4" w:rsidR="007D1896" w:rsidRPr="00B06C2F" w:rsidRDefault="007D5AF5" w:rsidP="003105EC">
            <w:pPr>
              <w:jc w:val="right"/>
              <w:textAlignment w:val="baseline"/>
              <w:rPr>
                <w:rFonts w:cs="Arial"/>
                <w:color w:val="000000"/>
                <w:sz w:val="24"/>
                <w:szCs w:val="24"/>
                <w:shd w:val="clear" w:color="auto" w:fill="FFFFFF"/>
              </w:rPr>
            </w:pPr>
            <w:r w:rsidRPr="00B06C2F">
              <w:rPr>
                <w:rFonts w:cs="Arial"/>
                <w:color w:val="000000"/>
                <w:sz w:val="24"/>
                <w:szCs w:val="24"/>
                <w:shd w:val="clear" w:color="auto" w:fill="FFFFFF"/>
              </w:rPr>
              <w:t>2.46%</w:t>
            </w:r>
          </w:p>
        </w:tc>
        <w:tc>
          <w:tcPr>
            <w:tcW w:w="1260" w:type="dxa"/>
            <w:vAlign w:val="center"/>
          </w:tcPr>
          <w:p w14:paraId="7E1C3915" w14:textId="5C6FF340" w:rsidR="007D1896" w:rsidRPr="00B06C2F" w:rsidRDefault="00C273DF" w:rsidP="003105EC">
            <w:pPr>
              <w:jc w:val="right"/>
              <w:textAlignment w:val="baseline"/>
              <w:rPr>
                <w:rFonts w:cs="Arial"/>
                <w:color w:val="000000"/>
                <w:sz w:val="24"/>
                <w:szCs w:val="24"/>
                <w:shd w:val="clear" w:color="auto" w:fill="FFFFFF"/>
              </w:rPr>
            </w:pPr>
            <w:r w:rsidRPr="00B06C2F">
              <w:rPr>
                <w:rFonts w:cs="Arial"/>
                <w:color w:val="000000"/>
                <w:sz w:val="24"/>
                <w:szCs w:val="24"/>
                <w:shd w:val="clear" w:color="auto" w:fill="FFFFFF"/>
              </w:rPr>
              <w:t>3.62%</w:t>
            </w:r>
          </w:p>
        </w:tc>
        <w:tc>
          <w:tcPr>
            <w:tcW w:w="1260" w:type="dxa"/>
            <w:vAlign w:val="center"/>
          </w:tcPr>
          <w:p w14:paraId="1BC6DE35" w14:textId="23F470C6" w:rsidR="007D1896" w:rsidRPr="00B06C2F" w:rsidRDefault="00895197" w:rsidP="003105EC">
            <w:pPr>
              <w:jc w:val="right"/>
              <w:textAlignment w:val="baseline"/>
              <w:rPr>
                <w:rFonts w:cs="Arial"/>
                <w:color w:val="000000"/>
                <w:sz w:val="24"/>
                <w:szCs w:val="24"/>
                <w:shd w:val="clear" w:color="auto" w:fill="FFFFFF"/>
              </w:rPr>
            </w:pPr>
            <w:r w:rsidRPr="00B06C2F">
              <w:rPr>
                <w:rFonts w:cs="Arial"/>
                <w:color w:val="000000"/>
                <w:sz w:val="24"/>
                <w:szCs w:val="24"/>
                <w:shd w:val="clear" w:color="auto" w:fill="FFFFFF"/>
              </w:rPr>
              <w:t>2.45%</w:t>
            </w:r>
          </w:p>
        </w:tc>
        <w:tc>
          <w:tcPr>
            <w:tcW w:w="1260" w:type="dxa"/>
            <w:vAlign w:val="center"/>
          </w:tcPr>
          <w:p w14:paraId="3747493B" w14:textId="50CDB6AC" w:rsidR="007D1896" w:rsidRPr="00B06C2F" w:rsidRDefault="00A35BE5" w:rsidP="003105EC">
            <w:pPr>
              <w:jc w:val="right"/>
              <w:textAlignment w:val="baseline"/>
              <w:rPr>
                <w:rFonts w:cs="Arial"/>
                <w:color w:val="000000"/>
                <w:sz w:val="24"/>
                <w:szCs w:val="24"/>
              </w:rPr>
            </w:pPr>
            <w:r w:rsidRPr="00B06C2F">
              <w:rPr>
                <w:rFonts w:cs="Arial"/>
                <w:color w:val="000000"/>
                <w:sz w:val="24"/>
                <w:szCs w:val="24"/>
              </w:rPr>
              <w:t>3.95%</w:t>
            </w:r>
          </w:p>
        </w:tc>
        <w:tc>
          <w:tcPr>
            <w:tcW w:w="1260" w:type="dxa"/>
            <w:shd w:val="clear" w:color="auto" w:fill="auto"/>
            <w:vAlign w:val="center"/>
          </w:tcPr>
          <w:p w14:paraId="44D13C31" w14:textId="0229D586" w:rsidR="007D1896" w:rsidRPr="00B06C2F" w:rsidRDefault="00895197" w:rsidP="003105EC">
            <w:pPr>
              <w:jc w:val="right"/>
              <w:textAlignment w:val="baseline"/>
              <w:rPr>
                <w:rFonts w:cs="Arial"/>
                <w:color w:val="000000"/>
                <w:sz w:val="24"/>
                <w:szCs w:val="24"/>
              </w:rPr>
            </w:pPr>
            <w:r w:rsidRPr="00B06C2F">
              <w:rPr>
                <w:rFonts w:cs="Arial"/>
                <w:color w:val="000000"/>
                <w:sz w:val="24"/>
                <w:szCs w:val="24"/>
              </w:rPr>
              <w:t>2.84%</w:t>
            </w:r>
          </w:p>
        </w:tc>
        <w:tc>
          <w:tcPr>
            <w:tcW w:w="1260" w:type="dxa"/>
            <w:shd w:val="clear" w:color="auto" w:fill="auto"/>
            <w:vAlign w:val="center"/>
          </w:tcPr>
          <w:p w14:paraId="29FF02E3" w14:textId="7C9F8455" w:rsidR="007D1896" w:rsidRPr="00B06C2F" w:rsidRDefault="00B83086" w:rsidP="003105EC">
            <w:pPr>
              <w:jc w:val="right"/>
              <w:textAlignment w:val="baseline"/>
              <w:rPr>
                <w:rFonts w:cs="Arial"/>
                <w:color w:val="000000"/>
                <w:sz w:val="24"/>
                <w:szCs w:val="24"/>
              </w:rPr>
            </w:pPr>
            <w:r w:rsidRPr="00B06C2F">
              <w:rPr>
                <w:rFonts w:cs="Arial"/>
                <w:color w:val="000000"/>
                <w:sz w:val="24"/>
                <w:szCs w:val="24"/>
              </w:rPr>
              <w:t>4.11%</w:t>
            </w:r>
          </w:p>
        </w:tc>
        <w:tc>
          <w:tcPr>
            <w:tcW w:w="1260" w:type="dxa"/>
            <w:shd w:val="clear" w:color="auto" w:fill="auto"/>
            <w:vAlign w:val="center"/>
          </w:tcPr>
          <w:p w14:paraId="371E8533" w14:textId="2338118E" w:rsidR="007D1896" w:rsidRPr="00B06C2F" w:rsidRDefault="00B83086" w:rsidP="003105EC">
            <w:pPr>
              <w:jc w:val="right"/>
              <w:textAlignment w:val="baseline"/>
              <w:rPr>
                <w:rFonts w:cs="Arial"/>
                <w:color w:val="000000"/>
                <w:sz w:val="24"/>
                <w:szCs w:val="24"/>
              </w:rPr>
            </w:pPr>
            <w:r w:rsidRPr="00B06C2F">
              <w:rPr>
                <w:rFonts w:cs="Arial"/>
                <w:color w:val="000000"/>
                <w:sz w:val="24"/>
                <w:szCs w:val="24"/>
              </w:rPr>
              <w:t>2.84%</w:t>
            </w:r>
          </w:p>
        </w:tc>
        <w:tc>
          <w:tcPr>
            <w:tcW w:w="810" w:type="dxa"/>
            <w:shd w:val="clear" w:color="auto" w:fill="auto"/>
            <w:vAlign w:val="center"/>
          </w:tcPr>
          <w:p w14:paraId="28E8BAFD" w14:textId="7812F07F" w:rsidR="007D1896" w:rsidRPr="00B06C2F" w:rsidRDefault="00450061" w:rsidP="003105EC">
            <w:pPr>
              <w:jc w:val="right"/>
              <w:textAlignment w:val="baseline"/>
              <w:rPr>
                <w:rFonts w:cs="Arial"/>
                <w:sz w:val="24"/>
                <w:szCs w:val="24"/>
              </w:rPr>
            </w:pPr>
            <w:r w:rsidRPr="00B06C2F">
              <w:rPr>
                <w:rFonts w:cs="Arial"/>
                <w:sz w:val="24"/>
                <w:szCs w:val="24"/>
              </w:rPr>
              <w:t>0.70</w:t>
            </w:r>
          </w:p>
        </w:tc>
        <w:tc>
          <w:tcPr>
            <w:tcW w:w="810" w:type="dxa"/>
            <w:vAlign w:val="center"/>
          </w:tcPr>
          <w:p w14:paraId="035A3E00" w14:textId="5F1F4104" w:rsidR="007D1896" w:rsidRPr="00B06C2F" w:rsidRDefault="00450061" w:rsidP="003105EC">
            <w:pPr>
              <w:jc w:val="right"/>
              <w:textAlignment w:val="baseline"/>
              <w:rPr>
                <w:rFonts w:cs="Arial"/>
                <w:sz w:val="24"/>
                <w:szCs w:val="24"/>
              </w:rPr>
            </w:pPr>
            <w:r w:rsidRPr="00B06C2F">
              <w:rPr>
                <w:rFonts w:cs="Arial"/>
                <w:sz w:val="24"/>
                <w:szCs w:val="24"/>
              </w:rPr>
              <w:t>0.68</w:t>
            </w:r>
          </w:p>
        </w:tc>
        <w:tc>
          <w:tcPr>
            <w:tcW w:w="810" w:type="dxa"/>
            <w:vAlign w:val="center"/>
          </w:tcPr>
          <w:p w14:paraId="3809416B" w14:textId="254DC99F" w:rsidR="007D1896" w:rsidRPr="00B06C2F" w:rsidRDefault="00450061" w:rsidP="003105EC">
            <w:pPr>
              <w:jc w:val="right"/>
              <w:textAlignment w:val="baseline"/>
              <w:rPr>
                <w:rFonts w:cs="Arial"/>
                <w:color w:val="000000"/>
                <w:sz w:val="24"/>
                <w:szCs w:val="24"/>
              </w:rPr>
            </w:pPr>
            <w:r w:rsidRPr="00B06C2F">
              <w:rPr>
                <w:rFonts w:cs="Arial"/>
                <w:color w:val="000000"/>
                <w:sz w:val="24"/>
                <w:szCs w:val="24"/>
              </w:rPr>
              <w:t>0.72</w:t>
            </w:r>
          </w:p>
        </w:tc>
        <w:tc>
          <w:tcPr>
            <w:tcW w:w="810" w:type="dxa"/>
            <w:shd w:val="clear" w:color="auto" w:fill="auto"/>
            <w:vAlign w:val="center"/>
          </w:tcPr>
          <w:p w14:paraId="561F8148" w14:textId="4D82FB19" w:rsidR="007D1896" w:rsidRPr="00B06C2F" w:rsidRDefault="00116671" w:rsidP="003105EC">
            <w:pPr>
              <w:jc w:val="right"/>
              <w:textAlignment w:val="baseline"/>
              <w:rPr>
                <w:rFonts w:cs="Arial"/>
                <w:color w:val="000000"/>
                <w:sz w:val="24"/>
                <w:szCs w:val="24"/>
              </w:rPr>
            </w:pPr>
            <w:r w:rsidRPr="00B06C2F">
              <w:rPr>
                <w:rFonts w:cs="Arial"/>
                <w:color w:val="000000"/>
                <w:sz w:val="24"/>
                <w:szCs w:val="24"/>
              </w:rPr>
              <w:t>0.69</w:t>
            </w:r>
          </w:p>
        </w:tc>
      </w:tr>
      <w:tr w:rsidR="003105EC" w:rsidRPr="00B06C2F" w14:paraId="78D791E3" w14:textId="61C946CF" w:rsidTr="00EF3F64">
        <w:trPr>
          <w:cantSplit/>
          <w:tblHeader/>
        </w:trPr>
        <w:tc>
          <w:tcPr>
            <w:tcW w:w="1260" w:type="dxa"/>
            <w:vAlign w:val="center"/>
          </w:tcPr>
          <w:p w14:paraId="095A8E8E" w14:textId="797BC740" w:rsidR="006D3FA3" w:rsidRPr="00B06C2F" w:rsidRDefault="006D3FA3" w:rsidP="00A43A0B">
            <w:pPr>
              <w:textAlignment w:val="baseline"/>
              <w:rPr>
                <w:rFonts w:cs="Arial"/>
                <w:sz w:val="24"/>
                <w:szCs w:val="24"/>
              </w:rPr>
            </w:pPr>
            <w:r w:rsidRPr="00B06C2F">
              <w:rPr>
                <w:rFonts w:cs="Arial"/>
                <w:color w:val="000000"/>
                <w:sz w:val="24"/>
                <w:szCs w:val="24"/>
                <w:shd w:val="clear" w:color="auto" w:fill="FFFFFF"/>
              </w:rPr>
              <w:t>Total</w:t>
            </w:r>
          </w:p>
        </w:tc>
        <w:tc>
          <w:tcPr>
            <w:tcW w:w="1260" w:type="dxa"/>
            <w:vAlign w:val="center"/>
          </w:tcPr>
          <w:p w14:paraId="721B861F" w14:textId="694BCF25" w:rsidR="006D3FA3" w:rsidRPr="00B06C2F" w:rsidRDefault="006D3FA3" w:rsidP="003105EC">
            <w:pPr>
              <w:jc w:val="right"/>
              <w:textAlignment w:val="baseline"/>
              <w:rPr>
                <w:rFonts w:cs="Arial"/>
                <w:sz w:val="24"/>
                <w:szCs w:val="24"/>
              </w:rPr>
            </w:pPr>
            <w:r w:rsidRPr="00B06C2F">
              <w:rPr>
                <w:rFonts w:cs="Arial"/>
                <w:color w:val="000000"/>
                <w:sz w:val="24"/>
                <w:szCs w:val="24"/>
                <w:shd w:val="clear" w:color="auto" w:fill="FFFFFF"/>
              </w:rPr>
              <w:t>100%</w:t>
            </w:r>
          </w:p>
        </w:tc>
        <w:tc>
          <w:tcPr>
            <w:tcW w:w="1260" w:type="dxa"/>
            <w:vAlign w:val="center"/>
          </w:tcPr>
          <w:p w14:paraId="24F5375E" w14:textId="1C56AE29" w:rsidR="006D3FA3" w:rsidRPr="00B06C2F" w:rsidRDefault="006D3FA3" w:rsidP="003105EC">
            <w:pPr>
              <w:jc w:val="right"/>
              <w:textAlignment w:val="baseline"/>
              <w:rPr>
                <w:rFonts w:cs="Arial"/>
                <w:sz w:val="24"/>
                <w:szCs w:val="24"/>
              </w:rPr>
            </w:pPr>
            <w:r w:rsidRPr="00B06C2F">
              <w:rPr>
                <w:rFonts w:cs="Arial"/>
                <w:color w:val="000000"/>
                <w:sz w:val="24"/>
                <w:szCs w:val="24"/>
                <w:shd w:val="clear" w:color="auto" w:fill="FFFFFF"/>
              </w:rPr>
              <w:t>100%</w:t>
            </w:r>
          </w:p>
        </w:tc>
        <w:tc>
          <w:tcPr>
            <w:tcW w:w="1260" w:type="dxa"/>
            <w:vAlign w:val="center"/>
          </w:tcPr>
          <w:p w14:paraId="6E59DE66" w14:textId="44642E11" w:rsidR="006D3FA3" w:rsidRPr="00B06C2F" w:rsidRDefault="006D3FA3" w:rsidP="003105EC">
            <w:pPr>
              <w:jc w:val="right"/>
              <w:textAlignment w:val="baseline"/>
              <w:rPr>
                <w:rFonts w:cs="Arial"/>
                <w:sz w:val="24"/>
                <w:szCs w:val="24"/>
              </w:rPr>
            </w:pPr>
            <w:r w:rsidRPr="00B06C2F">
              <w:rPr>
                <w:rFonts w:cs="Arial"/>
                <w:sz w:val="24"/>
                <w:szCs w:val="24"/>
              </w:rPr>
              <w:t>100%</w:t>
            </w:r>
          </w:p>
        </w:tc>
        <w:tc>
          <w:tcPr>
            <w:tcW w:w="1260" w:type="dxa"/>
            <w:vAlign w:val="center"/>
          </w:tcPr>
          <w:p w14:paraId="08B5D350" w14:textId="52480D7A" w:rsidR="006D3FA3" w:rsidRPr="00B06C2F" w:rsidRDefault="006D3FA3" w:rsidP="003105EC">
            <w:pPr>
              <w:jc w:val="right"/>
              <w:textAlignment w:val="baseline"/>
              <w:rPr>
                <w:rFonts w:cs="Arial"/>
                <w:sz w:val="24"/>
                <w:szCs w:val="24"/>
              </w:rPr>
            </w:pPr>
            <w:r w:rsidRPr="00B06C2F">
              <w:rPr>
                <w:rFonts w:cs="Arial"/>
                <w:sz w:val="24"/>
                <w:szCs w:val="24"/>
              </w:rPr>
              <w:t>100%</w:t>
            </w:r>
          </w:p>
        </w:tc>
        <w:tc>
          <w:tcPr>
            <w:tcW w:w="1260" w:type="dxa"/>
            <w:vAlign w:val="center"/>
          </w:tcPr>
          <w:p w14:paraId="42785909" w14:textId="3139F037" w:rsidR="006D3FA3" w:rsidRPr="00B06C2F" w:rsidRDefault="006D3FA3" w:rsidP="003105EC">
            <w:pPr>
              <w:jc w:val="right"/>
              <w:textAlignment w:val="baseline"/>
              <w:rPr>
                <w:rFonts w:cs="Arial"/>
                <w:sz w:val="24"/>
                <w:szCs w:val="24"/>
              </w:rPr>
            </w:pPr>
            <w:r w:rsidRPr="00B06C2F">
              <w:rPr>
                <w:rFonts w:cs="Arial"/>
                <w:sz w:val="24"/>
                <w:szCs w:val="24"/>
              </w:rPr>
              <w:t>100%</w:t>
            </w:r>
          </w:p>
        </w:tc>
        <w:tc>
          <w:tcPr>
            <w:tcW w:w="1260" w:type="dxa"/>
            <w:shd w:val="clear" w:color="auto" w:fill="auto"/>
            <w:vAlign w:val="center"/>
          </w:tcPr>
          <w:p w14:paraId="1DFC9838" w14:textId="16C1413B" w:rsidR="006D3FA3" w:rsidRPr="00B06C2F" w:rsidRDefault="002D1B46" w:rsidP="003105EC">
            <w:pPr>
              <w:jc w:val="right"/>
              <w:textAlignment w:val="baseline"/>
              <w:rPr>
                <w:rFonts w:cs="Arial"/>
                <w:sz w:val="24"/>
                <w:szCs w:val="24"/>
              </w:rPr>
            </w:pPr>
            <w:r w:rsidRPr="00B06C2F">
              <w:rPr>
                <w:rFonts w:cs="Arial"/>
                <w:sz w:val="24"/>
                <w:szCs w:val="24"/>
              </w:rPr>
              <w:t>100%</w:t>
            </w:r>
          </w:p>
        </w:tc>
        <w:tc>
          <w:tcPr>
            <w:tcW w:w="1260" w:type="dxa"/>
            <w:shd w:val="clear" w:color="auto" w:fill="auto"/>
            <w:vAlign w:val="center"/>
          </w:tcPr>
          <w:p w14:paraId="1D62C971" w14:textId="0EF02058" w:rsidR="006D3FA3" w:rsidRPr="00B06C2F" w:rsidRDefault="002D1B46" w:rsidP="003105EC">
            <w:pPr>
              <w:jc w:val="right"/>
              <w:textAlignment w:val="baseline"/>
              <w:rPr>
                <w:rFonts w:cs="Arial"/>
                <w:sz w:val="24"/>
                <w:szCs w:val="24"/>
              </w:rPr>
            </w:pPr>
            <w:r w:rsidRPr="00B06C2F">
              <w:rPr>
                <w:rFonts w:cs="Arial"/>
                <w:sz w:val="24"/>
                <w:szCs w:val="24"/>
              </w:rPr>
              <w:t>100%</w:t>
            </w:r>
          </w:p>
        </w:tc>
        <w:tc>
          <w:tcPr>
            <w:tcW w:w="1260" w:type="dxa"/>
            <w:shd w:val="clear" w:color="auto" w:fill="auto"/>
            <w:vAlign w:val="center"/>
          </w:tcPr>
          <w:p w14:paraId="262A1097" w14:textId="63B83340" w:rsidR="006D3FA3" w:rsidRPr="00B06C2F" w:rsidRDefault="002D1B46" w:rsidP="003105EC">
            <w:pPr>
              <w:jc w:val="right"/>
              <w:textAlignment w:val="baseline"/>
              <w:rPr>
                <w:rFonts w:cs="Arial"/>
                <w:sz w:val="24"/>
                <w:szCs w:val="24"/>
              </w:rPr>
            </w:pPr>
            <w:r w:rsidRPr="00B06C2F">
              <w:rPr>
                <w:rFonts w:cs="Arial"/>
                <w:sz w:val="24"/>
                <w:szCs w:val="24"/>
              </w:rPr>
              <w:t>100%</w:t>
            </w:r>
          </w:p>
        </w:tc>
        <w:tc>
          <w:tcPr>
            <w:tcW w:w="810" w:type="dxa"/>
            <w:shd w:val="clear" w:color="auto" w:fill="auto"/>
            <w:vAlign w:val="center"/>
          </w:tcPr>
          <w:p w14:paraId="7E687009" w14:textId="72619F52" w:rsidR="006D3FA3" w:rsidRPr="00B06C2F" w:rsidRDefault="006D3FA3" w:rsidP="003105EC">
            <w:pPr>
              <w:jc w:val="right"/>
              <w:textAlignment w:val="baseline"/>
              <w:rPr>
                <w:rFonts w:cs="Arial"/>
                <w:sz w:val="24"/>
                <w:szCs w:val="24"/>
              </w:rPr>
            </w:pPr>
            <w:r w:rsidRPr="00B06C2F">
              <w:rPr>
                <w:rFonts w:cs="Arial"/>
                <w:sz w:val="24"/>
                <w:szCs w:val="24"/>
              </w:rPr>
              <w:t>NA</w:t>
            </w:r>
          </w:p>
        </w:tc>
        <w:tc>
          <w:tcPr>
            <w:tcW w:w="810" w:type="dxa"/>
            <w:vAlign w:val="center"/>
          </w:tcPr>
          <w:p w14:paraId="079F055B" w14:textId="77777777" w:rsidR="006D3FA3" w:rsidRPr="00B06C2F" w:rsidRDefault="006D3FA3" w:rsidP="003105EC">
            <w:pPr>
              <w:jc w:val="right"/>
              <w:textAlignment w:val="baseline"/>
              <w:rPr>
                <w:rFonts w:cs="Arial"/>
                <w:sz w:val="24"/>
                <w:szCs w:val="24"/>
              </w:rPr>
            </w:pPr>
            <w:r w:rsidRPr="00B06C2F">
              <w:rPr>
                <w:rFonts w:cs="Arial"/>
                <w:sz w:val="24"/>
                <w:szCs w:val="24"/>
              </w:rPr>
              <w:t>NA</w:t>
            </w:r>
          </w:p>
        </w:tc>
        <w:tc>
          <w:tcPr>
            <w:tcW w:w="810" w:type="dxa"/>
            <w:vAlign w:val="center"/>
          </w:tcPr>
          <w:p w14:paraId="7A9D1FBD" w14:textId="77777777" w:rsidR="006D3FA3" w:rsidRPr="00B06C2F" w:rsidRDefault="006D3FA3" w:rsidP="003105EC">
            <w:pPr>
              <w:jc w:val="right"/>
              <w:textAlignment w:val="baseline"/>
              <w:rPr>
                <w:rFonts w:cs="Arial"/>
                <w:sz w:val="24"/>
                <w:szCs w:val="24"/>
              </w:rPr>
            </w:pPr>
            <w:r w:rsidRPr="00B06C2F">
              <w:rPr>
                <w:rFonts w:cs="Arial"/>
                <w:sz w:val="24"/>
                <w:szCs w:val="24"/>
              </w:rPr>
              <w:t>NA</w:t>
            </w:r>
          </w:p>
        </w:tc>
        <w:tc>
          <w:tcPr>
            <w:tcW w:w="810" w:type="dxa"/>
            <w:shd w:val="clear" w:color="auto" w:fill="auto"/>
            <w:vAlign w:val="center"/>
          </w:tcPr>
          <w:p w14:paraId="01AE5549" w14:textId="15CFD18A" w:rsidR="006D3FA3" w:rsidRPr="00B06C2F" w:rsidRDefault="002D1B46" w:rsidP="003105EC">
            <w:pPr>
              <w:jc w:val="right"/>
              <w:textAlignment w:val="baseline"/>
              <w:rPr>
                <w:rFonts w:cs="Arial"/>
                <w:sz w:val="24"/>
                <w:szCs w:val="24"/>
              </w:rPr>
            </w:pPr>
            <w:r w:rsidRPr="00B06C2F">
              <w:rPr>
                <w:rFonts w:cs="Arial"/>
                <w:sz w:val="24"/>
                <w:szCs w:val="24"/>
              </w:rPr>
              <w:t>NA</w:t>
            </w:r>
          </w:p>
        </w:tc>
      </w:tr>
    </w:tbl>
    <w:p w14:paraId="6B699379" w14:textId="235D3758" w:rsidR="00B47306" w:rsidRPr="00B06C2F" w:rsidRDefault="000F785A" w:rsidP="00EF3F64">
      <w:pPr>
        <w:spacing w:before="240"/>
        <w:rPr>
          <w:rFonts w:eastAsia="Arial" w:cs="Arial"/>
          <w:color w:val="000000" w:themeColor="text1"/>
        </w:rPr>
      </w:pPr>
      <w:r w:rsidRPr="00B06C2F">
        <w:rPr>
          <w:rFonts w:eastAsia="Arial" w:cs="Arial"/>
          <w:color w:val="000000" w:themeColor="text1"/>
        </w:rPr>
        <w:t>DI = Disproportionality Index</w:t>
      </w:r>
      <w:r w:rsidR="0083561D" w:rsidRPr="00B06C2F">
        <w:rPr>
          <w:rFonts w:eastAsia="Arial" w:cs="Arial"/>
          <w:color w:val="000000" w:themeColor="text1"/>
        </w:rPr>
        <w:t xml:space="preserve">; </w:t>
      </w:r>
      <w:r w:rsidR="002D1B46" w:rsidRPr="00B06C2F">
        <w:rPr>
          <w:rFonts w:eastAsia="Arial" w:cs="Arial"/>
          <w:color w:val="000000" w:themeColor="text1"/>
        </w:rPr>
        <w:t>NA = Not Applicable</w:t>
      </w:r>
    </w:p>
    <w:p w14:paraId="656EA9D6" w14:textId="1A38E1A7" w:rsidR="00B47306" w:rsidRPr="00B06C2F" w:rsidRDefault="00B47306" w:rsidP="000215EE">
      <w:pPr>
        <w:pStyle w:val="Heading4"/>
      </w:pPr>
      <w:r w:rsidRPr="00B06C2F">
        <w:rPr>
          <w:rFonts w:eastAsia="Helvetica"/>
        </w:rPr>
        <w:t xml:space="preserve">Summary of Disproportionality of Race/Ethnicity in </w:t>
      </w:r>
      <w:r w:rsidRPr="00B06C2F">
        <w:t>2017–18, 2018</w:t>
      </w:r>
      <w:r w:rsidRPr="00B06C2F">
        <w:rPr>
          <w:bCs/>
          <w:szCs w:val="22"/>
        </w:rPr>
        <w:t>–</w:t>
      </w:r>
      <w:r w:rsidRPr="00B06C2F">
        <w:t>19, 2019–20</w:t>
      </w:r>
      <w:r w:rsidR="00D71C04" w:rsidRPr="00B06C2F">
        <w:t>, and 2020–21</w:t>
      </w:r>
    </w:p>
    <w:p w14:paraId="58FA312F" w14:textId="0A53E6A6" w:rsidR="00B47306" w:rsidRPr="00B06C2F" w:rsidRDefault="002266C2" w:rsidP="00BE3748">
      <w:pPr>
        <w:spacing w:before="240" w:after="240"/>
        <w:rPr>
          <w:rFonts w:eastAsia="Helvetica" w:cs="Arial"/>
        </w:rPr>
      </w:pPr>
      <w:r w:rsidRPr="00B06C2F">
        <w:rPr>
          <w:rFonts w:eastAsia="Helvetica" w:cs="Arial"/>
        </w:rPr>
        <w:t xml:space="preserve">The </w:t>
      </w:r>
      <w:r w:rsidRPr="00B06C2F">
        <w:rPr>
          <w:rFonts w:cs="Arial"/>
        </w:rPr>
        <w:t>Disproportionality Index reflected in</w:t>
      </w:r>
      <w:r w:rsidRPr="00B06C2F">
        <w:rPr>
          <w:rFonts w:eastAsia="Helvetica" w:cs="Arial"/>
        </w:rPr>
        <w:t xml:space="preserve"> </w:t>
      </w:r>
      <w:r w:rsidR="00B47306" w:rsidRPr="00B06C2F">
        <w:rPr>
          <w:rFonts w:eastAsia="Helvetica" w:cs="Arial"/>
        </w:rPr>
        <w:t xml:space="preserve">Table 4 indicates that </w:t>
      </w:r>
      <w:r w:rsidRPr="00B06C2F">
        <w:rPr>
          <w:rFonts w:eastAsia="Helvetica" w:cs="Arial"/>
        </w:rPr>
        <w:t xml:space="preserve">the </w:t>
      </w:r>
      <w:r w:rsidR="00B47306" w:rsidRPr="00B06C2F">
        <w:rPr>
          <w:rFonts w:eastAsia="Helvetica" w:cs="Arial"/>
        </w:rPr>
        <w:t xml:space="preserve">trends in disproportionality from 2017–18 </w:t>
      </w:r>
      <w:r w:rsidR="00797372" w:rsidRPr="00B06C2F">
        <w:rPr>
          <w:rFonts w:eastAsia="Helvetica" w:cs="Arial"/>
        </w:rPr>
        <w:t xml:space="preserve">has </w:t>
      </w:r>
      <w:r w:rsidR="00B47306" w:rsidRPr="00B06C2F">
        <w:rPr>
          <w:rFonts w:eastAsia="Helvetica" w:cs="Arial"/>
        </w:rPr>
        <w:t>continued into 20</w:t>
      </w:r>
      <w:r w:rsidR="00011401" w:rsidRPr="00B06C2F">
        <w:rPr>
          <w:rFonts w:eastAsia="Helvetica" w:cs="Arial"/>
        </w:rPr>
        <w:t>20</w:t>
      </w:r>
      <w:r w:rsidR="00B47306" w:rsidRPr="00B06C2F">
        <w:rPr>
          <w:rFonts w:eastAsia="Helvetica" w:cs="Arial"/>
        </w:rPr>
        <w:t>–2</w:t>
      </w:r>
      <w:r w:rsidR="00011401" w:rsidRPr="00B06C2F">
        <w:rPr>
          <w:rFonts w:eastAsia="Helvetica" w:cs="Arial"/>
        </w:rPr>
        <w:t>1</w:t>
      </w:r>
      <w:r w:rsidR="00B47306" w:rsidRPr="00B06C2F">
        <w:rPr>
          <w:rFonts w:eastAsia="Helvetica" w:cs="Arial"/>
        </w:rPr>
        <w:t xml:space="preserve"> for all racial a</w:t>
      </w:r>
      <w:r w:rsidR="00450061" w:rsidRPr="00B06C2F">
        <w:rPr>
          <w:rFonts w:eastAsia="Helvetica" w:cs="Arial"/>
        </w:rPr>
        <w:t>n</w:t>
      </w:r>
      <w:r w:rsidR="00B47306" w:rsidRPr="00B06C2F">
        <w:rPr>
          <w:rFonts w:eastAsia="Helvetica" w:cs="Arial"/>
        </w:rPr>
        <w:t>d ethnic student groups</w:t>
      </w:r>
      <w:r w:rsidR="00797372" w:rsidRPr="00B06C2F">
        <w:rPr>
          <w:rFonts w:eastAsia="Helvetica" w:cs="Arial"/>
        </w:rPr>
        <w:t xml:space="preserve">. The only exception is with the </w:t>
      </w:r>
      <w:r w:rsidR="00FE46F5" w:rsidRPr="00B06C2F">
        <w:rPr>
          <w:rFonts w:eastAsia="Helvetica" w:cs="Arial"/>
        </w:rPr>
        <w:t>African American student group</w:t>
      </w:r>
      <w:r w:rsidR="00797372" w:rsidRPr="00B06C2F">
        <w:rPr>
          <w:rFonts w:eastAsia="Helvetica" w:cs="Arial"/>
        </w:rPr>
        <w:t xml:space="preserve"> which had a </w:t>
      </w:r>
      <w:r w:rsidR="00797372" w:rsidRPr="00B06C2F">
        <w:rPr>
          <w:rFonts w:eastAsia="Helvetica" w:cs="Arial"/>
        </w:rPr>
        <w:lastRenderedPageBreak/>
        <w:t xml:space="preserve">decrease in its Disproportionality Index in 2020–21 signifying that these students were less represented in the transfer population compared to the general population. </w:t>
      </w:r>
      <w:r w:rsidR="00B47306" w:rsidRPr="00B06C2F">
        <w:rPr>
          <w:rFonts w:eastAsia="Helvetica" w:cs="Arial"/>
        </w:rPr>
        <w:t xml:space="preserve">Across all </w:t>
      </w:r>
      <w:r w:rsidR="00FE46F5" w:rsidRPr="00B06C2F">
        <w:rPr>
          <w:rFonts w:eastAsia="Helvetica" w:cs="Arial"/>
        </w:rPr>
        <w:t>four</w:t>
      </w:r>
      <w:r w:rsidR="00B47306" w:rsidRPr="00B06C2F">
        <w:rPr>
          <w:rFonts w:eastAsia="Helvetica" w:cs="Arial"/>
        </w:rPr>
        <w:t xml:space="preserve"> years the</w:t>
      </w:r>
      <w:r w:rsidR="00797372" w:rsidRPr="00B06C2F">
        <w:rPr>
          <w:rFonts w:eastAsia="Helvetica" w:cs="Arial"/>
        </w:rPr>
        <w:t>re has been</w:t>
      </w:r>
      <w:r w:rsidR="00B47306" w:rsidRPr="00B06C2F">
        <w:rPr>
          <w:rFonts w:eastAsia="Helvetica" w:cs="Arial"/>
        </w:rPr>
        <w:t>:</w:t>
      </w:r>
    </w:p>
    <w:p w14:paraId="6271C529" w14:textId="13886FBD" w:rsidR="00B47306" w:rsidRPr="00B06C2F" w:rsidRDefault="00B47306" w:rsidP="00BE3748">
      <w:pPr>
        <w:pStyle w:val="ListParagraph"/>
        <w:numPr>
          <w:ilvl w:val="0"/>
          <w:numId w:val="23"/>
        </w:numPr>
        <w:spacing w:after="240"/>
        <w:rPr>
          <w:rFonts w:eastAsia="Helvetica" w:cs="Arial"/>
          <w:szCs w:val="24"/>
        </w:rPr>
      </w:pPr>
      <w:r w:rsidRPr="00B06C2F">
        <w:rPr>
          <w:rFonts w:eastAsia="Helvetica" w:cs="Arial"/>
          <w:szCs w:val="24"/>
        </w:rPr>
        <w:t xml:space="preserve">A disproportionally higher percentage of transfers among African Americans, American Indians/Alaska Natives, Hispanics/Latinos, and Native Hawaiians/Pacific Islanders, </w:t>
      </w:r>
      <w:r w:rsidR="00797372" w:rsidRPr="00B06C2F">
        <w:rPr>
          <w:rFonts w:eastAsia="Helvetica" w:cs="Arial"/>
          <w:szCs w:val="24"/>
        </w:rPr>
        <w:t>and</w:t>
      </w:r>
    </w:p>
    <w:p w14:paraId="27414EFD" w14:textId="77777777" w:rsidR="00B47306" w:rsidRPr="00B06C2F" w:rsidRDefault="00B47306" w:rsidP="00BE3748">
      <w:pPr>
        <w:pStyle w:val="ListParagraph"/>
        <w:numPr>
          <w:ilvl w:val="0"/>
          <w:numId w:val="23"/>
        </w:numPr>
        <w:spacing w:after="240"/>
        <w:rPr>
          <w:rFonts w:eastAsia="Helvetica" w:cs="Arial"/>
          <w:szCs w:val="24"/>
        </w:rPr>
      </w:pPr>
      <w:r w:rsidRPr="00B06C2F">
        <w:rPr>
          <w:rFonts w:eastAsia="Helvetica" w:cs="Arial"/>
          <w:szCs w:val="24"/>
        </w:rPr>
        <w:t>A disproportionally lower percentage of transfers among Asians, Filipino, and White students, as well as students who are Two or More Races.</w:t>
      </w:r>
    </w:p>
    <w:p w14:paraId="01468E69" w14:textId="457E83AD" w:rsidR="00B47306" w:rsidRPr="00B06C2F" w:rsidRDefault="00B47306" w:rsidP="000215EE">
      <w:pPr>
        <w:pStyle w:val="Heading4"/>
      </w:pPr>
      <w:r w:rsidRPr="00B06C2F">
        <w:t>Program Composition in Transfer Group Compared to Statewide Student Enrollment Population</w:t>
      </w:r>
    </w:p>
    <w:p w14:paraId="4EB5F424" w14:textId="6F64C6D2" w:rsidR="00B47306" w:rsidRPr="00B06C2F" w:rsidRDefault="00B47306" w:rsidP="00BE3748">
      <w:pPr>
        <w:spacing w:after="240"/>
        <w:rPr>
          <w:rFonts w:cs="Arial"/>
        </w:rPr>
      </w:pPr>
      <w:r w:rsidRPr="00B06C2F">
        <w:rPr>
          <w:rFonts w:cs="Arial"/>
        </w:rPr>
        <w:t xml:space="preserve">The </w:t>
      </w:r>
      <w:r w:rsidR="009C500C" w:rsidRPr="00B06C2F">
        <w:rPr>
          <w:rFonts w:cs="Arial"/>
        </w:rPr>
        <w:t>Disproportionality Index</w:t>
      </w:r>
      <w:r w:rsidRPr="00B06C2F">
        <w:rPr>
          <w:rFonts w:cs="Arial"/>
        </w:rPr>
        <w:t xml:space="preserve"> for program student groups would be calculated as follows:</w:t>
      </w:r>
    </w:p>
    <w:p w14:paraId="239040F7" w14:textId="77777777" w:rsidR="00B47306" w:rsidRPr="00B06C2F" w:rsidRDefault="00B47306" w:rsidP="00B3226D">
      <w:pPr>
        <w:spacing w:after="240"/>
        <w:rPr>
          <w:rFonts w:cs="Arial"/>
        </w:rPr>
      </w:pPr>
      <m:oMathPara>
        <m:oMath>
          <m:r>
            <m:rPr>
              <m:nor/>
            </m:rPr>
            <w:rPr>
              <w:rFonts w:cs="Arial"/>
            </w:rPr>
            <m:t xml:space="preserve">DI = </m:t>
          </m:r>
          <m:f>
            <m:fPr>
              <m:ctrlPr>
                <w:rPr>
                  <w:rFonts w:ascii="Cambria Math" w:hAnsi="Cambria Math" w:cs="Arial"/>
                </w:rPr>
              </m:ctrlPr>
            </m:fPr>
            <m:num>
              <m:r>
                <m:rPr>
                  <m:nor/>
                </m:rPr>
                <w:rPr>
                  <w:rFonts w:cs="Arial"/>
                </w:rPr>
                <m:t>Number of Transfer Students in Program Group ÷ Total Transfer Population</m:t>
              </m:r>
            </m:num>
            <m:den>
              <m:r>
                <m:rPr>
                  <m:nor/>
                </m:rPr>
                <w:rPr>
                  <w:rFonts w:cs="Arial"/>
                </w:rPr>
                <m:t>Number of Students in Program in Student Population ÷ Total Student Population</m:t>
              </m:r>
            </m:den>
          </m:f>
        </m:oMath>
      </m:oMathPara>
    </w:p>
    <w:p w14:paraId="413B4C9E" w14:textId="08AACE95" w:rsidR="00BA7175" w:rsidRPr="00B06C2F" w:rsidRDefault="00BA7175" w:rsidP="000215EE">
      <w:pPr>
        <w:pStyle w:val="Heading5"/>
      </w:pPr>
      <w:r w:rsidRPr="00B06C2F">
        <w:rPr>
          <w:shd w:val="clear" w:color="auto" w:fill="FFFFFF"/>
        </w:rPr>
        <w:t xml:space="preserve">Table 5. Disproportionality of Program Student Groups in </w:t>
      </w:r>
      <w:r w:rsidRPr="00B06C2F">
        <w:t>2017–18, 2018</w:t>
      </w:r>
      <w:r w:rsidRPr="00B06C2F">
        <w:rPr>
          <w:bCs/>
        </w:rPr>
        <w:t>–</w:t>
      </w:r>
      <w:r w:rsidRPr="00B06C2F">
        <w:t>19, 2019–20, and 2020–21 (Cont.)</w:t>
      </w:r>
    </w:p>
    <w:tbl>
      <w:tblPr>
        <w:tblStyle w:val="TableGrid"/>
        <w:tblW w:w="14850" w:type="dxa"/>
        <w:tblInd w:w="-185" w:type="dxa"/>
        <w:tblLayout w:type="fixed"/>
        <w:tblLook w:val="04A0" w:firstRow="1" w:lastRow="0" w:firstColumn="1" w:lastColumn="0" w:noHBand="0" w:noVBand="1"/>
        <w:tblCaption w:val="Disproportionality of Program Student Groups in 2017–18, 2018–19, 2019–20, and 2020–21 Continued"/>
        <w:tblDescription w:val="Disproportionality of Program Student Groups in the 2017–18, 2018–19, 2019–20, and 2020–21 school years"/>
      </w:tblPr>
      <w:tblGrid>
        <w:gridCol w:w="1350"/>
        <w:gridCol w:w="1260"/>
        <w:gridCol w:w="1260"/>
        <w:gridCol w:w="1260"/>
        <w:gridCol w:w="1440"/>
        <w:gridCol w:w="1260"/>
        <w:gridCol w:w="1260"/>
        <w:gridCol w:w="1260"/>
        <w:gridCol w:w="1260"/>
        <w:gridCol w:w="810"/>
        <w:gridCol w:w="810"/>
        <w:gridCol w:w="810"/>
        <w:gridCol w:w="810"/>
      </w:tblGrid>
      <w:tr w:rsidR="003105EC" w:rsidRPr="00B06C2F" w14:paraId="7859E721" w14:textId="77777777" w:rsidTr="005D691B">
        <w:trPr>
          <w:cantSplit/>
          <w:tblHeader/>
        </w:trPr>
        <w:tc>
          <w:tcPr>
            <w:tcW w:w="1350" w:type="dxa"/>
            <w:shd w:val="clear" w:color="auto" w:fill="D9D9D9" w:themeFill="background1" w:themeFillShade="D9"/>
            <w:vAlign w:val="center"/>
          </w:tcPr>
          <w:p w14:paraId="22816419" w14:textId="5E8BA9C4" w:rsidR="003105EC" w:rsidRPr="00B06C2F" w:rsidRDefault="003105EC" w:rsidP="003105EC">
            <w:pPr>
              <w:textAlignment w:val="baseline"/>
              <w:rPr>
                <w:rFonts w:cs="Arial"/>
              </w:rPr>
            </w:pPr>
            <w:r w:rsidRPr="00B06C2F">
              <w:rPr>
                <w:rFonts w:cs="Arial"/>
                <w:b/>
                <w:bCs/>
                <w:sz w:val="24"/>
                <w:szCs w:val="24"/>
              </w:rPr>
              <w:t>Program Student Group</w:t>
            </w:r>
          </w:p>
        </w:tc>
        <w:tc>
          <w:tcPr>
            <w:tcW w:w="1260" w:type="dxa"/>
            <w:shd w:val="clear" w:color="auto" w:fill="D9D9D9" w:themeFill="background1" w:themeFillShade="D9"/>
            <w:vAlign w:val="center"/>
          </w:tcPr>
          <w:p w14:paraId="58E9D94A" w14:textId="28866FE8" w:rsidR="003105EC" w:rsidRPr="00B06C2F" w:rsidRDefault="003105EC" w:rsidP="003105EC">
            <w:pPr>
              <w:jc w:val="right"/>
              <w:textAlignment w:val="baseline"/>
              <w:rPr>
                <w:rFonts w:cs="Arial"/>
              </w:rPr>
            </w:pPr>
            <w:r w:rsidRPr="00B06C2F">
              <w:rPr>
                <w:rFonts w:cs="Arial"/>
                <w:b/>
                <w:bCs/>
                <w:sz w:val="24"/>
                <w:szCs w:val="24"/>
              </w:rPr>
              <w:t>Percent Enrolled State 2017–18</w:t>
            </w:r>
          </w:p>
        </w:tc>
        <w:tc>
          <w:tcPr>
            <w:tcW w:w="1260" w:type="dxa"/>
            <w:shd w:val="clear" w:color="auto" w:fill="D9D9D9" w:themeFill="background1" w:themeFillShade="D9"/>
            <w:vAlign w:val="center"/>
          </w:tcPr>
          <w:p w14:paraId="1E41CD4B" w14:textId="6AF3D63D" w:rsidR="003105EC" w:rsidRPr="00B06C2F" w:rsidRDefault="003105EC" w:rsidP="003105EC">
            <w:pPr>
              <w:jc w:val="right"/>
              <w:textAlignment w:val="baseline"/>
              <w:rPr>
                <w:rFonts w:cs="Arial"/>
              </w:rPr>
            </w:pPr>
            <w:r w:rsidRPr="00B06C2F">
              <w:rPr>
                <w:rFonts w:cs="Arial"/>
                <w:b/>
                <w:bCs/>
                <w:sz w:val="24"/>
                <w:szCs w:val="24"/>
              </w:rPr>
              <w:t>Percent Transfer to DASS 2017–18</w:t>
            </w:r>
          </w:p>
        </w:tc>
        <w:tc>
          <w:tcPr>
            <w:tcW w:w="1260" w:type="dxa"/>
            <w:shd w:val="clear" w:color="auto" w:fill="D9D9D9" w:themeFill="background1" w:themeFillShade="D9"/>
            <w:vAlign w:val="center"/>
          </w:tcPr>
          <w:p w14:paraId="5D6D6ED1" w14:textId="62A44A54" w:rsidR="003105EC" w:rsidRPr="00B06C2F" w:rsidRDefault="003105EC" w:rsidP="003105EC">
            <w:pPr>
              <w:jc w:val="right"/>
              <w:textAlignment w:val="baseline"/>
              <w:rPr>
                <w:rFonts w:cs="Arial"/>
                <w:color w:val="000000"/>
              </w:rPr>
            </w:pPr>
            <w:r w:rsidRPr="00B06C2F">
              <w:rPr>
                <w:rFonts w:cs="Arial"/>
                <w:b/>
                <w:bCs/>
                <w:sz w:val="24"/>
                <w:szCs w:val="24"/>
              </w:rPr>
              <w:t>Percent Enrolled State 2018-19</w:t>
            </w:r>
          </w:p>
        </w:tc>
        <w:tc>
          <w:tcPr>
            <w:tcW w:w="1440" w:type="dxa"/>
            <w:shd w:val="clear" w:color="auto" w:fill="D9D9D9" w:themeFill="background1" w:themeFillShade="D9"/>
            <w:vAlign w:val="center"/>
          </w:tcPr>
          <w:p w14:paraId="4A412716" w14:textId="2F8F481A" w:rsidR="003105EC" w:rsidRPr="00B06C2F" w:rsidRDefault="003105EC" w:rsidP="003105EC">
            <w:pPr>
              <w:jc w:val="right"/>
              <w:textAlignment w:val="baseline"/>
              <w:rPr>
                <w:rFonts w:cs="Arial"/>
                <w:color w:val="000000"/>
              </w:rPr>
            </w:pPr>
            <w:r w:rsidRPr="00B06C2F">
              <w:rPr>
                <w:rFonts w:cs="Arial"/>
                <w:b/>
                <w:bCs/>
                <w:sz w:val="24"/>
                <w:szCs w:val="24"/>
              </w:rPr>
              <w:t>Percent Transfer to DASS 2018–19</w:t>
            </w:r>
          </w:p>
        </w:tc>
        <w:tc>
          <w:tcPr>
            <w:tcW w:w="1260" w:type="dxa"/>
            <w:shd w:val="clear" w:color="auto" w:fill="D9D9D9" w:themeFill="background1" w:themeFillShade="D9"/>
            <w:vAlign w:val="center"/>
          </w:tcPr>
          <w:p w14:paraId="408544B1" w14:textId="3F85C2DD" w:rsidR="003105EC" w:rsidRPr="00B06C2F" w:rsidRDefault="003105EC" w:rsidP="003105EC">
            <w:pPr>
              <w:jc w:val="right"/>
              <w:textAlignment w:val="baseline"/>
              <w:rPr>
                <w:rFonts w:cs="Arial"/>
                <w:color w:val="000000"/>
              </w:rPr>
            </w:pPr>
            <w:r w:rsidRPr="00B06C2F">
              <w:rPr>
                <w:rFonts w:cs="Arial"/>
                <w:b/>
                <w:bCs/>
                <w:sz w:val="24"/>
                <w:szCs w:val="24"/>
              </w:rPr>
              <w:t>Percent Enrolled State 2019–20</w:t>
            </w:r>
          </w:p>
        </w:tc>
        <w:tc>
          <w:tcPr>
            <w:tcW w:w="1260" w:type="dxa"/>
            <w:shd w:val="clear" w:color="auto" w:fill="D9D9D9" w:themeFill="background1" w:themeFillShade="D9"/>
            <w:vAlign w:val="center"/>
          </w:tcPr>
          <w:p w14:paraId="53A92200" w14:textId="2958C3E1" w:rsidR="003105EC" w:rsidRPr="00B06C2F" w:rsidRDefault="003105EC" w:rsidP="003105EC">
            <w:pPr>
              <w:jc w:val="right"/>
              <w:textAlignment w:val="baseline"/>
              <w:rPr>
                <w:rFonts w:cs="Arial"/>
                <w:color w:val="000000" w:themeColor="text1"/>
              </w:rPr>
            </w:pPr>
            <w:r w:rsidRPr="00B06C2F">
              <w:rPr>
                <w:rFonts w:cs="Arial"/>
                <w:b/>
                <w:bCs/>
                <w:sz w:val="24"/>
                <w:szCs w:val="24"/>
              </w:rPr>
              <w:t>Percent Transfer to DASS 2019–20</w:t>
            </w:r>
          </w:p>
        </w:tc>
        <w:tc>
          <w:tcPr>
            <w:tcW w:w="1260" w:type="dxa"/>
            <w:shd w:val="clear" w:color="auto" w:fill="D9D9D9" w:themeFill="background1" w:themeFillShade="D9"/>
            <w:vAlign w:val="center"/>
          </w:tcPr>
          <w:p w14:paraId="1A8A42D4" w14:textId="5EAC396A" w:rsidR="003105EC" w:rsidRPr="00B06C2F" w:rsidRDefault="003105EC" w:rsidP="003105EC">
            <w:pPr>
              <w:jc w:val="right"/>
              <w:textAlignment w:val="baseline"/>
              <w:rPr>
                <w:rFonts w:cs="Arial"/>
                <w:color w:val="000000"/>
              </w:rPr>
            </w:pPr>
            <w:r w:rsidRPr="00B06C2F">
              <w:rPr>
                <w:rFonts w:cs="Arial"/>
                <w:b/>
                <w:bCs/>
                <w:sz w:val="24"/>
                <w:szCs w:val="24"/>
              </w:rPr>
              <w:t>Percent Enrolled State 2020–21</w:t>
            </w:r>
          </w:p>
        </w:tc>
        <w:tc>
          <w:tcPr>
            <w:tcW w:w="1260" w:type="dxa"/>
            <w:shd w:val="clear" w:color="auto" w:fill="D9D9D9" w:themeFill="background1" w:themeFillShade="D9"/>
            <w:vAlign w:val="center"/>
          </w:tcPr>
          <w:p w14:paraId="453276EA" w14:textId="3A4A5A4F" w:rsidR="003105EC" w:rsidRPr="00B06C2F" w:rsidRDefault="003105EC" w:rsidP="003105EC">
            <w:pPr>
              <w:jc w:val="right"/>
              <w:textAlignment w:val="baseline"/>
              <w:rPr>
                <w:rFonts w:cs="Arial"/>
                <w:color w:val="000000"/>
              </w:rPr>
            </w:pPr>
            <w:r w:rsidRPr="00B06C2F">
              <w:rPr>
                <w:rFonts w:cs="Arial"/>
                <w:b/>
                <w:bCs/>
                <w:sz w:val="24"/>
                <w:szCs w:val="24"/>
              </w:rPr>
              <w:t>Percent Transfer to DASS 2020–21</w:t>
            </w:r>
          </w:p>
        </w:tc>
        <w:tc>
          <w:tcPr>
            <w:tcW w:w="810" w:type="dxa"/>
            <w:shd w:val="clear" w:color="auto" w:fill="D9D9D9" w:themeFill="background1" w:themeFillShade="D9"/>
            <w:vAlign w:val="center"/>
          </w:tcPr>
          <w:p w14:paraId="3C08B5D1" w14:textId="688E2206" w:rsidR="003105EC" w:rsidRPr="00B06C2F" w:rsidRDefault="003105EC" w:rsidP="003105EC">
            <w:pPr>
              <w:jc w:val="right"/>
              <w:textAlignment w:val="baseline"/>
              <w:rPr>
                <w:rFonts w:cs="Arial"/>
              </w:rPr>
            </w:pPr>
            <w:r w:rsidRPr="00B06C2F">
              <w:rPr>
                <w:rFonts w:cs="Arial"/>
                <w:b/>
                <w:bCs/>
                <w:sz w:val="24"/>
                <w:szCs w:val="24"/>
              </w:rPr>
              <w:t>DI in 2017–18</w:t>
            </w:r>
          </w:p>
        </w:tc>
        <w:tc>
          <w:tcPr>
            <w:tcW w:w="810" w:type="dxa"/>
            <w:shd w:val="clear" w:color="auto" w:fill="D9D9D9" w:themeFill="background1" w:themeFillShade="D9"/>
            <w:vAlign w:val="center"/>
          </w:tcPr>
          <w:p w14:paraId="3533DF5B" w14:textId="6086893C" w:rsidR="003105EC" w:rsidRPr="00B06C2F" w:rsidRDefault="003105EC" w:rsidP="003105EC">
            <w:pPr>
              <w:jc w:val="right"/>
              <w:textAlignment w:val="baseline"/>
              <w:rPr>
                <w:rFonts w:cs="Arial"/>
              </w:rPr>
            </w:pPr>
            <w:r w:rsidRPr="00B06C2F">
              <w:rPr>
                <w:rFonts w:cs="Arial"/>
                <w:b/>
                <w:bCs/>
                <w:sz w:val="24"/>
                <w:szCs w:val="24"/>
              </w:rPr>
              <w:t>DI in 2018–19</w:t>
            </w:r>
          </w:p>
        </w:tc>
        <w:tc>
          <w:tcPr>
            <w:tcW w:w="810" w:type="dxa"/>
            <w:shd w:val="clear" w:color="auto" w:fill="D9D9D9" w:themeFill="background1" w:themeFillShade="D9"/>
            <w:vAlign w:val="center"/>
          </w:tcPr>
          <w:p w14:paraId="220C6407" w14:textId="04D03EDD" w:rsidR="003105EC" w:rsidRPr="00B06C2F" w:rsidRDefault="003105EC" w:rsidP="003105EC">
            <w:pPr>
              <w:jc w:val="right"/>
              <w:textAlignment w:val="baseline"/>
              <w:rPr>
                <w:rFonts w:cs="Arial"/>
                <w:color w:val="000000" w:themeColor="text1"/>
              </w:rPr>
            </w:pPr>
            <w:r w:rsidRPr="00B06C2F">
              <w:rPr>
                <w:rFonts w:cs="Arial"/>
                <w:b/>
                <w:bCs/>
                <w:sz w:val="24"/>
                <w:szCs w:val="24"/>
              </w:rPr>
              <w:t>DI in 2019–20</w:t>
            </w:r>
          </w:p>
        </w:tc>
        <w:tc>
          <w:tcPr>
            <w:tcW w:w="810" w:type="dxa"/>
            <w:shd w:val="clear" w:color="auto" w:fill="D9D9D9" w:themeFill="background1" w:themeFillShade="D9"/>
            <w:vAlign w:val="center"/>
          </w:tcPr>
          <w:p w14:paraId="50661C56" w14:textId="0F18C5A5" w:rsidR="003105EC" w:rsidRPr="00B06C2F" w:rsidRDefault="003105EC" w:rsidP="003105EC">
            <w:pPr>
              <w:jc w:val="right"/>
              <w:textAlignment w:val="baseline"/>
              <w:rPr>
                <w:rFonts w:cs="Arial"/>
                <w:color w:val="000000"/>
              </w:rPr>
            </w:pPr>
            <w:r w:rsidRPr="00B06C2F">
              <w:rPr>
                <w:rFonts w:cs="Arial"/>
                <w:b/>
                <w:bCs/>
                <w:sz w:val="24"/>
                <w:szCs w:val="24"/>
              </w:rPr>
              <w:t>DI in 2020–21</w:t>
            </w:r>
          </w:p>
        </w:tc>
      </w:tr>
      <w:tr w:rsidR="003D3855" w:rsidRPr="00B06C2F" w14:paraId="3ED0A618" w14:textId="51BCA3F6" w:rsidTr="005D691B">
        <w:trPr>
          <w:cantSplit/>
          <w:tblHeader/>
        </w:trPr>
        <w:tc>
          <w:tcPr>
            <w:tcW w:w="1350" w:type="dxa"/>
            <w:vAlign w:val="center"/>
          </w:tcPr>
          <w:p w14:paraId="5EA970EE" w14:textId="04B63310" w:rsidR="003D3855" w:rsidRPr="00B06C2F" w:rsidRDefault="003D3855" w:rsidP="003105EC">
            <w:pPr>
              <w:textAlignment w:val="baseline"/>
              <w:rPr>
                <w:rFonts w:cs="Arial"/>
                <w:sz w:val="24"/>
                <w:szCs w:val="24"/>
              </w:rPr>
            </w:pPr>
            <w:r w:rsidRPr="00B06C2F">
              <w:rPr>
                <w:rFonts w:cs="Arial"/>
                <w:sz w:val="24"/>
                <w:szCs w:val="24"/>
              </w:rPr>
              <w:t>Foster Youth</w:t>
            </w:r>
          </w:p>
        </w:tc>
        <w:tc>
          <w:tcPr>
            <w:tcW w:w="1260" w:type="dxa"/>
            <w:vAlign w:val="center"/>
          </w:tcPr>
          <w:p w14:paraId="255E3C78" w14:textId="222BCC0B" w:rsidR="003D3855" w:rsidRPr="00B06C2F" w:rsidRDefault="003D3855" w:rsidP="003105EC">
            <w:pPr>
              <w:jc w:val="right"/>
              <w:textAlignment w:val="baseline"/>
              <w:rPr>
                <w:rFonts w:cs="Arial"/>
                <w:sz w:val="24"/>
                <w:szCs w:val="24"/>
              </w:rPr>
            </w:pPr>
            <w:r w:rsidRPr="00B06C2F">
              <w:rPr>
                <w:rFonts w:cs="Arial"/>
                <w:sz w:val="24"/>
                <w:szCs w:val="24"/>
              </w:rPr>
              <w:t>0.55%</w:t>
            </w:r>
          </w:p>
        </w:tc>
        <w:tc>
          <w:tcPr>
            <w:tcW w:w="1260" w:type="dxa"/>
            <w:vAlign w:val="center"/>
          </w:tcPr>
          <w:p w14:paraId="2B42918D" w14:textId="42363ACD" w:rsidR="003D3855" w:rsidRPr="00B06C2F" w:rsidRDefault="003D3855" w:rsidP="003105EC">
            <w:pPr>
              <w:jc w:val="right"/>
              <w:textAlignment w:val="baseline"/>
              <w:rPr>
                <w:rFonts w:cs="Arial"/>
                <w:sz w:val="24"/>
                <w:szCs w:val="24"/>
              </w:rPr>
            </w:pPr>
            <w:r w:rsidRPr="00B06C2F">
              <w:rPr>
                <w:rFonts w:cs="Arial"/>
                <w:sz w:val="24"/>
                <w:szCs w:val="24"/>
              </w:rPr>
              <w:t>4.2%</w:t>
            </w:r>
          </w:p>
        </w:tc>
        <w:tc>
          <w:tcPr>
            <w:tcW w:w="1260" w:type="dxa"/>
            <w:vAlign w:val="center"/>
          </w:tcPr>
          <w:p w14:paraId="33D68C6A" w14:textId="03132C3F" w:rsidR="003D3855" w:rsidRPr="00B06C2F" w:rsidRDefault="003D3855" w:rsidP="003105EC">
            <w:pPr>
              <w:jc w:val="right"/>
              <w:textAlignment w:val="baseline"/>
              <w:rPr>
                <w:rFonts w:cs="Arial"/>
                <w:sz w:val="24"/>
                <w:szCs w:val="24"/>
              </w:rPr>
            </w:pPr>
            <w:r w:rsidRPr="00B06C2F">
              <w:rPr>
                <w:rFonts w:cs="Arial"/>
                <w:color w:val="000000"/>
                <w:sz w:val="24"/>
                <w:szCs w:val="24"/>
              </w:rPr>
              <w:t>0.5%</w:t>
            </w:r>
          </w:p>
        </w:tc>
        <w:tc>
          <w:tcPr>
            <w:tcW w:w="1440" w:type="dxa"/>
            <w:vAlign w:val="center"/>
          </w:tcPr>
          <w:p w14:paraId="48D58F35" w14:textId="0A2B8357" w:rsidR="003D3855" w:rsidRPr="00B06C2F" w:rsidRDefault="003D3855" w:rsidP="003105EC">
            <w:pPr>
              <w:jc w:val="right"/>
              <w:textAlignment w:val="baseline"/>
              <w:rPr>
                <w:rFonts w:cs="Arial"/>
                <w:sz w:val="24"/>
                <w:szCs w:val="24"/>
              </w:rPr>
            </w:pPr>
            <w:r w:rsidRPr="00B06C2F">
              <w:rPr>
                <w:rFonts w:cs="Arial"/>
                <w:color w:val="000000"/>
                <w:sz w:val="24"/>
                <w:szCs w:val="24"/>
              </w:rPr>
              <w:t>2.8%</w:t>
            </w:r>
          </w:p>
        </w:tc>
        <w:tc>
          <w:tcPr>
            <w:tcW w:w="1260" w:type="dxa"/>
            <w:vAlign w:val="center"/>
          </w:tcPr>
          <w:p w14:paraId="43E3AFC8" w14:textId="6E7E9762" w:rsidR="003D3855" w:rsidRPr="00B06C2F" w:rsidRDefault="003D3855" w:rsidP="003105EC">
            <w:pPr>
              <w:jc w:val="right"/>
              <w:textAlignment w:val="baseline"/>
              <w:rPr>
                <w:rFonts w:cs="Arial"/>
                <w:sz w:val="24"/>
                <w:szCs w:val="24"/>
              </w:rPr>
            </w:pPr>
            <w:r w:rsidRPr="00B06C2F">
              <w:rPr>
                <w:rFonts w:cs="Arial"/>
                <w:color w:val="000000"/>
                <w:sz w:val="24"/>
                <w:szCs w:val="24"/>
              </w:rPr>
              <w:t>0.5%</w:t>
            </w:r>
          </w:p>
        </w:tc>
        <w:tc>
          <w:tcPr>
            <w:tcW w:w="1260" w:type="dxa"/>
            <w:vAlign w:val="center"/>
          </w:tcPr>
          <w:p w14:paraId="10DB6918" w14:textId="65C97548" w:rsidR="003D3855" w:rsidRPr="00B06C2F" w:rsidRDefault="003D3855" w:rsidP="003105EC">
            <w:pPr>
              <w:jc w:val="right"/>
              <w:textAlignment w:val="baseline"/>
              <w:rPr>
                <w:rFonts w:cs="Arial"/>
                <w:sz w:val="24"/>
                <w:szCs w:val="24"/>
              </w:rPr>
            </w:pPr>
            <w:r w:rsidRPr="00B06C2F">
              <w:rPr>
                <w:rFonts w:cs="Arial"/>
                <w:color w:val="000000" w:themeColor="text1"/>
                <w:sz w:val="24"/>
                <w:szCs w:val="24"/>
              </w:rPr>
              <w:t>2.9%</w:t>
            </w:r>
          </w:p>
        </w:tc>
        <w:tc>
          <w:tcPr>
            <w:tcW w:w="1260" w:type="dxa"/>
            <w:shd w:val="clear" w:color="auto" w:fill="auto"/>
            <w:vAlign w:val="center"/>
          </w:tcPr>
          <w:p w14:paraId="5CFEF606" w14:textId="6570F090" w:rsidR="003D3855" w:rsidRPr="00B06C2F" w:rsidRDefault="003D3855" w:rsidP="003105EC">
            <w:pPr>
              <w:jc w:val="right"/>
              <w:textAlignment w:val="baseline"/>
              <w:rPr>
                <w:rFonts w:cs="Arial"/>
                <w:sz w:val="24"/>
                <w:szCs w:val="24"/>
              </w:rPr>
            </w:pPr>
            <w:r w:rsidRPr="00B06C2F">
              <w:rPr>
                <w:rFonts w:cs="Arial"/>
                <w:color w:val="000000"/>
                <w:sz w:val="24"/>
                <w:szCs w:val="24"/>
              </w:rPr>
              <w:t>0.54%</w:t>
            </w:r>
          </w:p>
        </w:tc>
        <w:tc>
          <w:tcPr>
            <w:tcW w:w="1260" w:type="dxa"/>
            <w:shd w:val="clear" w:color="auto" w:fill="auto"/>
            <w:vAlign w:val="center"/>
          </w:tcPr>
          <w:p w14:paraId="6D2888E7" w14:textId="4A9558FF" w:rsidR="003D3855" w:rsidRPr="00B06C2F" w:rsidRDefault="003D3855" w:rsidP="003105EC">
            <w:pPr>
              <w:jc w:val="right"/>
              <w:textAlignment w:val="baseline"/>
              <w:rPr>
                <w:rFonts w:cs="Arial"/>
                <w:sz w:val="24"/>
                <w:szCs w:val="24"/>
              </w:rPr>
            </w:pPr>
            <w:r w:rsidRPr="00B06C2F">
              <w:rPr>
                <w:rFonts w:cs="Arial"/>
                <w:color w:val="000000"/>
                <w:sz w:val="24"/>
                <w:szCs w:val="24"/>
              </w:rPr>
              <w:t>2.54%</w:t>
            </w:r>
          </w:p>
        </w:tc>
        <w:tc>
          <w:tcPr>
            <w:tcW w:w="810" w:type="dxa"/>
            <w:shd w:val="clear" w:color="auto" w:fill="auto"/>
            <w:vAlign w:val="center"/>
          </w:tcPr>
          <w:p w14:paraId="4C5B849A" w14:textId="68EA80E4" w:rsidR="003D3855" w:rsidRPr="00B06C2F" w:rsidRDefault="003D3855" w:rsidP="003105EC">
            <w:pPr>
              <w:jc w:val="right"/>
              <w:textAlignment w:val="baseline"/>
              <w:rPr>
                <w:rFonts w:cs="Arial"/>
                <w:sz w:val="24"/>
                <w:szCs w:val="24"/>
              </w:rPr>
            </w:pPr>
            <w:r w:rsidRPr="00B06C2F">
              <w:rPr>
                <w:rFonts w:cs="Arial"/>
                <w:sz w:val="24"/>
                <w:szCs w:val="24"/>
              </w:rPr>
              <w:t>7.52</w:t>
            </w:r>
          </w:p>
        </w:tc>
        <w:tc>
          <w:tcPr>
            <w:tcW w:w="810" w:type="dxa"/>
            <w:vAlign w:val="center"/>
          </w:tcPr>
          <w:p w14:paraId="6DFADB57" w14:textId="690481B9" w:rsidR="003D3855" w:rsidRPr="00B06C2F" w:rsidRDefault="003D3855" w:rsidP="003105EC">
            <w:pPr>
              <w:jc w:val="right"/>
              <w:textAlignment w:val="baseline"/>
              <w:rPr>
                <w:rFonts w:cs="Arial"/>
                <w:sz w:val="24"/>
                <w:szCs w:val="24"/>
              </w:rPr>
            </w:pPr>
            <w:r w:rsidRPr="00B06C2F">
              <w:rPr>
                <w:rFonts w:cs="Arial"/>
                <w:sz w:val="24"/>
                <w:szCs w:val="24"/>
              </w:rPr>
              <w:t>5.15</w:t>
            </w:r>
          </w:p>
        </w:tc>
        <w:tc>
          <w:tcPr>
            <w:tcW w:w="810" w:type="dxa"/>
            <w:vAlign w:val="center"/>
          </w:tcPr>
          <w:p w14:paraId="4BBD78D0" w14:textId="77777777" w:rsidR="003D3855" w:rsidRPr="00B06C2F" w:rsidRDefault="003D3855" w:rsidP="003105EC">
            <w:pPr>
              <w:jc w:val="right"/>
              <w:textAlignment w:val="baseline"/>
              <w:rPr>
                <w:rFonts w:cs="Arial"/>
                <w:sz w:val="24"/>
                <w:szCs w:val="24"/>
              </w:rPr>
            </w:pPr>
            <w:r w:rsidRPr="00B06C2F">
              <w:rPr>
                <w:rFonts w:cs="Arial"/>
                <w:color w:val="000000" w:themeColor="text1"/>
                <w:sz w:val="24"/>
                <w:szCs w:val="24"/>
              </w:rPr>
              <w:t>5.41</w:t>
            </w:r>
          </w:p>
        </w:tc>
        <w:tc>
          <w:tcPr>
            <w:tcW w:w="810" w:type="dxa"/>
            <w:shd w:val="clear" w:color="auto" w:fill="auto"/>
            <w:vAlign w:val="center"/>
          </w:tcPr>
          <w:p w14:paraId="4CEAE537" w14:textId="1DDD6B77" w:rsidR="003D3855" w:rsidRPr="00B06C2F" w:rsidRDefault="003D3855" w:rsidP="003105EC">
            <w:pPr>
              <w:jc w:val="right"/>
              <w:textAlignment w:val="baseline"/>
              <w:rPr>
                <w:rFonts w:cs="Arial"/>
                <w:color w:val="000000" w:themeColor="text1"/>
                <w:sz w:val="24"/>
                <w:szCs w:val="24"/>
              </w:rPr>
            </w:pPr>
            <w:r w:rsidRPr="00B06C2F">
              <w:rPr>
                <w:rFonts w:cs="Arial"/>
                <w:color w:val="000000"/>
                <w:sz w:val="24"/>
                <w:szCs w:val="24"/>
              </w:rPr>
              <w:t>4.7</w:t>
            </w:r>
            <w:r w:rsidR="003F2D81" w:rsidRPr="00B06C2F">
              <w:rPr>
                <w:rFonts w:cs="Arial"/>
                <w:color w:val="000000"/>
                <w:sz w:val="24"/>
                <w:szCs w:val="24"/>
              </w:rPr>
              <w:t>0</w:t>
            </w:r>
          </w:p>
        </w:tc>
      </w:tr>
      <w:tr w:rsidR="003D3855" w:rsidRPr="00B06C2F" w14:paraId="157DA10B" w14:textId="6A684871" w:rsidTr="005D691B">
        <w:trPr>
          <w:cantSplit/>
          <w:tblHeader/>
        </w:trPr>
        <w:tc>
          <w:tcPr>
            <w:tcW w:w="1350" w:type="dxa"/>
            <w:vAlign w:val="center"/>
          </w:tcPr>
          <w:p w14:paraId="6580BB16" w14:textId="25808FB5" w:rsidR="003D3855" w:rsidRPr="00B06C2F" w:rsidRDefault="003D3855" w:rsidP="003105EC">
            <w:pPr>
              <w:textAlignment w:val="baseline"/>
              <w:rPr>
                <w:rFonts w:cs="Arial"/>
                <w:sz w:val="24"/>
                <w:szCs w:val="24"/>
              </w:rPr>
            </w:pPr>
            <w:r w:rsidRPr="00B06C2F">
              <w:rPr>
                <w:rFonts w:cs="Arial"/>
                <w:sz w:val="24"/>
                <w:szCs w:val="24"/>
              </w:rPr>
              <w:t>Homeless</w:t>
            </w:r>
          </w:p>
        </w:tc>
        <w:tc>
          <w:tcPr>
            <w:tcW w:w="1260" w:type="dxa"/>
            <w:vAlign w:val="center"/>
          </w:tcPr>
          <w:p w14:paraId="16962911" w14:textId="053F79D2" w:rsidR="003D3855" w:rsidRPr="00B06C2F" w:rsidRDefault="003D3855" w:rsidP="003105EC">
            <w:pPr>
              <w:jc w:val="right"/>
              <w:textAlignment w:val="baseline"/>
              <w:rPr>
                <w:rFonts w:cs="Arial"/>
                <w:sz w:val="24"/>
                <w:szCs w:val="24"/>
              </w:rPr>
            </w:pPr>
            <w:r w:rsidRPr="00B06C2F">
              <w:rPr>
                <w:rFonts w:cs="Arial"/>
                <w:sz w:val="24"/>
                <w:szCs w:val="24"/>
              </w:rPr>
              <w:t>3.28%</w:t>
            </w:r>
          </w:p>
        </w:tc>
        <w:tc>
          <w:tcPr>
            <w:tcW w:w="1260" w:type="dxa"/>
            <w:vAlign w:val="center"/>
          </w:tcPr>
          <w:p w14:paraId="19B21E23" w14:textId="357A90C2" w:rsidR="003D3855" w:rsidRPr="00B06C2F" w:rsidRDefault="003D3855" w:rsidP="003105EC">
            <w:pPr>
              <w:jc w:val="right"/>
              <w:textAlignment w:val="baseline"/>
              <w:rPr>
                <w:rFonts w:cs="Arial"/>
                <w:sz w:val="24"/>
                <w:szCs w:val="24"/>
              </w:rPr>
            </w:pPr>
            <w:r w:rsidRPr="00B06C2F">
              <w:rPr>
                <w:rFonts w:cs="Arial"/>
                <w:sz w:val="24"/>
                <w:szCs w:val="24"/>
              </w:rPr>
              <w:t>5.8%</w:t>
            </w:r>
          </w:p>
        </w:tc>
        <w:tc>
          <w:tcPr>
            <w:tcW w:w="1260" w:type="dxa"/>
            <w:vAlign w:val="center"/>
          </w:tcPr>
          <w:p w14:paraId="613AD797" w14:textId="119510B5" w:rsidR="003D3855" w:rsidRPr="00B06C2F" w:rsidRDefault="003D3855" w:rsidP="003105EC">
            <w:pPr>
              <w:jc w:val="right"/>
              <w:textAlignment w:val="baseline"/>
              <w:rPr>
                <w:rFonts w:cs="Arial"/>
                <w:sz w:val="24"/>
                <w:szCs w:val="24"/>
              </w:rPr>
            </w:pPr>
            <w:r w:rsidRPr="00B06C2F">
              <w:rPr>
                <w:rFonts w:cs="Arial"/>
                <w:color w:val="000000"/>
                <w:sz w:val="24"/>
                <w:szCs w:val="24"/>
              </w:rPr>
              <w:t>3.4%</w:t>
            </w:r>
          </w:p>
        </w:tc>
        <w:tc>
          <w:tcPr>
            <w:tcW w:w="1440" w:type="dxa"/>
            <w:vAlign w:val="center"/>
          </w:tcPr>
          <w:p w14:paraId="296DA282" w14:textId="425A4DF0" w:rsidR="003D3855" w:rsidRPr="00B06C2F" w:rsidRDefault="003D3855" w:rsidP="003105EC">
            <w:pPr>
              <w:jc w:val="right"/>
              <w:textAlignment w:val="baseline"/>
              <w:rPr>
                <w:rFonts w:cs="Arial"/>
                <w:sz w:val="24"/>
                <w:szCs w:val="24"/>
              </w:rPr>
            </w:pPr>
            <w:r w:rsidRPr="00B06C2F">
              <w:rPr>
                <w:rFonts w:cs="Arial"/>
                <w:color w:val="000000"/>
                <w:sz w:val="24"/>
                <w:szCs w:val="24"/>
              </w:rPr>
              <w:t>5.9%</w:t>
            </w:r>
          </w:p>
        </w:tc>
        <w:tc>
          <w:tcPr>
            <w:tcW w:w="1260" w:type="dxa"/>
            <w:vAlign w:val="center"/>
          </w:tcPr>
          <w:p w14:paraId="6E002938" w14:textId="09826ABD" w:rsidR="003D3855" w:rsidRPr="00B06C2F" w:rsidRDefault="003D3855" w:rsidP="003105EC">
            <w:pPr>
              <w:jc w:val="right"/>
              <w:textAlignment w:val="baseline"/>
              <w:rPr>
                <w:rFonts w:cs="Arial"/>
                <w:sz w:val="24"/>
                <w:szCs w:val="24"/>
              </w:rPr>
            </w:pPr>
            <w:r w:rsidRPr="00B06C2F">
              <w:rPr>
                <w:rFonts w:cs="Arial"/>
                <w:color w:val="000000"/>
                <w:sz w:val="24"/>
                <w:szCs w:val="24"/>
              </w:rPr>
              <w:t>3.2%</w:t>
            </w:r>
          </w:p>
        </w:tc>
        <w:tc>
          <w:tcPr>
            <w:tcW w:w="1260" w:type="dxa"/>
            <w:vAlign w:val="center"/>
          </w:tcPr>
          <w:p w14:paraId="173A3AF0" w14:textId="7CA534E0" w:rsidR="003D3855" w:rsidRPr="00B06C2F" w:rsidRDefault="003D3855" w:rsidP="003105EC">
            <w:pPr>
              <w:jc w:val="right"/>
              <w:textAlignment w:val="baseline"/>
              <w:rPr>
                <w:rFonts w:cs="Arial"/>
                <w:sz w:val="24"/>
                <w:szCs w:val="24"/>
              </w:rPr>
            </w:pPr>
            <w:r w:rsidRPr="00B06C2F">
              <w:rPr>
                <w:rFonts w:cs="Arial"/>
                <w:color w:val="000000" w:themeColor="text1"/>
                <w:sz w:val="24"/>
                <w:szCs w:val="24"/>
              </w:rPr>
              <w:t>4.4%</w:t>
            </w:r>
          </w:p>
        </w:tc>
        <w:tc>
          <w:tcPr>
            <w:tcW w:w="1260" w:type="dxa"/>
            <w:shd w:val="clear" w:color="auto" w:fill="auto"/>
            <w:vAlign w:val="center"/>
          </w:tcPr>
          <w:p w14:paraId="44310DCA" w14:textId="2C3A9385" w:rsidR="003D3855" w:rsidRPr="00B06C2F" w:rsidRDefault="003D3855" w:rsidP="003105EC">
            <w:pPr>
              <w:jc w:val="right"/>
              <w:textAlignment w:val="baseline"/>
              <w:rPr>
                <w:rFonts w:cs="Arial"/>
                <w:sz w:val="24"/>
                <w:szCs w:val="24"/>
              </w:rPr>
            </w:pPr>
            <w:r w:rsidRPr="00B06C2F">
              <w:rPr>
                <w:rFonts w:cs="Arial"/>
                <w:color w:val="000000"/>
                <w:sz w:val="24"/>
                <w:szCs w:val="24"/>
              </w:rPr>
              <w:t>3.05%</w:t>
            </w:r>
          </w:p>
        </w:tc>
        <w:tc>
          <w:tcPr>
            <w:tcW w:w="1260" w:type="dxa"/>
            <w:shd w:val="clear" w:color="auto" w:fill="auto"/>
            <w:vAlign w:val="center"/>
          </w:tcPr>
          <w:p w14:paraId="220A7341" w14:textId="5E8416DC" w:rsidR="003D3855" w:rsidRPr="00B06C2F" w:rsidRDefault="003D3855" w:rsidP="003105EC">
            <w:pPr>
              <w:jc w:val="right"/>
              <w:textAlignment w:val="baseline"/>
              <w:rPr>
                <w:rFonts w:cs="Arial"/>
                <w:sz w:val="24"/>
                <w:szCs w:val="24"/>
              </w:rPr>
            </w:pPr>
            <w:r w:rsidRPr="00B06C2F">
              <w:rPr>
                <w:rFonts w:cs="Arial"/>
                <w:color w:val="000000"/>
                <w:sz w:val="24"/>
                <w:szCs w:val="24"/>
              </w:rPr>
              <w:t>4.37%</w:t>
            </w:r>
          </w:p>
        </w:tc>
        <w:tc>
          <w:tcPr>
            <w:tcW w:w="810" w:type="dxa"/>
            <w:shd w:val="clear" w:color="auto" w:fill="auto"/>
            <w:vAlign w:val="center"/>
          </w:tcPr>
          <w:p w14:paraId="2FF3CAC0" w14:textId="075F8D10" w:rsidR="003D3855" w:rsidRPr="00B06C2F" w:rsidRDefault="003D3855" w:rsidP="003105EC">
            <w:pPr>
              <w:jc w:val="right"/>
              <w:textAlignment w:val="baseline"/>
              <w:rPr>
                <w:rFonts w:cs="Arial"/>
                <w:sz w:val="24"/>
                <w:szCs w:val="24"/>
              </w:rPr>
            </w:pPr>
            <w:r w:rsidRPr="00B06C2F">
              <w:rPr>
                <w:rFonts w:cs="Arial"/>
                <w:sz w:val="24"/>
                <w:szCs w:val="24"/>
              </w:rPr>
              <w:t>1.78</w:t>
            </w:r>
          </w:p>
        </w:tc>
        <w:tc>
          <w:tcPr>
            <w:tcW w:w="810" w:type="dxa"/>
            <w:vAlign w:val="center"/>
          </w:tcPr>
          <w:p w14:paraId="36B5FF1E" w14:textId="6CF18480" w:rsidR="003D3855" w:rsidRPr="00B06C2F" w:rsidRDefault="003D3855" w:rsidP="003105EC">
            <w:pPr>
              <w:jc w:val="right"/>
              <w:textAlignment w:val="baseline"/>
              <w:rPr>
                <w:rFonts w:cs="Arial"/>
                <w:sz w:val="24"/>
                <w:szCs w:val="24"/>
              </w:rPr>
            </w:pPr>
            <w:r w:rsidRPr="00B06C2F">
              <w:rPr>
                <w:rFonts w:cs="Arial"/>
                <w:sz w:val="24"/>
                <w:szCs w:val="24"/>
              </w:rPr>
              <w:t>1.76</w:t>
            </w:r>
          </w:p>
        </w:tc>
        <w:tc>
          <w:tcPr>
            <w:tcW w:w="810" w:type="dxa"/>
            <w:vAlign w:val="center"/>
          </w:tcPr>
          <w:p w14:paraId="7F08F3CB" w14:textId="77777777" w:rsidR="003D3855" w:rsidRPr="00B06C2F" w:rsidRDefault="003D3855" w:rsidP="003105EC">
            <w:pPr>
              <w:jc w:val="right"/>
              <w:textAlignment w:val="baseline"/>
              <w:rPr>
                <w:rFonts w:cs="Arial"/>
                <w:sz w:val="24"/>
                <w:szCs w:val="24"/>
              </w:rPr>
            </w:pPr>
            <w:r w:rsidRPr="00B06C2F">
              <w:rPr>
                <w:rFonts w:cs="Arial"/>
                <w:color w:val="000000" w:themeColor="text1"/>
                <w:sz w:val="24"/>
                <w:szCs w:val="24"/>
              </w:rPr>
              <w:t>1.38</w:t>
            </w:r>
          </w:p>
        </w:tc>
        <w:tc>
          <w:tcPr>
            <w:tcW w:w="810" w:type="dxa"/>
            <w:shd w:val="clear" w:color="auto" w:fill="auto"/>
            <w:vAlign w:val="center"/>
          </w:tcPr>
          <w:p w14:paraId="3DB0129C" w14:textId="4409C7A6" w:rsidR="003D3855" w:rsidRPr="00B06C2F" w:rsidRDefault="003D3855" w:rsidP="003105EC">
            <w:pPr>
              <w:jc w:val="right"/>
              <w:textAlignment w:val="baseline"/>
              <w:rPr>
                <w:rFonts w:cs="Arial"/>
                <w:color w:val="000000" w:themeColor="text1"/>
                <w:sz w:val="24"/>
                <w:szCs w:val="24"/>
              </w:rPr>
            </w:pPr>
            <w:r w:rsidRPr="00B06C2F">
              <w:rPr>
                <w:rFonts w:cs="Arial"/>
                <w:color w:val="000000"/>
                <w:sz w:val="24"/>
                <w:szCs w:val="24"/>
              </w:rPr>
              <w:t>1.43</w:t>
            </w:r>
          </w:p>
        </w:tc>
      </w:tr>
      <w:tr w:rsidR="003D3855" w:rsidRPr="00B06C2F" w14:paraId="1FD9DEA6" w14:textId="26C6B24E" w:rsidTr="005D691B">
        <w:trPr>
          <w:cantSplit/>
          <w:tblHeader/>
        </w:trPr>
        <w:tc>
          <w:tcPr>
            <w:tcW w:w="1350" w:type="dxa"/>
            <w:vAlign w:val="center"/>
          </w:tcPr>
          <w:p w14:paraId="0F97E4DD" w14:textId="4FA8D2DE" w:rsidR="003D3855" w:rsidRPr="00B06C2F" w:rsidRDefault="000F785A" w:rsidP="003105EC">
            <w:pPr>
              <w:textAlignment w:val="baseline"/>
              <w:rPr>
                <w:rFonts w:cs="Arial"/>
                <w:sz w:val="24"/>
                <w:szCs w:val="24"/>
              </w:rPr>
            </w:pPr>
            <w:r w:rsidRPr="00B06C2F">
              <w:rPr>
                <w:rFonts w:cs="Arial"/>
                <w:sz w:val="24"/>
                <w:szCs w:val="24"/>
              </w:rPr>
              <w:t>SED</w:t>
            </w:r>
          </w:p>
        </w:tc>
        <w:tc>
          <w:tcPr>
            <w:tcW w:w="1260" w:type="dxa"/>
            <w:vAlign w:val="center"/>
          </w:tcPr>
          <w:p w14:paraId="513398CC" w14:textId="6F312D20" w:rsidR="003D3855" w:rsidRPr="00B06C2F" w:rsidRDefault="003D3855" w:rsidP="003105EC">
            <w:pPr>
              <w:jc w:val="right"/>
              <w:textAlignment w:val="baseline"/>
              <w:rPr>
                <w:rFonts w:cs="Arial"/>
                <w:sz w:val="24"/>
                <w:szCs w:val="24"/>
              </w:rPr>
            </w:pPr>
            <w:r w:rsidRPr="00B06C2F">
              <w:rPr>
                <w:rFonts w:cs="Arial"/>
                <w:sz w:val="24"/>
                <w:szCs w:val="24"/>
              </w:rPr>
              <w:t>61.53%</w:t>
            </w:r>
          </w:p>
        </w:tc>
        <w:tc>
          <w:tcPr>
            <w:tcW w:w="1260" w:type="dxa"/>
            <w:vAlign w:val="center"/>
          </w:tcPr>
          <w:p w14:paraId="4379B1E3" w14:textId="3A10247D" w:rsidR="003D3855" w:rsidRPr="00B06C2F" w:rsidRDefault="003D3855" w:rsidP="003105EC">
            <w:pPr>
              <w:jc w:val="right"/>
              <w:textAlignment w:val="baseline"/>
              <w:rPr>
                <w:rFonts w:cs="Arial"/>
                <w:sz w:val="24"/>
                <w:szCs w:val="24"/>
              </w:rPr>
            </w:pPr>
            <w:r w:rsidRPr="00B06C2F">
              <w:rPr>
                <w:rFonts w:cs="Arial"/>
                <w:sz w:val="24"/>
                <w:szCs w:val="24"/>
              </w:rPr>
              <w:t>80.3%</w:t>
            </w:r>
          </w:p>
        </w:tc>
        <w:tc>
          <w:tcPr>
            <w:tcW w:w="1260" w:type="dxa"/>
            <w:vAlign w:val="center"/>
          </w:tcPr>
          <w:p w14:paraId="2EAA1AE5" w14:textId="1EAE9C7E" w:rsidR="003D3855" w:rsidRPr="00B06C2F" w:rsidRDefault="003D3855" w:rsidP="003105EC">
            <w:pPr>
              <w:jc w:val="right"/>
              <w:textAlignment w:val="baseline"/>
              <w:rPr>
                <w:rFonts w:cs="Arial"/>
                <w:sz w:val="24"/>
                <w:szCs w:val="24"/>
              </w:rPr>
            </w:pPr>
            <w:r w:rsidRPr="00B06C2F">
              <w:rPr>
                <w:rFonts w:cs="Arial"/>
                <w:color w:val="000000"/>
                <w:sz w:val="24"/>
                <w:szCs w:val="24"/>
              </w:rPr>
              <w:t>60.9%</w:t>
            </w:r>
          </w:p>
        </w:tc>
        <w:tc>
          <w:tcPr>
            <w:tcW w:w="1440" w:type="dxa"/>
            <w:vAlign w:val="center"/>
          </w:tcPr>
          <w:p w14:paraId="4ED69D54" w14:textId="1D6CC5E8" w:rsidR="003D3855" w:rsidRPr="00B06C2F" w:rsidRDefault="003D3855" w:rsidP="003105EC">
            <w:pPr>
              <w:jc w:val="right"/>
              <w:textAlignment w:val="baseline"/>
              <w:rPr>
                <w:rFonts w:cs="Arial"/>
                <w:sz w:val="24"/>
                <w:szCs w:val="24"/>
              </w:rPr>
            </w:pPr>
            <w:r w:rsidRPr="00B06C2F">
              <w:rPr>
                <w:rFonts w:cs="Arial"/>
                <w:color w:val="000000"/>
                <w:sz w:val="24"/>
                <w:szCs w:val="24"/>
              </w:rPr>
              <w:t>80.9%</w:t>
            </w:r>
          </w:p>
        </w:tc>
        <w:tc>
          <w:tcPr>
            <w:tcW w:w="1260" w:type="dxa"/>
            <w:vAlign w:val="center"/>
          </w:tcPr>
          <w:p w14:paraId="1A5E8D10" w14:textId="77777777" w:rsidR="003D3855" w:rsidRPr="00B06C2F" w:rsidRDefault="003D3855" w:rsidP="003105EC">
            <w:pPr>
              <w:jc w:val="right"/>
              <w:textAlignment w:val="baseline"/>
              <w:rPr>
                <w:rFonts w:cs="Arial"/>
                <w:color w:val="000000"/>
                <w:sz w:val="24"/>
                <w:szCs w:val="24"/>
              </w:rPr>
            </w:pPr>
            <w:r w:rsidRPr="00B06C2F">
              <w:rPr>
                <w:rFonts w:cs="Arial"/>
                <w:color w:val="000000"/>
                <w:sz w:val="24"/>
                <w:szCs w:val="24"/>
              </w:rPr>
              <w:t>60.7%</w:t>
            </w:r>
          </w:p>
        </w:tc>
        <w:tc>
          <w:tcPr>
            <w:tcW w:w="1260" w:type="dxa"/>
            <w:vAlign w:val="center"/>
          </w:tcPr>
          <w:p w14:paraId="385667B8" w14:textId="77777777" w:rsidR="003D3855" w:rsidRPr="00B06C2F" w:rsidRDefault="003D3855" w:rsidP="003105EC">
            <w:pPr>
              <w:jc w:val="right"/>
              <w:textAlignment w:val="baseline"/>
              <w:rPr>
                <w:rFonts w:cs="Arial"/>
                <w:sz w:val="24"/>
                <w:szCs w:val="24"/>
              </w:rPr>
            </w:pPr>
            <w:r w:rsidRPr="00B06C2F">
              <w:rPr>
                <w:rFonts w:cs="Arial"/>
                <w:color w:val="000000"/>
                <w:sz w:val="24"/>
                <w:szCs w:val="24"/>
              </w:rPr>
              <w:t>66.5%</w:t>
            </w:r>
          </w:p>
        </w:tc>
        <w:tc>
          <w:tcPr>
            <w:tcW w:w="1260" w:type="dxa"/>
            <w:shd w:val="clear" w:color="auto" w:fill="auto"/>
            <w:vAlign w:val="center"/>
          </w:tcPr>
          <w:p w14:paraId="541138E8" w14:textId="761966C4" w:rsidR="003D3855" w:rsidRPr="00B06C2F" w:rsidRDefault="003D3855" w:rsidP="003105EC">
            <w:pPr>
              <w:jc w:val="right"/>
              <w:textAlignment w:val="baseline"/>
              <w:rPr>
                <w:rFonts w:cs="Arial"/>
                <w:sz w:val="24"/>
                <w:szCs w:val="24"/>
              </w:rPr>
            </w:pPr>
            <w:r w:rsidRPr="00B06C2F">
              <w:rPr>
                <w:rFonts w:cs="Arial"/>
                <w:color w:val="000000"/>
                <w:sz w:val="24"/>
                <w:szCs w:val="24"/>
              </w:rPr>
              <w:t>60.33%</w:t>
            </w:r>
          </w:p>
        </w:tc>
        <w:tc>
          <w:tcPr>
            <w:tcW w:w="1260" w:type="dxa"/>
            <w:shd w:val="clear" w:color="auto" w:fill="auto"/>
            <w:vAlign w:val="center"/>
          </w:tcPr>
          <w:p w14:paraId="09208D9A" w14:textId="0C6DE92A" w:rsidR="003D3855" w:rsidRPr="00B06C2F" w:rsidRDefault="003D3855" w:rsidP="003105EC">
            <w:pPr>
              <w:jc w:val="right"/>
              <w:textAlignment w:val="baseline"/>
              <w:rPr>
                <w:rFonts w:cs="Arial"/>
                <w:sz w:val="24"/>
                <w:szCs w:val="24"/>
              </w:rPr>
            </w:pPr>
            <w:r w:rsidRPr="00B06C2F">
              <w:rPr>
                <w:rFonts w:cs="Arial"/>
                <w:color w:val="000000"/>
                <w:sz w:val="24"/>
                <w:szCs w:val="24"/>
              </w:rPr>
              <w:t>67.77%</w:t>
            </w:r>
          </w:p>
        </w:tc>
        <w:tc>
          <w:tcPr>
            <w:tcW w:w="810" w:type="dxa"/>
            <w:shd w:val="clear" w:color="auto" w:fill="auto"/>
            <w:vAlign w:val="center"/>
          </w:tcPr>
          <w:p w14:paraId="65D5CD91" w14:textId="77B3574E" w:rsidR="003D3855" w:rsidRPr="00B06C2F" w:rsidRDefault="003D3855" w:rsidP="003105EC">
            <w:pPr>
              <w:jc w:val="right"/>
              <w:textAlignment w:val="baseline"/>
              <w:rPr>
                <w:rFonts w:cs="Arial"/>
                <w:sz w:val="24"/>
                <w:szCs w:val="24"/>
              </w:rPr>
            </w:pPr>
            <w:r w:rsidRPr="00B06C2F">
              <w:rPr>
                <w:rFonts w:cs="Arial"/>
                <w:sz w:val="24"/>
                <w:szCs w:val="24"/>
              </w:rPr>
              <w:t>1.31</w:t>
            </w:r>
          </w:p>
        </w:tc>
        <w:tc>
          <w:tcPr>
            <w:tcW w:w="810" w:type="dxa"/>
            <w:vAlign w:val="center"/>
          </w:tcPr>
          <w:p w14:paraId="563C17B4" w14:textId="08750ABB" w:rsidR="003D3855" w:rsidRPr="00B06C2F" w:rsidRDefault="003D3855" w:rsidP="003105EC">
            <w:pPr>
              <w:jc w:val="right"/>
              <w:textAlignment w:val="baseline"/>
              <w:rPr>
                <w:rFonts w:cs="Arial"/>
                <w:sz w:val="24"/>
                <w:szCs w:val="24"/>
              </w:rPr>
            </w:pPr>
            <w:r w:rsidRPr="00B06C2F">
              <w:rPr>
                <w:rFonts w:cs="Arial"/>
                <w:sz w:val="24"/>
                <w:szCs w:val="24"/>
              </w:rPr>
              <w:t>1.33</w:t>
            </w:r>
          </w:p>
        </w:tc>
        <w:tc>
          <w:tcPr>
            <w:tcW w:w="810" w:type="dxa"/>
            <w:vAlign w:val="center"/>
          </w:tcPr>
          <w:p w14:paraId="5A664109" w14:textId="77777777" w:rsidR="003D3855" w:rsidRPr="00B06C2F" w:rsidRDefault="003D3855" w:rsidP="003105EC">
            <w:pPr>
              <w:jc w:val="right"/>
              <w:textAlignment w:val="baseline"/>
              <w:rPr>
                <w:rFonts w:cs="Arial"/>
                <w:color w:val="000000" w:themeColor="text1"/>
                <w:sz w:val="24"/>
                <w:szCs w:val="24"/>
              </w:rPr>
            </w:pPr>
            <w:r w:rsidRPr="00B06C2F">
              <w:rPr>
                <w:rFonts w:cs="Arial"/>
                <w:color w:val="000000" w:themeColor="text1"/>
                <w:sz w:val="24"/>
                <w:szCs w:val="24"/>
              </w:rPr>
              <w:t>1.10</w:t>
            </w:r>
          </w:p>
        </w:tc>
        <w:tc>
          <w:tcPr>
            <w:tcW w:w="810" w:type="dxa"/>
            <w:shd w:val="clear" w:color="auto" w:fill="auto"/>
            <w:vAlign w:val="center"/>
          </w:tcPr>
          <w:p w14:paraId="2FB326B0" w14:textId="463D019F" w:rsidR="003D3855" w:rsidRPr="00B06C2F" w:rsidRDefault="003D3855" w:rsidP="003105EC">
            <w:pPr>
              <w:jc w:val="right"/>
              <w:textAlignment w:val="baseline"/>
              <w:rPr>
                <w:rFonts w:cs="Arial"/>
                <w:color w:val="000000" w:themeColor="text1"/>
                <w:sz w:val="24"/>
                <w:szCs w:val="24"/>
              </w:rPr>
            </w:pPr>
            <w:r w:rsidRPr="00B06C2F">
              <w:rPr>
                <w:rFonts w:cs="Arial"/>
                <w:color w:val="000000"/>
                <w:sz w:val="24"/>
                <w:szCs w:val="24"/>
              </w:rPr>
              <w:t>1.12</w:t>
            </w:r>
          </w:p>
        </w:tc>
      </w:tr>
      <w:tr w:rsidR="003D3855" w:rsidRPr="00B06C2F" w14:paraId="26415E03" w14:textId="06E00B4D" w:rsidTr="005D691B">
        <w:trPr>
          <w:cantSplit/>
          <w:tblHeader/>
        </w:trPr>
        <w:tc>
          <w:tcPr>
            <w:tcW w:w="1350" w:type="dxa"/>
            <w:vAlign w:val="center"/>
          </w:tcPr>
          <w:p w14:paraId="043F3AC2" w14:textId="3C856046" w:rsidR="003D3855" w:rsidRPr="00B06C2F" w:rsidRDefault="000F785A" w:rsidP="003105EC">
            <w:pPr>
              <w:textAlignment w:val="baseline"/>
              <w:rPr>
                <w:rFonts w:cs="Arial"/>
                <w:sz w:val="24"/>
                <w:szCs w:val="24"/>
              </w:rPr>
            </w:pPr>
            <w:r w:rsidRPr="00B06C2F">
              <w:rPr>
                <w:rFonts w:cs="Arial"/>
                <w:sz w:val="24"/>
                <w:szCs w:val="24"/>
              </w:rPr>
              <w:t>SWD</w:t>
            </w:r>
          </w:p>
        </w:tc>
        <w:tc>
          <w:tcPr>
            <w:tcW w:w="1260" w:type="dxa"/>
            <w:vAlign w:val="center"/>
          </w:tcPr>
          <w:p w14:paraId="08BDDDA7" w14:textId="4C9D1B89" w:rsidR="003D3855" w:rsidRPr="00B06C2F" w:rsidRDefault="003D3855" w:rsidP="003105EC">
            <w:pPr>
              <w:jc w:val="right"/>
              <w:textAlignment w:val="baseline"/>
              <w:rPr>
                <w:rFonts w:cs="Arial"/>
                <w:sz w:val="24"/>
                <w:szCs w:val="24"/>
              </w:rPr>
            </w:pPr>
            <w:r w:rsidRPr="00B06C2F">
              <w:rPr>
                <w:rFonts w:cs="Arial"/>
                <w:sz w:val="24"/>
                <w:szCs w:val="24"/>
              </w:rPr>
              <w:t>11.32%</w:t>
            </w:r>
          </w:p>
        </w:tc>
        <w:tc>
          <w:tcPr>
            <w:tcW w:w="1260" w:type="dxa"/>
            <w:vAlign w:val="center"/>
          </w:tcPr>
          <w:p w14:paraId="76ECF37B" w14:textId="1854AA3A" w:rsidR="003D3855" w:rsidRPr="00B06C2F" w:rsidRDefault="003D3855" w:rsidP="003105EC">
            <w:pPr>
              <w:jc w:val="right"/>
              <w:textAlignment w:val="baseline"/>
              <w:rPr>
                <w:rFonts w:cs="Arial"/>
                <w:sz w:val="24"/>
                <w:szCs w:val="24"/>
              </w:rPr>
            </w:pPr>
            <w:r w:rsidRPr="00B06C2F">
              <w:rPr>
                <w:rFonts w:cs="Arial"/>
                <w:sz w:val="24"/>
                <w:szCs w:val="24"/>
              </w:rPr>
              <w:t>14.0%</w:t>
            </w:r>
          </w:p>
        </w:tc>
        <w:tc>
          <w:tcPr>
            <w:tcW w:w="1260" w:type="dxa"/>
            <w:vAlign w:val="center"/>
          </w:tcPr>
          <w:p w14:paraId="7B45AF24" w14:textId="2BB642C0" w:rsidR="003D3855" w:rsidRPr="00B06C2F" w:rsidRDefault="003D3855" w:rsidP="003105EC">
            <w:pPr>
              <w:jc w:val="right"/>
              <w:textAlignment w:val="baseline"/>
              <w:rPr>
                <w:rFonts w:cs="Arial"/>
                <w:sz w:val="24"/>
                <w:szCs w:val="24"/>
              </w:rPr>
            </w:pPr>
            <w:r w:rsidRPr="00B06C2F">
              <w:rPr>
                <w:rFonts w:cs="Arial"/>
                <w:color w:val="000000"/>
                <w:sz w:val="24"/>
                <w:szCs w:val="24"/>
              </w:rPr>
              <w:t>11.7%</w:t>
            </w:r>
          </w:p>
        </w:tc>
        <w:tc>
          <w:tcPr>
            <w:tcW w:w="1440" w:type="dxa"/>
            <w:vAlign w:val="center"/>
          </w:tcPr>
          <w:p w14:paraId="3B5CE2DA" w14:textId="70F12753" w:rsidR="003D3855" w:rsidRPr="00B06C2F" w:rsidRDefault="003D3855" w:rsidP="003105EC">
            <w:pPr>
              <w:jc w:val="right"/>
              <w:textAlignment w:val="baseline"/>
              <w:rPr>
                <w:rFonts w:cs="Arial"/>
                <w:sz w:val="24"/>
                <w:szCs w:val="24"/>
              </w:rPr>
            </w:pPr>
            <w:r w:rsidRPr="00B06C2F">
              <w:rPr>
                <w:rFonts w:cs="Arial"/>
                <w:color w:val="000000"/>
                <w:sz w:val="24"/>
                <w:szCs w:val="24"/>
              </w:rPr>
              <w:t>14.1%</w:t>
            </w:r>
          </w:p>
        </w:tc>
        <w:tc>
          <w:tcPr>
            <w:tcW w:w="1260" w:type="dxa"/>
            <w:vAlign w:val="center"/>
          </w:tcPr>
          <w:p w14:paraId="757798E3" w14:textId="6B4589EF" w:rsidR="003D3855" w:rsidRPr="00B06C2F" w:rsidRDefault="003D3855" w:rsidP="003105EC">
            <w:pPr>
              <w:jc w:val="right"/>
              <w:textAlignment w:val="baseline"/>
              <w:rPr>
                <w:rFonts w:cs="Arial"/>
                <w:color w:val="000000"/>
                <w:sz w:val="24"/>
                <w:szCs w:val="24"/>
              </w:rPr>
            </w:pPr>
            <w:r w:rsidRPr="00B06C2F">
              <w:rPr>
                <w:rFonts w:cs="Arial"/>
                <w:color w:val="000000"/>
                <w:sz w:val="24"/>
                <w:szCs w:val="24"/>
              </w:rPr>
              <w:t>11.7%</w:t>
            </w:r>
          </w:p>
        </w:tc>
        <w:tc>
          <w:tcPr>
            <w:tcW w:w="1260" w:type="dxa"/>
            <w:vAlign w:val="center"/>
          </w:tcPr>
          <w:p w14:paraId="0831388D" w14:textId="77777777" w:rsidR="003D3855" w:rsidRPr="00B06C2F" w:rsidRDefault="003D3855" w:rsidP="003105EC">
            <w:pPr>
              <w:jc w:val="right"/>
              <w:textAlignment w:val="baseline"/>
              <w:rPr>
                <w:rFonts w:cs="Arial"/>
                <w:sz w:val="24"/>
                <w:szCs w:val="24"/>
              </w:rPr>
            </w:pPr>
            <w:r w:rsidRPr="00B06C2F">
              <w:rPr>
                <w:rFonts w:cs="Arial"/>
                <w:color w:val="000000"/>
                <w:sz w:val="24"/>
                <w:szCs w:val="24"/>
              </w:rPr>
              <w:t>11.9%</w:t>
            </w:r>
          </w:p>
        </w:tc>
        <w:tc>
          <w:tcPr>
            <w:tcW w:w="1260" w:type="dxa"/>
            <w:shd w:val="clear" w:color="auto" w:fill="auto"/>
            <w:vAlign w:val="center"/>
          </w:tcPr>
          <w:p w14:paraId="0B3C059F" w14:textId="55253FC5" w:rsidR="003D3855" w:rsidRPr="00B06C2F" w:rsidRDefault="003D3855" w:rsidP="003105EC">
            <w:pPr>
              <w:jc w:val="right"/>
              <w:textAlignment w:val="baseline"/>
              <w:rPr>
                <w:rFonts w:cs="Arial"/>
                <w:sz w:val="24"/>
                <w:szCs w:val="24"/>
              </w:rPr>
            </w:pPr>
            <w:r w:rsidRPr="00B06C2F">
              <w:rPr>
                <w:rFonts w:cs="Arial"/>
                <w:color w:val="000000"/>
                <w:sz w:val="24"/>
                <w:szCs w:val="24"/>
              </w:rPr>
              <w:t>12.48%</w:t>
            </w:r>
          </w:p>
        </w:tc>
        <w:tc>
          <w:tcPr>
            <w:tcW w:w="1260" w:type="dxa"/>
            <w:shd w:val="clear" w:color="auto" w:fill="auto"/>
            <w:vAlign w:val="center"/>
          </w:tcPr>
          <w:p w14:paraId="2EBDC4D8" w14:textId="6F96B1AB" w:rsidR="003D3855" w:rsidRPr="00B06C2F" w:rsidRDefault="003D3855" w:rsidP="003105EC">
            <w:pPr>
              <w:jc w:val="right"/>
              <w:textAlignment w:val="baseline"/>
              <w:rPr>
                <w:rFonts w:cs="Arial"/>
                <w:sz w:val="24"/>
                <w:szCs w:val="24"/>
              </w:rPr>
            </w:pPr>
            <w:r w:rsidRPr="00B06C2F">
              <w:rPr>
                <w:rFonts w:cs="Arial"/>
                <w:color w:val="000000"/>
                <w:sz w:val="24"/>
                <w:szCs w:val="24"/>
              </w:rPr>
              <w:t>11.24%</w:t>
            </w:r>
          </w:p>
        </w:tc>
        <w:tc>
          <w:tcPr>
            <w:tcW w:w="810" w:type="dxa"/>
            <w:shd w:val="clear" w:color="auto" w:fill="auto"/>
            <w:vAlign w:val="center"/>
          </w:tcPr>
          <w:p w14:paraId="635324E7" w14:textId="362949E4" w:rsidR="003D3855" w:rsidRPr="00B06C2F" w:rsidRDefault="003D3855" w:rsidP="003105EC">
            <w:pPr>
              <w:jc w:val="right"/>
              <w:textAlignment w:val="baseline"/>
              <w:rPr>
                <w:rFonts w:cs="Arial"/>
                <w:sz w:val="24"/>
                <w:szCs w:val="24"/>
              </w:rPr>
            </w:pPr>
            <w:r w:rsidRPr="00B06C2F">
              <w:rPr>
                <w:rFonts w:cs="Arial"/>
                <w:sz w:val="24"/>
                <w:szCs w:val="24"/>
              </w:rPr>
              <w:t>1.24</w:t>
            </w:r>
          </w:p>
        </w:tc>
        <w:tc>
          <w:tcPr>
            <w:tcW w:w="810" w:type="dxa"/>
            <w:vAlign w:val="center"/>
          </w:tcPr>
          <w:p w14:paraId="07BBAE27" w14:textId="0D294E86" w:rsidR="003D3855" w:rsidRPr="00B06C2F" w:rsidRDefault="003D3855" w:rsidP="003105EC">
            <w:pPr>
              <w:jc w:val="right"/>
              <w:textAlignment w:val="baseline"/>
              <w:rPr>
                <w:rFonts w:cs="Arial"/>
                <w:sz w:val="24"/>
                <w:szCs w:val="24"/>
              </w:rPr>
            </w:pPr>
            <w:r w:rsidRPr="00B06C2F">
              <w:rPr>
                <w:rFonts w:cs="Arial"/>
                <w:sz w:val="24"/>
                <w:szCs w:val="24"/>
              </w:rPr>
              <w:t>1.20</w:t>
            </w:r>
          </w:p>
        </w:tc>
        <w:tc>
          <w:tcPr>
            <w:tcW w:w="810" w:type="dxa"/>
            <w:vAlign w:val="center"/>
          </w:tcPr>
          <w:p w14:paraId="4614C7CA" w14:textId="77777777" w:rsidR="003D3855" w:rsidRPr="00B06C2F" w:rsidRDefault="003D3855" w:rsidP="003105EC">
            <w:pPr>
              <w:jc w:val="right"/>
              <w:textAlignment w:val="baseline"/>
              <w:rPr>
                <w:rFonts w:cs="Arial"/>
                <w:color w:val="000000" w:themeColor="text1"/>
                <w:sz w:val="24"/>
                <w:szCs w:val="24"/>
              </w:rPr>
            </w:pPr>
            <w:r w:rsidRPr="00B06C2F">
              <w:rPr>
                <w:rFonts w:cs="Arial"/>
                <w:color w:val="000000" w:themeColor="text1"/>
                <w:sz w:val="24"/>
                <w:szCs w:val="24"/>
              </w:rPr>
              <w:t>1.02</w:t>
            </w:r>
          </w:p>
        </w:tc>
        <w:tc>
          <w:tcPr>
            <w:tcW w:w="810" w:type="dxa"/>
            <w:shd w:val="clear" w:color="auto" w:fill="auto"/>
            <w:vAlign w:val="center"/>
          </w:tcPr>
          <w:p w14:paraId="5C1E48E3" w14:textId="2D741431" w:rsidR="003D3855" w:rsidRPr="00B06C2F" w:rsidRDefault="003D3855" w:rsidP="003105EC">
            <w:pPr>
              <w:jc w:val="right"/>
              <w:textAlignment w:val="baseline"/>
              <w:rPr>
                <w:rFonts w:cs="Arial"/>
                <w:color w:val="000000" w:themeColor="text1"/>
                <w:sz w:val="24"/>
                <w:szCs w:val="24"/>
              </w:rPr>
            </w:pPr>
            <w:r w:rsidRPr="00B06C2F">
              <w:rPr>
                <w:rFonts w:cs="Arial"/>
                <w:color w:val="000000"/>
                <w:sz w:val="24"/>
                <w:szCs w:val="24"/>
              </w:rPr>
              <w:t>0.90</w:t>
            </w:r>
          </w:p>
        </w:tc>
      </w:tr>
    </w:tbl>
    <w:p w14:paraId="0DFB1667" w14:textId="6F7F1C86" w:rsidR="000F785A" w:rsidRPr="00B06C2F" w:rsidRDefault="000F785A" w:rsidP="000215EE">
      <w:pPr>
        <w:spacing w:before="240" w:after="240"/>
        <w:rPr>
          <w:rFonts w:ascii="Helvetica" w:eastAsia="Helvetica" w:hAnsi="Helvetica" w:cs="Helvetica"/>
          <w:bCs/>
          <w:color w:val="000000" w:themeColor="text1"/>
        </w:rPr>
      </w:pPr>
      <w:r w:rsidRPr="00B06C2F">
        <w:rPr>
          <w:rFonts w:ascii="Helvetica" w:eastAsia="Helvetica" w:hAnsi="Helvetica" w:cs="Helvetica"/>
          <w:bCs/>
          <w:color w:val="000000" w:themeColor="text1"/>
        </w:rPr>
        <w:t>DI = Disproportionality Index</w:t>
      </w:r>
      <w:r w:rsidR="0083561D" w:rsidRPr="00B06C2F">
        <w:rPr>
          <w:rFonts w:ascii="Helvetica" w:eastAsia="Helvetica" w:hAnsi="Helvetica" w:cs="Helvetica"/>
          <w:bCs/>
          <w:color w:val="000000" w:themeColor="text1"/>
        </w:rPr>
        <w:t xml:space="preserve">; </w:t>
      </w:r>
      <w:r w:rsidRPr="00B06C2F">
        <w:rPr>
          <w:rFonts w:ascii="Helvetica" w:eastAsia="Helvetica" w:hAnsi="Helvetica" w:cs="Helvetica"/>
          <w:bCs/>
          <w:color w:val="000000" w:themeColor="text1"/>
        </w:rPr>
        <w:t>SED = Socioeconomically Disadvantaged</w:t>
      </w:r>
      <w:r w:rsidR="0083561D" w:rsidRPr="00B06C2F">
        <w:rPr>
          <w:rFonts w:ascii="Helvetica" w:eastAsia="Helvetica" w:hAnsi="Helvetica" w:cs="Helvetica"/>
          <w:bCs/>
          <w:color w:val="000000" w:themeColor="text1"/>
        </w:rPr>
        <w:t xml:space="preserve">; </w:t>
      </w:r>
      <w:r w:rsidRPr="00B06C2F">
        <w:rPr>
          <w:rFonts w:ascii="Helvetica" w:eastAsia="Helvetica" w:hAnsi="Helvetica" w:cs="Helvetica"/>
          <w:bCs/>
          <w:color w:val="000000" w:themeColor="text1"/>
        </w:rPr>
        <w:t>SWD = Students with Disabilities</w:t>
      </w:r>
    </w:p>
    <w:p w14:paraId="7954510C" w14:textId="77777777" w:rsidR="008F5920" w:rsidRPr="00B06C2F" w:rsidRDefault="008F5920" w:rsidP="00B47306">
      <w:pPr>
        <w:spacing w:line="480" w:lineRule="exact"/>
        <w:rPr>
          <w:rFonts w:ascii="Helvetica" w:eastAsia="Helvetica" w:hAnsi="Helvetica" w:cs="Helvetica"/>
          <w:b/>
          <w:bCs/>
          <w:color w:val="000000" w:themeColor="text1"/>
        </w:rPr>
      </w:pPr>
    </w:p>
    <w:p w14:paraId="07459315" w14:textId="5664EFE7" w:rsidR="008F5920" w:rsidRPr="00B06C2F" w:rsidRDefault="008F5920" w:rsidP="00B47306">
      <w:pPr>
        <w:spacing w:line="480" w:lineRule="exact"/>
        <w:rPr>
          <w:rFonts w:ascii="Helvetica" w:eastAsia="Helvetica" w:hAnsi="Helvetica" w:cs="Helvetica"/>
          <w:b/>
          <w:bCs/>
          <w:color w:val="000000" w:themeColor="text1"/>
        </w:rPr>
        <w:sectPr w:rsidR="008F5920" w:rsidRPr="00B06C2F" w:rsidSect="002875F1">
          <w:pgSz w:w="15840" w:h="12240" w:orient="landscape"/>
          <w:pgMar w:top="1440" w:right="1440" w:bottom="1440" w:left="720" w:header="720" w:footer="720" w:gutter="0"/>
          <w:cols w:space="720"/>
          <w:docGrid w:linePitch="326"/>
        </w:sectPr>
      </w:pPr>
    </w:p>
    <w:p w14:paraId="35019C77" w14:textId="77777777" w:rsidR="005E2AC6" w:rsidRPr="00B06C2F" w:rsidRDefault="005E2AC6" w:rsidP="000215EE">
      <w:pPr>
        <w:pStyle w:val="Heading4"/>
      </w:pPr>
      <w:r w:rsidRPr="00B06C2F">
        <w:rPr>
          <w:rFonts w:eastAsia="Helvetica"/>
        </w:rPr>
        <w:lastRenderedPageBreak/>
        <w:t xml:space="preserve">Summary of Disproportionality of Program Student Group in </w:t>
      </w:r>
      <w:r w:rsidRPr="00B06C2F">
        <w:t>2017–18, 2018</w:t>
      </w:r>
      <w:r w:rsidRPr="00B06C2F">
        <w:rPr>
          <w:bCs/>
          <w:szCs w:val="22"/>
        </w:rPr>
        <w:t>–</w:t>
      </w:r>
      <w:r w:rsidRPr="00B06C2F">
        <w:t>19, 2019–20, and 2020–21</w:t>
      </w:r>
    </w:p>
    <w:p w14:paraId="34066594" w14:textId="1945732A" w:rsidR="005E2AC6" w:rsidRPr="00B06C2F" w:rsidRDefault="005E2AC6" w:rsidP="00B3226D">
      <w:pPr>
        <w:spacing w:after="240"/>
        <w:rPr>
          <w:rFonts w:eastAsia="Helvetica" w:cs="Arial"/>
        </w:rPr>
      </w:pPr>
      <w:r w:rsidRPr="00B06C2F">
        <w:rPr>
          <w:rFonts w:eastAsia="Helvetica" w:cs="Arial"/>
        </w:rPr>
        <w:t xml:space="preserve">Table 5 indicates that trends in disproportionality from 2017–18 continued into 2020–21 for all program student groups. However, when compared against the 2017–18 baseline year, the </w:t>
      </w:r>
      <w:r w:rsidRPr="00B06C2F">
        <w:rPr>
          <w:rFonts w:cs="Arial"/>
        </w:rPr>
        <w:t>Disproportionality Index</w:t>
      </w:r>
      <w:r w:rsidRPr="00B06C2F">
        <w:rPr>
          <w:rFonts w:eastAsia="Helvetica" w:cs="Arial"/>
        </w:rPr>
        <w:t xml:space="preserve"> has markedly declined for the Foster Youth and Students with Disabilities student groups. Within the last four years, of the DASS transfer student population, there has been:</w:t>
      </w:r>
    </w:p>
    <w:p w14:paraId="12229629" w14:textId="77777777" w:rsidR="005E2AC6" w:rsidRPr="00B06C2F" w:rsidRDefault="005E2AC6" w:rsidP="00B3226D">
      <w:pPr>
        <w:pStyle w:val="ListParagraph"/>
        <w:numPr>
          <w:ilvl w:val="0"/>
          <w:numId w:val="23"/>
        </w:numPr>
        <w:spacing w:after="240"/>
        <w:rPr>
          <w:rFonts w:eastAsia="Helvetica" w:cs="Arial"/>
          <w:szCs w:val="24"/>
        </w:rPr>
      </w:pPr>
      <w:r w:rsidRPr="00B06C2F">
        <w:rPr>
          <w:rFonts w:eastAsia="Helvetica" w:cs="Arial"/>
          <w:szCs w:val="24"/>
        </w:rPr>
        <w:t>A disproportionally higher percentage of Foster Youth students</w:t>
      </w:r>
    </w:p>
    <w:p w14:paraId="70C61FB1" w14:textId="41A1C664" w:rsidR="005E2AC6" w:rsidRPr="00B06C2F" w:rsidRDefault="005E2AC6" w:rsidP="00B3226D">
      <w:pPr>
        <w:pStyle w:val="ListParagraph"/>
        <w:numPr>
          <w:ilvl w:val="0"/>
          <w:numId w:val="23"/>
        </w:numPr>
        <w:spacing w:after="240"/>
        <w:rPr>
          <w:rFonts w:ascii="Helvetica" w:eastAsia="Helvetica" w:hAnsi="Helvetica" w:cs="Helvetica"/>
          <w:b/>
          <w:bCs/>
          <w:color w:val="000000" w:themeColor="text1"/>
        </w:rPr>
      </w:pPr>
      <w:r w:rsidRPr="00B06C2F">
        <w:rPr>
          <w:rFonts w:eastAsia="Helvetica" w:cs="Arial"/>
          <w:szCs w:val="24"/>
        </w:rPr>
        <w:t>A disproportionally lower representation of English Learners and Students with Disabilities</w:t>
      </w:r>
    </w:p>
    <w:p w14:paraId="1041D9AC" w14:textId="77777777" w:rsidR="00B47306" w:rsidRPr="00B06C2F" w:rsidRDefault="00B47306" w:rsidP="000215EE">
      <w:pPr>
        <w:pStyle w:val="Heading4"/>
      </w:pPr>
      <w:r w:rsidRPr="00B06C2F">
        <w:t>Findings</w:t>
      </w:r>
    </w:p>
    <w:p w14:paraId="2BCD618E" w14:textId="7644BA20" w:rsidR="00B47306" w:rsidRPr="00B06C2F" w:rsidRDefault="5084460A" w:rsidP="00B3226D">
      <w:pPr>
        <w:spacing w:after="240" w:line="257" w:lineRule="exact"/>
        <w:rPr>
          <w:rFonts w:eastAsia="Arial" w:cs="Arial"/>
          <w:color w:val="000000" w:themeColor="text1"/>
        </w:rPr>
      </w:pPr>
      <w:r w:rsidRPr="00B06C2F">
        <w:rPr>
          <w:rFonts w:eastAsia="Arial" w:cs="Arial"/>
          <w:color w:val="000000" w:themeColor="text1"/>
        </w:rPr>
        <w:t xml:space="preserve">The analyses show that </w:t>
      </w:r>
      <w:r w:rsidR="760FF669" w:rsidRPr="00B06C2F">
        <w:rPr>
          <w:rFonts w:eastAsia="Arial" w:cs="Arial"/>
          <w:color w:val="000000" w:themeColor="text1"/>
        </w:rPr>
        <w:t xml:space="preserve">for a second consecutive year, </w:t>
      </w:r>
      <w:r w:rsidRPr="00B06C2F">
        <w:rPr>
          <w:rFonts w:eastAsia="Arial" w:cs="Arial"/>
          <w:color w:val="000000" w:themeColor="text1"/>
        </w:rPr>
        <w:t xml:space="preserve">there </w:t>
      </w:r>
      <w:r w:rsidR="760FF669" w:rsidRPr="00B06C2F">
        <w:rPr>
          <w:rFonts w:eastAsia="Arial" w:cs="Arial"/>
          <w:color w:val="000000" w:themeColor="text1"/>
        </w:rPr>
        <w:t>is</w:t>
      </w:r>
      <w:r w:rsidRPr="00B06C2F">
        <w:rPr>
          <w:rFonts w:eastAsia="Arial" w:cs="Arial"/>
          <w:color w:val="000000" w:themeColor="text1"/>
        </w:rPr>
        <w:t xml:space="preserve"> an overall decrease in student transfers from non-alternative high schools to DASS high schools. </w:t>
      </w:r>
      <w:r w:rsidR="5F7B4F00" w:rsidRPr="00B06C2F">
        <w:rPr>
          <w:rFonts w:eastAsia="Arial" w:cs="Arial"/>
          <w:color w:val="000000" w:themeColor="text1"/>
        </w:rPr>
        <w:t xml:space="preserve">In 2020–21, </w:t>
      </w:r>
      <w:r w:rsidRPr="00B06C2F">
        <w:rPr>
          <w:rFonts w:eastAsia="Arial" w:cs="Arial"/>
          <w:color w:val="000000" w:themeColor="text1"/>
        </w:rPr>
        <w:t xml:space="preserve">there were </w:t>
      </w:r>
      <w:r w:rsidR="5F7B4F00" w:rsidRPr="00B06C2F">
        <w:rPr>
          <w:rFonts w:eastAsia="Arial" w:cs="Arial"/>
          <w:color w:val="000000" w:themeColor="text1"/>
        </w:rPr>
        <w:t>12,569</w:t>
      </w:r>
      <w:r w:rsidRPr="00B06C2F">
        <w:rPr>
          <w:rFonts w:eastAsia="Arial" w:cs="Arial"/>
          <w:color w:val="000000" w:themeColor="text1"/>
        </w:rPr>
        <w:t xml:space="preserve"> fewer transfers, which translates into a </w:t>
      </w:r>
      <w:r w:rsidR="5F7B4F00" w:rsidRPr="00B06C2F">
        <w:rPr>
          <w:rFonts w:eastAsia="Arial" w:cs="Arial"/>
          <w:color w:val="000000" w:themeColor="text1"/>
        </w:rPr>
        <w:t>25.8</w:t>
      </w:r>
      <w:r w:rsidRPr="00B06C2F">
        <w:rPr>
          <w:rFonts w:eastAsia="Arial" w:cs="Arial"/>
          <w:color w:val="000000" w:themeColor="text1"/>
        </w:rPr>
        <w:t xml:space="preserve"> percent decrease from the </w:t>
      </w:r>
      <w:r w:rsidR="2F6D3EFF" w:rsidRPr="00B06C2F">
        <w:rPr>
          <w:rFonts w:eastAsia="Arial" w:cs="Arial"/>
          <w:color w:val="000000" w:themeColor="text1"/>
        </w:rPr>
        <w:t xml:space="preserve">2017–18 </w:t>
      </w:r>
      <w:r w:rsidRPr="00B06C2F">
        <w:rPr>
          <w:rFonts w:eastAsia="Arial" w:cs="Arial"/>
          <w:color w:val="000000" w:themeColor="text1"/>
        </w:rPr>
        <w:t>base year.</w:t>
      </w:r>
    </w:p>
    <w:p w14:paraId="5E439643" w14:textId="7A92429E" w:rsidR="00B47306" w:rsidRPr="00B06C2F" w:rsidRDefault="00B47306" w:rsidP="00B3226D">
      <w:pPr>
        <w:spacing w:after="240" w:line="257" w:lineRule="exact"/>
        <w:rPr>
          <w:rFonts w:eastAsia="Arial" w:cs="Arial"/>
          <w:color w:val="000000" w:themeColor="text1"/>
        </w:rPr>
      </w:pPr>
      <w:r w:rsidRPr="00B06C2F">
        <w:rPr>
          <w:rFonts w:eastAsia="Arial" w:cs="Arial"/>
          <w:color w:val="000000" w:themeColor="text1"/>
        </w:rPr>
        <w:t>One question that merits analysis is whether these declines in transfer counts are due to an overall decline in the DASS student population from 2017–18 through 20</w:t>
      </w:r>
      <w:r w:rsidR="004F7AE8" w:rsidRPr="00B06C2F">
        <w:rPr>
          <w:rFonts w:eastAsia="Arial" w:cs="Arial"/>
          <w:color w:val="000000" w:themeColor="text1"/>
        </w:rPr>
        <w:t>20</w:t>
      </w:r>
      <w:r w:rsidRPr="00B06C2F">
        <w:rPr>
          <w:rFonts w:eastAsia="Arial" w:cs="Arial"/>
          <w:color w:val="000000" w:themeColor="text1"/>
        </w:rPr>
        <w:t>–2</w:t>
      </w:r>
      <w:r w:rsidR="004F7AE8" w:rsidRPr="00B06C2F">
        <w:rPr>
          <w:rFonts w:eastAsia="Arial" w:cs="Arial"/>
          <w:color w:val="000000" w:themeColor="text1"/>
        </w:rPr>
        <w:t>1</w:t>
      </w:r>
      <w:r w:rsidR="00734724" w:rsidRPr="00B06C2F">
        <w:rPr>
          <w:rFonts w:eastAsia="Arial" w:cs="Arial"/>
          <w:color w:val="000000" w:themeColor="text1"/>
        </w:rPr>
        <w:t xml:space="preserve">. To answer this question, the overall population of high school students were examined first to review if </w:t>
      </w:r>
      <w:r w:rsidR="000A4DCE" w:rsidRPr="00B06C2F">
        <w:rPr>
          <w:rFonts w:eastAsia="Arial" w:cs="Arial"/>
          <w:color w:val="000000" w:themeColor="text1"/>
        </w:rPr>
        <w:t xml:space="preserve">there has been </w:t>
      </w:r>
      <w:r w:rsidR="00734724" w:rsidRPr="00B06C2F">
        <w:rPr>
          <w:rFonts w:eastAsia="Arial" w:cs="Arial"/>
          <w:color w:val="000000" w:themeColor="text1"/>
        </w:rPr>
        <w:t xml:space="preserve">a </w:t>
      </w:r>
      <w:r w:rsidR="005D623A" w:rsidRPr="00B06C2F">
        <w:rPr>
          <w:rFonts w:eastAsia="Arial" w:cs="Arial"/>
          <w:color w:val="000000" w:themeColor="text1"/>
        </w:rPr>
        <w:t>general decline of high school students across the state</w:t>
      </w:r>
      <w:r w:rsidR="000A4DCE" w:rsidRPr="00B06C2F">
        <w:rPr>
          <w:rFonts w:eastAsia="Arial" w:cs="Arial"/>
          <w:color w:val="000000" w:themeColor="text1"/>
        </w:rPr>
        <w:t xml:space="preserve">. </w:t>
      </w:r>
      <w:r w:rsidR="00D3540D" w:rsidRPr="00B06C2F">
        <w:rPr>
          <w:rFonts w:eastAsia="Arial" w:cs="Arial"/>
          <w:color w:val="000000" w:themeColor="text1"/>
        </w:rPr>
        <w:t xml:space="preserve">As seen in </w:t>
      </w:r>
      <w:r w:rsidRPr="00B06C2F">
        <w:rPr>
          <w:rFonts w:eastAsia="Arial" w:cs="Arial"/>
          <w:color w:val="000000" w:themeColor="text1"/>
        </w:rPr>
        <w:t xml:space="preserve">Table </w:t>
      </w:r>
      <w:r w:rsidR="00D3540D" w:rsidRPr="00B06C2F">
        <w:rPr>
          <w:rFonts w:eastAsia="Arial" w:cs="Arial"/>
          <w:color w:val="000000" w:themeColor="text1"/>
        </w:rPr>
        <w:t xml:space="preserve">6, </w:t>
      </w:r>
      <w:r w:rsidRPr="00B06C2F">
        <w:rPr>
          <w:rFonts w:eastAsia="Arial" w:cs="Arial"/>
          <w:color w:val="000000" w:themeColor="text1"/>
        </w:rPr>
        <w:t xml:space="preserve">the </w:t>
      </w:r>
      <w:r w:rsidR="00D3540D" w:rsidRPr="00B06C2F">
        <w:rPr>
          <w:rFonts w:eastAsia="Arial" w:cs="Arial"/>
          <w:color w:val="000000" w:themeColor="text1"/>
        </w:rPr>
        <w:t xml:space="preserve">total </w:t>
      </w:r>
      <w:r w:rsidRPr="00B06C2F">
        <w:rPr>
          <w:rFonts w:eastAsia="Arial" w:cs="Arial"/>
          <w:color w:val="000000" w:themeColor="text1"/>
        </w:rPr>
        <w:t xml:space="preserve">number of high school students </w:t>
      </w:r>
      <w:r w:rsidR="00D3540D" w:rsidRPr="00B06C2F">
        <w:rPr>
          <w:rFonts w:eastAsia="Arial" w:cs="Arial"/>
          <w:color w:val="000000" w:themeColor="text1"/>
        </w:rPr>
        <w:t>has</w:t>
      </w:r>
      <w:r w:rsidR="000A4DCE" w:rsidRPr="00B06C2F">
        <w:rPr>
          <w:rFonts w:eastAsia="Arial" w:cs="Arial"/>
          <w:color w:val="000000" w:themeColor="text1"/>
        </w:rPr>
        <w:t>, in fact,</w:t>
      </w:r>
      <w:r w:rsidR="00D3540D" w:rsidRPr="00B06C2F">
        <w:rPr>
          <w:rFonts w:eastAsia="Arial" w:cs="Arial"/>
          <w:color w:val="000000" w:themeColor="text1"/>
        </w:rPr>
        <w:t xml:space="preserve"> continued to </w:t>
      </w:r>
      <w:r w:rsidRPr="00B06C2F">
        <w:rPr>
          <w:rFonts w:eastAsia="Arial" w:cs="Arial"/>
          <w:color w:val="000000" w:themeColor="text1"/>
        </w:rPr>
        <w:t>increase</w:t>
      </w:r>
      <w:r w:rsidR="00D3540D" w:rsidRPr="00B06C2F">
        <w:rPr>
          <w:rFonts w:eastAsia="Arial" w:cs="Arial"/>
          <w:color w:val="000000" w:themeColor="text1"/>
        </w:rPr>
        <w:t xml:space="preserve"> each year</w:t>
      </w:r>
      <w:r w:rsidRPr="00B06C2F">
        <w:rPr>
          <w:rFonts w:eastAsia="Arial" w:cs="Arial"/>
          <w:color w:val="000000" w:themeColor="text1"/>
        </w:rPr>
        <w:t xml:space="preserve"> by </w:t>
      </w:r>
      <w:r w:rsidR="000A4DCE" w:rsidRPr="00B06C2F">
        <w:rPr>
          <w:rFonts w:eastAsia="Arial" w:cs="Arial"/>
          <w:color w:val="000000" w:themeColor="text1"/>
        </w:rPr>
        <w:t>more than</w:t>
      </w:r>
      <w:r w:rsidRPr="00B06C2F">
        <w:rPr>
          <w:rFonts w:eastAsia="Arial" w:cs="Arial"/>
          <w:color w:val="000000" w:themeColor="text1"/>
        </w:rPr>
        <w:t xml:space="preserve"> </w:t>
      </w:r>
      <w:r w:rsidR="000A4DCE" w:rsidRPr="00B06C2F">
        <w:rPr>
          <w:rFonts w:eastAsia="Arial" w:cs="Arial"/>
          <w:color w:val="000000" w:themeColor="text1"/>
        </w:rPr>
        <w:t>26,</w:t>
      </w:r>
      <w:r w:rsidR="003F2D81" w:rsidRPr="00B06C2F">
        <w:rPr>
          <w:rFonts w:eastAsia="Arial" w:cs="Arial"/>
          <w:color w:val="000000" w:themeColor="text1"/>
        </w:rPr>
        <w:t>600</w:t>
      </w:r>
      <w:r w:rsidRPr="00B06C2F">
        <w:rPr>
          <w:rFonts w:eastAsia="Arial" w:cs="Arial"/>
          <w:color w:val="000000" w:themeColor="text1"/>
        </w:rPr>
        <w:t xml:space="preserve"> during th</w:t>
      </w:r>
      <w:r w:rsidR="00D3540D" w:rsidRPr="00B06C2F">
        <w:rPr>
          <w:rFonts w:eastAsia="Arial" w:cs="Arial"/>
          <w:color w:val="000000" w:themeColor="text1"/>
        </w:rPr>
        <w:t>e last four years</w:t>
      </w:r>
      <w:r w:rsidRPr="00B06C2F">
        <w:rPr>
          <w:rFonts w:eastAsia="Arial" w:cs="Arial"/>
          <w:color w:val="000000" w:themeColor="text1"/>
        </w:rPr>
        <w:t>.</w:t>
      </w:r>
    </w:p>
    <w:p w14:paraId="2646899F" w14:textId="3607C61A" w:rsidR="00B47306" w:rsidRPr="00B06C2F" w:rsidRDefault="00B47306" w:rsidP="000215EE">
      <w:pPr>
        <w:pStyle w:val="Heading5"/>
      </w:pPr>
      <w:r w:rsidRPr="00B06C2F">
        <w:t>Table 6. Statewide Census Data</w:t>
      </w:r>
      <w:r w:rsidR="00B938FE" w:rsidRPr="00B06C2F">
        <w:t xml:space="preserve"> from 2017–18 to 202</w:t>
      </w:r>
      <w:r w:rsidR="0091206A" w:rsidRPr="00B06C2F">
        <w:t>0</w:t>
      </w:r>
      <w:r w:rsidR="00B938FE" w:rsidRPr="00B06C2F">
        <w:t>–2</w:t>
      </w:r>
      <w:r w:rsidR="0091206A" w:rsidRPr="00B06C2F">
        <w:t>1</w:t>
      </w:r>
    </w:p>
    <w:tbl>
      <w:tblPr>
        <w:tblStyle w:val="TableGrid1"/>
        <w:tblW w:w="8925" w:type="dxa"/>
        <w:tblLayout w:type="fixed"/>
        <w:tblLook w:val="04A0" w:firstRow="1" w:lastRow="0" w:firstColumn="1" w:lastColumn="0" w:noHBand="0" w:noVBand="1"/>
        <w:tblCaption w:val="Statewide Census Data from 2017-18 to 2020-21"/>
        <w:tblDescription w:val="Statewide Census Data from 2017-18 to 2020-21 for the 2017–18, 2018–19, 2019–20, and 2020–21 school years"/>
      </w:tblPr>
      <w:tblGrid>
        <w:gridCol w:w="1620"/>
        <w:gridCol w:w="1620"/>
        <w:gridCol w:w="1275"/>
        <w:gridCol w:w="1365"/>
        <w:gridCol w:w="1380"/>
        <w:gridCol w:w="1665"/>
      </w:tblGrid>
      <w:tr w:rsidR="00B47306" w:rsidRPr="00B06C2F" w14:paraId="300B539C" w14:textId="77777777" w:rsidTr="005D691B">
        <w:trPr>
          <w:cantSplit/>
          <w:trHeight w:val="395"/>
          <w:tblHeader/>
        </w:trPr>
        <w:tc>
          <w:tcPr>
            <w:tcW w:w="1620" w:type="dxa"/>
            <w:shd w:val="clear" w:color="auto" w:fill="D9D9D9" w:themeFill="background1" w:themeFillShade="D9"/>
            <w:vAlign w:val="center"/>
          </w:tcPr>
          <w:p w14:paraId="4826C1B8" w14:textId="77777777" w:rsidR="00B47306" w:rsidRPr="00B06C2F" w:rsidRDefault="2B1FE227" w:rsidP="003105EC">
            <w:pPr>
              <w:jc w:val="center"/>
              <w:rPr>
                <w:rFonts w:cs="Arial"/>
                <w:b/>
                <w:bCs/>
                <w:sz w:val="24"/>
                <w:szCs w:val="24"/>
              </w:rPr>
            </w:pPr>
            <w:r w:rsidRPr="00B06C2F">
              <w:rPr>
                <w:rFonts w:cs="Arial"/>
                <w:b/>
                <w:bCs/>
                <w:sz w:val="24"/>
                <w:szCs w:val="24"/>
              </w:rPr>
              <w:t>School Year</w:t>
            </w:r>
          </w:p>
        </w:tc>
        <w:tc>
          <w:tcPr>
            <w:tcW w:w="1620" w:type="dxa"/>
            <w:shd w:val="clear" w:color="auto" w:fill="D9D9D9" w:themeFill="background1" w:themeFillShade="D9"/>
            <w:vAlign w:val="center"/>
          </w:tcPr>
          <w:p w14:paraId="42075824" w14:textId="77777777" w:rsidR="00B47306" w:rsidRPr="00B06C2F" w:rsidRDefault="00B47306" w:rsidP="003105EC">
            <w:pPr>
              <w:spacing w:beforeAutospacing="1" w:afterAutospacing="1"/>
              <w:jc w:val="center"/>
              <w:rPr>
                <w:rFonts w:eastAsia="Arial" w:cs="Arial"/>
                <w:b/>
                <w:bCs/>
                <w:sz w:val="24"/>
                <w:szCs w:val="24"/>
              </w:rPr>
            </w:pPr>
            <w:r w:rsidRPr="00B06C2F">
              <w:rPr>
                <w:rFonts w:eastAsia="Arial" w:cs="Arial"/>
                <w:b/>
                <w:bCs/>
                <w:sz w:val="24"/>
                <w:szCs w:val="24"/>
              </w:rPr>
              <w:t>Grade 9</w:t>
            </w:r>
          </w:p>
        </w:tc>
        <w:tc>
          <w:tcPr>
            <w:tcW w:w="1275" w:type="dxa"/>
            <w:shd w:val="clear" w:color="auto" w:fill="D9D9D9" w:themeFill="background1" w:themeFillShade="D9"/>
            <w:vAlign w:val="center"/>
          </w:tcPr>
          <w:p w14:paraId="0526FC07" w14:textId="77777777" w:rsidR="00B47306" w:rsidRPr="00B06C2F" w:rsidRDefault="00B47306" w:rsidP="003105EC">
            <w:pPr>
              <w:spacing w:before="100" w:beforeAutospacing="1" w:after="100" w:afterAutospacing="1"/>
              <w:jc w:val="center"/>
              <w:rPr>
                <w:rFonts w:eastAsia="Arial" w:cs="Arial"/>
                <w:b/>
                <w:bCs/>
                <w:sz w:val="24"/>
                <w:szCs w:val="24"/>
              </w:rPr>
            </w:pPr>
            <w:r w:rsidRPr="00B06C2F">
              <w:rPr>
                <w:rFonts w:eastAsia="Arial" w:cs="Arial"/>
                <w:b/>
                <w:bCs/>
                <w:sz w:val="24"/>
                <w:szCs w:val="24"/>
              </w:rPr>
              <w:t>Grade 10</w:t>
            </w:r>
          </w:p>
        </w:tc>
        <w:tc>
          <w:tcPr>
            <w:tcW w:w="1365" w:type="dxa"/>
            <w:shd w:val="clear" w:color="auto" w:fill="D9D9D9" w:themeFill="background1" w:themeFillShade="D9"/>
            <w:vAlign w:val="center"/>
          </w:tcPr>
          <w:p w14:paraId="2BF96F88" w14:textId="77777777" w:rsidR="00B47306" w:rsidRPr="00B06C2F" w:rsidRDefault="00B47306" w:rsidP="003105EC">
            <w:pPr>
              <w:spacing w:beforeAutospacing="1" w:afterAutospacing="1"/>
              <w:jc w:val="center"/>
              <w:rPr>
                <w:rFonts w:eastAsia="Arial" w:cs="Arial"/>
                <w:b/>
                <w:bCs/>
                <w:sz w:val="24"/>
                <w:szCs w:val="24"/>
              </w:rPr>
            </w:pPr>
            <w:r w:rsidRPr="00B06C2F">
              <w:rPr>
                <w:rFonts w:eastAsia="Arial" w:cs="Arial"/>
                <w:b/>
                <w:bCs/>
                <w:sz w:val="24"/>
                <w:szCs w:val="24"/>
              </w:rPr>
              <w:t>Grade 11</w:t>
            </w:r>
          </w:p>
        </w:tc>
        <w:tc>
          <w:tcPr>
            <w:tcW w:w="1380" w:type="dxa"/>
            <w:shd w:val="clear" w:color="auto" w:fill="D9D9D9" w:themeFill="background1" w:themeFillShade="D9"/>
            <w:vAlign w:val="center"/>
          </w:tcPr>
          <w:p w14:paraId="46B02432" w14:textId="77777777" w:rsidR="00B47306" w:rsidRPr="00B06C2F" w:rsidRDefault="00B47306" w:rsidP="003105EC">
            <w:pPr>
              <w:spacing w:before="100" w:beforeAutospacing="1"/>
              <w:jc w:val="center"/>
              <w:rPr>
                <w:rFonts w:eastAsia="Arial" w:cs="Arial"/>
                <w:b/>
                <w:bCs/>
                <w:sz w:val="24"/>
                <w:szCs w:val="24"/>
              </w:rPr>
            </w:pPr>
            <w:r w:rsidRPr="00B06C2F">
              <w:rPr>
                <w:rFonts w:eastAsia="Arial" w:cs="Arial"/>
                <w:b/>
                <w:bCs/>
                <w:sz w:val="24"/>
                <w:szCs w:val="24"/>
              </w:rPr>
              <w:t>Grade 12</w:t>
            </w:r>
          </w:p>
        </w:tc>
        <w:tc>
          <w:tcPr>
            <w:tcW w:w="1665" w:type="dxa"/>
            <w:shd w:val="clear" w:color="auto" w:fill="D9D9D9" w:themeFill="background1" w:themeFillShade="D9"/>
            <w:vAlign w:val="center"/>
          </w:tcPr>
          <w:p w14:paraId="379FCE85" w14:textId="61D6678A" w:rsidR="00B47306" w:rsidRPr="00B06C2F" w:rsidRDefault="009C067E" w:rsidP="003105EC">
            <w:pPr>
              <w:spacing w:beforeAutospacing="1" w:afterAutospacing="1"/>
              <w:jc w:val="center"/>
              <w:rPr>
                <w:rFonts w:eastAsia="Arial" w:cs="Arial"/>
                <w:b/>
                <w:bCs/>
                <w:sz w:val="24"/>
                <w:szCs w:val="24"/>
              </w:rPr>
            </w:pPr>
            <w:r w:rsidRPr="00B06C2F">
              <w:rPr>
                <w:rFonts w:eastAsia="Arial" w:cs="Arial"/>
                <w:b/>
                <w:bCs/>
                <w:sz w:val="24"/>
                <w:szCs w:val="24"/>
              </w:rPr>
              <w:t>Total</w:t>
            </w:r>
          </w:p>
        </w:tc>
      </w:tr>
      <w:tr w:rsidR="00003924" w:rsidRPr="00B06C2F" w14:paraId="3AD6B04A" w14:textId="77777777" w:rsidTr="005D691B">
        <w:trPr>
          <w:cantSplit/>
          <w:trHeight w:val="300"/>
        </w:trPr>
        <w:tc>
          <w:tcPr>
            <w:tcW w:w="1620" w:type="dxa"/>
          </w:tcPr>
          <w:p w14:paraId="1B517D63" w14:textId="492214D8" w:rsidR="00003924" w:rsidRPr="00B06C2F" w:rsidRDefault="00003924" w:rsidP="003105EC">
            <w:pPr>
              <w:jc w:val="center"/>
              <w:rPr>
                <w:color w:val="000000" w:themeColor="text1"/>
                <w:sz w:val="24"/>
                <w:szCs w:val="24"/>
              </w:rPr>
            </w:pPr>
            <w:r w:rsidRPr="00B06C2F">
              <w:rPr>
                <w:rFonts w:eastAsia="Arial" w:cs="Arial"/>
                <w:color w:val="000000" w:themeColor="text1"/>
                <w:sz w:val="24"/>
                <w:szCs w:val="24"/>
              </w:rPr>
              <w:t>2017–18</w:t>
            </w:r>
          </w:p>
        </w:tc>
        <w:tc>
          <w:tcPr>
            <w:tcW w:w="1620" w:type="dxa"/>
          </w:tcPr>
          <w:p w14:paraId="130A74B7" w14:textId="0D6B621F"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495,277</w:t>
            </w:r>
          </w:p>
        </w:tc>
        <w:tc>
          <w:tcPr>
            <w:tcW w:w="1275" w:type="dxa"/>
          </w:tcPr>
          <w:p w14:paraId="572667B4" w14:textId="6B9FE4B9"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483,745</w:t>
            </w:r>
          </w:p>
        </w:tc>
        <w:tc>
          <w:tcPr>
            <w:tcW w:w="1365" w:type="dxa"/>
          </w:tcPr>
          <w:p w14:paraId="5E37E0C5" w14:textId="70168683"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475,696</w:t>
            </w:r>
          </w:p>
        </w:tc>
        <w:tc>
          <w:tcPr>
            <w:tcW w:w="1380" w:type="dxa"/>
          </w:tcPr>
          <w:p w14:paraId="0E63ADC0" w14:textId="2B3352CA"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489,221</w:t>
            </w:r>
          </w:p>
        </w:tc>
        <w:tc>
          <w:tcPr>
            <w:tcW w:w="1665" w:type="dxa"/>
          </w:tcPr>
          <w:p w14:paraId="3F1A0E5F" w14:textId="35D8A448" w:rsidR="00003924" w:rsidRPr="00B06C2F" w:rsidRDefault="00003924" w:rsidP="003105EC">
            <w:pPr>
              <w:spacing w:beforeAutospacing="1" w:afterAutospacing="1"/>
              <w:jc w:val="center"/>
              <w:rPr>
                <w:rFonts w:eastAsia="Arial" w:cs="Arial"/>
                <w:b/>
                <w:bCs/>
                <w:sz w:val="24"/>
                <w:szCs w:val="24"/>
              </w:rPr>
            </w:pPr>
            <w:r w:rsidRPr="00B06C2F">
              <w:rPr>
                <w:rFonts w:eastAsia="Arial" w:cs="Arial"/>
                <w:b/>
                <w:bCs/>
                <w:sz w:val="24"/>
                <w:szCs w:val="24"/>
              </w:rPr>
              <w:t>1,943,939</w:t>
            </w:r>
          </w:p>
        </w:tc>
      </w:tr>
      <w:tr w:rsidR="00003924" w:rsidRPr="00B06C2F" w14:paraId="456D3421" w14:textId="77777777" w:rsidTr="005D691B">
        <w:trPr>
          <w:cantSplit/>
          <w:trHeight w:val="300"/>
        </w:trPr>
        <w:tc>
          <w:tcPr>
            <w:tcW w:w="1620" w:type="dxa"/>
          </w:tcPr>
          <w:p w14:paraId="77F8954B" w14:textId="347AD06B" w:rsidR="00003924" w:rsidRPr="00B06C2F" w:rsidRDefault="00003924" w:rsidP="003105EC">
            <w:pPr>
              <w:jc w:val="center"/>
              <w:rPr>
                <w:color w:val="000000" w:themeColor="text1"/>
                <w:sz w:val="24"/>
                <w:szCs w:val="24"/>
              </w:rPr>
            </w:pPr>
            <w:r w:rsidRPr="00B06C2F">
              <w:rPr>
                <w:rFonts w:eastAsia="Arial" w:cs="Arial"/>
                <w:color w:val="000000" w:themeColor="text1"/>
                <w:sz w:val="24"/>
                <w:szCs w:val="24"/>
              </w:rPr>
              <w:t>2018–19</w:t>
            </w:r>
          </w:p>
        </w:tc>
        <w:tc>
          <w:tcPr>
            <w:tcW w:w="1620" w:type="dxa"/>
          </w:tcPr>
          <w:p w14:paraId="7D3B7BEF" w14:textId="77777777"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493,903</w:t>
            </w:r>
          </w:p>
        </w:tc>
        <w:tc>
          <w:tcPr>
            <w:tcW w:w="1275" w:type="dxa"/>
          </w:tcPr>
          <w:p w14:paraId="2E7464FF" w14:textId="77777777"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492,690</w:t>
            </w:r>
          </w:p>
        </w:tc>
        <w:tc>
          <w:tcPr>
            <w:tcW w:w="1365" w:type="dxa"/>
          </w:tcPr>
          <w:p w14:paraId="4F99FA68" w14:textId="77777777"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474,843</w:t>
            </w:r>
          </w:p>
        </w:tc>
        <w:tc>
          <w:tcPr>
            <w:tcW w:w="1380" w:type="dxa"/>
          </w:tcPr>
          <w:p w14:paraId="0446F56A" w14:textId="77777777"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489,650</w:t>
            </w:r>
          </w:p>
        </w:tc>
        <w:tc>
          <w:tcPr>
            <w:tcW w:w="1665" w:type="dxa"/>
          </w:tcPr>
          <w:p w14:paraId="4613C3F8" w14:textId="77777777" w:rsidR="00003924" w:rsidRPr="00B06C2F" w:rsidRDefault="00003924" w:rsidP="003105EC">
            <w:pPr>
              <w:spacing w:beforeAutospacing="1" w:afterAutospacing="1"/>
              <w:jc w:val="center"/>
              <w:rPr>
                <w:rFonts w:eastAsia="Arial" w:cs="Arial"/>
                <w:b/>
                <w:sz w:val="24"/>
                <w:szCs w:val="24"/>
              </w:rPr>
            </w:pPr>
            <w:r w:rsidRPr="00B06C2F">
              <w:rPr>
                <w:rFonts w:eastAsia="Arial" w:cs="Arial"/>
                <w:b/>
                <w:sz w:val="24"/>
                <w:szCs w:val="24"/>
              </w:rPr>
              <w:t>1,951,086</w:t>
            </w:r>
          </w:p>
        </w:tc>
      </w:tr>
      <w:tr w:rsidR="00003924" w:rsidRPr="00B06C2F" w14:paraId="2066D087" w14:textId="77777777" w:rsidTr="005D691B">
        <w:trPr>
          <w:cantSplit/>
          <w:trHeight w:val="300"/>
        </w:trPr>
        <w:tc>
          <w:tcPr>
            <w:tcW w:w="1620" w:type="dxa"/>
          </w:tcPr>
          <w:p w14:paraId="1FAE677C" w14:textId="4EE77983" w:rsidR="00003924" w:rsidRPr="00B06C2F" w:rsidRDefault="00003924" w:rsidP="003105EC">
            <w:pPr>
              <w:jc w:val="center"/>
              <w:rPr>
                <w:color w:val="000000" w:themeColor="text1"/>
                <w:sz w:val="24"/>
                <w:szCs w:val="24"/>
              </w:rPr>
            </w:pPr>
            <w:r w:rsidRPr="00B06C2F">
              <w:rPr>
                <w:rFonts w:eastAsia="Arial" w:cs="Arial"/>
                <w:color w:val="000000" w:themeColor="text1"/>
                <w:sz w:val="24"/>
                <w:szCs w:val="24"/>
              </w:rPr>
              <w:t>2019–20</w:t>
            </w:r>
          </w:p>
        </w:tc>
        <w:tc>
          <w:tcPr>
            <w:tcW w:w="1620" w:type="dxa"/>
          </w:tcPr>
          <w:p w14:paraId="1DEF8414" w14:textId="12D96C8C"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500,397</w:t>
            </w:r>
          </w:p>
        </w:tc>
        <w:tc>
          <w:tcPr>
            <w:tcW w:w="1275" w:type="dxa"/>
          </w:tcPr>
          <w:p w14:paraId="23FF4724" w14:textId="3A25FB1F"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496,819</w:t>
            </w:r>
          </w:p>
        </w:tc>
        <w:tc>
          <w:tcPr>
            <w:tcW w:w="1365" w:type="dxa"/>
          </w:tcPr>
          <w:p w14:paraId="39BD584B" w14:textId="5E1F99F2"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479,381</w:t>
            </w:r>
          </w:p>
        </w:tc>
        <w:tc>
          <w:tcPr>
            <w:tcW w:w="1380" w:type="dxa"/>
          </w:tcPr>
          <w:p w14:paraId="4215C4DD" w14:textId="7D61AFE7"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486,592</w:t>
            </w:r>
          </w:p>
        </w:tc>
        <w:tc>
          <w:tcPr>
            <w:tcW w:w="1665" w:type="dxa"/>
          </w:tcPr>
          <w:p w14:paraId="4374B3DB" w14:textId="429E8587" w:rsidR="00003924" w:rsidRPr="00B06C2F" w:rsidRDefault="00003924" w:rsidP="003105EC">
            <w:pPr>
              <w:spacing w:beforeAutospacing="1" w:afterAutospacing="1"/>
              <w:jc w:val="center"/>
              <w:rPr>
                <w:rFonts w:eastAsia="Arial" w:cs="Arial"/>
                <w:b/>
                <w:bCs/>
                <w:sz w:val="24"/>
                <w:szCs w:val="24"/>
              </w:rPr>
            </w:pPr>
            <w:r w:rsidRPr="00B06C2F">
              <w:rPr>
                <w:rFonts w:eastAsia="Arial" w:cs="Arial"/>
                <w:b/>
                <w:bCs/>
                <w:sz w:val="24"/>
                <w:szCs w:val="24"/>
              </w:rPr>
              <w:t>1,963,189</w:t>
            </w:r>
          </w:p>
        </w:tc>
      </w:tr>
      <w:tr w:rsidR="00003924" w:rsidRPr="00B06C2F" w14:paraId="1E56EC21" w14:textId="77777777" w:rsidTr="005D691B">
        <w:trPr>
          <w:cantSplit/>
          <w:trHeight w:val="300"/>
        </w:trPr>
        <w:tc>
          <w:tcPr>
            <w:tcW w:w="1620" w:type="dxa"/>
          </w:tcPr>
          <w:p w14:paraId="41918161" w14:textId="67E5B621" w:rsidR="00003924" w:rsidRPr="00B06C2F" w:rsidRDefault="00003924" w:rsidP="003105EC">
            <w:pPr>
              <w:jc w:val="center"/>
              <w:rPr>
                <w:rFonts w:eastAsia="Arial" w:cs="Arial"/>
                <w:color w:val="000000" w:themeColor="text1"/>
                <w:sz w:val="24"/>
                <w:szCs w:val="24"/>
              </w:rPr>
            </w:pPr>
            <w:r w:rsidRPr="00B06C2F">
              <w:rPr>
                <w:rFonts w:eastAsia="Arial" w:cs="Arial"/>
                <w:color w:val="000000" w:themeColor="text1"/>
                <w:sz w:val="24"/>
                <w:szCs w:val="24"/>
              </w:rPr>
              <w:t>2020–21</w:t>
            </w:r>
          </w:p>
        </w:tc>
        <w:tc>
          <w:tcPr>
            <w:tcW w:w="1620" w:type="dxa"/>
            <w:vAlign w:val="bottom"/>
          </w:tcPr>
          <w:p w14:paraId="061D3930" w14:textId="4604248B"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501,926</w:t>
            </w:r>
          </w:p>
        </w:tc>
        <w:tc>
          <w:tcPr>
            <w:tcW w:w="1275" w:type="dxa"/>
            <w:vAlign w:val="bottom"/>
          </w:tcPr>
          <w:p w14:paraId="2A279CD6" w14:textId="1B42B80A"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496,383</w:t>
            </w:r>
          </w:p>
        </w:tc>
        <w:tc>
          <w:tcPr>
            <w:tcW w:w="1365" w:type="dxa"/>
            <w:vAlign w:val="bottom"/>
          </w:tcPr>
          <w:p w14:paraId="4CB892A3" w14:textId="44D39F0B"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480,561</w:t>
            </w:r>
          </w:p>
        </w:tc>
        <w:tc>
          <w:tcPr>
            <w:tcW w:w="1380" w:type="dxa"/>
            <w:vAlign w:val="bottom"/>
          </w:tcPr>
          <w:p w14:paraId="5FDE4956" w14:textId="489F5F61" w:rsidR="00003924" w:rsidRPr="00B06C2F" w:rsidRDefault="00003924" w:rsidP="003105EC">
            <w:pPr>
              <w:spacing w:beforeAutospacing="1" w:afterAutospacing="1"/>
              <w:jc w:val="center"/>
              <w:rPr>
                <w:rFonts w:eastAsia="Arial" w:cs="Arial"/>
                <w:color w:val="000000" w:themeColor="text1"/>
                <w:sz w:val="24"/>
                <w:szCs w:val="24"/>
              </w:rPr>
            </w:pPr>
            <w:r w:rsidRPr="00B06C2F">
              <w:rPr>
                <w:rFonts w:eastAsia="Arial" w:cs="Arial"/>
                <w:color w:val="000000" w:themeColor="text1"/>
                <w:sz w:val="24"/>
                <w:szCs w:val="24"/>
              </w:rPr>
              <w:t>491,750</w:t>
            </w:r>
          </w:p>
        </w:tc>
        <w:tc>
          <w:tcPr>
            <w:tcW w:w="1665" w:type="dxa"/>
            <w:vAlign w:val="bottom"/>
          </w:tcPr>
          <w:p w14:paraId="6DB04513" w14:textId="251AEDCC" w:rsidR="00003924" w:rsidRPr="00B06C2F" w:rsidRDefault="5DD80036" w:rsidP="003105EC">
            <w:pPr>
              <w:spacing w:beforeAutospacing="1" w:afterAutospacing="1"/>
              <w:jc w:val="center"/>
              <w:rPr>
                <w:rFonts w:eastAsia="Arial" w:cs="Arial"/>
                <w:b/>
                <w:bCs/>
                <w:color w:val="000000" w:themeColor="text1"/>
                <w:sz w:val="24"/>
                <w:szCs w:val="24"/>
              </w:rPr>
            </w:pPr>
            <w:r w:rsidRPr="00B06C2F">
              <w:rPr>
                <w:rFonts w:eastAsia="Arial" w:cs="Arial"/>
                <w:b/>
                <w:bCs/>
                <w:color w:val="000000" w:themeColor="text1"/>
                <w:sz w:val="24"/>
                <w:szCs w:val="24"/>
              </w:rPr>
              <w:t>1,970,620</w:t>
            </w:r>
          </w:p>
        </w:tc>
      </w:tr>
    </w:tbl>
    <w:p w14:paraId="591B5FE2" w14:textId="3574AC3E" w:rsidR="00B47306" w:rsidRPr="00B06C2F" w:rsidRDefault="00B47306" w:rsidP="00B3226D">
      <w:pPr>
        <w:spacing w:before="240" w:line="257" w:lineRule="exact"/>
        <w:rPr>
          <w:rFonts w:eastAsia="Arial" w:cs="Arial"/>
        </w:rPr>
      </w:pPr>
      <w:r w:rsidRPr="00B06C2F">
        <w:rPr>
          <w:rFonts w:eastAsia="Arial" w:cs="Arial"/>
        </w:rPr>
        <w:t xml:space="preserve">At the same time, </w:t>
      </w:r>
      <w:r w:rsidR="000A4DCE" w:rsidRPr="00B06C2F">
        <w:rPr>
          <w:rFonts w:eastAsia="Arial" w:cs="Arial"/>
        </w:rPr>
        <w:t xml:space="preserve">the </w:t>
      </w:r>
      <w:r w:rsidR="003F2D81" w:rsidRPr="00B06C2F">
        <w:rPr>
          <w:rFonts w:eastAsia="Arial" w:cs="Arial"/>
        </w:rPr>
        <w:t xml:space="preserve">overall </w:t>
      </w:r>
      <w:r w:rsidR="000A4DCE" w:rsidRPr="00B06C2F">
        <w:rPr>
          <w:rFonts w:eastAsia="Arial" w:cs="Arial"/>
        </w:rPr>
        <w:t>popu</w:t>
      </w:r>
      <w:r w:rsidR="005F670C" w:rsidRPr="00B06C2F">
        <w:rPr>
          <w:rFonts w:eastAsia="Arial" w:cs="Arial"/>
        </w:rPr>
        <w:t xml:space="preserve">lation of </w:t>
      </w:r>
      <w:r w:rsidR="003F2D81" w:rsidRPr="00B06C2F">
        <w:rPr>
          <w:rFonts w:eastAsia="Arial" w:cs="Arial"/>
        </w:rPr>
        <w:t>DASS</w:t>
      </w:r>
      <w:r w:rsidR="005F670C" w:rsidRPr="00B06C2F">
        <w:rPr>
          <w:rFonts w:eastAsia="Arial" w:cs="Arial"/>
        </w:rPr>
        <w:t xml:space="preserve"> students has steadily decrease</w:t>
      </w:r>
      <w:r w:rsidR="003F2D81" w:rsidRPr="00B06C2F">
        <w:rPr>
          <w:rFonts w:eastAsia="Arial" w:cs="Arial"/>
        </w:rPr>
        <w:t>d</w:t>
      </w:r>
      <w:r w:rsidR="005F670C" w:rsidRPr="00B06C2F">
        <w:rPr>
          <w:rFonts w:eastAsia="Arial" w:cs="Arial"/>
        </w:rPr>
        <w:t xml:space="preserve"> </w:t>
      </w:r>
      <w:r w:rsidRPr="00B06C2F">
        <w:rPr>
          <w:rFonts w:eastAsia="Arial" w:cs="Arial"/>
        </w:rPr>
        <w:t xml:space="preserve">since </w:t>
      </w:r>
      <w:r w:rsidR="005F670C" w:rsidRPr="00B06C2F">
        <w:rPr>
          <w:rFonts w:eastAsia="Arial" w:cs="Arial"/>
        </w:rPr>
        <w:t>2018</w:t>
      </w:r>
      <w:r w:rsidRPr="00B06C2F">
        <w:rPr>
          <w:rFonts w:eastAsia="Arial" w:cs="Arial"/>
          <w:color w:val="000000" w:themeColor="text1"/>
        </w:rPr>
        <w:t>–</w:t>
      </w:r>
      <w:r w:rsidRPr="00B06C2F">
        <w:rPr>
          <w:rFonts w:eastAsia="Arial" w:cs="Arial"/>
        </w:rPr>
        <w:t>1</w:t>
      </w:r>
      <w:r w:rsidR="005F670C" w:rsidRPr="00B06C2F">
        <w:rPr>
          <w:rFonts w:eastAsia="Arial" w:cs="Arial"/>
        </w:rPr>
        <w:t xml:space="preserve">9 by </w:t>
      </w:r>
      <w:r w:rsidR="000F392A" w:rsidRPr="00B06C2F">
        <w:rPr>
          <w:rFonts w:eastAsia="Arial" w:cs="Arial"/>
        </w:rPr>
        <w:t>more than 6,100</w:t>
      </w:r>
      <w:r w:rsidRPr="00B06C2F">
        <w:rPr>
          <w:rFonts w:eastAsia="Arial" w:cs="Arial"/>
        </w:rPr>
        <w:t xml:space="preserve"> </w:t>
      </w:r>
      <w:r w:rsidR="000A4DCE" w:rsidRPr="00B06C2F">
        <w:rPr>
          <w:rFonts w:eastAsia="Arial" w:cs="Arial"/>
        </w:rPr>
        <w:t xml:space="preserve">(refer to </w:t>
      </w:r>
      <w:r w:rsidRPr="00B06C2F">
        <w:rPr>
          <w:rFonts w:eastAsia="Arial" w:cs="Arial"/>
        </w:rPr>
        <w:t>Table 7</w:t>
      </w:r>
      <w:r w:rsidR="006B49CD" w:rsidRPr="00B06C2F">
        <w:rPr>
          <w:rFonts w:eastAsia="Arial" w:cs="Arial"/>
        </w:rPr>
        <w:t xml:space="preserve"> on the following page</w:t>
      </w:r>
      <w:r w:rsidR="000A4DCE" w:rsidRPr="00B06C2F">
        <w:rPr>
          <w:rFonts w:eastAsia="Arial" w:cs="Arial"/>
        </w:rPr>
        <w:t>)</w:t>
      </w:r>
      <w:r w:rsidRPr="00B06C2F">
        <w:rPr>
          <w:rFonts w:eastAsia="Arial" w:cs="Arial"/>
        </w:rPr>
        <w:t>.</w:t>
      </w:r>
    </w:p>
    <w:p w14:paraId="7A47EDAB" w14:textId="16BDABAE" w:rsidR="006B49CD" w:rsidRPr="00B06C2F" w:rsidRDefault="006B49CD">
      <w:r w:rsidRPr="00B06C2F">
        <w:br w:type="page"/>
      </w:r>
    </w:p>
    <w:p w14:paraId="3BBE2B99" w14:textId="048FE162" w:rsidR="00B47306" w:rsidRPr="00B06C2F" w:rsidRDefault="5084460A" w:rsidP="000215EE">
      <w:pPr>
        <w:pStyle w:val="Heading5"/>
      </w:pPr>
      <w:r w:rsidRPr="00B06C2F">
        <w:lastRenderedPageBreak/>
        <w:t xml:space="preserve">Table 7. Number of Students in DASS </w:t>
      </w:r>
      <w:r w:rsidR="0088703F" w:rsidRPr="00B06C2F">
        <w:t>Schools</w:t>
      </w:r>
      <w:r w:rsidRPr="00B06C2F">
        <w:t>, by Grade, from 2017–18 through 20</w:t>
      </w:r>
      <w:r w:rsidR="5BAFBCCA" w:rsidRPr="00B06C2F">
        <w:t>20</w:t>
      </w:r>
      <w:r w:rsidRPr="00B06C2F">
        <w:t>–2</w:t>
      </w:r>
      <w:r w:rsidR="5BAFBCCA" w:rsidRPr="00B06C2F">
        <w:t>1</w:t>
      </w:r>
    </w:p>
    <w:tbl>
      <w:tblPr>
        <w:tblStyle w:val="TableGrid3"/>
        <w:tblW w:w="9715" w:type="dxa"/>
        <w:jc w:val="center"/>
        <w:tblLayout w:type="fixed"/>
        <w:tblLook w:val="04A0" w:firstRow="1" w:lastRow="0" w:firstColumn="1" w:lastColumn="0" w:noHBand="0" w:noVBand="1"/>
        <w:tblCaption w:val="Number of Students in DASS Schools, by Grade, from 2017-18 through 2020-21"/>
        <w:tblDescription w:val="Number of Students in DASS Schools, by Grade, from 2017-18 through 2020-21 school years"/>
      </w:tblPr>
      <w:tblGrid>
        <w:gridCol w:w="1705"/>
        <w:gridCol w:w="1575"/>
        <w:gridCol w:w="1575"/>
        <w:gridCol w:w="1575"/>
        <w:gridCol w:w="1575"/>
        <w:gridCol w:w="1710"/>
      </w:tblGrid>
      <w:tr w:rsidR="00B47306" w:rsidRPr="00B06C2F" w14:paraId="60692365" w14:textId="77777777" w:rsidTr="005D691B">
        <w:trPr>
          <w:cantSplit/>
          <w:trHeight w:val="300"/>
          <w:tblHeader/>
          <w:jc w:val="center"/>
        </w:trPr>
        <w:tc>
          <w:tcPr>
            <w:tcW w:w="1705" w:type="dxa"/>
            <w:shd w:val="clear" w:color="auto" w:fill="D9D9D9" w:themeFill="background1" w:themeFillShade="D9"/>
            <w:vAlign w:val="center"/>
          </w:tcPr>
          <w:p w14:paraId="54B3D7D2" w14:textId="77777777" w:rsidR="00B47306" w:rsidRPr="00B06C2F" w:rsidRDefault="00B47306" w:rsidP="003105EC">
            <w:pPr>
              <w:jc w:val="center"/>
              <w:rPr>
                <w:rFonts w:eastAsia="Arial" w:cs="Arial"/>
                <w:b/>
                <w:bCs/>
                <w:color w:val="000000" w:themeColor="text1"/>
                <w:sz w:val="24"/>
                <w:szCs w:val="24"/>
              </w:rPr>
            </w:pPr>
            <w:r w:rsidRPr="00B06C2F">
              <w:rPr>
                <w:rFonts w:eastAsia="Arial" w:cs="Arial"/>
                <w:b/>
                <w:bCs/>
                <w:color w:val="000000" w:themeColor="text1"/>
                <w:sz w:val="24"/>
                <w:szCs w:val="24"/>
              </w:rPr>
              <w:t>School Year</w:t>
            </w:r>
          </w:p>
        </w:tc>
        <w:tc>
          <w:tcPr>
            <w:tcW w:w="1575" w:type="dxa"/>
            <w:shd w:val="clear" w:color="auto" w:fill="D9D9D9" w:themeFill="background1" w:themeFillShade="D9"/>
            <w:vAlign w:val="center"/>
          </w:tcPr>
          <w:p w14:paraId="38A2B54C" w14:textId="77777777" w:rsidR="00B47306" w:rsidRPr="00B06C2F" w:rsidRDefault="00B47306" w:rsidP="003105EC">
            <w:pPr>
              <w:jc w:val="center"/>
              <w:rPr>
                <w:rFonts w:eastAsia="Arial" w:cs="Arial"/>
                <w:color w:val="000000" w:themeColor="text1"/>
                <w:sz w:val="24"/>
                <w:szCs w:val="24"/>
              </w:rPr>
            </w:pPr>
            <w:r w:rsidRPr="00B06C2F">
              <w:rPr>
                <w:rFonts w:eastAsia="Arial" w:cs="Arial"/>
                <w:b/>
                <w:bCs/>
                <w:color w:val="000000" w:themeColor="text1"/>
                <w:sz w:val="24"/>
                <w:szCs w:val="24"/>
              </w:rPr>
              <w:t>Grade 9</w:t>
            </w:r>
          </w:p>
        </w:tc>
        <w:tc>
          <w:tcPr>
            <w:tcW w:w="1575" w:type="dxa"/>
            <w:shd w:val="clear" w:color="auto" w:fill="D9D9D9" w:themeFill="background1" w:themeFillShade="D9"/>
            <w:vAlign w:val="center"/>
          </w:tcPr>
          <w:p w14:paraId="1ED3B42C" w14:textId="77777777" w:rsidR="00B47306" w:rsidRPr="00B06C2F" w:rsidRDefault="00B47306" w:rsidP="003105EC">
            <w:pPr>
              <w:jc w:val="center"/>
              <w:rPr>
                <w:rFonts w:eastAsia="Arial" w:cs="Arial"/>
                <w:color w:val="000000" w:themeColor="text1"/>
                <w:sz w:val="24"/>
                <w:szCs w:val="24"/>
              </w:rPr>
            </w:pPr>
            <w:r w:rsidRPr="00B06C2F">
              <w:rPr>
                <w:rFonts w:eastAsia="Arial" w:cs="Arial"/>
                <w:b/>
                <w:bCs/>
                <w:color w:val="000000" w:themeColor="text1"/>
                <w:sz w:val="24"/>
                <w:szCs w:val="24"/>
              </w:rPr>
              <w:t>Grade 10</w:t>
            </w:r>
          </w:p>
        </w:tc>
        <w:tc>
          <w:tcPr>
            <w:tcW w:w="1575" w:type="dxa"/>
            <w:shd w:val="clear" w:color="auto" w:fill="D9D9D9" w:themeFill="background1" w:themeFillShade="D9"/>
            <w:vAlign w:val="center"/>
          </w:tcPr>
          <w:p w14:paraId="44612ED3" w14:textId="77777777" w:rsidR="00B47306" w:rsidRPr="00B06C2F" w:rsidRDefault="00B47306" w:rsidP="003105EC">
            <w:pPr>
              <w:jc w:val="center"/>
              <w:rPr>
                <w:rFonts w:eastAsia="Arial" w:cs="Arial"/>
                <w:color w:val="000000" w:themeColor="text1"/>
                <w:sz w:val="24"/>
                <w:szCs w:val="24"/>
              </w:rPr>
            </w:pPr>
            <w:r w:rsidRPr="00B06C2F">
              <w:rPr>
                <w:rFonts w:eastAsia="Arial" w:cs="Arial"/>
                <w:b/>
                <w:bCs/>
                <w:color w:val="000000" w:themeColor="text1"/>
                <w:sz w:val="24"/>
                <w:szCs w:val="24"/>
              </w:rPr>
              <w:t>Grade 11</w:t>
            </w:r>
          </w:p>
        </w:tc>
        <w:tc>
          <w:tcPr>
            <w:tcW w:w="1575" w:type="dxa"/>
            <w:shd w:val="clear" w:color="auto" w:fill="D9D9D9" w:themeFill="background1" w:themeFillShade="D9"/>
            <w:vAlign w:val="center"/>
          </w:tcPr>
          <w:p w14:paraId="506352F2" w14:textId="77777777" w:rsidR="00B47306" w:rsidRPr="00B06C2F" w:rsidRDefault="00B47306" w:rsidP="003105EC">
            <w:pPr>
              <w:jc w:val="center"/>
              <w:rPr>
                <w:rFonts w:eastAsia="Arial" w:cs="Arial"/>
                <w:color w:val="000000" w:themeColor="text1"/>
                <w:sz w:val="24"/>
                <w:szCs w:val="24"/>
              </w:rPr>
            </w:pPr>
            <w:r w:rsidRPr="00B06C2F">
              <w:rPr>
                <w:rFonts w:eastAsia="Arial" w:cs="Arial"/>
                <w:b/>
                <w:bCs/>
                <w:color w:val="000000" w:themeColor="text1"/>
                <w:sz w:val="24"/>
                <w:szCs w:val="24"/>
              </w:rPr>
              <w:t>Grade 12</w:t>
            </w:r>
          </w:p>
        </w:tc>
        <w:tc>
          <w:tcPr>
            <w:tcW w:w="1710" w:type="dxa"/>
            <w:shd w:val="clear" w:color="auto" w:fill="D9D9D9" w:themeFill="background1" w:themeFillShade="D9"/>
            <w:vAlign w:val="center"/>
          </w:tcPr>
          <w:p w14:paraId="28731EB2" w14:textId="1E9D4CE4" w:rsidR="00B47306" w:rsidRPr="00B06C2F" w:rsidRDefault="009C067E" w:rsidP="003105EC">
            <w:pPr>
              <w:jc w:val="center"/>
              <w:rPr>
                <w:rFonts w:eastAsia="Arial" w:cs="Arial"/>
                <w:color w:val="000000" w:themeColor="text1"/>
                <w:sz w:val="24"/>
                <w:szCs w:val="24"/>
              </w:rPr>
            </w:pPr>
            <w:r w:rsidRPr="00B06C2F">
              <w:rPr>
                <w:rFonts w:eastAsia="Arial" w:cs="Arial"/>
                <w:b/>
                <w:bCs/>
                <w:color w:val="000000" w:themeColor="text1"/>
                <w:sz w:val="24"/>
                <w:szCs w:val="24"/>
              </w:rPr>
              <w:t>Total</w:t>
            </w:r>
          </w:p>
        </w:tc>
      </w:tr>
      <w:tr w:rsidR="00B47306" w:rsidRPr="00B06C2F" w14:paraId="6D3FF680" w14:textId="77777777" w:rsidTr="005D691B">
        <w:trPr>
          <w:cantSplit/>
          <w:trHeight w:val="300"/>
          <w:jc w:val="center"/>
        </w:trPr>
        <w:tc>
          <w:tcPr>
            <w:tcW w:w="1705" w:type="dxa"/>
            <w:vAlign w:val="center"/>
          </w:tcPr>
          <w:p w14:paraId="09C23F88" w14:textId="5E7E807E"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2017–18</w:t>
            </w:r>
          </w:p>
        </w:tc>
        <w:tc>
          <w:tcPr>
            <w:tcW w:w="1575" w:type="dxa"/>
            <w:vAlign w:val="center"/>
          </w:tcPr>
          <w:p w14:paraId="49BE7438" w14:textId="39965E1A"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18,453</w:t>
            </w:r>
          </w:p>
        </w:tc>
        <w:tc>
          <w:tcPr>
            <w:tcW w:w="1575" w:type="dxa"/>
            <w:vAlign w:val="center"/>
          </w:tcPr>
          <w:p w14:paraId="09855482" w14:textId="58A4CC7B"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20,656</w:t>
            </w:r>
          </w:p>
        </w:tc>
        <w:tc>
          <w:tcPr>
            <w:tcW w:w="1575" w:type="dxa"/>
            <w:vAlign w:val="center"/>
          </w:tcPr>
          <w:p w14:paraId="2E92E30B" w14:textId="45457E00"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36,189</w:t>
            </w:r>
          </w:p>
        </w:tc>
        <w:tc>
          <w:tcPr>
            <w:tcW w:w="1575" w:type="dxa"/>
            <w:vAlign w:val="center"/>
          </w:tcPr>
          <w:p w14:paraId="44B0E968" w14:textId="15FF8E62"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60,791</w:t>
            </w:r>
          </w:p>
        </w:tc>
        <w:tc>
          <w:tcPr>
            <w:tcW w:w="1710" w:type="dxa"/>
            <w:vAlign w:val="center"/>
          </w:tcPr>
          <w:p w14:paraId="0FAD4565" w14:textId="08060AEA" w:rsidR="00B47306" w:rsidRPr="00B06C2F" w:rsidRDefault="00B47306" w:rsidP="003105EC">
            <w:pPr>
              <w:jc w:val="center"/>
              <w:rPr>
                <w:rFonts w:eastAsia="Arial" w:cs="Arial"/>
                <w:b/>
                <w:bCs/>
                <w:color w:val="000000" w:themeColor="text1"/>
                <w:sz w:val="24"/>
                <w:szCs w:val="24"/>
              </w:rPr>
            </w:pPr>
            <w:r w:rsidRPr="00B06C2F">
              <w:rPr>
                <w:rFonts w:eastAsia="Arial" w:cs="Arial"/>
                <w:b/>
                <w:bCs/>
                <w:color w:val="000000" w:themeColor="text1"/>
                <w:sz w:val="24"/>
                <w:szCs w:val="24"/>
              </w:rPr>
              <w:t>136,089</w:t>
            </w:r>
          </w:p>
        </w:tc>
      </w:tr>
      <w:tr w:rsidR="00B47306" w:rsidRPr="00B06C2F" w14:paraId="0E0E798E" w14:textId="77777777" w:rsidTr="005D691B">
        <w:trPr>
          <w:cantSplit/>
          <w:trHeight w:val="300"/>
          <w:jc w:val="center"/>
        </w:trPr>
        <w:tc>
          <w:tcPr>
            <w:tcW w:w="1705" w:type="dxa"/>
            <w:vAlign w:val="center"/>
          </w:tcPr>
          <w:p w14:paraId="5AA514B7" w14:textId="44B24001" w:rsidR="00B47306" w:rsidRPr="00B06C2F" w:rsidRDefault="00B47306" w:rsidP="003105EC">
            <w:pPr>
              <w:jc w:val="center"/>
              <w:rPr>
                <w:color w:val="000000" w:themeColor="text1"/>
                <w:sz w:val="24"/>
                <w:szCs w:val="24"/>
              </w:rPr>
            </w:pPr>
            <w:r w:rsidRPr="00B06C2F">
              <w:rPr>
                <w:rFonts w:eastAsia="Arial" w:cs="Arial"/>
                <w:color w:val="000000" w:themeColor="text1"/>
                <w:sz w:val="24"/>
                <w:szCs w:val="24"/>
              </w:rPr>
              <w:t>2018–19</w:t>
            </w:r>
          </w:p>
        </w:tc>
        <w:tc>
          <w:tcPr>
            <w:tcW w:w="1575" w:type="dxa"/>
            <w:vAlign w:val="center"/>
          </w:tcPr>
          <w:p w14:paraId="49D76D00" w14:textId="6ADD6728"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15,751</w:t>
            </w:r>
          </w:p>
        </w:tc>
        <w:tc>
          <w:tcPr>
            <w:tcW w:w="1575" w:type="dxa"/>
            <w:vAlign w:val="center"/>
          </w:tcPr>
          <w:p w14:paraId="4348B9DA" w14:textId="4ACB538E"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25,698</w:t>
            </w:r>
          </w:p>
        </w:tc>
        <w:tc>
          <w:tcPr>
            <w:tcW w:w="1575" w:type="dxa"/>
            <w:vAlign w:val="center"/>
          </w:tcPr>
          <w:p w14:paraId="485B6653" w14:textId="75514952" w:rsidR="00B47306" w:rsidRPr="00B06C2F" w:rsidRDefault="00B63F5A" w:rsidP="003105EC">
            <w:pPr>
              <w:jc w:val="center"/>
              <w:rPr>
                <w:rFonts w:eastAsia="Arial" w:cs="Arial"/>
                <w:color w:val="000000" w:themeColor="text1"/>
                <w:sz w:val="24"/>
                <w:szCs w:val="24"/>
              </w:rPr>
            </w:pPr>
            <w:r w:rsidRPr="00B06C2F">
              <w:rPr>
                <w:rFonts w:eastAsia="Arial" w:cs="Arial"/>
                <w:color w:val="000000" w:themeColor="text1"/>
                <w:sz w:val="24"/>
                <w:szCs w:val="24"/>
              </w:rPr>
              <w:t>38</w:t>
            </w:r>
            <w:r w:rsidR="00B47306" w:rsidRPr="00B06C2F">
              <w:rPr>
                <w:rFonts w:eastAsia="Arial" w:cs="Arial"/>
                <w:color w:val="000000" w:themeColor="text1"/>
                <w:sz w:val="24"/>
                <w:szCs w:val="24"/>
              </w:rPr>
              <w:t>,464</w:t>
            </w:r>
          </w:p>
        </w:tc>
        <w:tc>
          <w:tcPr>
            <w:tcW w:w="1575" w:type="dxa"/>
            <w:vAlign w:val="center"/>
          </w:tcPr>
          <w:p w14:paraId="7AF619F9" w14:textId="4A76CDB8"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60,426</w:t>
            </w:r>
          </w:p>
        </w:tc>
        <w:tc>
          <w:tcPr>
            <w:tcW w:w="1710" w:type="dxa"/>
            <w:vAlign w:val="center"/>
          </w:tcPr>
          <w:p w14:paraId="56799BC2" w14:textId="4ABEDA4B" w:rsidR="00B47306" w:rsidRPr="00B06C2F" w:rsidRDefault="00B47306" w:rsidP="003105EC">
            <w:pPr>
              <w:jc w:val="center"/>
              <w:rPr>
                <w:rFonts w:eastAsia="Arial" w:cs="Arial"/>
                <w:b/>
                <w:color w:val="000000" w:themeColor="text1"/>
                <w:sz w:val="24"/>
                <w:szCs w:val="24"/>
              </w:rPr>
            </w:pPr>
            <w:r w:rsidRPr="00B06C2F">
              <w:rPr>
                <w:rFonts w:eastAsia="Arial" w:cs="Arial"/>
                <w:b/>
                <w:color w:val="000000" w:themeColor="text1"/>
                <w:sz w:val="24"/>
                <w:szCs w:val="24"/>
              </w:rPr>
              <w:t>140,339</w:t>
            </w:r>
          </w:p>
        </w:tc>
      </w:tr>
      <w:tr w:rsidR="00B47306" w:rsidRPr="00B06C2F" w14:paraId="66C40FDB" w14:textId="77777777" w:rsidTr="005D691B">
        <w:trPr>
          <w:cantSplit/>
          <w:trHeight w:val="300"/>
          <w:jc w:val="center"/>
        </w:trPr>
        <w:tc>
          <w:tcPr>
            <w:tcW w:w="1705" w:type="dxa"/>
            <w:vAlign w:val="center"/>
          </w:tcPr>
          <w:p w14:paraId="3660159E" w14:textId="26103BEB" w:rsidR="00B47306" w:rsidRPr="00B06C2F" w:rsidRDefault="000F392A" w:rsidP="003105EC">
            <w:pPr>
              <w:jc w:val="center"/>
              <w:rPr>
                <w:color w:val="000000" w:themeColor="text1"/>
                <w:sz w:val="24"/>
                <w:szCs w:val="24"/>
              </w:rPr>
            </w:pPr>
            <w:r w:rsidRPr="00B06C2F">
              <w:rPr>
                <w:rFonts w:eastAsia="Arial" w:cs="Arial"/>
                <w:color w:val="000000" w:themeColor="text1"/>
                <w:sz w:val="24"/>
                <w:szCs w:val="24"/>
              </w:rPr>
              <w:t>2019–</w:t>
            </w:r>
            <w:r w:rsidR="00B47306" w:rsidRPr="00B06C2F">
              <w:rPr>
                <w:rFonts w:eastAsia="Arial" w:cs="Arial"/>
                <w:color w:val="000000" w:themeColor="text1"/>
                <w:sz w:val="24"/>
                <w:szCs w:val="24"/>
              </w:rPr>
              <w:t>20</w:t>
            </w:r>
          </w:p>
        </w:tc>
        <w:tc>
          <w:tcPr>
            <w:tcW w:w="1575" w:type="dxa"/>
            <w:vAlign w:val="center"/>
          </w:tcPr>
          <w:p w14:paraId="664EE53E" w14:textId="16C94FE8"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17,925</w:t>
            </w:r>
          </w:p>
        </w:tc>
        <w:tc>
          <w:tcPr>
            <w:tcW w:w="1575" w:type="dxa"/>
            <w:vAlign w:val="center"/>
          </w:tcPr>
          <w:p w14:paraId="27F521C3" w14:textId="440B36E5"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27,046</w:t>
            </w:r>
          </w:p>
        </w:tc>
        <w:tc>
          <w:tcPr>
            <w:tcW w:w="1575" w:type="dxa"/>
            <w:vAlign w:val="center"/>
          </w:tcPr>
          <w:p w14:paraId="6DBE069B" w14:textId="7D45D132"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37,436</w:t>
            </w:r>
          </w:p>
        </w:tc>
        <w:tc>
          <w:tcPr>
            <w:tcW w:w="1575" w:type="dxa"/>
            <w:vAlign w:val="center"/>
          </w:tcPr>
          <w:p w14:paraId="3EE075D9" w14:textId="7A775B7A" w:rsidR="00B47306" w:rsidRPr="00B06C2F" w:rsidRDefault="00B47306" w:rsidP="003105EC">
            <w:pPr>
              <w:jc w:val="center"/>
              <w:rPr>
                <w:rFonts w:eastAsia="Arial" w:cs="Arial"/>
                <w:color w:val="000000" w:themeColor="text1"/>
                <w:sz w:val="24"/>
                <w:szCs w:val="24"/>
              </w:rPr>
            </w:pPr>
            <w:r w:rsidRPr="00B06C2F">
              <w:rPr>
                <w:rFonts w:eastAsia="Arial" w:cs="Arial"/>
                <w:color w:val="000000" w:themeColor="text1"/>
                <w:sz w:val="24"/>
                <w:szCs w:val="24"/>
              </w:rPr>
              <w:t>56,724</w:t>
            </w:r>
          </w:p>
        </w:tc>
        <w:tc>
          <w:tcPr>
            <w:tcW w:w="1710" w:type="dxa"/>
            <w:vAlign w:val="center"/>
          </w:tcPr>
          <w:p w14:paraId="493D9DF9" w14:textId="4FFD6250" w:rsidR="00B47306" w:rsidRPr="00B06C2F" w:rsidRDefault="00B47306" w:rsidP="003105EC">
            <w:pPr>
              <w:jc w:val="center"/>
              <w:rPr>
                <w:rFonts w:eastAsia="Arial" w:cs="Arial"/>
                <w:color w:val="000000" w:themeColor="text1"/>
                <w:sz w:val="24"/>
                <w:szCs w:val="24"/>
              </w:rPr>
            </w:pPr>
            <w:r w:rsidRPr="00B06C2F">
              <w:rPr>
                <w:rFonts w:eastAsia="Arial" w:cs="Arial"/>
                <w:b/>
                <w:bCs/>
                <w:color w:val="000000" w:themeColor="text1"/>
                <w:sz w:val="24"/>
                <w:szCs w:val="24"/>
              </w:rPr>
              <w:t>139,131</w:t>
            </w:r>
          </w:p>
        </w:tc>
      </w:tr>
      <w:tr w:rsidR="00003924" w:rsidRPr="00B06C2F" w14:paraId="402346A6" w14:textId="77777777" w:rsidTr="005D691B">
        <w:trPr>
          <w:cantSplit/>
          <w:trHeight w:val="300"/>
          <w:jc w:val="center"/>
        </w:trPr>
        <w:tc>
          <w:tcPr>
            <w:tcW w:w="1705" w:type="dxa"/>
            <w:vAlign w:val="center"/>
          </w:tcPr>
          <w:p w14:paraId="739D61FE" w14:textId="7E36ADA0" w:rsidR="00003924" w:rsidRPr="00B06C2F" w:rsidRDefault="00003924" w:rsidP="003105EC">
            <w:pPr>
              <w:jc w:val="center"/>
              <w:rPr>
                <w:rFonts w:eastAsia="Arial" w:cs="Arial"/>
                <w:color w:val="000000" w:themeColor="text1"/>
                <w:sz w:val="24"/>
                <w:szCs w:val="24"/>
              </w:rPr>
            </w:pPr>
            <w:r w:rsidRPr="00B06C2F">
              <w:rPr>
                <w:rFonts w:eastAsia="Arial" w:cs="Arial"/>
                <w:color w:val="000000" w:themeColor="text1"/>
                <w:sz w:val="24"/>
                <w:szCs w:val="24"/>
              </w:rPr>
              <w:t>2020–21</w:t>
            </w:r>
          </w:p>
        </w:tc>
        <w:tc>
          <w:tcPr>
            <w:tcW w:w="1575" w:type="dxa"/>
            <w:vAlign w:val="center"/>
          </w:tcPr>
          <w:p w14:paraId="77C53559" w14:textId="1521719F" w:rsidR="00003924" w:rsidRPr="00B06C2F" w:rsidRDefault="00003924" w:rsidP="003105EC">
            <w:pPr>
              <w:jc w:val="center"/>
              <w:rPr>
                <w:rFonts w:eastAsia="Arial" w:cs="Arial"/>
                <w:color w:val="000000" w:themeColor="text1"/>
                <w:sz w:val="24"/>
                <w:szCs w:val="24"/>
              </w:rPr>
            </w:pPr>
            <w:r w:rsidRPr="00B06C2F">
              <w:rPr>
                <w:rFonts w:eastAsia="Arial" w:cs="Arial"/>
                <w:color w:val="000000" w:themeColor="text1"/>
                <w:sz w:val="24"/>
                <w:szCs w:val="24"/>
              </w:rPr>
              <w:t>19,594</w:t>
            </w:r>
          </w:p>
        </w:tc>
        <w:tc>
          <w:tcPr>
            <w:tcW w:w="1575" w:type="dxa"/>
            <w:vAlign w:val="center"/>
          </w:tcPr>
          <w:p w14:paraId="639C7CB5" w14:textId="3F109151" w:rsidR="00003924" w:rsidRPr="00B06C2F" w:rsidRDefault="00003924" w:rsidP="003105EC">
            <w:pPr>
              <w:jc w:val="center"/>
              <w:rPr>
                <w:rFonts w:eastAsia="Arial" w:cs="Arial"/>
                <w:color w:val="000000" w:themeColor="text1"/>
                <w:sz w:val="24"/>
                <w:szCs w:val="24"/>
              </w:rPr>
            </w:pPr>
            <w:r w:rsidRPr="00B06C2F">
              <w:rPr>
                <w:rFonts w:eastAsia="Arial" w:cs="Arial"/>
                <w:color w:val="000000" w:themeColor="text1"/>
                <w:sz w:val="24"/>
                <w:szCs w:val="24"/>
              </w:rPr>
              <w:t>24,784</w:t>
            </w:r>
          </w:p>
        </w:tc>
        <w:tc>
          <w:tcPr>
            <w:tcW w:w="1575" w:type="dxa"/>
            <w:vAlign w:val="center"/>
          </w:tcPr>
          <w:p w14:paraId="056922D2" w14:textId="79A39EDF" w:rsidR="00003924" w:rsidRPr="00B06C2F" w:rsidRDefault="00003924" w:rsidP="003105EC">
            <w:pPr>
              <w:jc w:val="center"/>
              <w:rPr>
                <w:rFonts w:eastAsia="Arial" w:cs="Arial"/>
                <w:color w:val="000000" w:themeColor="text1"/>
                <w:sz w:val="24"/>
                <w:szCs w:val="24"/>
              </w:rPr>
            </w:pPr>
            <w:r w:rsidRPr="00B06C2F">
              <w:rPr>
                <w:rFonts w:eastAsia="Arial" w:cs="Arial"/>
                <w:color w:val="000000" w:themeColor="text1"/>
                <w:sz w:val="24"/>
                <w:szCs w:val="24"/>
              </w:rPr>
              <w:t>33,573</w:t>
            </w:r>
          </w:p>
        </w:tc>
        <w:tc>
          <w:tcPr>
            <w:tcW w:w="1575" w:type="dxa"/>
            <w:vAlign w:val="center"/>
          </w:tcPr>
          <w:p w14:paraId="2D697774" w14:textId="1512D809" w:rsidR="00003924" w:rsidRPr="00B06C2F" w:rsidRDefault="00003924" w:rsidP="003105EC">
            <w:pPr>
              <w:jc w:val="center"/>
              <w:rPr>
                <w:rFonts w:eastAsia="Arial" w:cs="Arial"/>
                <w:color w:val="000000" w:themeColor="text1"/>
                <w:sz w:val="24"/>
                <w:szCs w:val="24"/>
              </w:rPr>
            </w:pPr>
            <w:r w:rsidRPr="00B06C2F">
              <w:rPr>
                <w:rFonts w:eastAsia="Arial" w:cs="Arial"/>
                <w:color w:val="000000" w:themeColor="text1"/>
                <w:sz w:val="24"/>
                <w:szCs w:val="24"/>
              </w:rPr>
              <w:t>56,277</w:t>
            </w:r>
          </w:p>
        </w:tc>
        <w:tc>
          <w:tcPr>
            <w:tcW w:w="1710" w:type="dxa"/>
            <w:vAlign w:val="center"/>
          </w:tcPr>
          <w:p w14:paraId="42187A94" w14:textId="46B16ECE" w:rsidR="00003924" w:rsidRPr="00B06C2F" w:rsidRDefault="00003924" w:rsidP="003105EC">
            <w:pPr>
              <w:jc w:val="center"/>
              <w:rPr>
                <w:rFonts w:eastAsia="Arial" w:cs="Arial"/>
                <w:b/>
                <w:color w:val="000000" w:themeColor="text1"/>
                <w:sz w:val="24"/>
                <w:szCs w:val="24"/>
              </w:rPr>
            </w:pPr>
            <w:r w:rsidRPr="00B06C2F">
              <w:rPr>
                <w:rFonts w:eastAsia="Arial" w:cs="Arial"/>
                <w:b/>
                <w:color w:val="000000" w:themeColor="text1"/>
                <w:sz w:val="24"/>
                <w:szCs w:val="24"/>
              </w:rPr>
              <w:t>134,228</w:t>
            </w:r>
          </w:p>
        </w:tc>
      </w:tr>
    </w:tbl>
    <w:p w14:paraId="15C62416" w14:textId="608C7433" w:rsidR="00B47306" w:rsidRPr="00B06C2F" w:rsidRDefault="000F392A" w:rsidP="00B3226D">
      <w:pPr>
        <w:spacing w:before="240" w:after="240" w:line="257" w:lineRule="exact"/>
        <w:rPr>
          <w:rFonts w:eastAsia="Arial" w:cs="Arial"/>
        </w:rPr>
      </w:pPr>
      <w:r w:rsidRPr="00B06C2F">
        <w:rPr>
          <w:rFonts w:eastAsia="Arial" w:cs="Arial"/>
        </w:rPr>
        <w:t>Si</w:t>
      </w:r>
      <w:r w:rsidR="009C6CE6" w:rsidRPr="00B06C2F">
        <w:rPr>
          <w:rFonts w:eastAsia="Arial" w:cs="Arial"/>
        </w:rPr>
        <w:t>nce 2017–18, the</w:t>
      </w:r>
      <w:r w:rsidR="00B47306" w:rsidRPr="00B06C2F">
        <w:rPr>
          <w:rFonts w:eastAsia="Arial" w:cs="Arial"/>
        </w:rPr>
        <w:t xml:space="preserve"> largest increase in DASS student</w:t>
      </w:r>
      <w:r w:rsidR="00FA1321" w:rsidRPr="00B06C2F">
        <w:rPr>
          <w:rFonts w:eastAsia="Arial" w:cs="Arial"/>
        </w:rPr>
        <w:t xml:space="preserve"> enrollment</w:t>
      </w:r>
      <w:r w:rsidR="00B47306" w:rsidRPr="00B06C2F">
        <w:rPr>
          <w:rFonts w:eastAsia="Arial" w:cs="Arial"/>
        </w:rPr>
        <w:t xml:space="preserve"> occurs in </w:t>
      </w:r>
      <w:r w:rsidRPr="00B06C2F">
        <w:rPr>
          <w:rFonts w:eastAsia="Arial" w:cs="Arial"/>
        </w:rPr>
        <w:t>grade ten with the largest decrease occurring in grade twelve. This continues to signify</w:t>
      </w:r>
      <w:r w:rsidR="00B47306" w:rsidRPr="00B06C2F">
        <w:rPr>
          <w:rFonts w:eastAsia="Arial" w:cs="Arial"/>
        </w:rPr>
        <w:t xml:space="preserve"> that implementation of the DASS graduation rate has not led to a significant increase in student transfers from non-alternative high schools to DASS high schools</w:t>
      </w:r>
      <w:r w:rsidR="003F2D81" w:rsidRPr="00B06C2F">
        <w:rPr>
          <w:rFonts w:eastAsia="Arial" w:cs="Arial"/>
        </w:rPr>
        <w:t xml:space="preserve"> as the DASS graduation rate is predominately based on students in grade twelve</w:t>
      </w:r>
      <w:r w:rsidR="00B47306" w:rsidRPr="00B06C2F">
        <w:rPr>
          <w:rFonts w:eastAsia="Arial" w:cs="Arial"/>
        </w:rPr>
        <w:t xml:space="preserve">. </w:t>
      </w:r>
      <w:r w:rsidR="00930C1C" w:rsidRPr="00B06C2F">
        <w:rPr>
          <w:rFonts w:eastAsia="Arial" w:cs="Arial"/>
        </w:rPr>
        <w:t xml:space="preserve">Furthermore, the </w:t>
      </w:r>
      <w:r w:rsidR="00B47306" w:rsidRPr="00B06C2F">
        <w:rPr>
          <w:rFonts w:eastAsia="Arial" w:cs="Arial"/>
        </w:rPr>
        <w:t>percentage of DASS high school students that make up the total high school enrollment (using data from Tables 6 and 7)</w:t>
      </w:r>
      <w:r w:rsidR="00930C1C" w:rsidRPr="00B06C2F">
        <w:rPr>
          <w:rFonts w:eastAsia="Arial" w:cs="Arial"/>
        </w:rPr>
        <w:t xml:space="preserve"> reflects </w:t>
      </w:r>
      <w:r w:rsidR="00B47306" w:rsidRPr="00B06C2F">
        <w:rPr>
          <w:rFonts w:eastAsia="Arial" w:cs="Arial"/>
        </w:rPr>
        <w:t>little movement</w:t>
      </w:r>
      <w:r w:rsidR="00FA1321" w:rsidRPr="00B06C2F">
        <w:rPr>
          <w:rFonts w:eastAsia="Arial" w:cs="Arial"/>
        </w:rPr>
        <w:t xml:space="preserve"> </w:t>
      </w:r>
      <w:r w:rsidR="00AB35B5" w:rsidRPr="00B06C2F">
        <w:rPr>
          <w:rFonts w:eastAsia="Arial" w:cs="Arial"/>
        </w:rPr>
        <w:t xml:space="preserve">and, in fact, shows a slight </w:t>
      </w:r>
      <w:r w:rsidR="00FA1321" w:rsidRPr="00B06C2F">
        <w:rPr>
          <w:rFonts w:eastAsia="Arial" w:cs="Arial"/>
        </w:rPr>
        <w:t>decrease</w:t>
      </w:r>
      <w:r w:rsidR="00AB35B5" w:rsidRPr="00B06C2F">
        <w:rPr>
          <w:rFonts w:eastAsia="Arial" w:cs="Arial"/>
        </w:rPr>
        <w:t xml:space="preserve"> in 2020–21</w:t>
      </w:r>
      <w:r w:rsidR="00B47306" w:rsidRPr="00B06C2F">
        <w:rPr>
          <w:rFonts w:eastAsia="Arial" w:cs="Arial"/>
        </w:rPr>
        <w:t>:</w:t>
      </w:r>
    </w:p>
    <w:p w14:paraId="2972893E" w14:textId="1011A9AD" w:rsidR="00B47306" w:rsidRPr="00B06C2F" w:rsidRDefault="00B47306" w:rsidP="00B3226D">
      <w:pPr>
        <w:pStyle w:val="ListParagraph"/>
        <w:numPr>
          <w:ilvl w:val="0"/>
          <w:numId w:val="1"/>
        </w:numPr>
        <w:spacing w:after="240" w:line="257" w:lineRule="exact"/>
        <w:rPr>
          <w:rFonts w:eastAsia="Arial" w:cs="Arial"/>
          <w:color w:val="000000" w:themeColor="text1"/>
          <w:szCs w:val="24"/>
        </w:rPr>
      </w:pPr>
      <w:r w:rsidRPr="00B06C2F">
        <w:rPr>
          <w:rFonts w:eastAsia="Arial" w:cs="Arial"/>
          <w:szCs w:val="24"/>
        </w:rPr>
        <w:t>In 2017–18, 0.0</w:t>
      </w:r>
      <w:r w:rsidR="00930C1C" w:rsidRPr="00B06C2F">
        <w:rPr>
          <w:rFonts w:eastAsia="Arial" w:cs="Arial"/>
          <w:szCs w:val="24"/>
        </w:rPr>
        <w:t>70</w:t>
      </w:r>
      <w:r w:rsidRPr="00B06C2F">
        <w:rPr>
          <w:rFonts w:eastAsia="Arial" w:cs="Arial"/>
          <w:szCs w:val="24"/>
        </w:rPr>
        <w:t xml:space="preserve"> percent of all high school students attended DASS schools.</w:t>
      </w:r>
    </w:p>
    <w:p w14:paraId="46496FAD" w14:textId="77777777" w:rsidR="00B47306" w:rsidRPr="00B06C2F" w:rsidRDefault="00B47306" w:rsidP="00B3226D">
      <w:pPr>
        <w:pStyle w:val="ListParagraph"/>
        <w:numPr>
          <w:ilvl w:val="0"/>
          <w:numId w:val="1"/>
        </w:numPr>
        <w:spacing w:after="240" w:line="257" w:lineRule="exact"/>
        <w:rPr>
          <w:rFonts w:eastAsia="Arial" w:cs="Arial"/>
          <w:color w:val="000000" w:themeColor="text1"/>
          <w:szCs w:val="24"/>
        </w:rPr>
      </w:pPr>
      <w:r w:rsidRPr="00B06C2F">
        <w:rPr>
          <w:rFonts w:eastAsia="Arial" w:cs="Arial"/>
          <w:szCs w:val="24"/>
        </w:rPr>
        <w:t>In 2018–19, 0.072 percent of all high school students attended DASS schools.</w:t>
      </w:r>
    </w:p>
    <w:p w14:paraId="14131D13" w14:textId="1CECD6B0" w:rsidR="00B47306" w:rsidRPr="00B06C2F" w:rsidRDefault="00930C1C" w:rsidP="00B3226D">
      <w:pPr>
        <w:pStyle w:val="ListParagraph"/>
        <w:numPr>
          <w:ilvl w:val="0"/>
          <w:numId w:val="1"/>
        </w:numPr>
        <w:spacing w:after="240" w:line="257" w:lineRule="exact"/>
        <w:rPr>
          <w:rFonts w:eastAsia="Arial" w:cs="Arial"/>
          <w:color w:val="000000" w:themeColor="text1"/>
          <w:szCs w:val="24"/>
        </w:rPr>
      </w:pPr>
      <w:r w:rsidRPr="00B06C2F">
        <w:rPr>
          <w:rFonts w:eastAsia="Arial" w:cs="Arial"/>
          <w:szCs w:val="24"/>
        </w:rPr>
        <w:t>In 2019–20, 0.07</w:t>
      </w:r>
      <w:r w:rsidR="00FA1321" w:rsidRPr="00B06C2F">
        <w:rPr>
          <w:rFonts w:eastAsia="Arial" w:cs="Arial"/>
          <w:szCs w:val="24"/>
        </w:rPr>
        <w:t>1</w:t>
      </w:r>
      <w:r w:rsidRPr="00B06C2F">
        <w:rPr>
          <w:rFonts w:eastAsia="Arial" w:cs="Arial"/>
          <w:szCs w:val="24"/>
        </w:rPr>
        <w:t xml:space="preserve"> percent of all high school students attended DASS schools.</w:t>
      </w:r>
    </w:p>
    <w:p w14:paraId="7579FE0C" w14:textId="73004E4B" w:rsidR="00930C1C" w:rsidRPr="00B06C2F" w:rsidRDefault="00930C1C" w:rsidP="00B3226D">
      <w:pPr>
        <w:pStyle w:val="ListParagraph"/>
        <w:numPr>
          <w:ilvl w:val="0"/>
          <w:numId w:val="1"/>
        </w:numPr>
        <w:spacing w:after="240" w:line="257" w:lineRule="exact"/>
        <w:rPr>
          <w:rFonts w:eastAsia="Arial" w:cs="Arial"/>
          <w:color w:val="000000" w:themeColor="text1"/>
          <w:szCs w:val="24"/>
        </w:rPr>
      </w:pPr>
      <w:r w:rsidRPr="00B06C2F">
        <w:rPr>
          <w:rFonts w:eastAsia="Arial" w:cs="Arial"/>
          <w:szCs w:val="24"/>
        </w:rPr>
        <w:t>In 2020–21, 0.068 percent of all high school students attended DASS schools.</w:t>
      </w:r>
    </w:p>
    <w:p w14:paraId="61E26D00" w14:textId="7C84DB4C" w:rsidR="00930C1C" w:rsidRPr="00447A87" w:rsidRDefault="24C49E54">
      <w:pPr>
        <w:rPr>
          <w:color w:val="000000" w:themeColor="text1"/>
        </w:rPr>
      </w:pPr>
      <w:r w:rsidRPr="00B06C2F">
        <w:rPr>
          <w:rFonts w:eastAsia="Arial" w:cs="Arial"/>
          <w:color w:val="000000" w:themeColor="text1"/>
        </w:rPr>
        <w:t>Even considering</w:t>
      </w:r>
      <w:r w:rsidR="45B72FE6" w:rsidRPr="00B06C2F">
        <w:rPr>
          <w:rFonts w:eastAsia="Arial" w:cs="Arial"/>
          <w:color w:val="000000" w:themeColor="text1"/>
        </w:rPr>
        <w:t xml:space="preserve"> the challenges faced in</w:t>
      </w:r>
      <w:r w:rsidRPr="00B06C2F">
        <w:rPr>
          <w:rFonts w:eastAsia="Arial" w:cs="Arial"/>
          <w:color w:val="000000" w:themeColor="text1"/>
        </w:rPr>
        <w:t xml:space="preserve"> the</w:t>
      </w:r>
      <w:r w:rsidR="45B72FE6" w:rsidRPr="00B06C2F">
        <w:rPr>
          <w:rFonts w:eastAsia="Arial" w:cs="Arial"/>
          <w:color w:val="000000" w:themeColor="text1"/>
        </w:rPr>
        <w:t xml:space="preserve"> ever-changing education landscape caused by COVID-19</w:t>
      </w:r>
      <w:r w:rsidRPr="00B06C2F">
        <w:rPr>
          <w:rFonts w:eastAsia="Arial" w:cs="Arial"/>
          <w:color w:val="000000" w:themeColor="text1"/>
        </w:rPr>
        <w:t>, i</w:t>
      </w:r>
      <w:r w:rsidR="432773DB" w:rsidRPr="00B06C2F">
        <w:rPr>
          <w:rFonts w:eastAsia="Arial" w:cs="Arial"/>
          <w:color w:val="000000" w:themeColor="text1"/>
        </w:rPr>
        <w:t>n general</w:t>
      </w:r>
      <w:r w:rsidR="5084460A" w:rsidRPr="00B06C2F">
        <w:rPr>
          <w:rFonts w:eastAsia="Arial" w:cs="Arial"/>
          <w:color w:val="000000" w:themeColor="text1"/>
        </w:rPr>
        <w:t>,</w:t>
      </w:r>
      <w:r w:rsidR="432773DB" w:rsidRPr="00B06C2F">
        <w:rPr>
          <w:rFonts w:eastAsia="Arial" w:cs="Arial"/>
          <w:color w:val="000000" w:themeColor="text1"/>
        </w:rPr>
        <w:t xml:space="preserve"> the</w:t>
      </w:r>
      <w:r w:rsidR="5084460A" w:rsidRPr="00B06C2F">
        <w:rPr>
          <w:rFonts w:eastAsia="Arial" w:cs="Arial"/>
          <w:color w:val="000000" w:themeColor="text1"/>
        </w:rPr>
        <w:t xml:space="preserve"> trend data in student transfers remained relatively stable from 2017</w:t>
      </w:r>
      <w:r w:rsidR="5084460A" w:rsidRPr="00B06C2F">
        <w:rPr>
          <w:rFonts w:eastAsia="Arial" w:cs="Arial"/>
        </w:rPr>
        <w:t>–</w:t>
      </w:r>
      <w:r w:rsidR="5084460A" w:rsidRPr="00B06C2F">
        <w:rPr>
          <w:rFonts w:eastAsia="Arial" w:cs="Arial"/>
          <w:color w:val="000000" w:themeColor="text1"/>
        </w:rPr>
        <w:t>18 through 20</w:t>
      </w:r>
      <w:r w:rsidR="432773DB" w:rsidRPr="00B06C2F">
        <w:rPr>
          <w:rFonts w:eastAsia="Arial" w:cs="Arial"/>
          <w:color w:val="000000" w:themeColor="text1"/>
        </w:rPr>
        <w:t>20</w:t>
      </w:r>
      <w:r w:rsidR="5084460A" w:rsidRPr="00B06C2F">
        <w:rPr>
          <w:rFonts w:eastAsia="Arial" w:cs="Arial"/>
        </w:rPr>
        <w:t>–</w:t>
      </w:r>
      <w:r w:rsidR="5084460A" w:rsidRPr="00B06C2F">
        <w:rPr>
          <w:rFonts w:eastAsia="Arial" w:cs="Arial"/>
          <w:color w:val="000000" w:themeColor="text1"/>
        </w:rPr>
        <w:t>2</w:t>
      </w:r>
      <w:r w:rsidR="432773DB" w:rsidRPr="00B06C2F">
        <w:rPr>
          <w:rFonts w:eastAsia="Arial" w:cs="Arial"/>
          <w:color w:val="000000" w:themeColor="text1"/>
        </w:rPr>
        <w:t>1</w:t>
      </w:r>
      <w:r w:rsidR="5084460A" w:rsidRPr="00B06C2F">
        <w:rPr>
          <w:rFonts w:eastAsia="Arial" w:cs="Arial"/>
          <w:color w:val="000000" w:themeColor="text1"/>
        </w:rPr>
        <w:t>. This analysis indicates that the DASS graduation rates have not significantly impacted student transfers from non-alternative high schools to DASS high schools.</w:t>
      </w:r>
      <w:r w:rsidR="4B466E9C" w:rsidRPr="00B06C2F">
        <w:rPr>
          <w:rFonts w:eastAsia="Arial" w:cs="Arial"/>
          <w:color w:val="000000" w:themeColor="text1"/>
        </w:rPr>
        <w:t xml:space="preserve"> Therefore, at this time, it is not necessary to make any changes to</w:t>
      </w:r>
      <w:r w:rsidR="31D2AD68" w:rsidRPr="00B06C2F">
        <w:rPr>
          <w:rFonts w:eastAsia="Arial" w:cs="Arial"/>
          <w:color w:val="000000" w:themeColor="text1"/>
        </w:rPr>
        <w:t xml:space="preserve"> the </w:t>
      </w:r>
      <w:r w:rsidR="4B466E9C" w:rsidRPr="00B06C2F">
        <w:rPr>
          <w:rFonts w:eastAsia="Arial" w:cs="Arial"/>
          <w:color w:val="000000" w:themeColor="text1"/>
        </w:rPr>
        <w:t>calculat</w:t>
      </w:r>
      <w:r w:rsidR="31D2AD68" w:rsidRPr="00B06C2F">
        <w:rPr>
          <w:rFonts w:eastAsia="Arial" w:cs="Arial"/>
          <w:color w:val="000000" w:themeColor="text1"/>
        </w:rPr>
        <w:t>ion of</w:t>
      </w:r>
      <w:r w:rsidR="4B466E9C" w:rsidRPr="00B06C2F">
        <w:rPr>
          <w:rFonts w:eastAsia="Arial" w:cs="Arial"/>
          <w:color w:val="000000" w:themeColor="text1"/>
        </w:rPr>
        <w:t xml:space="preserve"> the DASS graduation rate.</w:t>
      </w:r>
    </w:p>
    <w:sectPr w:rsidR="00930C1C" w:rsidRPr="00447A87" w:rsidSect="008B28F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56FF89" w16cex:dateUtc="2022-03-15T03:36:19.397Z"/>
  <w16cex:commentExtensible w16cex:durableId="3E76FD04" w16cex:dateUtc="2022-03-15T17:18:57.023Z"/>
  <w16cex:commentExtensible w16cex:durableId="4D285A84" w16cex:dateUtc="2022-03-15T04:15:40.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B952" w14:textId="77777777" w:rsidR="00D75040" w:rsidRDefault="00D75040" w:rsidP="00B47306">
      <w:r>
        <w:separator/>
      </w:r>
    </w:p>
  </w:endnote>
  <w:endnote w:type="continuationSeparator" w:id="0">
    <w:p w14:paraId="1253F198" w14:textId="77777777" w:rsidR="00D75040" w:rsidRDefault="00D75040" w:rsidP="00B47306">
      <w:r>
        <w:continuationSeparator/>
      </w:r>
    </w:p>
  </w:endnote>
  <w:endnote w:type="continuationNotice" w:id="1">
    <w:p w14:paraId="67AB6FD0" w14:textId="77777777" w:rsidR="00D75040" w:rsidRDefault="00D75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BE3748" w14:paraId="17AD93B2" w14:textId="77777777" w:rsidTr="008D4BEA">
      <w:tc>
        <w:tcPr>
          <w:tcW w:w="3120" w:type="dxa"/>
        </w:tcPr>
        <w:p w14:paraId="0DE4B5B7" w14:textId="77777777" w:rsidR="00BE3748" w:rsidRDefault="00BE3748" w:rsidP="00FF098A">
          <w:pPr>
            <w:pStyle w:val="Header"/>
            <w:ind w:left="-115"/>
          </w:pPr>
        </w:p>
      </w:tc>
      <w:tc>
        <w:tcPr>
          <w:tcW w:w="3120" w:type="dxa"/>
        </w:tcPr>
        <w:p w14:paraId="66204FF1" w14:textId="77777777" w:rsidR="00BE3748" w:rsidRDefault="00BE3748" w:rsidP="00FF098A">
          <w:pPr>
            <w:pStyle w:val="Header"/>
            <w:jc w:val="center"/>
          </w:pPr>
        </w:p>
      </w:tc>
      <w:tc>
        <w:tcPr>
          <w:tcW w:w="3120" w:type="dxa"/>
        </w:tcPr>
        <w:p w14:paraId="2DBF0D7D" w14:textId="77777777" w:rsidR="00BE3748" w:rsidRDefault="00BE3748" w:rsidP="00FF098A">
          <w:pPr>
            <w:pStyle w:val="Header"/>
            <w:ind w:right="-115"/>
            <w:jc w:val="right"/>
          </w:pPr>
        </w:p>
      </w:tc>
    </w:tr>
  </w:tbl>
  <w:p w14:paraId="6B62F1B3" w14:textId="77777777" w:rsidR="00BE3748" w:rsidRDefault="00BE3748" w:rsidP="00FF0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C98" w14:textId="77777777" w:rsidR="00BE3748" w:rsidRDefault="00BE3748" w:rsidP="00FF0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C34E" w14:textId="77777777" w:rsidR="00BE3748" w:rsidRPr="00A72481" w:rsidRDefault="00BE3748" w:rsidP="00FF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3561" w14:textId="77777777" w:rsidR="00D75040" w:rsidRDefault="00D75040" w:rsidP="00B47306">
      <w:r>
        <w:separator/>
      </w:r>
    </w:p>
  </w:footnote>
  <w:footnote w:type="continuationSeparator" w:id="0">
    <w:p w14:paraId="5FAF40BA" w14:textId="77777777" w:rsidR="00D75040" w:rsidRDefault="00D75040" w:rsidP="00B47306">
      <w:r>
        <w:continuationSeparator/>
      </w:r>
    </w:p>
  </w:footnote>
  <w:footnote w:type="continuationNotice" w:id="1">
    <w:p w14:paraId="46B2C8C4" w14:textId="77777777" w:rsidR="00D75040" w:rsidRDefault="00D75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016" w14:textId="77777777" w:rsidR="00BE3748" w:rsidRDefault="00BE3748" w:rsidP="00FF098A">
    <w:pPr>
      <w:pStyle w:val="Header"/>
      <w:jc w:val="right"/>
    </w:pPr>
    <w:r>
      <w:t>memo-pptb-amard-feb18item03</w:t>
    </w:r>
  </w:p>
  <w:p w14:paraId="57E17F72" w14:textId="77777777" w:rsidR="00BE3748" w:rsidRDefault="00BE3748" w:rsidP="00FF098A">
    <w:pPr>
      <w:pStyle w:val="Header"/>
      <w:spacing w:after="480"/>
      <w:jc w:val="right"/>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402D" w14:textId="56F77C05" w:rsidR="00BE3748" w:rsidRPr="00AD5AA4" w:rsidRDefault="00BE3748" w:rsidP="00FF098A">
    <w:pPr>
      <w:pStyle w:val="Header"/>
      <w:jc w:val="right"/>
      <w:rPr>
        <w:rFonts w:cs="Arial"/>
        <w:szCs w:val="18"/>
      </w:rPr>
    </w:pPr>
    <w:r w:rsidRPr="00AD5AA4">
      <w:rPr>
        <w:rFonts w:cs="Arial"/>
        <w:szCs w:val="18"/>
      </w:rPr>
      <w:t>m</w:t>
    </w:r>
    <w:r>
      <w:rPr>
        <w:rFonts w:cs="Arial"/>
        <w:szCs w:val="18"/>
      </w:rPr>
      <w:t>emo-itb-amard-apr22item01</w:t>
    </w:r>
  </w:p>
  <w:p w14:paraId="4074EF35" w14:textId="49F183A4" w:rsidR="00BE3748" w:rsidRPr="00AD5AA4" w:rsidRDefault="00BE3748" w:rsidP="00FF098A">
    <w:pPr>
      <w:pStyle w:val="Header"/>
      <w:spacing w:after="480"/>
      <w:jc w:val="right"/>
      <w:rPr>
        <w:sz w:val="28"/>
      </w:rPr>
    </w:pPr>
    <w:r w:rsidRPr="00AD5AA4">
      <w:rPr>
        <w:rFonts w:cs="Arial"/>
        <w:szCs w:val="18"/>
      </w:rPr>
      <w:t xml:space="preserve">Page </w:t>
    </w:r>
    <w:r w:rsidRPr="00AD5AA4">
      <w:rPr>
        <w:rFonts w:cs="Arial"/>
        <w:szCs w:val="18"/>
      </w:rPr>
      <w:fldChar w:fldCharType="begin"/>
    </w:r>
    <w:r w:rsidRPr="00AD5AA4">
      <w:rPr>
        <w:rFonts w:cs="Arial"/>
        <w:szCs w:val="18"/>
      </w:rPr>
      <w:instrText xml:space="preserve"> PAGE   \* MERGEFORMAT </w:instrText>
    </w:r>
    <w:r w:rsidRPr="00AD5AA4">
      <w:rPr>
        <w:rFonts w:cs="Arial"/>
        <w:szCs w:val="18"/>
      </w:rPr>
      <w:fldChar w:fldCharType="separate"/>
    </w:r>
    <w:r>
      <w:rPr>
        <w:rFonts w:cs="Arial"/>
        <w:noProof/>
        <w:szCs w:val="18"/>
      </w:rPr>
      <w:t>4</w:t>
    </w:r>
    <w:r w:rsidRPr="00AD5AA4">
      <w:rPr>
        <w:rFonts w:cs="Arial"/>
        <w:noProof/>
        <w:szCs w:val="18"/>
      </w:rPr>
      <w:fldChar w:fldCharType="end"/>
    </w:r>
    <w:r w:rsidRPr="00AD5AA4">
      <w:rPr>
        <w:rFonts w:cs="Arial"/>
        <w:szCs w:val="18"/>
      </w:rPr>
      <w:t xml:space="preserve"> </w:t>
    </w:r>
    <w:r>
      <w:rPr>
        <w:rFonts w:cs="Arial"/>
        <w:noProof/>
        <w:szCs w:val="18"/>
      </w:rPr>
      <w:t>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F8D3" w14:textId="77777777" w:rsidR="00BE3748" w:rsidRDefault="00BE3748" w:rsidP="00FF098A">
    <w:pPr>
      <w:pStyle w:val="Header"/>
      <w:jc w:val="right"/>
      <w:rPr>
        <w:rFonts w:cs="Arial"/>
        <w:sz w:val="18"/>
        <w:szCs w:val="18"/>
      </w:rPr>
    </w:pPr>
    <w:r>
      <w:rPr>
        <w:rFonts w:cs="Arial"/>
        <w:sz w:val="18"/>
        <w:szCs w:val="18"/>
      </w:rPr>
      <w:t>memo-ppt-amard-sep17item02</w:t>
    </w:r>
  </w:p>
  <w:p w14:paraId="31F53320" w14:textId="77777777" w:rsidR="00BE3748" w:rsidRDefault="00BE3748" w:rsidP="00FF098A">
    <w:pPr>
      <w:pStyle w:val="Header"/>
      <w:jc w:val="right"/>
      <w:rPr>
        <w:rFonts w:cs="Arial"/>
        <w:sz w:val="18"/>
        <w:szCs w:val="18"/>
      </w:rPr>
    </w:pPr>
    <w:r>
      <w:rPr>
        <w:rFonts w:cs="Arial"/>
        <w:sz w:val="18"/>
        <w:szCs w:val="18"/>
      </w:rPr>
      <w:t xml:space="preserve">Attachment 1 </w:t>
    </w:r>
  </w:p>
  <w:p w14:paraId="7CC3E329" w14:textId="77777777" w:rsidR="00BE3748" w:rsidRDefault="00BE3748" w:rsidP="00FF098A">
    <w:pPr>
      <w:pStyle w:val="Header"/>
      <w:jc w:val="right"/>
      <w:rPr>
        <w:rFonts w:cs="Arial"/>
        <w:noProof/>
        <w:sz w:val="18"/>
        <w:szCs w:val="18"/>
      </w:rPr>
    </w:pPr>
    <w:r>
      <w:rPr>
        <w:rFonts w:cs="Arial"/>
        <w:sz w:val="18"/>
        <w:szCs w:val="18"/>
      </w:rPr>
      <w:t>Page 1</w:t>
    </w:r>
    <w:r>
      <w:rPr>
        <w:rFonts w:cs="Arial"/>
        <w:noProof/>
        <w:sz w:val="18"/>
        <w:szCs w:val="18"/>
      </w:rPr>
      <w:t xml:space="preserve"> of 2</w:t>
    </w:r>
  </w:p>
  <w:p w14:paraId="769D0D3C" w14:textId="77777777" w:rsidR="00BE3748" w:rsidRDefault="00BE3748" w:rsidP="00FF098A">
    <w:pPr>
      <w:pStyle w:val="Header"/>
      <w:jc w:val="right"/>
      <w:rPr>
        <w:rFonts w:cs="Arial"/>
        <w:noProof/>
        <w:sz w:val="18"/>
        <w:szCs w:val="18"/>
      </w:rPr>
    </w:pPr>
  </w:p>
  <w:p w14:paraId="54CD245A" w14:textId="77777777" w:rsidR="00BE3748" w:rsidRPr="00D43ED2" w:rsidRDefault="00BE3748" w:rsidP="00FF098A">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CC55" w14:textId="090BF4C3" w:rsidR="00BE3748" w:rsidRPr="00F974EB" w:rsidRDefault="00BE3748" w:rsidP="00FF098A">
    <w:pPr>
      <w:pStyle w:val="Header"/>
      <w:jc w:val="right"/>
      <w:rPr>
        <w:rFonts w:cs="Arial"/>
        <w:szCs w:val="18"/>
      </w:rPr>
    </w:pPr>
    <w:r w:rsidRPr="00F974EB">
      <w:rPr>
        <w:rFonts w:cs="Arial"/>
        <w:szCs w:val="18"/>
      </w:rPr>
      <w:t>m</w:t>
    </w:r>
    <w:r>
      <w:rPr>
        <w:rFonts w:cs="Arial"/>
        <w:szCs w:val="18"/>
      </w:rPr>
      <w:t>emo-itb-amard-apr22item01</w:t>
    </w:r>
  </w:p>
  <w:p w14:paraId="24E952A0" w14:textId="77777777" w:rsidR="00BE3748" w:rsidRPr="00F974EB" w:rsidRDefault="00BE3748" w:rsidP="00FF098A">
    <w:pPr>
      <w:pStyle w:val="Header"/>
      <w:jc w:val="right"/>
      <w:rPr>
        <w:rFonts w:cs="Arial"/>
        <w:szCs w:val="18"/>
      </w:rPr>
    </w:pPr>
    <w:r w:rsidRPr="00F974EB">
      <w:rPr>
        <w:rFonts w:cs="Arial"/>
        <w:szCs w:val="18"/>
      </w:rPr>
      <w:t>Attachment 1</w:t>
    </w:r>
  </w:p>
  <w:p w14:paraId="2F2B1E77" w14:textId="0C2891E7" w:rsidR="00BE3748" w:rsidRPr="00F974EB" w:rsidRDefault="00BE3748" w:rsidP="00786870">
    <w:pPr>
      <w:pStyle w:val="Header"/>
      <w:spacing w:after="240"/>
      <w:jc w:val="right"/>
      <w:rPr>
        <w:rFonts w:cs="Arial"/>
        <w:noProof/>
        <w:szCs w:val="18"/>
      </w:rPr>
    </w:pPr>
    <w:r w:rsidRPr="00F974EB">
      <w:rPr>
        <w:rFonts w:cs="Arial"/>
        <w:szCs w:val="18"/>
      </w:rPr>
      <w:t xml:space="preserve">Page </w:t>
    </w:r>
    <w:r w:rsidRPr="00FF098A">
      <w:rPr>
        <w:rFonts w:cs="Arial"/>
        <w:szCs w:val="18"/>
      </w:rPr>
      <w:fldChar w:fldCharType="begin"/>
    </w:r>
    <w:r w:rsidRPr="00FF098A">
      <w:rPr>
        <w:rFonts w:cs="Arial"/>
        <w:szCs w:val="18"/>
      </w:rPr>
      <w:instrText xml:space="preserve"> PAGE   \* MERGEFORMAT </w:instrText>
    </w:r>
    <w:r w:rsidRPr="00FF098A">
      <w:rPr>
        <w:rFonts w:cs="Arial"/>
        <w:szCs w:val="18"/>
      </w:rPr>
      <w:fldChar w:fldCharType="separate"/>
    </w:r>
    <w:r w:rsidRPr="00FF098A">
      <w:rPr>
        <w:rFonts w:cs="Arial"/>
        <w:noProof/>
        <w:szCs w:val="18"/>
      </w:rPr>
      <w:t>1</w:t>
    </w:r>
    <w:r w:rsidRPr="00FF098A">
      <w:rPr>
        <w:rFonts w:cs="Arial"/>
        <w:noProof/>
        <w:szCs w:val="18"/>
      </w:rPr>
      <w:fldChar w:fldCharType="end"/>
    </w:r>
    <w:r w:rsidRPr="00F974EB">
      <w:rPr>
        <w:rFonts w:cs="Arial"/>
        <w:noProof/>
        <w:szCs w:val="18"/>
      </w:rPr>
      <w:t xml:space="preserve"> of </w:t>
    </w:r>
    <w:r>
      <w:rPr>
        <w:rFonts w:cs="Arial"/>
        <w:noProof/>
        <w:szCs w:val="18"/>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F1E8" w14:textId="77777777" w:rsidR="00BE3748" w:rsidRPr="006015E6" w:rsidRDefault="00BE3748" w:rsidP="00FF098A">
    <w:pPr>
      <w:pStyle w:val="Header"/>
      <w:jc w:val="right"/>
      <w:rPr>
        <w:rFonts w:cs="Arial"/>
        <w:szCs w:val="18"/>
      </w:rPr>
    </w:pPr>
    <w:r w:rsidRPr="006015E6">
      <w:rPr>
        <w:rFonts w:cs="Arial"/>
        <w:szCs w:val="18"/>
      </w:rPr>
      <w:t>memo-ppt-amard-aug18item02</w:t>
    </w:r>
  </w:p>
  <w:p w14:paraId="16F12960" w14:textId="77777777" w:rsidR="00BE3748" w:rsidRPr="006015E6" w:rsidRDefault="00BE3748" w:rsidP="00FF098A">
    <w:pPr>
      <w:pStyle w:val="Header"/>
      <w:jc w:val="right"/>
      <w:rPr>
        <w:rFonts w:cs="Arial"/>
        <w:szCs w:val="18"/>
      </w:rPr>
    </w:pPr>
    <w:r w:rsidRPr="006015E6">
      <w:rPr>
        <w:rFonts w:cs="Arial"/>
        <w:szCs w:val="18"/>
      </w:rPr>
      <w:t>Attachment 1</w:t>
    </w:r>
  </w:p>
  <w:p w14:paraId="7EEF445D" w14:textId="77777777" w:rsidR="00BE3748" w:rsidRPr="006015E6" w:rsidRDefault="00BE3748" w:rsidP="00FF098A">
    <w:pPr>
      <w:pStyle w:val="Header"/>
      <w:spacing w:after="240"/>
      <w:jc w:val="right"/>
    </w:pPr>
    <w:r w:rsidRPr="006015E6">
      <w:rPr>
        <w:rFonts w:cs="Arial"/>
        <w:szCs w:val="18"/>
      </w:rPr>
      <w:t xml:space="preserve">Page </w:t>
    </w:r>
    <w:r w:rsidRPr="006015E6">
      <w:rPr>
        <w:rFonts w:cs="Arial"/>
        <w:szCs w:val="18"/>
      </w:rPr>
      <w:fldChar w:fldCharType="begin"/>
    </w:r>
    <w:r w:rsidRPr="006015E6">
      <w:rPr>
        <w:rFonts w:cs="Arial"/>
        <w:szCs w:val="18"/>
      </w:rPr>
      <w:instrText xml:space="preserve"> PAGE   \* MERGEFORMAT </w:instrText>
    </w:r>
    <w:r w:rsidRPr="006015E6">
      <w:rPr>
        <w:rFonts w:cs="Arial"/>
        <w:szCs w:val="18"/>
      </w:rPr>
      <w:fldChar w:fldCharType="separate"/>
    </w:r>
    <w:r>
      <w:rPr>
        <w:rFonts w:cs="Arial"/>
        <w:noProof/>
        <w:szCs w:val="18"/>
      </w:rPr>
      <w:t>2</w:t>
    </w:r>
    <w:r w:rsidRPr="006015E6">
      <w:rPr>
        <w:rFonts w:cs="Arial"/>
        <w:noProof/>
        <w:szCs w:val="18"/>
      </w:rPr>
      <w:fldChar w:fldCharType="end"/>
    </w:r>
    <w:r w:rsidRPr="006015E6">
      <w:rPr>
        <w:rFonts w:cs="Arial"/>
        <w:noProof/>
        <w:szCs w:val="18"/>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B8B49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01CED44"/>
    <w:lvl w:ilvl="0" w:tplc="066EF612">
      <w:start w:val="1"/>
      <w:numFmt w:val="decimal"/>
      <w:lvlText w:val="%1."/>
      <w:lvlJc w:val="left"/>
      <w:pPr>
        <w:tabs>
          <w:tab w:val="num" w:pos="1440"/>
        </w:tabs>
        <w:ind w:left="1440" w:hanging="360"/>
      </w:pPr>
    </w:lvl>
    <w:lvl w:ilvl="1" w:tplc="BD888832">
      <w:numFmt w:val="decimal"/>
      <w:lvlText w:val=""/>
      <w:lvlJc w:val="left"/>
    </w:lvl>
    <w:lvl w:ilvl="2" w:tplc="73F8931E">
      <w:numFmt w:val="decimal"/>
      <w:lvlText w:val=""/>
      <w:lvlJc w:val="left"/>
    </w:lvl>
    <w:lvl w:ilvl="3" w:tplc="7EB42E80">
      <w:numFmt w:val="decimal"/>
      <w:lvlText w:val=""/>
      <w:lvlJc w:val="left"/>
    </w:lvl>
    <w:lvl w:ilvl="4" w:tplc="65D2C5A4">
      <w:numFmt w:val="decimal"/>
      <w:lvlText w:val=""/>
      <w:lvlJc w:val="left"/>
    </w:lvl>
    <w:lvl w:ilvl="5" w:tplc="AB98533E">
      <w:numFmt w:val="decimal"/>
      <w:lvlText w:val=""/>
      <w:lvlJc w:val="left"/>
    </w:lvl>
    <w:lvl w:ilvl="6" w:tplc="D7184D64">
      <w:numFmt w:val="decimal"/>
      <w:lvlText w:val=""/>
      <w:lvlJc w:val="left"/>
    </w:lvl>
    <w:lvl w:ilvl="7" w:tplc="4650C388">
      <w:numFmt w:val="decimal"/>
      <w:lvlText w:val=""/>
      <w:lvlJc w:val="left"/>
    </w:lvl>
    <w:lvl w:ilvl="8" w:tplc="DCF440A8">
      <w:numFmt w:val="decimal"/>
      <w:lvlText w:val=""/>
      <w:lvlJc w:val="left"/>
    </w:lvl>
  </w:abstractNum>
  <w:abstractNum w:abstractNumId="2" w15:restartNumberingAfterBreak="0">
    <w:nsid w:val="FFFFFF7E"/>
    <w:multiLevelType w:val="hybridMultilevel"/>
    <w:tmpl w:val="7D300936"/>
    <w:lvl w:ilvl="0" w:tplc="D2685536">
      <w:start w:val="1"/>
      <w:numFmt w:val="decimal"/>
      <w:lvlText w:val="%1."/>
      <w:lvlJc w:val="left"/>
      <w:pPr>
        <w:tabs>
          <w:tab w:val="num" w:pos="1080"/>
        </w:tabs>
        <w:ind w:left="1080" w:hanging="360"/>
      </w:pPr>
    </w:lvl>
    <w:lvl w:ilvl="1" w:tplc="676C0D44">
      <w:numFmt w:val="decimal"/>
      <w:lvlText w:val=""/>
      <w:lvlJc w:val="left"/>
    </w:lvl>
    <w:lvl w:ilvl="2" w:tplc="43B86468">
      <w:numFmt w:val="decimal"/>
      <w:lvlText w:val=""/>
      <w:lvlJc w:val="left"/>
    </w:lvl>
    <w:lvl w:ilvl="3" w:tplc="66A2D79C">
      <w:numFmt w:val="decimal"/>
      <w:lvlText w:val=""/>
      <w:lvlJc w:val="left"/>
    </w:lvl>
    <w:lvl w:ilvl="4" w:tplc="13922A02">
      <w:numFmt w:val="decimal"/>
      <w:lvlText w:val=""/>
      <w:lvlJc w:val="left"/>
    </w:lvl>
    <w:lvl w:ilvl="5" w:tplc="E0F847AE">
      <w:numFmt w:val="decimal"/>
      <w:lvlText w:val=""/>
      <w:lvlJc w:val="left"/>
    </w:lvl>
    <w:lvl w:ilvl="6" w:tplc="336055F4">
      <w:numFmt w:val="decimal"/>
      <w:lvlText w:val=""/>
      <w:lvlJc w:val="left"/>
    </w:lvl>
    <w:lvl w:ilvl="7" w:tplc="C1EAC3CC">
      <w:numFmt w:val="decimal"/>
      <w:lvlText w:val=""/>
      <w:lvlJc w:val="left"/>
    </w:lvl>
    <w:lvl w:ilvl="8" w:tplc="1BF27E0A">
      <w:numFmt w:val="decimal"/>
      <w:lvlText w:val=""/>
      <w:lvlJc w:val="left"/>
    </w:lvl>
  </w:abstractNum>
  <w:abstractNum w:abstractNumId="3" w15:restartNumberingAfterBreak="0">
    <w:nsid w:val="FFFFFF7F"/>
    <w:multiLevelType w:val="hybridMultilevel"/>
    <w:tmpl w:val="C8620920"/>
    <w:lvl w:ilvl="0" w:tplc="5CCC8568">
      <w:start w:val="1"/>
      <w:numFmt w:val="decimal"/>
      <w:lvlText w:val="%1."/>
      <w:lvlJc w:val="left"/>
      <w:pPr>
        <w:tabs>
          <w:tab w:val="num" w:pos="720"/>
        </w:tabs>
        <w:ind w:left="720" w:hanging="360"/>
      </w:pPr>
    </w:lvl>
    <w:lvl w:ilvl="1" w:tplc="899EF6EE">
      <w:numFmt w:val="decimal"/>
      <w:lvlText w:val=""/>
      <w:lvlJc w:val="left"/>
    </w:lvl>
    <w:lvl w:ilvl="2" w:tplc="C0A4ECFE">
      <w:numFmt w:val="decimal"/>
      <w:lvlText w:val=""/>
      <w:lvlJc w:val="left"/>
    </w:lvl>
    <w:lvl w:ilvl="3" w:tplc="79D2CF60">
      <w:numFmt w:val="decimal"/>
      <w:lvlText w:val=""/>
      <w:lvlJc w:val="left"/>
    </w:lvl>
    <w:lvl w:ilvl="4" w:tplc="1932F150">
      <w:numFmt w:val="decimal"/>
      <w:lvlText w:val=""/>
      <w:lvlJc w:val="left"/>
    </w:lvl>
    <w:lvl w:ilvl="5" w:tplc="3AD8FEDE">
      <w:numFmt w:val="decimal"/>
      <w:lvlText w:val=""/>
      <w:lvlJc w:val="left"/>
    </w:lvl>
    <w:lvl w:ilvl="6" w:tplc="42F072DC">
      <w:numFmt w:val="decimal"/>
      <w:lvlText w:val=""/>
      <w:lvlJc w:val="left"/>
    </w:lvl>
    <w:lvl w:ilvl="7" w:tplc="E8C2F000">
      <w:numFmt w:val="decimal"/>
      <w:lvlText w:val=""/>
      <w:lvlJc w:val="left"/>
    </w:lvl>
    <w:lvl w:ilvl="8" w:tplc="E51CF544">
      <w:numFmt w:val="decimal"/>
      <w:lvlText w:val=""/>
      <w:lvlJc w:val="left"/>
    </w:lvl>
  </w:abstractNum>
  <w:abstractNum w:abstractNumId="4" w15:restartNumberingAfterBreak="0">
    <w:nsid w:val="FFFFFF80"/>
    <w:multiLevelType w:val="hybridMultilevel"/>
    <w:tmpl w:val="E926D8A0"/>
    <w:lvl w:ilvl="0" w:tplc="F3A214E2">
      <w:start w:val="1"/>
      <w:numFmt w:val="bullet"/>
      <w:lvlText w:val=""/>
      <w:lvlJc w:val="left"/>
      <w:pPr>
        <w:tabs>
          <w:tab w:val="num" w:pos="1800"/>
        </w:tabs>
        <w:ind w:left="1800" w:hanging="360"/>
      </w:pPr>
      <w:rPr>
        <w:rFonts w:ascii="Symbol" w:hAnsi="Symbol" w:hint="default"/>
      </w:rPr>
    </w:lvl>
    <w:lvl w:ilvl="1" w:tplc="A2A87E8C">
      <w:numFmt w:val="decimal"/>
      <w:lvlText w:val=""/>
      <w:lvlJc w:val="left"/>
    </w:lvl>
    <w:lvl w:ilvl="2" w:tplc="62D04C6E">
      <w:numFmt w:val="decimal"/>
      <w:lvlText w:val=""/>
      <w:lvlJc w:val="left"/>
    </w:lvl>
    <w:lvl w:ilvl="3" w:tplc="A8A0B3CE">
      <w:numFmt w:val="decimal"/>
      <w:lvlText w:val=""/>
      <w:lvlJc w:val="left"/>
    </w:lvl>
    <w:lvl w:ilvl="4" w:tplc="964EBFD0">
      <w:numFmt w:val="decimal"/>
      <w:lvlText w:val=""/>
      <w:lvlJc w:val="left"/>
    </w:lvl>
    <w:lvl w:ilvl="5" w:tplc="3B021EAA">
      <w:numFmt w:val="decimal"/>
      <w:lvlText w:val=""/>
      <w:lvlJc w:val="left"/>
    </w:lvl>
    <w:lvl w:ilvl="6" w:tplc="A748137E">
      <w:numFmt w:val="decimal"/>
      <w:lvlText w:val=""/>
      <w:lvlJc w:val="left"/>
    </w:lvl>
    <w:lvl w:ilvl="7" w:tplc="4F4EE23C">
      <w:numFmt w:val="decimal"/>
      <w:lvlText w:val=""/>
      <w:lvlJc w:val="left"/>
    </w:lvl>
    <w:lvl w:ilvl="8" w:tplc="B5B80300">
      <w:numFmt w:val="decimal"/>
      <w:lvlText w:val=""/>
      <w:lvlJc w:val="left"/>
    </w:lvl>
  </w:abstractNum>
  <w:abstractNum w:abstractNumId="5" w15:restartNumberingAfterBreak="0">
    <w:nsid w:val="FFFFFF81"/>
    <w:multiLevelType w:val="hybridMultilevel"/>
    <w:tmpl w:val="EA5427C4"/>
    <w:lvl w:ilvl="0" w:tplc="867816C4">
      <w:start w:val="1"/>
      <w:numFmt w:val="bullet"/>
      <w:lvlText w:val=""/>
      <w:lvlJc w:val="left"/>
      <w:pPr>
        <w:tabs>
          <w:tab w:val="num" w:pos="1440"/>
        </w:tabs>
        <w:ind w:left="1440" w:hanging="360"/>
      </w:pPr>
      <w:rPr>
        <w:rFonts w:ascii="Symbol" w:hAnsi="Symbol" w:hint="default"/>
      </w:rPr>
    </w:lvl>
    <w:lvl w:ilvl="1" w:tplc="9A9CFE54">
      <w:numFmt w:val="decimal"/>
      <w:lvlText w:val=""/>
      <w:lvlJc w:val="left"/>
    </w:lvl>
    <w:lvl w:ilvl="2" w:tplc="A558D48A">
      <w:numFmt w:val="decimal"/>
      <w:lvlText w:val=""/>
      <w:lvlJc w:val="left"/>
    </w:lvl>
    <w:lvl w:ilvl="3" w:tplc="51883EC2">
      <w:numFmt w:val="decimal"/>
      <w:lvlText w:val=""/>
      <w:lvlJc w:val="left"/>
    </w:lvl>
    <w:lvl w:ilvl="4" w:tplc="186C518C">
      <w:numFmt w:val="decimal"/>
      <w:lvlText w:val=""/>
      <w:lvlJc w:val="left"/>
    </w:lvl>
    <w:lvl w:ilvl="5" w:tplc="D416D810">
      <w:numFmt w:val="decimal"/>
      <w:lvlText w:val=""/>
      <w:lvlJc w:val="left"/>
    </w:lvl>
    <w:lvl w:ilvl="6" w:tplc="6FD81996">
      <w:numFmt w:val="decimal"/>
      <w:lvlText w:val=""/>
      <w:lvlJc w:val="left"/>
    </w:lvl>
    <w:lvl w:ilvl="7" w:tplc="F1C25F74">
      <w:numFmt w:val="decimal"/>
      <w:lvlText w:val=""/>
      <w:lvlJc w:val="left"/>
    </w:lvl>
    <w:lvl w:ilvl="8" w:tplc="6E74E49C">
      <w:numFmt w:val="decimal"/>
      <w:lvlText w:val=""/>
      <w:lvlJc w:val="left"/>
    </w:lvl>
  </w:abstractNum>
  <w:abstractNum w:abstractNumId="6" w15:restartNumberingAfterBreak="0">
    <w:nsid w:val="FFFFFF82"/>
    <w:multiLevelType w:val="hybridMultilevel"/>
    <w:tmpl w:val="7FB25B02"/>
    <w:lvl w:ilvl="0" w:tplc="7256D4A0">
      <w:start w:val="1"/>
      <w:numFmt w:val="bullet"/>
      <w:lvlText w:val=""/>
      <w:lvlJc w:val="left"/>
      <w:pPr>
        <w:tabs>
          <w:tab w:val="num" w:pos="1080"/>
        </w:tabs>
        <w:ind w:left="1080" w:hanging="360"/>
      </w:pPr>
      <w:rPr>
        <w:rFonts w:ascii="Symbol" w:hAnsi="Symbol" w:hint="default"/>
      </w:rPr>
    </w:lvl>
    <w:lvl w:ilvl="1" w:tplc="968C1A0A">
      <w:numFmt w:val="decimal"/>
      <w:lvlText w:val=""/>
      <w:lvlJc w:val="left"/>
    </w:lvl>
    <w:lvl w:ilvl="2" w:tplc="48925C78">
      <w:numFmt w:val="decimal"/>
      <w:lvlText w:val=""/>
      <w:lvlJc w:val="left"/>
    </w:lvl>
    <w:lvl w:ilvl="3" w:tplc="FB42D8A8">
      <w:numFmt w:val="decimal"/>
      <w:lvlText w:val=""/>
      <w:lvlJc w:val="left"/>
    </w:lvl>
    <w:lvl w:ilvl="4" w:tplc="3A1CAAF4">
      <w:numFmt w:val="decimal"/>
      <w:lvlText w:val=""/>
      <w:lvlJc w:val="left"/>
    </w:lvl>
    <w:lvl w:ilvl="5" w:tplc="02F268B8">
      <w:numFmt w:val="decimal"/>
      <w:lvlText w:val=""/>
      <w:lvlJc w:val="left"/>
    </w:lvl>
    <w:lvl w:ilvl="6" w:tplc="B9DE1974">
      <w:numFmt w:val="decimal"/>
      <w:lvlText w:val=""/>
      <w:lvlJc w:val="left"/>
    </w:lvl>
    <w:lvl w:ilvl="7" w:tplc="CB449B70">
      <w:numFmt w:val="decimal"/>
      <w:lvlText w:val=""/>
      <w:lvlJc w:val="left"/>
    </w:lvl>
    <w:lvl w:ilvl="8" w:tplc="A18847B8">
      <w:numFmt w:val="decimal"/>
      <w:lvlText w:val=""/>
      <w:lvlJc w:val="left"/>
    </w:lvl>
  </w:abstractNum>
  <w:abstractNum w:abstractNumId="7" w15:restartNumberingAfterBreak="0">
    <w:nsid w:val="FFFFFF83"/>
    <w:multiLevelType w:val="hybridMultilevel"/>
    <w:tmpl w:val="11B475A4"/>
    <w:lvl w:ilvl="0" w:tplc="C10EEC20">
      <w:start w:val="1"/>
      <w:numFmt w:val="bullet"/>
      <w:lvlText w:val=""/>
      <w:lvlJc w:val="left"/>
      <w:pPr>
        <w:tabs>
          <w:tab w:val="num" w:pos="720"/>
        </w:tabs>
        <w:ind w:left="720" w:hanging="360"/>
      </w:pPr>
      <w:rPr>
        <w:rFonts w:ascii="Symbol" w:hAnsi="Symbol" w:hint="default"/>
      </w:rPr>
    </w:lvl>
    <w:lvl w:ilvl="1" w:tplc="33907C96">
      <w:numFmt w:val="decimal"/>
      <w:lvlText w:val=""/>
      <w:lvlJc w:val="left"/>
    </w:lvl>
    <w:lvl w:ilvl="2" w:tplc="E91214D4">
      <w:numFmt w:val="decimal"/>
      <w:lvlText w:val=""/>
      <w:lvlJc w:val="left"/>
    </w:lvl>
    <w:lvl w:ilvl="3" w:tplc="4734F6D0">
      <w:numFmt w:val="decimal"/>
      <w:lvlText w:val=""/>
      <w:lvlJc w:val="left"/>
    </w:lvl>
    <w:lvl w:ilvl="4" w:tplc="324E4854">
      <w:numFmt w:val="decimal"/>
      <w:lvlText w:val=""/>
      <w:lvlJc w:val="left"/>
    </w:lvl>
    <w:lvl w:ilvl="5" w:tplc="490CA972">
      <w:numFmt w:val="decimal"/>
      <w:lvlText w:val=""/>
      <w:lvlJc w:val="left"/>
    </w:lvl>
    <w:lvl w:ilvl="6" w:tplc="081EDB54">
      <w:numFmt w:val="decimal"/>
      <w:lvlText w:val=""/>
      <w:lvlJc w:val="left"/>
    </w:lvl>
    <w:lvl w:ilvl="7" w:tplc="CEB454C2">
      <w:numFmt w:val="decimal"/>
      <w:lvlText w:val=""/>
      <w:lvlJc w:val="left"/>
    </w:lvl>
    <w:lvl w:ilvl="8" w:tplc="0B5AEB80">
      <w:numFmt w:val="decimal"/>
      <w:lvlText w:val=""/>
      <w:lvlJc w:val="left"/>
    </w:lvl>
  </w:abstractNum>
  <w:abstractNum w:abstractNumId="8" w15:restartNumberingAfterBreak="0">
    <w:nsid w:val="FFFFFF88"/>
    <w:multiLevelType w:val="hybridMultilevel"/>
    <w:tmpl w:val="EDB86E38"/>
    <w:lvl w:ilvl="0" w:tplc="E828FCEC">
      <w:start w:val="1"/>
      <w:numFmt w:val="decimal"/>
      <w:lvlText w:val="%1."/>
      <w:lvlJc w:val="left"/>
      <w:pPr>
        <w:tabs>
          <w:tab w:val="num" w:pos="360"/>
        </w:tabs>
        <w:ind w:left="360" w:hanging="360"/>
      </w:pPr>
    </w:lvl>
    <w:lvl w:ilvl="1" w:tplc="B4D03458">
      <w:numFmt w:val="decimal"/>
      <w:lvlText w:val=""/>
      <w:lvlJc w:val="left"/>
    </w:lvl>
    <w:lvl w:ilvl="2" w:tplc="665AEB10">
      <w:numFmt w:val="decimal"/>
      <w:lvlText w:val=""/>
      <w:lvlJc w:val="left"/>
    </w:lvl>
    <w:lvl w:ilvl="3" w:tplc="429006E2">
      <w:numFmt w:val="decimal"/>
      <w:lvlText w:val=""/>
      <w:lvlJc w:val="left"/>
    </w:lvl>
    <w:lvl w:ilvl="4" w:tplc="4CF490FC">
      <w:numFmt w:val="decimal"/>
      <w:lvlText w:val=""/>
      <w:lvlJc w:val="left"/>
    </w:lvl>
    <w:lvl w:ilvl="5" w:tplc="A7DADEF2">
      <w:numFmt w:val="decimal"/>
      <w:lvlText w:val=""/>
      <w:lvlJc w:val="left"/>
    </w:lvl>
    <w:lvl w:ilvl="6" w:tplc="72A47C88">
      <w:numFmt w:val="decimal"/>
      <w:lvlText w:val=""/>
      <w:lvlJc w:val="left"/>
    </w:lvl>
    <w:lvl w:ilvl="7" w:tplc="EE28F96E">
      <w:numFmt w:val="decimal"/>
      <w:lvlText w:val=""/>
      <w:lvlJc w:val="left"/>
    </w:lvl>
    <w:lvl w:ilvl="8" w:tplc="A044E686">
      <w:numFmt w:val="decimal"/>
      <w:lvlText w:val=""/>
      <w:lvlJc w:val="left"/>
    </w:lvl>
  </w:abstractNum>
  <w:abstractNum w:abstractNumId="9" w15:restartNumberingAfterBreak="0">
    <w:nsid w:val="FFFFFF89"/>
    <w:multiLevelType w:val="hybridMultilevel"/>
    <w:tmpl w:val="E83002CE"/>
    <w:lvl w:ilvl="0" w:tplc="0E60D494">
      <w:start w:val="1"/>
      <w:numFmt w:val="bullet"/>
      <w:lvlText w:val=""/>
      <w:lvlJc w:val="left"/>
      <w:pPr>
        <w:tabs>
          <w:tab w:val="num" w:pos="360"/>
        </w:tabs>
        <w:ind w:left="360" w:hanging="360"/>
      </w:pPr>
      <w:rPr>
        <w:rFonts w:ascii="Symbol" w:hAnsi="Symbol" w:hint="default"/>
      </w:rPr>
    </w:lvl>
    <w:lvl w:ilvl="1" w:tplc="D59C5232">
      <w:numFmt w:val="decimal"/>
      <w:lvlText w:val=""/>
      <w:lvlJc w:val="left"/>
    </w:lvl>
    <w:lvl w:ilvl="2" w:tplc="9CC2550A">
      <w:numFmt w:val="decimal"/>
      <w:lvlText w:val=""/>
      <w:lvlJc w:val="left"/>
    </w:lvl>
    <w:lvl w:ilvl="3" w:tplc="B420C2BC">
      <w:numFmt w:val="decimal"/>
      <w:lvlText w:val=""/>
      <w:lvlJc w:val="left"/>
    </w:lvl>
    <w:lvl w:ilvl="4" w:tplc="5550510A">
      <w:numFmt w:val="decimal"/>
      <w:lvlText w:val=""/>
      <w:lvlJc w:val="left"/>
    </w:lvl>
    <w:lvl w:ilvl="5" w:tplc="7084D6E8">
      <w:numFmt w:val="decimal"/>
      <w:lvlText w:val=""/>
      <w:lvlJc w:val="left"/>
    </w:lvl>
    <w:lvl w:ilvl="6" w:tplc="266E95C0">
      <w:numFmt w:val="decimal"/>
      <w:lvlText w:val=""/>
      <w:lvlJc w:val="left"/>
    </w:lvl>
    <w:lvl w:ilvl="7" w:tplc="7D245752">
      <w:numFmt w:val="decimal"/>
      <w:lvlText w:val=""/>
      <w:lvlJc w:val="left"/>
    </w:lvl>
    <w:lvl w:ilvl="8" w:tplc="3F5ABC30">
      <w:numFmt w:val="decimal"/>
      <w:lvlText w:val=""/>
      <w:lvlJc w:val="left"/>
    </w:lvl>
  </w:abstractNum>
  <w:abstractNum w:abstractNumId="10" w15:restartNumberingAfterBreak="0">
    <w:nsid w:val="023730F8"/>
    <w:multiLevelType w:val="hybridMultilevel"/>
    <w:tmpl w:val="4328D8A4"/>
    <w:lvl w:ilvl="0" w:tplc="CA24692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36EBD"/>
    <w:multiLevelType w:val="hybridMultilevel"/>
    <w:tmpl w:val="D7CA0A5C"/>
    <w:lvl w:ilvl="0" w:tplc="FFFFFFF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84C0E79"/>
    <w:multiLevelType w:val="hybridMultilevel"/>
    <w:tmpl w:val="63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8C62ED"/>
    <w:multiLevelType w:val="hybridMultilevel"/>
    <w:tmpl w:val="C84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67B43"/>
    <w:multiLevelType w:val="hybridMultilevel"/>
    <w:tmpl w:val="CD1E8CBC"/>
    <w:lvl w:ilvl="0" w:tplc="B426B8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15E42"/>
    <w:multiLevelType w:val="hybridMultilevel"/>
    <w:tmpl w:val="ABC8AE3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F6E03C9"/>
    <w:multiLevelType w:val="hybridMultilevel"/>
    <w:tmpl w:val="BB346374"/>
    <w:lvl w:ilvl="0" w:tplc="D416FF40">
      <w:start w:val="1"/>
      <w:numFmt w:val="bullet"/>
      <w:lvlText w:val=""/>
      <w:lvlJc w:val="left"/>
      <w:pPr>
        <w:ind w:left="720" w:hanging="360"/>
      </w:pPr>
      <w:rPr>
        <w:rFonts w:ascii="Symbol" w:hAnsi="Symbol" w:hint="default"/>
      </w:rPr>
    </w:lvl>
    <w:lvl w:ilvl="1" w:tplc="C04219BE">
      <w:start w:val="1"/>
      <w:numFmt w:val="bullet"/>
      <w:lvlText w:val="o"/>
      <w:lvlJc w:val="left"/>
      <w:pPr>
        <w:ind w:left="1440" w:hanging="360"/>
      </w:pPr>
      <w:rPr>
        <w:rFonts w:ascii="Courier New" w:hAnsi="Courier New" w:hint="default"/>
      </w:rPr>
    </w:lvl>
    <w:lvl w:ilvl="2" w:tplc="16A4D0F0">
      <w:start w:val="1"/>
      <w:numFmt w:val="bullet"/>
      <w:lvlText w:val=""/>
      <w:lvlJc w:val="left"/>
      <w:pPr>
        <w:ind w:left="2160" w:hanging="360"/>
      </w:pPr>
      <w:rPr>
        <w:rFonts w:ascii="Wingdings" w:hAnsi="Wingdings" w:hint="default"/>
      </w:rPr>
    </w:lvl>
    <w:lvl w:ilvl="3" w:tplc="3580E720">
      <w:start w:val="1"/>
      <w:numFmt w:val="bullet"/>
      <w:lvlText w:val=""/>
      <w:lvlJc w:val="left"/>
      <w:pPr>
        <w:ind w:left="2880" w:hanging="360"/>
      </w:pPr>
      <w:rPr>
        <w:rFonts w:ascii="Symbol" w:hAnsi="Symbol" w:hint="default"/>
      </w:rPr>
    </w:lvl>
    <w:lvl w:ilvl="4" w:tplc="42F2AD98">
      <w:start w:val="1"/>
      <w:numFmt w:val="bullet"/>
      <w:lvlText w:val="o"/>
      <w:lvlJc w:val="left"/>
      <w:pPr>
        <w:ind w:left="3600" w:hanging="360"/>
      </w:pPr>
      <w:rPr>
        <w:rFonts w:ascii="Courier New" w:hAnsi="Courier New" w:hint="default"/>
      </w:rPr>
    </w:lvl>
    <w:lvl w:ilvl="5" w:tplc="1834092E">
      <w:start w:val="1"/>
      <w:numFmt w:val="bullet"/>
      <w:lvlText w:val=""/>
      <w:lvlJc w:val="left"/>
      <w:pPr>
        <w:ind w:left="4320" w:hanging="360"/>
      </w:pPr>
      <w:rPr>
        <w:rFonts w:ascii="Wingdings" w:hAnsi="Wingdings" w:hint="default"/>
      </w:rPr>
    </w:lvl>
    <w:lvl w:ilvl="6" w:tplc="8F066A2C">
      <w:start w:val="1"/>
      <w:numFmt w:val="bullet"/>
      <w:lvlText w:val=""/>
      <w:lvlJc w:val="left"/>
      <w:pPr>
        <w:ind w:left="5040" w:hanging="360"/>
      </w:pPr>
      <w:rPr>
        <w:rFonts w:ascii="Symbol" w:hAnsi="Symbol" w:hint="default"/>
      </w:rPr>
    </w:lvl>
    <w:lvl w:ilvl="7" w:tplc="B03ECE3A">
      <w:start w:val="1"/>
      <w:numFmt w:val="bullet"/>
      <w:lvlText w:val="o"/>
      <w:lvlJc w:val="left"/>
      <w:pPr>
        <w:ind w:left="5760" w:hanging="360"/>
      </w:pPr>
      <w:rPr>
        <w:rFonts w:ascii="Courier New" w:hAnsi="Courier New" w:hint="default"/>
      </w:rPr>
    </w:lvl>
    <w:lvl w:ilvl="8" w:tplc="36860DD8">
      <w:start w:val="1"/>
      <w:numFmt w:val="bullet"/>
      <w:lvlText w:val=""/>
      <w:lvlJc w:val="left"/>
      <w:pPr>
        <w:ind w:left="6480" w:hanging="360"/>
      </w:pPr>
      <w:rPr>
        <w:rFonts w:ascii="Wingdings" w:hAnsi="Wingdings" w:hint="default"/>
      </w:rPr>
    </w:lvl>
  </w:abstractNum>
  <w:abstractNum w:abstractNumId="17" w15:restartNumberingAfterBreak="0">
    <w:nsid w:val="250F752D"/>
    <w:multiLevelType w:val="hybridMultilevel"/>
    <w:tmpl w:val="B3A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B2BB9"/>
    <w:multiLevelType w:val="hybridMultilevel"/>
    <w:tmpl w:val="2D3820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E25BC"/>
    <w:multiLevelType w:val="hybridMultilevel"/>
    <w:tmpl w:val="757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66D5A"/>
    <w:multiLevelType w:val="hybridMultilevel"/>
    <w:tmpl w:val="84AA1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4088D"/>
    <w:multiLevelType w:val="hybridMultilevel"/>
    <w:tmpl w:val="774AC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F2E7DB8"/>
    <w:multiLevelType w:val="hybridMultilevel"/>
    <w:tmpl w:val="92A68050"/>
    <w:lvl w:ilvl="0" w:tplc="24D087E6">
      <w:start w:val="1"/>
      <w:numFmt w:val="bullet"/>
      <w:lvlText w:val=""/>
      <w:lvlJc w:val="left"/>
      <w:pPr>
        <w:ind w:left="720" w:hanging="360"/>
      </w:pPr>
      <w:rPr>
        <w:rFonts w:ascii="Symbol" w:hAnsi="Symbol" w:hint="default"/>
      </w:rPr>
    </w:lvl>
    <w:lvl w:ilvl="1" w:tplc="1A6019AC">
      <w:start w:val="1"/>
      <w:numFmt w:val="bullet"/>
      <w:lvlText w:val="o"/>
      <w:lvlJc w:val="left"/>
      <w:pPr>
        <w:ind w:left="1440" w:hanging="360"/>
      </w:pPr>
      <w:rPr>
        <w:rFonts w:ascii="Courier New" w:hAnsi="Courier New" w:hint="default"/>
      </w:rPr>
    </w:lvl>
    <w:lvl w:ilvl="2" w:tplc="30E04F64">
      <w:start w:val="1"/>
      <w:numFmt w:val="bullet"/>
      <w:lvlText w:val=""/>
      <w:lvlJc w:val="left"/>
      <w:pPr>
        <w:ind w:left="2160" w:hanging="360"/>
      </w:pPr>
      <w:rPr>
        <w:rFonts w:ascii="Wingdings" w:hAnsi="Wingdings" w:hint="default"/>
      </w:rPr>
    </w:lvl>
    <w:lvl w:ilvl="3" w:tplc="38F0E24E">
      <w:start w:val="1"/>
      <w:numFmt w:val="bullet"/>
      <w:lvlText w:val=""/>
      <w:lvlJc w:val="left"/>
      <w:pPr>
        <w:ind w:left="2880" w:hanging="360"/>
      </w:pPr>
      <w:rPr>
        <w:rFonts w:ascii="Symbol" w:hAnsi="Symbol" w:hint="default"/>
      </w:rPr>
    </w:lvl>
    <w:lvl w:ilvl="4" w:tplc="8542D85E">
      <w:start w:val="1"/>
      <w:numFmt w:val="bullet"/>
      <w:lvlText w:val="o"/>
      <w:lvlJc w:val="left"/>
      <w:pPr>
        <w:ind w:left="3600" w:hanging="360"/>
      </w:pPr>
      <w:rPr>
        <w:rFonts w:ascii="Courier New" w:hAnsi="Courier New" w:hint="default"/>
      </w:rPr>
    </w:lvl>
    <w:lvl w:ilvl="5" w:tplc="4190A844">
      <w:start w:val="1"/>
      <w:numFmt w:val="bullet"/>
      <w:lvlText w:val=""/>
      <w:lvlJc w:val="left"/>
      <w:pPr>
        <w:ind w:left="4320" w:hanging="360"/>
      </w:pPr>
      <w:rPr>
        <w:rFonts w:ascii="Wingdings" w:hAnsi="Wingdings" w:hint="default"/>
      </w:rPr>
    </w:lvl>
    <w:lvl w:ilvl="6" w:tplc="AD4CD04A">
      <w:start w:val="1"/>
      <w:numFmt w:val="bullet"/>
      <w:lvlText w:val=""/>
      <w:lvlJc w:val="left"/>
      <w:pPr>
        <w:ind w:left="5040" w:hanging="360"/>
      </w:pPr>
      <w:rPr>
        <w:rFonts w:ascii="Symbol" w:hAnsi="Symbol" w:hint="default"/>
      </w:rPr>
    </w:lvl>
    <w:lvl w:ilvl="7" w:tplc="48181BC2">
      <w:start w:val="1"/>
      <w:numFmt w:val="bullet"/>
      <w:lvlText w:val="o"/>
      <w:lvlJc w:val="left"/>
      <w:pPr>
        <w:ind w:left="5760" w:hanging="360"/>
      </w:pPr>
      <w:rPr>
        <w:rFonts w:ascii="Courier New" w:hAnsi="Courier New" w:hint="default"/>
      </w:rPr>
    </w:lvl>
    <w:lvl w:ilvl="8" w:tplc="2B9C6820">
      <w:start w:val="1"/>
      <w:numFmt w:val="bullet"/>
      <w:lvlText w:val=""/>
      <w:lvlJc w:val="left"/>
      <w:pPr>
        <w:ind w:left="6480" w:hanging="360"/>
      </w:pPr>
      <w:rPr>
        <w:rFonts w:ascii="Wingdings" w:hAnsi="Wingdings" w:hint="default"/>
      </w:rPr>
    </w:lvl>
  </w:abstractNum>
  <w:abstractNum w:abstractNumId="23" w15:restartNumberingAfterBreak="0">
    <w:nsid w:val="4BED002D"/>
    <w:multiLevelType w:val="hybridMultilevel"/>
    <w:tmpl w:val="9562628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CD552B2"/>
    <w:multiLevelType w:val="hybridMultilevel"/>
    <w:tmpl w:val="38B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61656"/>
    <w:multiLevelType w:val="hybridMultilevel"/>
    <w:tmpl w:val="499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25AB2"/>
    <w:multiLevelType w:val="hybridMultilevel"/>
    <w:tmpl w:val="5BAAF5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8166D92"/>
    <w:multiLevelType w:val="hybridMultilevel"/>
    <w:tmpl w:val="BCE645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F4D76"/>
    <w:multiLevelType w:val="hybridMultilevel"/>
    <w:tmpl w:val="FD0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00DD8"/>
    <w:multiLevelType w:val="hybridMultilevel"/>
    <w:tmpl w:val="850A74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B0D6DF5"/>
    <w:multiLevelType w:val="hybridMultilevel"/>
    <w:tmpl w:val="4CD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85D4C"/>
    <w:multiLevelType w:val="hybridMultilevel"/>
    <w:tmpl w:val="BDE6A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A42EE"/>
    <w:multiLevelType w:val="hybridMultilevel"/>
    <w:tmpl w:val="D4A20CE6"/>
    <w:lvl w:ilvl="0" w:tplc="56FC70BC">
      <w:start w:val="1"/>
      <w:numFmt w:val="bullet"/>
      <w:lvlText w:val=""/>
      <w:lvlJc w:val="left"/>
      <w:pPr>
        <w:ind w:left="720" w:hanging="360"/>
      </w:pPr>
      <w:rPr>
        <w:rFonts w:ascii="Symbol" w:hAnsi="Symbol" w:hint="default"/>
      </w:rPr>
    </w:lvl>
    <w:lvl w:ilvl="1" w:tplc="6CB0271C">
      <w:start w:val="1"/>
      <w:numFmt w:val="bullet"/>
      <w:lvlText w:val=""/>
      <w:lvlJc w:val="left"/>
      <w:pPr>
        <w:ind w:left="1440" w:hanging="360"/>
      </w:pPr>
      <w:rPr>
        <w:rFonts w:ascii="Wingdings" w:hAnsi="Wingdings" w:hint="default"/>
      </w:rPr>
    </w:lvl>
    <w:lvl w:ilvl="2" w:tplc="D61C691E">
      <w:start w:val="1"/>
      <w:numFmt w:val="bullet"/>
      <w:lvlText w:val=""/>
      <w:lvlJc w:val="left"/>
      <w:pPr>
        <w:ind w:left="2160" w:hanging="360"/>
      </w:pPr>
      <w:rPr>
        <w:rFonts w:ascii="Wingdings" w:hAnsi="Wingdings" w:hint="default"/>
      </w:rPr>
    </w:lvl>
    <w:lvl w:ilvl="3" w:tplc="FDFE80DC">
      <w:start w:val="1"/>
      <w:numFmt w:val="bullet"/>
      <w:lvlText w:val=""/>
      <w:lvlJc w:val="left"/>
      <w:pPr>
        <w:ind w:left="2880" w:hanging="360"/>
      </w:pPr>
      <w:rPr>
        <w:rFonts w:ascii="Symbol" w:hAnsi="Symbol" w:hint="default"/>
      </w:rPr>
    </w:lvl>
    <w:lvl w:ilvl="4" w:tplc="03E6D21C">
      <w:start w:val="1"/>
      <w:numFmt w:val="bullet"/>
      <w:lvlText w:val="o"/>
      <w:lvlJc w:val="left"/>
      <w:pPr>
        <w:ind w:left="3600" w:hanging="360"/>
      </w:pPr>
      <w:rPr>
        <w:rFonts w:ascii="Courier New" w:hAnsi="Courier New" w:hint="default"/>
      </w:rPr>
    </w:lvl>
    <w:lvl w:ilvl="5" w:tplc="325C5EA6">
      <w:start w:val="1"/>
      <w:numFmt w:val="bullet"/>
      <w:lvlText w:val=""/>
      <w:lvlJc w:val="left"/>
      <w:pPr>
        <w:ind w:left="4320" w:hanging="360"/>
      </w:pPr>
      <w:rPr>
        <w:rFonts w:ascii="Wingdings" w:hAnsi="Wingdings" w:hint="default"/>
      </w:rPr>
    </w:lvl>
    <w:lvl w:ilvl="6" w:tplc="8E0E58DE">
      <w:start w:val="1"/>
      <w:numFmt w:val="bullet"/>
      <w:lvlText w:val=""/>
      <w:lvlJc w:val="left"/>
      <w:pPr>
        <w:ind w:left="5040" w:hanging="360"/>
      </w:pPr>
      <w:rPr>
        <w:rFonts w:ascii="Symbol" w:hAnsi="Symbol" w:hint="default"/>
      </w:rPr>
    </w:lvl>
    <w:lvl w:ilvl="7" w:tplc="ACF0E226">
      <w:start w:val="1"/>
      <w:numFmt w:val="bullet"/>
      <w:lvlText w:val="o"/>
      <w:lvlJc w:val="left"/>
      <w:pPr>
        <w:ind w:left="5760" w:hanging="360"/>
      </w:pPr>
      <w:rPr>
        <w:rFonts w:ascii="Courier New" w:hAnsi="Courier New" w:hint="default"/>
      </w:rPr>
    </w:lvl>
    <w:lvl w:ilvl="8" w:tplc="4E48AAB4">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6"/>
  </w:num>
  <w:num w:numId="4">
    <w:abstractNumId w:val="27"/>
  </w:num>
  <w:num w:numId="5">
    <w:abstractNumId w:val="17"/>
  </w:num>
  <w:num w:numId="6">
    <w:abstractNumId w:val="21"/>
  </w:num>
  <w:num w:numId="7">
    <w:abstractNumId w:val="33"/>
  </w:num>
  <w:num w:numId="8">
    <w:abstractNumId w:val="10"/>
  </w:num>
  <w:num w:numId="9">
    <w:abstractNumId w:val="18"/>
  </w:num>
  <w:num w:numId="10">
    <w:abstractNumId w:val="26"/>
  </w:num>
  <w:num w:numId="11">
    <w:abstractNumId w:val="30"/>
  </w:num>
  <w:num w:numId="12">
    <w:abstractNumId w:val="15"/>
  </w:num>
  <w:num w:numId="13">
    <w:abstractNumId w:val="25"/>
  </w:num>
  <w:num w:numId="14">
    <w:abstractNumId w:val="24"/>
  </w:num>
  <w:num w:numId="15">
    <w:abstractNumId w:val="14"/>
  </w:num>
  <w:num w:numId="16">
    <w:abstractNumId w:val="23"/>
  </w:num>
  <w:num w:numId="17">
    <w:abstractNumId w:val="20"/>
  </w:num>
  <w:num w:numId="18">
    <w:abstractNumId w:val="31"/>
  </w:num>
  <w:num w:numId="19">
    <w:abstractNumId w:val="29"/>
  </w:num>
  <w:num w:numId="20">
    <w:abstractNumId w:val="12"/>
  </w:num>
  <w:num w:numId="21">
    <w:abstractNumId w:val="13"/>
  </w:num>
  <w:num w:numId="22">
    <w:abstractNumId w:val="32"/>
  </w:num>
  <w:num w:numId="23">
    <w:abstractNumId w:val="19"/>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MLY0tDA3MjA3tDRR0lEKTi0uzszPAykwrAUAg4rW1iwAAAA="/>
  </w:docVars>
  <w:rsids>
    <w:rsidRoot w:val="00B47306"/>
    <w:rsid w:val="00000268"/>
    <w:rsid w:val="00003924"/>
    <w:rsid w:val="00011401"/>
    <w:rsid w:val="000215EE"/>
    <w:rsid w:val="00027713"/>
    <w:rsid w:val="000531DD"/>
    <w:rsid w:val="00054A08"/>
    <w:rsid w:val="000631E2"/>
    <w:rsid w:val="00074258"/>
    <w:rsid w:val="00076216"/>
    <w:rsid w:val="00077A96"/>
    <w:rsid w:val="00095A25"/>
    <w:rsid w:val="000A4DCE"/>
    <w:rsid w:val="000B01F6"/>
    <w:rsid w:val="000F392A"/>
    <w:rsid w:val="000F4CE4"/>
    <w:rsid w:val="000F785A"/>
    <w:rsid w:val="00106DE1"/>
    <w:rsid w:val="001158C7"/>
    <w:rsid w:val="00116671"/>
    <w:rsid w:val="00126B1C"/>
    <w:rsid w:val="001542FD"/>
    <w:rsid w:val="00165881"/>
    <w:rsid w:val="00172DB8"/>
    <w:rsid w:val="00184C4F"/>
    <w:rsid w:val="001872F6"/>
    <w:rsid w:val="0019052E"/>
    <w:rsid w:val="00193D17"/>
    <w:rsid w:val="001A1137"/>
    <w:rsid w:val="001A7920"/>
    <w:rsid w:val="001B0EBF"/>
    <w:rsid w:val="001B314A"/>
    <w:rsid w:val="001D20B9"/>
    <w:rsid w:val="001E16BD"/>
    <w:rsid w:val="001F286D"/>
    <w:rsid w:val="001F6471"/>
    <w:rsid w:val="002063D2"/>
    <w:rsid w:val="002173FE"/>
    <w:rsid w:val="00217F4A"/>
    <w:rsid w:val="002223E1"/>
    <w:rsid w:val="002266C2"/>
    <w:rsid w:val="00253D41"/>
    <w:rsid w:val="002860AE"/>
    <w:rsid w:val="002875F1"/>
    <w:rsid w:val="00292E39"/>
    <w:rsid w:val="002933AF"/>
    <w:rsid w:val="002A32B9"/>
    <w:rsid w:val="002C2C35"/>
    <w:rsid w:val="002D1B46"/>
    <w:rsid w:val="002E7C7E"/>
    <w:rsid w:val="00307B78"/>
    <w:rsid w:val="003105EC"/>
    <w:rsid w:val="003249D7"/>
    <w:rsid w:val="00331A27"/>
    <w:rsid w:val="00337F8B"/>
    <w:rsid w:val="0035155E"/>
    <w:rsid w:val="00355FCA"/>
    <w:rsid w:val="003567B7"/>
    <w:rsid w:val="00365AE1"/>
    <w:rsid w:val="00374316"/>
    <w:rsid w:val="00374B94"/>
    <w:rsid w:val="00384ACD"/>
    <w:rsid w:val="003A246B"/>
    <w:rsid w:val="003C03EF"/>
    <w:rsid w:val="003C1006"/>
    <w:rsid w:val="003D3855"/>
    <w:rsid w:val="003D7EFF"/>
    <w:rsid w:val="003E5962"/>
    <w:rsid w:val="003F2D81"/>
    <w:rsid w:val="004465B5"/>
    <w:rsid w:val="00447A87"/>
    <w:rsid w:val="00450061"/>
    <w:rsid w:val="004508FC"/>
    <w:rsid w:val="00454CC4"/>
    <w:rsid w:val="0045511B"/>
    <w:rsid w:val="00466300"/>
    <w:rsid w:val="004757A3"/>
    <w:rsid w:val="0047719B"/>
    <w:rsid w:val="00481290"/>
    <w:rsid w:val="00485BA5"/>
    <w:rsid w:val="004940DA"/>
    <w:rsid w:val="004B3B6B"/>
    <w:rsid w:val="004E3D3F"/>
    <w:rsid w:val="004E732A"/>
    <w:rsid w:val="004E785A"/>
    <w:rsid w:val="004F7AE8"/>
    <w:rsid w:val="00501BC9"/>
    <w:rsid w:val="005025C0"/>
    <w:rsid w:val="0053003A"/>
    <w:rsid w:val="00533255"/>
    <w:rsid w:val="0053660F"/>
    <w:rsid w:val="00554538"/>
    <w:rsid w:val="0055557D"/>
    <w:rsid w:val="0059350C"/>
    <w:rsid w:val="005A54DC"/>
    <w:rsid w:val="005C012A"/>
    <w:rsid w:val="005C6824"/>
    <w:rsid w:val="005D112D"/>
    <w:rsid w:val="005D623A"/>
    <w:rsid w:val="005D691B"/>
    <w:rsid w:val="005D6A1A"/>
    <w:rsid w:val="005E2AC6"/>
    <w:rsid w:val="005F1C7C"/>
    <w:rsid w:val="005F4F02"/>
    <w:rsid w:val="005F670C"/>
    <w:rsid w:val="006159A5"/>
    <w:rsid w:val="00622570"/>
    <w:rsid w:val="00643E81"/>
    <w:rsid w:val="006470D7"/>
    <w:rsid w:val="006471A0"/>
    <w:rsid w:val="00653642"/>
    <w:rsid w:val="00653A5D"/>
    <w:rsid w:val="00666E31"/>
    <w:rsid w:val="00683FBE"/>
    <w:rsid w:val="00690196"/>
    <w:rsid w:val="0069090B"/>
    <w:rsid w:val="00697D4B"/>
    <w:rsid w:val="006A09D6"/>
    <w:rsid w:val="006A1E53"/>
    <w:rsid w:val="006A5D77"/>
    <w:rsid w:val="006B49CD"/>
    <w:rsid w:val="006C70CB"/>
    <w:rsid w:val="006D0238"/>
    <w:rsid w:val="006D3FA3"/>
    <w:rsid w:val="006E0CA7"/>
    <w:rsid w:val="006F3F1C"/>
    <w:rsid w:val="006F4023"/>
    <w:rsid w:val="007000C6"/>
    <w:rsid w:val="00701499"/>
    <w:rsid w:val="007200F7"/>
    <w:rsid w:val="00722B47"/>
    <w:rsid w:val="007244E1"/>
    <w:rsid w:val="00734724"/>
    <w:rsid w:val="007463F1"/>
    <w:rsid w:val="00763F70"/>
    <w:rsid w:val="00786870"/>
    <w:rsid w:val="00787924"/>
    <w:rsid w:val="00790CD7"/>
    <w:rsid w:val="00797372"/>
    <w:rsid w:val="007B055E"/>
    <w:rsid w:val="007C0642"/>
    <w:rsid w:val="007C14F0"/>
    <w:rsid w:val="007D1896"/>
    <w:rsid w:val="007D455D"/>
    <w:rsid w:val="007D4641"/>
    <w:rsid w:val="007D5AF5"/>
    <w:rsid w:val="007E2B4D"/>
    <w:rsid w:val="007E6A01"/>
    <w:rsid w:val="008055C4"/>
    <w:rsid w:val="00807A3D"/>
    <w:rsid w:val="0083561D"/>
    <w:rsid w:val="0084551B"/>
    <w:rsid w:val="00845E99"/>
    <w:rsid w:val="00862F06"/>
    <w:rsid w:val="00867758"/>
    <w:rsid w:val="00870FCF"/>
    <w:rsid w:val="00874F01"/>
    <w:rsid w:val="0088703F"/>
    <w:rsid w:val="00895197"/>
    <w:rsid w:val="008A0E29"/>
    <w:rsid w:val="008A6175"/>
    <w:rsid w:val="008B0B2E"/>
    <w:rsid w:val="008B28FF"/>
    <w:rsid w:val="008D4BEA"/>
    <w:rsid w:val="008E29CE"/>
    <w:rsid w:val="008F2004"/>
    <w:rsid w:val="008F5920"/>
    <w:rsid w:val="00904639"/>
    <w:rsid w:val="0091206A"/>
    <w:rsid w:val="00917CD7"/>
    <w:rsid w:val="00923D7F"/>
    <w:rsid w:val="00930C1C"/>
    <w:rsid w:val="009321AA"/>
    <w:rsid w:val="0093738E"/>
    <w:rsid w:val="00975038"/>
    <w:rsid w:val="009811BC"/>
    <w:rsid w:val="00981313"/>
    <w:rsid w:val="009963EE"/>
    <w:rsid w:val="009C067E"/>
    <w:rsid w:val="009C500C"/>
    <w:rsid w:val="009C6CE6"/>
    <w:rsid w:val="009E68F5"/>
    <w:rsid w:val="009F1720"/>
    <w:rsid w:val="009F2960"/>
    <w:rsid w:val="009F7CF0"/>
    <w:rsid w:val="00A35BE5"/>
    <w:rsid w:val="00A43A0B"/>
    <w:rsid w:val="00A62DBD"/>
    <w:rsid w:val="00A7033C"/>
    <w:rsid w:val="00A7107D"/>
    <w:rsid w:val="00A74F83"/>
    <w:rsid w:val="00A80D6C"/>
    <w:rsid w:val="00A872B6"/>
    <w:rsid w:val="00AB35B5"/>
    <w:rsid w:val="00AC30F7"/>
    <w:rsid w:val="00AC6B06"/>
    <w:rsid w:val="00AD19EE"/>
    <w:rsid w:val="00AD5AB9"/>
    <w:rsid w:val="00B0464A"/>
    <w:rsid w:val="00B06C2F"/>
    <w:rsid w:val="00B100CB"/>
    <w:rsid w:val="00B3226D"/>
    <w:rsid w:val="00B40FAE"/>
    <w:rsid w:val="00B41A56"/>
    <w:rsid w:val="00B446C6"/>
    <w:rsid w:val="00B47306"/>
    <w:rsid w:val="00B63F5A"/>
    <w:rsid w:val="00B72276"/>
    <w:rsid w:val="00B72BAD"/>
    <w:rsid w:val="00B82E86"/>
    <w:rsid w:val="00B83086"/>
    <w:rsid w:val="00B842A3"/>
    <w:rsid w:val="00B938FE"/>
    <w:rsid w:val="00B94E95"/>
    <w:rsid w:val="00BA1DC8"/>
    <w:rsid w:val="00BA496C"/>
    <w:rsid w:val="00BA7175"/>
    <w:rsid w:val="00BB1D31"/>
    <w:rsid w:val="00BC226B"/>
    <w:rsid w:val="00BC2626"/>
    <w:rsid w:val="00BC285A"/>
    <w:rsid w:val="00BC69A9"/>
    <w:rsid w:val="00BC69C9"/>
    <w:rsid w:val="00BE0262"/>
    <w:rsid w:val="00BE0B44"/>
    <w:rsid w:val="00BE3748"/>
    <w:rsid w:val="00BF5498"/>
    <w:rsid w:val="00C0598A"/>
    <w:rsid w:val="00C060FE"/>
    <w:rsid w:val="00C16799"/>
    <w:rsid w:val="00C263FD"/>
    <w:rsid w:val="00C273DF"/>
    <w:rsid w:val="00C3097E"/>
    <w:rsid w:val="00C32B9F"/>
    <w:rsid w:val="00C333A0"/>
    <w:rsid w:val="00C37995"/>
    <w:rsid w:val="00C44F19"/>
    <w:rsid w:val="00C50EAC"/>
    <w:rsid w:val="00C56F49"/>
    <w:rsid w:val="00C611FD"/>
    <w:rsid w:val="00C70B01"/>
    <w:rsid w:val="00C72E15"/>
    <w:rsid w:val="00C87573"/>
    <w:rsid w:val="00C97D97"/>
    <w:rsid w:val="00CC13A7"/>
    <w:rsid w:val="00CE210B"/>
    <w:rsid w:val="00CE3A68"/>
    <w:rsid w:val="00CE4D00"/>
    <w:rsid w:val="00CF7615"/>
    <w:rsid w:val="00D11856"/>
    <w:rsid w:val="00D13B3B"/>
    <w:rsid w:val="00D22E06"/>
    <w:rsid w:val="00D24FBD"/>
    <w:rsid w:val="00D2758E"/>
    <w:rsid w:val="00D3540D"/>
    <w:rsid w:val="00D45DC1"/>
    <w:rsid w:val="00D533C1"/>
    <w:rsid w:val="00D71C04"/>
    <w:rsid w:val="00D75040"/>
    <w:rsid w:val="00D87033"/>
    <w:rsid w:val="00D932F2"/>
    <w:rsid w:val="00D94ED6"/>
    <w:rsid w:val="00DA6C1C"/>
    <w:rsid w:val="00DC5B5A"/>
    <w:rsid w:val="00DD2C3D"/>
    <w:rsid w:val="00DE63F2"/>
    <w:rsid w:val="00E0132F"/>
    <w:rsid w:val="00E174E1"/>
    <w:rsid w:val="00E26C42"/>
    <w:rsid w:val="00E276F4"/>
    <w:rsid w:val="00E34773"/>
    <w:rsid w:val="00E35BDB"/>
    <w:rsid w:val="00E36CCE"/>
    <w:rsid w:val="00E4776A"/>
    <w:rsid w:val="00E60621"/>
    <w:rsid w:val="00E81B9E"/>
    <w:rsid w:val="00E81D1F"/>
    <w:rsid w:val="00E9268C"/>
    <w:rsid w:val="00EA1819"/>
    <w:rsid w:val="00EA610B"/>
    <w:rsid w:val="00EA695E"/>
    <w:rsid w:val="00EB428E"/>
    <w:rsid w:val="00EB65EE"/>
    <w:rsid w:val="00EB71FB"/>
    <w:rsid w:val="00EC3886"/>
    <w:rsid w:val="00EC5836"/>
    <w:rsid w:val="00ED539F"/>
    <w:rsid w:val="00EF3F64"/>
    <w:rsid w:val="00F50E82"/>
    <w:rsid w:val="00F530A8"/>
    <w:rsid w:val="00F557D8"/>
    <w:rsid w:val="00F55A65"/>
    <w:rsid w:val="00F628C2"/>
    <w:rsid w:val="00F641D8"/>
    <w:rsid w:val="00F74086"/>
    <w:rsid w:val="00F75A22"/>
    <w:rsid w:val="00F761F6"/>
    <w:rsid w:val="00F87BD4"/>
    <w:rsid w:val="00FA1321"/>
    <w:rsid w:val="00FA5BD2"/>
    <w:rsid w:val="00FB74E9"/>
    <w:rsid w:val="00FC19E1"/>
    <w:rsid w:val="00FD6DC3"/>
    <w:rsid w:val="00FE1072"/>
    <w:rsid w:val="00FE46F5"/>
    <w:rsid w:val="00FF098A"/>
    <w:rsid w:val="020A734E"/>
    <w:rsid w:val="02198411"/>
    <w:rsid w:val="03781BCF"/>
    <w:rsid w:val="0381AC3B"/>
    <w:rsid w:val="04F69257"/>
    <w:rsid w:val="06B93F1E"/>
    <w:rsid w:val="07471FE4"/>
    <w:rsid w:val="0A39D572"/>
    <w:rsid w:val="0ABAD115"/>
    <w:rsid w:val="0B822D03"/>
    <w:rsid w:val="0C3880EB"/>
    <w:rsid w:val="0CA42EAE"/>
    <w:rsid w:val="0D15E26C"/>
    <w:rsid w:val="10AEED97"/>
    <w:rsid w:val="10F382F3"/>
    <w:rsid w:val="1151903B"/>
    <w:rsid w:val="11773A3C"/>
    <w:rsid w:val="1294F401"/>
    <w:rsid w:val="12A279E6"/>
    <w:rsid w:val="16A8E0AA"/>
    <w:rsid w:val="16FE6D7F"/>
    <w:rsid w:val="172D47F9"/>
    <w:rsid w:val="190BBD69"/>
    <w:rsid w:val="191ED01E"/>
    <w:rsid w:val="195A45D5"/>
    <w:rsid w:val="1A3E3469"/>
    <w:rsid w:val="1AE7F701"/>
    <w:rsid w:val="1AEE2E7B"/>
    <w:rsid w:val="1B2645B4"/>
    <w:rsid w:val="1C09BB46"/>
    <w:rsid w:val="1C5A08EC"/>
    <w:rsid w:val="1D172C13"/>
    <w:rsid w:val="1D82843C"/>
    <w:rsid w:val="1DFAB3CE"/>
    <w:rsid w:val="1E70023E"/>
    <w:rsid w:val="1EB27FA2"/>
    <w:rsid w:val="20A8E27F"/>
    <w:rsid w:val="2218BC32"/>
    <w:rsid w:val="2244B2E0"/>
    <w:rsid w:val="232C10F8"/>
    <w:rsid w:val="23B7BF07"/>
    <w:rsid w:val="24C49E54"/>
    <w:rsid w:val="259A3E45"/>
    <w:rsid w:val="29178C30"/>
    <w:rsid w:val="29421D15"/>
    <w:rsid w:val="2A4236F7"/>
    <w:rsid w:val="2A914E57"/>
    <w:rsid w:val="2B1FE227"/>
    <w:rsid w:val="2B49205B"/>
    <w:rsid w:val="2BF64E33"/>
    <w:rsid w:val="2C4CA94A"/>
    <w:rsid w:val="2CC8FE2C"/>
    <w:rsid w:val="2D3CC6B9"/>
    <w:rsid w:val="2F1AC126"/>
    <w:rsid w:val="2F346543"/>
    <w:rsid w:val="2F6D3EFF"/>
    <w:rsid w:val="31D2AD68"/>
    <w:rsid w:val="32F1DD73"/>
    <w:rsid w:val="333631AB"/>
    <w:rsid w:val="33FB6C68"/>
    <w:rsid w:val="37A53AE0"/>
    <w:rsid w:val="389FD1F0"/>
    <w:rsid w:val="3F252BE3"/>
    <w:rsid w:val="3F333A8A"/>
    <w:rsid w:val="3FE907BE"/>
    <w:rsid w:val="406C1773"/>
    <w:rsid w:val="408D7EBC"/>
    <w:rsid w:val="43270560"/>
    <w:rsid w:val="432773DB"/>
    <w:rsid w:val="448A09D5"/>
    <w:rsid w:val="453D018C"/>
    <w:rsid w:val="45B72FE6"/>
    <w:rsid w:val="47FED84C"/>
    <w:rsid w:val="493E2576"/>
    <w:rsid w:val="496676E0"/>
    <w:rsid w:val="49AC669B"/>
    <w:rsid w:val="4AD88877"/>
    <w:rsid w:val="4ADF721F"/>
    <w:rsid w:val="4B38347A"/>
    <w:rsid w:val="4B466E9C"/>
    <w:rsid w:val="4C56397D"/>
    <w:rsid w:val="4CB8D15D"/>
    <w:rsid w:val="4CD2D236"/>
    <w:rsid w:val="4E622791"/>
    <w:rsid w:val="4F1A0D2A"/>
    <w:rsid w:val="5069CA17"/>
    <w:rsid w:val="5084460A"/>
    <w:rsid w:val="51172B99"/>
    <w:rsid w:val="51E2DD0A"/>
    <w:rsid w:val="529E6946"/>
    <w:rsid w:val="53004E55"/>
    <w:rsid w:val="5312994B"/>
    <w:rsid w:val="53C9E00F"/>
    <w:rsid w:val="55239842"/>
    <w:rsid w:val="5527B9C2"/>
    <w:rsid w:val="566D3396"/>
    <w:rsid w:val="5B0CAA39"/>
    <w:rsid w:val="5B6F259C"/>
    <w:rsid w:val="5BAFBCCA"/>
    <w:rsid w:val="5BDB0084"/>
    <w:rsid w:val="5C37760E"/>
    <w:rsid w:val="5D0A5890"/>
    <w:rsid w:val="5DD80036"/>
    <w:rsid w:val="5F7B4F00"/>
    <w:rsid w:val="6046911A"/>
    <w:rsid w:val="605C7200"/>
    <w:rsid w:val="6089B9C7"/>
    <w:rsid w:val="61728D26"/>
    <w:rsid w:val="62B73888"/>
    <w:rsid w:val="6533AA77"/>
    <w:rsid w:val="65C10212"/>
    <w:rsid w:val="667755FA"/>
    <w:rsid w:val="66EEE2A7"/>
    <w:rsid w:val="677E9F7D"/>
    <w:rsid w:val="683AEEA6"/>
    <w:rsid w:val="690ACE6A"/>
    <w:rsid w:val="69D2DAA6"/>
    <w:rsid w:val="6BB4337E"/>
    <w:rsid w:val="6CB07DC1"/>
    <w:rsid w:val="6D5C225C"/>
    <w:rsid w:val="6E266B80"/>
    <w:rsid w:val="70C0CB1E"/>
    <w:rsid w:val="70F8854B"/>
    <w:rsid w:val="715CD82A"/>
    <w:rsid w:val="72B02879"/>
    <w:rsid w:val="73130AAE"/>
    <w:rsid w:val="73353EEC"/>
    <w:rsid w:val="74765ACE"/>
    <w:rsid w:val="760FF669"/>
    <w:rsid w:val="776E92F8"/>
    <w:rsid w:val="787F8D5C"/>
    <w:rsid w:val="7AEA5FF8"/>
    <w:rsid w:val="7C3B8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2651"/>
  <w14:defaultImageDpi w14:val="32767"/>
  <w15:chartTrackingRefBased/>
  <w15:docId w15:val="{0084D6E4-C103-6942-B70D-D46DA701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57D"/>
    <w:rPr>
      <w:rFonts w:ascii="Arial" w:eastAsia="Times New Roman" w:hAnsi="Arial" w:cs="Times New Roman"/>
    </w:rPr>
  </w:style>
  <w:style w:type="paragraph" w:styleId="Heading1">
    <w:name w:val="heading 1"/>
    <w:basedOn w:val="Normal"/>
    <w:next w:val="Normal"/>
    <w:link w:val="Heading1Char"/>
    <w:uiPriority w:val="9"/>
    <w:qFormat/>
    <w:rsid w:val="0055557D"/>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307B78"/>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07B78"/>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D24FB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D24FBD"/>
    <w:pPr>
      <w:keepNext/>
      <w:keepLines/>
      <w:spacing w:before="240" w:after="24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57D"/>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307B7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307B78"/>
    <w:rPr>
      <w:rFonts w:ascii="Arial" w:eastAsiaTheme="majorEastAsia" w:hAnsi="Arial" w:cstheme="majorBidi"/>
      <w:b/>
      <w:sz w:val="28"/>
    </w:rPr>
  </w:style>
  <w:style w:type="character" w:customStyle="1" w:styleId="Heading4Char">
    <w:name w:val="Heading 4 Char"/>
    <w:basedOn w:val="DefaultParagraphFont"/>
    <w:link w:val="Heading4"/>
    <w:uiPriority w:val="9"/>
    <w:rsid w:val="00D24FBD"/>
    <w:rPr>
      <w:rFonts w:ascii="Arial" w:eastAsiaTheme="majorEastAsia" w:hAnsi="Arial" w:cstheme="majorBidi"/>
      <w:b/>
      <w:iCs/>
    </w:rPr>
  </w:style>
  <w:style w:type="character" w:customStyle="1" w:styleId="Heading5Char">
    <w:name w:val="Heading 5 Char"/>
    <w:basedOn w:val="DefaultParagraphFont"/>
    <w:link w:val="Heading5"/>
    <w:uiPriority w:val="9"/>
    <w:rsid w:val="00D24FBD"/>
    <w:rPr>
      <w:rFonts w:ascii="Arial" w:eastAsiaTheme="majorEastAsia" w:hAnsi="Arial" w:cstheme="majorBidi"/>
      <w:b/>
      <w:i/>
    </w:rPr>
  </w:style>
  <w:style w:type="paragraph" w:styleId="EnvelopeAddress">
    <w:name w:val="envelope address"/>
    <w:basedOn w:val="Normal"/>
    <w:uiPriority w:val="99"/>
    <w:semiHidden/>
    <w:unhideWhenUsed/>
    <w:rsid w:val="00B47306"/>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B47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06"/>
    <w:rPr>
      <w:rFonts w:ascii="Segoe UI" w:eastAsia="Times New Roman" w:hAnsi="Segoe UI" w:cs="Segoe UI"/>
      <w:sz w:val="18"/>
      <w:szCs w:val="18"/>
    </w:rPr>
  </w:style>
  <w:style w:type="character" w:styleId="Hyperlink">
    <w:name w:val="Hyperlink"/>
    <w:rsid w:val="00B47306"/>
    <w:rPr>
      <w:color w:val="0000FF"/>
      <w:u w:val="single"/>
    </w:rPr>
  </w:style>
  <w:style w:type="character" w:styleId="Strong">
    <w:name w:val="Strong"/>
    <w:basedOn w:val="DefaultParagraphFont"/>
    <w:uiPriority w:val="22"/>
    <w:qFormat/>
    <w:rsid w:val="00B47306"/>
    <w:rPr>
      <w:b/>
      <w:bCs/>
    </w:rPr>
  </w:style>
  <w:style w:type="paragraph" w:styleId="BodyText">
    <w:name w:val="Body Text"/>
    <w:basedOn w:val="Normal"/>
    <w:link w:val="BodyTextChar"/>
    <w:rsid w:val="00B47306"/>
    <w:pPr>
      <w:spacing w:after="120"/>
    </w:pPr>
  </w:style>
  <w:style w:type="character" w:customStyle="1" w:styleId="BodyTextChar">
    <w:name w:val="Body Text Char"/>
    <w:basedOn w:val="DefaultParagraphFont"/>
    <w:link w:val="BodyText"/>
    <w:rsid w:val="00B47306"/>
    <w:rPr>
      <w:rFonts w:ascii="Arial" w:eastAsia="Times New Roman" w:hAnsi="Arial" w:cs="Times New Roman"/>
    </w:rPr>
  </w:style>
  <w:style w:type="paragraph" w:styleId="ListParagraph">
    <w:name w:val="List Paragraph"/>
    <w:basedOn w:val="Normal"/>
    <w:uiPriority w:val="34"/>
    <w:qFormat/>
    <w:rsid w:val="00BC69C9"/>
    <w:pPr>
      <w:ind w:left="720"/>
    </w:pPr>
    <w:rPr>
      <w:rFonts w:eastAsiaTheme="minorHAnsi" w:cs="Calibri"/>
      <w:szCs w:val="22"/>
    </w:rPr>
  </w:style>
  <w:style w:type="paragraph" w:styleId="NoSpacing">
    <w:name w:val="No Spacing"/>
    <w:uiPriority w:val="1"/>
    <w:qFormat/>
    <w:rsid w:val="00B47306"/>
    <w:rPr>
      <w:rFonts w:ascii="Arial" w:hAnsi="Arial"/>
      <w:szCs w:val="22"/>
    </w:rPr>
  </w:style>
  <w:style w:type="paragraph" w:customStyle="1" w:styleId="ColorfulList-Accent11">
    <w:name w:val="Colorful List - Accent 11"/>
    <w:basedOn w:val="Normal"/>
    <w:uiPriority w:val="34"/>
    <w:qFormat/>
    <w:rsid w:val="00B47306"/>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47306"/>
    <w:rPr>
      <w:sz w:val="16"/>
      <w:szCs w:val="16"/>
    </w:rPr>
  </w:style>
  <w:style w:type="paragraph" w:styleId="CommentText">
    <w:name w:val="annotation text"/>
    <w:basedOn w:val="Normal"/>
    <w:link w:val="CommentTextChar"/>
    <w:uiPriority w:val="99"/>
    <w:semiHidden/>
    <w:unhideWhenUsed/>
    <w:rsid w:val="00B47306"/>
    <w:rPr>
      <w:sz w:val="20"/>
      <w:szCs w:val="20"/>
    </w:rPr>
  </w:style>
  <w:style w:type="character" w:customStyle="1" w:styleId="CommentTextChar">
    <w:name w:val="Comment Text Char"/>
    <w:basedOn w:val="DefaultParagraphFont"/>
    <w:link w:val="CommentText"/>
    <w:uiPriority w:val="99"/>
    <w:semiHidden/>
    <w:rsid w:val="00B47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306"/>
    <w:rPr>
      <w:b/>
      <w:bCs/>
    </w:rPr>
  </w:style>
  <w:style w:type="character" w:customStyle="1" w:styleId="CommentSubjectChar">
    <w:name w:val="Comment Subject Char"/>
    <w:basedOn w:val="CommentTextChar"/>
    <w:link w:val="CommentSubject"/>
    <w:uiPriority w:val="99"/>
    <w:semiHidden/>
    <w:rsid w:val="00B473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47306"/>
    <w:pPr>
      <w:tabs>
        <w:tab w:val="center" w:pos="4680"/>
        <w:tab w:val="right" w:pos="9360"/>
      </w:tabs>
    </w:pPr>
  </w:style>
  <w:style w:type="character" w:customStyle="1" w:styleId="HeaderChar">
    <w:name w:val="Header Char"/>
    <w:basedOn w:val="DefaultParagraphFont"/>
    <w:link w:val="Header"/>
    <w:uiPriority w:val="99"/>
    <w:rsid w:val="00B47306"/>
    <w:rPr>
      <w:rFonts w:ascii="Arial" w:eastAsia="Times New Roman" w:hAnsi="Arial" w:cs="Times New Roman"/>
    </w:rPr>
  </w:style>
  <w:style w:type="paragraph" w:styleId="Footer">
    <w:name w:val="footer"/>
    <w:basedOn w:val="Normal"/>
    <w:link w:val="FooterChar"/>
    <w:uiPriority w:val="99"/>
    <w:unhideWhenUsed/>
    <w:rsid w:val="00B47306"/>
    <w:pPr>
      <w:tabs>
        <w:tab w:val="center" w:pos="4680"/>
        <w:tab w:val="right" w:pos="9360"/>
      </w:tabs>
    </w:pPr>
  </w:style>
  <w:style w:type="character" w:customStyle="1" w:styleId="FooterChar">
    <w:name w:val="Footer Char"/>
    <w:basedOn w:val="DefaultParagraphFont"/>
    <w:link w:val="Footer"/>
    <w:uiPriority w:val="99"/>
    <w:rsid w:val="00B47306"/>
    <w:rPr>
      <w:rFonts w:ascii="Arial" w:eastAsia="Times New Roman" w:hAnsi="Arial" w:cs="Times New Roman"/>
    </w:rPr>
  </w:style>
  <w:style w:type="character" w:styleId="FollowedHyperlink">
    <w:name w:val="FollowedHyperlink"/>
    <w:basedOn w:val="DefaultParagraphFont"/>
    <w:uiPriority w:val="99"/>
    <w:semiHidden/>
    <w:unhideWhenUsed/>
    <w:rsid w:val="00B47306"/>
    <w:rPr>
      <w:color w:val="954F72" w:themeColor="followedHyperlink"/>
      <w:u w:val="single"/>
    </w:rPr>
  </w:style>
  <w:style w:type="table" w:styleId="TableGrid">
    <w:name w:val="Table Grid"/>
    <w:basedOn w:val="TableNormal"/>
    <w:uiPriority w:val="39"/>
    <w:rsid w:val="00B473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730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47306"/>
    <w:rPr>
      <w:sz w:val="20"/>
      <w:szCs w:val="20"/>
    </w:rPr>
  </w:style>
  <w:style w:type="character" w:styleId="FootnoteReference">
    <w:name w:val="footnote reference"/>
    <w:basedOn w:val="DefaultParagraphFont"/>
    <w:uiPriority w:val="99"/>
    <w:semiHidden/>
    <w:unhideWhenUsed/>
    <w:rsid w:val="00B47306"/>
    <w:rPr>
      <w:vertAlign w:val="superscript"/>
    </w:rPr>
  </w:style>
  <w:style w:type="table" w:customStyle="1" w:styleId="TableGrid3">
    <w:name w:val="Table Grid3"/>
    <w:basedOn w:val="TableNormal"/>
    <w:next w:val="TableGrid"/>
    <w:uiPriority w:val="39"/>
    <w:rsid w:val="00B47306"/>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B47306"/>
    <w:rPr>
      <w:rFonts w:ascii="Arial" w:hAnsi="Arial" w:cs="Arial" w:hint="default"/>
      <w:strike w:val="0"/>
      <w:dstrike w:val="0"/>
      <w:sz w:val="20"/>
      <w:szCs w:val="20"/>
      <w:u w:val="none"/>
      <w:effect w:val="none"/>
    </w:rPr>
  </w:style>
  <w:style w:type="table" w:customStyle="1" w:styleId="TableGrid1">
    <w:name w:val="Table Grid1"/>
    <w:basedOn w:val="TableNormal"/>
    <w:next w:val="TableGrid"/>
    <w:uiPriority w:val="39"/>
    <w:rsid w:val="00B473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B47306"/>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47306"/>
    <w:rPr>
      <w:rFonts w:ascii="Arial" w:eastAsiaTheme="majorEastAsia" w:hAnsi="Arial" w:cstheme="majorBidi"/>
    </w:rPr>
  </w:style>
  <w:style w:type="character" w:customStyle="1" w:styleId="normaltextrun">
    <w:name w:val="normaltextrun"/>
    <w:basedOn w:val="DefaultParagraphFont"/>
    <w:rsid w:val="00B47306"/>
  </w:style>
  <w:style w:type="character" w:customStyle="1" w:styleId="eop">
    <w:name w:val="eop"/>
    <w:basedOn w:val="DefaultParagraphFont"/>
    <w:rsid w:val="00B47306"/>
  </w:style>
  <w:style w:type="paragraph" w:customStyle="1" w:styleId="paragraph">
    <w:name w:val="paragraph"/>
    <w:basedOn w:val="Normal"/>
    <w:rsid w:val="00B47306"/>
    <w:pPr>
      <w:spacing w:before="100" w:beforeAutospacing="1" w:after="100" w:afterAutospacing="1"/>
    </w:pPr>
  </w:style>
  <w:style w:type="character" w:customStyle="1" w:styleId="scxw143974045">
    <w:name w:val="scxw143974045"/>
    <w:basedOn w:val="DefaultParagraphFont"/>
    <w:rsid w:val="00B47306"/>
  </w:style>
  <w:style w:type="character" w:customStyle="1" w:styleId="scxw60765058">
    <w:name w:val="scxw60765058"/>
    <w:basedOn w:val="DefaultParagraphFont"/>
    <w:rsid w:val="00B47306"/>
  </w:style>
  <w:style w:type="paragraph" w:styleId="Revision">
    <w:name w:val="Revision"/>
    <w:hidden/>
    <w:uiPriority w:val="99"/>
    <w:semiHidden/>
    <w:rsid w:val="003C1006"/>
    <w:rPr>
      <w:rFonts w:ascii="Times New Roman" w:eastAsia="Times New Roman" w:hAnsi="Times New Roman" w:cs="Times New Roman"/>
    </w:rPr>
  </w:style>
  <w:style w:type="character" w:styleId="UnresolvedMention">
    <w:name w:val="Unresolved Mention"/>
    <w:basedOn w:val="DefaultParagraphFont"/>
    <w:uiPriority w:val="99"/>
    <w:rsid w:val="00C6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3829">
      <w:bodyDiv w:val="1"/>
      <w:marLeft w:val="0"/>
      <w:marRight w:val="0"/>
      <w:marTop w:val="0"/>
      <w:marBottom w:val="0"/>
      <w:divBdr>
        <w:top w:val="none" w:sz="0" w:space="0" w:color="auto"/>
        <w:left w:val="none" w:sz="0" w:space="0" w:color="auto"/>
        <w:bottom w:val="none" w:sz="0" w:space="0" w:color="auto"/>
        <w:right w:val="none" w:sz="0" w:space="0" w:color="auto"/>
      </w:divBdr>
    </w:div>
    <w:div w:id="639657474">
      <w:bodyDiv w:val="1"/>
      <w:marLeft w:val="0"/>
      <w:marRight w:val="0"/>
      <w:marTop w:val="0"/>
      <w:marBottom w:val="0"/>
      <w:divBdr>
        <w:top w:val="none" w:sz="0" w:space="0" w:color="auto"/>
        <w:left w:val="none" w:sz="0" w:space="0" w:color="auto"/>
        <w:bottom w:val="none" w:sz="0" w:space="0" w:color="auto"/>
        <w:right w:val="none" w:sz="0" w:space="0" w:color="auto"/>
      </w:divBdr>
    </w:div>
    <w:div w:id="15555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jul17item01.doc" TargetMode="External"/><Relationship Id="rId18" Type="http://schemas.openxmlformats.org/officeDocument/2006/relationships/hyperlink" Target="https://www.cde.ca.gov/be/pn/im/documents/feb22memogad01.doc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be/pn/im/documents/apr21memoamard01.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be/pn/im/documents/memo-pptb-amard-aug19item0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4f544fe002b74fb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ag/ag/yr18/documents/may18item02.docx"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22/documents/mar22item0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mar18item01.docx"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436D-4AD4-4CFD-B4CC-511D38A9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216EF-3A28-41B1-AD0A-9119E8CC56ED}">
  <ds:schemaRefs>
    <ds:schemaRef ds:uri="http://schemas.microsoft.com/sharepoint/v3/contenttype/forms"/>
  </ds:schemaRefs>
</ds:datastoreItem>
</file>

<file path=customXml/itemProps3.xml><?xml version="1.0" encoding="utf-8"?>
<ds:datastoreItem xmlns:ds="http://schemas.openxmlformats.org/officeDocument/2006/customXml" ds:itemID="{8F0FAE63-E6E1-4125-BA21-DDCF379189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9472EA-DD0E-4B7F-A95B-9FA467CC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3448</Words>
  <Characters>19660</Characters>
  <DocSecurity>0</DocSecurity>
  <Lines>163</Lines>
  <Paragraphs>46</Paragraphs>
  <ScaleCrop>false</ScaleCrop>
  <HeadingPairs>
    <vt:vector size="2" baseType="variant">
      <vt:variant>
        <vt:lpstr>Title</vt:lpstr>
      </vt:variant>
      <vt:variant>
        <vt:i4>1</vt:i4>
      </vt:variant>
    </vt:vector>
  </HeadingPairs>
  <TitlesOfParts>
    <vt:vector size="1" baseType="lpstr">
      <vt:lpstr>April 2022 Memo IMB AMARD Item 01 - Information Memorandum (CA State Board of Education)</vt:lpstr>
    </vt:vector>
  </TitlesOfParts>
  <Company>California State Board of Education</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2022 Memo IMB AMARD Item 01 - Information Memorandum (CA State Board of Education)</dc:title>
  <dc:subject>Update on the Implementation of the Integrated Local, State, and Federal Accountability and Continuous Improvement System.</dc:subject>
  <cp:keywords/>
  <dc:description/>
  <dcterms:created xsi:type="dcterms:W3CDTF">2022-04-12T22:22:00Z</dcterms:created>
  <dcterms:modified xsi:type="dcterms:W3CDTF">2022-04-12T22:22:00Z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