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7A96" w:rsidRPr="00A205C0" w:rsidRDefault="00057A96" w:rsidP="00057A96">
      <w:r w:rsidRPr="00A205C0">
        <w:t>California Department of Education</w:t>
      </w:r>
    </w:p>
    <w:p w:rsidR="00057A96" w:rsidRPr="00A205C0" w:rsidRDefault="00057A96" w:rsidP="00057A96">
      <w:r w:rsidRPr="00A205C0">
        <w:t>Executive Office</w:t>
      </w:r>
    </w:p>
    <w:p w:rsidR="00982A10" w:rsidRPr="00A205C0" w:rsidRDefault="00057A96" w:rsidP="00982A10">
      <w:r w:rsidRPr="00A205C0">
        <w:t>SBE-00</w:t>
      </w:r>
      <w:r w:rsidR="00BC376B" w:rsidRPr="00A205C0">
        <w:t>2</w:t>
      </w:r>
      <w:r w:rsidRPr="00A205C0">
        <w:t xml:space="preserve"> (REV. 1</w:t>
      </w:r>
      <w:r w:rsidR="000C139F" w:rsidRPr="00A205C0">
        <w:t>1</w:t>
      </w:r>
      <w:r w:rsidRPr="00A205C0">
        <w:t>/2017)</w:t>
      </w:r>
    </w:p>
    <w:p w:rsidR="00982A10" w:rsidRPr="00A205C0" w:rsidRDefault="00982A10" w:rsidP="00982A10">
      <w:r w:rsidRPr="00A205C0">
        <w:br w:type="column"/>
      </w:r>
      <w:r w:rsidR="003B194B" w:rsidRPr="00A205C0">
        <w:t>memo-eab-cctd-feb20item</w:t>
      </w:r>
      <w:r w:rsidR="00743E72" w:rsidRPr="00A205C0">
        <w:t>01</w:t>
      </w:r>
    </w:p>
    <w:p w:rsidR="00982A10" w:rsidRPr="00A205C0" w:rsidRDefault="00982A10" w:rsidP="0033616F">
      <w:pPr>
        <w:pStyle w:val="Heading1"/>
        <w:spacing w:line="360" w:lineRule="auto"/>
        <w:rPr>
          <w:rFonts w:ascii="Arial" w:hAnsi="Arial" w:cs="Arial"/>
          <w:b/>
          <w:color w:val="auto"/>
          <w:sz w:val="40"/>
          <w:szCs w:val="52"/>
        </w:rPr>
        <w:sectPr w:rsidR="00982A10" w:rsidRPr="00A205C0" w:rsidSect="002A2813">
          <w:headerReference w:type="default" r:id="rId8"/>
          <w:type w:val="continuous"/>
          <w:pgSz w:w="12240" w:h="15840"/>
          <w:pgMar w:top="720" w:right="1440" w:bottom="1440" w:left="1440" w:header="720" w:footer="720" w:gutter="0"/>
          <w:cols w:num="2" w:space="144" w:equalWidth="0">
            <w:col w:w="5760" w:space="144"/>
            <w:col w:w="3456"/>
          </w:cols>
          <w:titlePg/>
          <w:docGrid w:linePitch="326"/>
        </w:sectPr>
      </w:pPr>
    </w:p>
    <w:p w:rsidR="00057A96" w:rsidRPr="00A205C0" w:rsidRDefault="00BC376B" w:rsidP="0033616F">
      <w:pPr>
        <w:pStyle w:val="Heading1"/>
        <w:spacing w:line="360" w:lineRule="auto"/>
        <w:rPr>
          <w:rFonts w:ascii="Arial" w:hAnsi="Arial" w:cs="Arial"/>
          <w:b/>
          <w:color w:val="auto"/>
          <w:sz w:val="40"/>
          <w:szCs w:val="52"/>
        </w:rPr>
      </w:pPr>
      <w:r w:rsidRPr="00A205C0">
        <w:rPr>
          <w:rFonts w:ascii="Arial" w:hAnsi="Arial" w:cs="Arial"/>
          <w:b/>
          <w:color w:val="auto"/>
          <w:sz w:val="40"/>
          <w:szCs w:val="52"/>
        </w:rPr>
        <w:t>MEMORANDUM</w:t>
      </w:r>
    </w:p>
    <w:p w:rsidR="00057A96" w:rsidRPr="0048753A" w:rsidRDefault="008F6CA0" w:rsidP="0048753A">
      <w:pPr>
        <w:pStyle w:val="MessageHeader"/>
      </w:pPr>
      <w:r w:rsidRPr="0048753A">
        <w:t>DATE:</w:t>
      </w:r>
      <w:r w:rsidRPr="0048753A">
        <w:tab/>
      </w:r>
      <w:r w:rsidR="00C44950">
        <w:rPr>
          <w:b w:val="0"/>
        </w:rPr>
        <w:t>March 2</w:t>
      </w:r>
      <w:bookmarkStart w:id="0" w:name="_GoBack"/>
      <w:bookmarkEnd w:id="0"/>
      <w:r w:rsidR="00AA47AC" w:rsidRPr="0048753A">
        <w:rPr>
          <w:b w:val="0"/>
        </w:rPr>
        <w:t>, 2020</w:t>
      </w:r>
    </w:p>
    <w:p w:rsidR="00057A96" w:rsidRPr="0048753A" w:rsidRDefault="00057A96" w:rsidP="0048753A">
      <w:pPr>
        <w:pStyle w:val="MessageHeader"/>
        <w:tabs>
          <w:tab w:val="left" w:pos="1440"/>
        </w:tabs>
      </w:pPr>
      <w:r w:rsidRPr="0048753A">
        <w:t>TO:</w:t>
      </w:r>
      <w:r w:rsidRPr="0048753A">
        <w:tab/>
      </w:r>
      <w:r w:rsidRPr="0048753A">
        <w:rPr>
          <w:b w:val="0"/>
        </w:rPr>
        <w:t>MEMBERS, State Board of Education</w:t>
      </w:r>
    </w:p>
    <w:p w:rsidR="00057A96" w:rsidRPr="0048753A" w:rsidRDefault="00057A96" w:rsidP="0048753A">
      <w:pPr>
        <w:pStyle w:val="MessageHeader"/>
      </w:pPr>
      <w:r w:rsidRPr="0048753A">
        <w:t>FROM:</w:t>
      </w:r>
      <w:r w:rsidR="00C61F78" w:rsidRPr="0048753A">
        <w:tab/>
      </w:r>
      <w:r w:rsidR="00C61F78" w:rsidRPr="0048753A">
        <w:rPr>
          <w:b w:val="0"/>
        </w:rPr>
        <w:t>TO</w:t>
      </w:r>
      <w:r w:rsidR="001D4A5B" w:rsidRPr="0048753A">
        <w:rPr>
          <w:b w:val="0"/>
        </w:rPr>
        <w:t>NY THURMOND</w:t>
      </w:r>
      <w:r w:rsidR="00C61F78" w:rsidRPr="0048753A">
        <w:rPr>
          <w:b w:val="0"/>
        </w:rPr>
        <w:t xml:space="preserve">, </w:t>
      </w:r>
      <w:r w:rsidRPr="0048753A">
        <w:rPr>
          <w:b w:val="0"/>
        </w:rPr>
        <w:t>State Superintendent of Public Instruction</w:t>
      </w:r>
    </w:p>
    <w:p w:rsidR="00057A96" w:rsidRPr="0048753A" w:rsidRDefault="00057A96" w:rsidP="0048753A">
      <w:pPr>
        <w:pStyle w:val="MessageHeader"/>
      </w:pPr>
      <w:r w:rsidRPr="0048753A">
        <w:t>SUBJECT:</w:t>
      </w:r>
      <w:r w:rsidRPr="0048753A">
        <w:tab/>
      </w:r>
      <w:r w:rsidR="00AA47AC" w:rsidRPr="0048753A">
        <w:rPr>
          <w:b w:val="0"/>
        </w:rPr>
        <w:t>Career Technical Education Incentive Grant Fiscal Year 2019–20 Awards</w:t>
      </w:r>
    </w:p>
    <w:p w:rsidR="00057A96" w:rsidRPr="00A205C0" w:rsidRDefault="00474A2F" w:rsidP="0048753A">
      <w:pPr>
        <w:pStyle w:val="Heading2"/>
      </w:pPr>
      <w:r w:rsidRPr="00A205C0">
        <w:t>Summary o</w:t>
      </w:r>
      <w:r w:rsidR="00057A96" w:rsidRPr="00A205C0">
        <w:t>f Key Issues</w:t>
      </w:r>
    </w:p>
    <w:p w:rsidR="007C180B" w:rsidRPr="00A205C0" w:rsidRDefault="00AA47AC" w:rsidP="00DE08BA">
      <w:pPr>
        <w:spacing w:after="240"/>
        <w:rPr>
          <w:rFonts w:cs="Arial"/>
        </w:rPr>
      </w:pPr>
      <w:r w:rsidRPr="00A205C0">
        <w:rPr>
          <w:rFonts w:cs="Arial"/>
        </w:rPr>
        <w:t xml:space="preserve">California </w:t>
      </w:r>
      <w:r w:rsidRPr="00A205C0">
        <w:rPr>
          <w:rFonts w:cs="Arial"/>
          <w:i/>
        </w:rPr>
        <w:t>Education Code</w:t>
      </w:r>
      <w:r w:rsidRPr="00A205C0">
        <w:rPr>
          <w:rFonts w:cs="Arial"/>
        </w:rPr>
        <w:t xml:space="preserve"> (</w:t>
      </w:r>
      <w:r w:rsidRPr="00A205C0">
        <w:rPr>
          <w:rFonts w:cs="Arial"/>
          <w:i/>
        </w:rPr>
        <w:t>EC</w:t>
      </w:r>
      <w:r w:rsidRPr="00A205C0">
        <w:rPr>
          <w:rFonts w:cs="Arial"/>
        </w:rPr>
        <w:t xml:space="preserve">) Section 53076 requires that </w:t>
      </w:r>
      <w:r w:rsidRPr="00A205C0">
        <w:t>the California Department of Education (CDE)</w:t>
      </w:r>
      <w:r w:rsidRPr="00A205C0">
        <w:rPr>
          <w:rFonts w:cs="Arial"/>
        </w:rPr>
        <w:t xml:space="preserve">, in collaboration with the Executive Director of the State Board of Education (SBE), </w:t>
      </w:r>
      <w:r w:rsidR="007C180B" w:rsidRPr="00A205C0">
        <w:rPr>
          <w:rFonts w:cs="Arial"/>
        </w:rPr>
        <w:t xml:space="preserve">determine </w:t>
      </w:r>
      <w:r w:rsidRPr="00A205C0">
        <w:rPr>
          <w:rFonts w:cs="Arial"/>
        </w:rPr>
        <w:t xml:space="preserve">and make public at a regularly scheduled meeting of the </w:t>
      </w:r>
      <w:r w:rsidR="00F66498" w:rsidRPr="00A205C0">
        <w:rPr>
          <w:rFonts w:cs="Arial"/>
        </w:rPr>
        <w:t>SBE</w:t>
      </w:r>
      <w:r w:rsidRPr="00A205C0">
        <w:rPr>
          <w:rFonts w:cs="Arial"/>
        </w:rPr>
        <w:t>, the allocation formula</w:t>
      </w:r>
      <w:r w:rsidR="007C180B" w:rsidRPr="00A205C0">
        <w:rPr>
          <w:rFonts w:cs="Arial"/>
        </w:rPr>
        <w:t xml:space="preserve"> used to allocate grant awards for the </w:t>
      </w:r>
      <w:r w:rsidR="007C180B" w:rsidRPr="00A205C0">
        <w:t xml:space="preserve">Career Technical Education Incentive Grant (CTEIG). In addition to the formula used for this competitive grant, </w:t>
      </w:r>
      <w:r w:rsidR="007C180B" w:rsidRPr="00A205C0">
        <w:rPr>
          <w:rFonts w:cs="Arial"/>
        </w:rPr>
        <w:t>the CDE must present preliminary grant award amounts</w:t>
      </w:r>
      <w:r w:rsidR="00743E72" w:rsidRPr="00A205C0">
        <w:rPr>
          <w:rFonts w:cs="Arial"/>
        </w:rPr>
        <w:t>;</w:t>
      </w:r>
      <w:r w:rsidR="007C180B" w:rsidRPr="00A205C0">
        <w:rPr>
          <w:rFonts w:cs="Arial"/>
        </w:rPr>
        <w:t xml:space="preserve"> the</w:t>
      </w:r>
      <w:r w:rsidRPr="00A205C0">
        <w:rPr>
          <w:rFonts w:cs="Arial"/>
        </w:rPr>
        <w:t xml:space="preserve"> number of grants to be awarded; the purposes for which grant funds may be used; and allowable and non-allowable expenditures</w:t>
      </w:r>
      <w:r w:rsidR="002D0DF2" w:rsidRPr="00A205C0">
        <w:rPr>
          <w:rFonts w:cs="Arial"/>
        </w:rPr>
        <w:t>.</w:t>
      </w:r>
    </w:p>
    <w:p w:rsidR="007C180B" w:rsidRPr="00A205C0" w:rsidRDefault="007C180B" w:rsidP="00DE08BA">
      <w:pPr>
        <w:spacing w:after="240"/>
      </w:pPr>
      <w:r w:rsidRPr="00A205C0">
        <w:rPr>
          <w:rFonts w:cs="Arial"/>
        </w:rPr>
        <w:t>T</w:t>
      </w:r>
      <w:r w:rsidR="003A1CB2" w:rsidRPr="00A205C0">
        <w:rPr>
          <w:rFonts w:cs="Arial"/>
        </w:rPr>
        <w:t>he total amount of CTEIG funds available for allocation to school districts is $150 million</w:t>
      </w:r>
      <w:r w:rsidRPr="00A205C0">
        <w:t xml:space="preserve"> for t</w:t>
      </w:r>
      <w:r w:rsidR="00AA47AC" w:rsidRPr="00A205C0">
        <w:t xml:space="preserve">he </w:t>
      </w:r>
      <w:r w:rsidR="002D0DF2" w:rsidRPr="00A205C0">
        <w:t>f</w:t>
      </w:r>
      <w:r w:rsidR="00AA47AC" w:rsidRPr="00A205C0">
        <w:t xml:space="preserve">iscal </w:t>
      </w:r>
      <w:r w:rsidR="002D0DF2" w:rsidRPr="00A205C0">
        <w:t>y</w:t>
      </w:r>
      <w:r w:rsidR="00AA47AC" w:rsidRPr="00A205C0">
        <w:t>ear</w:t>
      </w:r>
      <w:r w:rsidR="00DE08BA" w:rsidRPr="00A205C0">
        <w:t xml:space="preserve"> (FY)</w:t>
      </w:r>
      <w:r w:rsidR="00AA47AC" w:rsidRPr="00A205C0">
        <w:t xml:space="preserve"> 2019–20</w:t>
      </w:r>
      <w:r w:rsidRPr="00A205C0">
        <w:t xml:space="preserve">. </w:t>
      </w:r>
      <w:r w:rsidR="00F24528" w:rsidRPr="00A205C0">
        <w:t>An item was originally posted for the January 2020 SBE meeting, but was pulled</w:t>
      </w:r>
      <w:r w:rsidR="006073C5" w:rsidRPr="00A205C0">
        <w:t xml:space="preserve"> by the CDE and was not heard by the SBE</w:t>
      </w:r>
      <w:r w:rsidR="001B27EB" w:rsidRPr="00A205C0">
        <w:t>.</w:t>
      </w:r>
      <w:r w:rsidR="00F24528" w:rsidRPr="00A205C0">
        <w:t xml:space="preserve"> This memo will seek to address </w:t>
      </w:r>
      <w:r w:rsidR="001B27EB" w:rsidRPr="00A205C0">
        <w:t>the CTEIG program and concerns posed by stakeholders</w:t>
      </w:r>
      <w:r w:rsidR="00F24528" w:rsidRPr="00A205C0">
        <w:t>.</w:t>
      </w:r>
    </w:p>
    <w:p w:rsidR="007C180B" w:rsidRPr="0048753A" w:rsidRDefault="007C180B" w:rsidP="0048753A">
      <w:pPr>
        <w:pStyle w:val="Heading2"/>
      </w:pPr>
      <w:r w:rsidRPr="0048753A">
        <w:t>Background</w:t>
      </w:r>
    </w:p>
    <w:p w:rsidR="00743E72" w:rsidRPr="00A205C0" w:rsidRDefault="00743E72" w:rsidP="007C180B">
      <w:pPr>
        <w:spacing w:after="240"/>
      </w:pPr>
      <w:r w:rsidRPr="00A205C0">
        <w:t>The CTEIG</w:t>
      </w:r>
      <w:r w:rsidR="007C180B" w:rsidRPr="00A205C0">
        <w:t xml:space="preserve"> is a competitive grant </w:t>
      </w:r>
      <w:r w:rsidRPr="00A205C0">
        <w:t xml:space="preserve">for which State funding </w:t>
      </w:r>
      <w:r w:rsidR="007C180B" w:rsidRPr="00A205C0">
        <w:t xml:space="preserve">has decreased from $400 million </w:t>
      </w:r>
      <w:r w:rsidR="000D40A7" w:rsidRPr="00A205C0">
        <w:t xml:space="preserve">one-time funds </w:t>
      </w:r>
      <w:r w:rsidR="007C180B" w:rsidRPr="00A205C0">
        <w:t>in 2015</w:t>
      </w:r>
      <w:r w:rsidR="002D0DF2" w:rsidRPr="00A205C0">
        <w:t>–</w:t>
      </w:r>
      <w:r w:rsidR="007C180B" w:rsidRPr="00A205C0">
        <w:t xml:space="preserve">16 to $150 million </w:t>
      </w:r>
      <w:r w:rsidR="000D40A7" w:rsidRPr="00A205C0">
        <w:t xml:space="preserve">ongoing funds starting </w:t>
      </w:r>
      <w:r w:rsidR="007C180B" w:rsidRPr="00A205C0">
        <w:t>in</w:t>
      </w:r>
      <w:r w:rsidR="00C34128" w:rsidRPr="00A205C0">
        <w:t xml:space="preserve"> </w:t>
      </w:r>
      <w:r w:rsidR="007C180B" w:rsidRPr="00A205C0">
        <w:t>2018</w:t>
      </w:r>
      <w:r w:rsidR="002D0DF2" w:rsidRPr="00A205C0">
        <w:t>–</w:t>
      </w:r>
      <w:r w:rsidR="007C180B" w:rsidRPr="00A205C0">
        <w:t xml:space="preserve">19. </w:t>
      </w:r>
      <w:r w:rsidR="00F24528" w:rsidRPr="00A205C0">
        <w:t>T</w:t>
      </w:r>
      <w:r w:rsidR="000D40A7" w:rsidRPr="00A205C0">
        <w:t>he 2019-20 funding cycle is the second year of ongoing funds, and t</w:t>
      </w:r>
      <w:r w:rsidR="00F24528" w:rsidRPr="00A205C0">
        <w:t xml:space="preserve">here is not </w:t>
      </w:r>
      <w:r w:rsidR="00C34128" w:rsidRPr="00A205C0">
        <w:t xml:space="preserve">a </w:t>
      </w:r>
      <w:r w:rsidR="00F24528" w:rsidRPr="00A205C0">
        <w:t>cap on the numb</w:t>
      </w:r>
      <w:r w:rsidR="00C34128" w:rsidRPr="00A205C0">
        <w:t>er of LEAs that can apply or the amount that each LEA may</w:t>
      </w:r>
      <w:r w:rsidR="00F24528" w:rsidRPr="00A205C0">
        <w:t xml:space="preserve"> request. </w:t>
      </w:r>
      <w:r w:rsidR="007C180B" w:rsidRPr="00A205C0">
        <w:t xml:space="preserve">LEAs are required to apply </w:t>
      </w:r>
      <w:r w:rsidRPr="00A205C0">
        <w:t xml:space="preserve">for this grant annually and must meet a 2 to 1 match requirement. </w:t>
      </w:r>
      <w:r w:rsidR="007C180B" w:rsidRPr="00A205C0">
        <w:t>The number of applicants has remained steady, however</w:t>
      </w:r>
      <w:r w:rsidR="001D2864" w:rsidRPr="00A205C0">
        <w:t>,</w:t>
      </w:r>
      <w:r w:rsidR="007C180B" w:rsidRPr="00A205C0">
        <w:t xml:space="preserve"> the funding amount requested by LEAs has increased from $300 million in 2018</w:t>
      </w:r>
      <w:r w:rsidR="002D0DF2" w:rsidRPr="00A205C0">
        <w:t>–</w:t>
      </w:r>
      <w:r w:rsidR="007C180B" w:rsidRPr="00A205C0">
        <w:t>19 to $900 million in 2019</w:t>
      </w:r>
      <w:r w:rsidR="002D0DF2" w:rsidRPr="00A205C0">
        <w:t>–</w:t>
      </w:r>
      <w:r w:rsidR="007C180B" w:rsidRPr="00A205C0">
        <w:t>20. Th</w:t>
      </w:r>
      <w:r w:rsidRPr="00A205C0">
        <w:t>is reflects an increase in demand of</w:t>
      </w:r>
      <w:r w:rsidR="008B2168" w:rsidRPr="00A205C0">
        <w:t xml:space="preserve"> </w:t>
      </w:r>
      <w:r w:rsidR="00FB1B3C" w:rsidRPr="00A205C0">
        <w:t xml:space="preserve">2.65 times the amount that was requested last year. </w:t>
      </w:r>
      <w:r w:rsidR="00F24528" w:rsidRPr="00A205C0">
        <w:t xml:space="preserve">All applicants </w:t>
      </w:r>
      <w:r w:rsidR="00230B1F" w:rsidRPr="00A205C0">
        <w:t>may</w:t>
      </w:r>
      <w:r w:rsidR="00F24528" w:rsidRPr="00A205C0">
        <w:t xml:space="preserve"> not </w:t>
      </w:r>
      <w:r w:rsidR="00230B1F" w:rsidRPr="00A205C0">
        <w:t xml:space="preserve">be </w:t>
      </w:r>
      <w:r w:rsidR="00F24528" w:rsidRPr="00A205C0">
        <w:t xml:space="preserve">eligible to be funded, and </w:t>
      </w:r>
      <w:r w:rsidR="00230B1F" w:rsidRPr="00A205C0">
        <w:t xml:space="preserve">due to demand, </w:t>
      </w:r>
      <w:r w:rsidR="00F24528" w:rsidRPr="00A205C0">
        <w:t xml:space="preserve">applicants who satisfy the </w:t>
      </w:r>
      <w:r w:rsidR="00230B1F" w:rsidRPr="00A205C0">
        <w:t xml:space="preserve">eligibility and funding </w:t>
      </w:r>
      <w:r w:rsidR="00F24528" w:rsidRPr="00A205C0">
        <w:t xml:space="preserve">requirements </w:t>
      </w:r>
      <w:r w:rsidR="00230B1F" w:rsidRPr="00A205C0">
        <w:t xml:space="preserve">may not </w:t>
      </w:r>
      <w:r w:rsidR="00F24528" w:rsidRPr="00A205C0">
        <w:t>be funded in full.</w:t>
      </w:r>
    </w:p>
    <w:p w:rsidR="00743E72" w:rsidRPr="00A205C0" w:rsidRDefault="007C180B" w:rsidP="007C180B">
      <w:pPr>
        <w:spacing w:after="240"/>
      </w:pPr>
      <w:r w:rsidRPr="00A205C0">
        <w:t>Statute requires three size distribution categories for funding</w:t>
      </w:r>
      <w:r w:rsidR="00743E72" w:rsidRPr="00A205C0">
        <w:t xml:space="preserve"> based on Average Daily Attendance (ADA):</w:t>
      </w:r>
    </w:p>
    <w:p w:rsidR="00743E72" w:rsidRPr="00A205C0" w:rsidRDefault="007C180B" w:rsidP="00CC1CCD">
      <w:pPr>
        <w:pStyle w:val="ListParagraph"/>
        <w:numPr>
          <w:ilvl w:val="0"/>
          <w:numId w:val="3"/>
        </w:numPr>
        <w:spacing w:after="240"/>
      </w:pPr>
      <w:r w:rsidRPr="00A205C0">
        <w:lastRenderedPageBreak/>
        <w:t>Small: LEAs with an ADA of less than or equal to 140</w:t>
      </w:r>
    </w:p>
    <w:p w:rsidR="00743E72" w:rsidRPr="00A205C0" w:rsidRDefault="007C180B" w:rsidP="00CC1CCD">
      <w:pPr>
        <w:pStyle w:val="ListParagraph"/>
        <w:numPr>
          <w:ilvl w:val="0"/>
          <w:numId w:val="3"/>
        </w:numPr>
        <w:spacing w:after="240"/>
      </w:pPr>
      <w:r w:rsidRPr="00A205C0">
        <w:t>Medium: LEAs with an ADA of 141 to 550</w:t>
      </w:r>
    </w:p>
    <w:p w:rsidR="007C180B" w:rsidRPr="00A205C0" w:rsidRDefault="007C180B" w:rsidP="00CC1CCD">
      <w:pPr>
        <w:pStyle w:val="ListParagraph"/>
        <w:numPr>
          <w:ilvl w:val="0"/>
          <w:numId w:val="3"/>
        </w:numPr>
        <w:spacing w:after="240"/>
      </w:pPr>
      <w:r w:rsidRPr="00A205C0">
        <w:t xml:space="preserve">Large: LEAs with an ADA </w:t>
      </w:r>
      <w:r w:rsidR="00C34128" w:rsidRPr="00A205C0">
        <w:t>of more than</w:t>
      </w:r>
      <w:r w:rsidRPr="00A205C0">
        <w:t xml:space="preserve"> 550</w:t>
      </w:r>
    </w:p>
    <w:p w:rsidR="00030D23" w:rsidRPr="00A205C0" w:rsidRDefault="00743E72" w:rsidP="00CC1CCD">
      <w:pPr>
        <w:spacing w:after="240"/>
      </w:pPr>
      <w:r w:rsidRPr="00A205C0">
        <w:t>In 2018</w:t>
      </w:r>
      <w:r w:rsidR="002D0DF2" w:rsidRPr="00A205C0">
        <w:t>–</w:t>
      </w:r>
      <w:r w:rsidRPr="00A205C0">
        <w:t xml:space="preserve">19, </w:t>
      </w:r>
      <w:r w:rsidR="00F24528" w:rsidRPr="00A205C0">
        <w:t>after all applicants were reviewed and there was a determination of eligible applicants, there was $17 million in unallocated funds out of the $150 million appropriated</w:t>
      </w:r>
      <w:r w:rsidR="0047522B" w:rsidRPr="00A205C0">
        <w:t xml:space="preserve"> because of the applicants’ inability to meet the match requirements</w:t>
      </w:r>
      <w:r w:rsidR="00F24528" w:rsidRPr="00A205C0">
        <w:t xml:space="preserve">. In order to distribute the funds in full, a </w:t>
      </w:r>
      <w:r w:rsidRPr="00A205C0">
        <w:t xml:space="preserve">determination was made to </w:t>
      </w:r>
      <w:r w:rsidR="00F24528" w:rsidRPr="00A205C0">
        <w:t xml:space="preserve">add to the </w:t>
      </w:r>
      <w:r w:rsidR="00C34128" w:rsidRPr="00A205C0">
        <w:t>amounts allocated for the large LEAs</w:t>
      </w:r>
      <w:r w:rsidR="003D6071" w:rsidRPr="00A205C0">
        <w:t xml:space="preserve"> by</w:t>
      </w:r>
      <w:r w:rsidR="00C34128" w:rsidRPr="00A205C0">
        <w:t xml:space="preserve"> </w:t>
      </w:r>
      <w:r w:rsidR="006073C5" w:rsidRPr="00A205C0">
        <w:t xml:space="preserve">creating </w:t>
      </w:r>
      <w:r w:rsidR="00832129" w:rsidRPr="00A205C0">
        <w:t>three</w:t>
      </w:r>
      <w:r w:rsidR="006073C5" w:rsidRPr="00A205C0">
        <w:t xml:space="preserve"> subcategories within the </w:t>
      </w:r>
      <w:r w:rsidR="00832129" w:rsidRPr="00A205C0">
        <w:t>Large LEA</w:t>
      </w:r>
      <w:r w:rsidRPr="00A205C0">
        <w:t xml:space="preserve"> categor</w:t>
      </w:r>
      <w:r w:rsidR="00832129" w:rsidRPr="00A205C0">
        <w:t>y</w:t>
      </w:r>
      <w:r w:rsidRPr="00A205C0">
        <w:t>.</w:t>
      </w:r>
      <w:r w:rsidR="009A5CD0" w:rsidRPr="00A205C0">
        <w:t xml:space="preserve"> </w:t>
      </w:r>
      <w:r w:rsidRPr="00A205C0">
        <w:t>Th</w:t>
      </w:r>
      <w:r w:rsidR="00832129" w:rsidRPr="00A205C0">
        <w:t>us, a total of</w:t>
      </w:r>
      <w:r w:rsidRPr="00A205C0">
        <w:t xml:space="preserve"> five categories </w:t>
      </w:r>
      <w:r w:rsidR="00832129" w:rsidRPr="00A205C0">
        <w:t xml:space="preserve">were funded </w:t>
      </w:r>
      <w:r w:rsidR="003D6071" w:rsidRPr="00A205C0">
        <w:t>in 2018</w:t>
      </w:r>
      <w:r w:rsidR="00DC1117" w:rsidRPr="00A205C0">
        <w:t>–</w:t>
      </w:r>
      <w:r w:rsidR="003D6071" w:rsidRPr="00A205C0">
        <w:t>19</w:t>
      </w:r>
      <w:r w:rsidR="00832129" w:rsidRPr="00A205C0">
        <w:t>:</w:t>
      </w:r>
      <w:r w:rsidRPr="00A205C0">
        <w:t xml:space="preserve"> Small, Medium</w:t>
      </w:r>
      <w:r w:rsidR="006073C5" w:rsidRPr="00A205C0">
        <w:t xml:space="preserve">, and three Large subcategories: </w:t>
      </w:r>
      <w:r w:rsidRPr="00A205C0">
        <w:t xml:space="preserve">Large A, Large B, and Large C. </w:t>
      </w:r>
      <w:r w:rsidR="009A5CD0" w:rsidRPr="00A205C0">
        <w:t>Using the five categories, all grant funds were awarded. This adjustment resulted in a</w:t>
      </w:r>
      <w:r w:rsidR="00A30061" w:rsidRPr="00A205C0">
        <w:t>n</w:t>
      </w:r>
      <w:r w:rsidR="009A5CD0" w:rsidRPr="00A205C0">
        <w:t xml:space="preserve"> increase of funds </w:t>
      </w:r>
      <w:r w:rsidR="00832129" w:rsidRPr="00A205C0">
        <w:t>as compared to</w:t>
      </w:r>
      <w:r w:rsidR="00A30061" w:rsidRPr="00A205C0">
        <w:t xml:space="preserve"> </w:t>
      </w:r>
      <w:r w:rsidR="00C34128" w:rsidRPr="00A205C0">
        <w:t xml:space="preserve">prior years </w:t>
      </w:r>
      <w:r w:rsidR="009A5CD0" w:rsidRPr="00A205C0">
        <w:t xml:space="preserve">for districts with </w:t>
      </w:r>
      <w:r w:rsidR="00832129" w:rsidRPr="00A205C0">
        <w:t xml:space="preserve">ADA of </w:t>
      </w:r>
      <w:r w:rsidR="009A5CD0" w:rsidRPr="00A205C0">
        <w:t>551</w:t>
      </w:r>
      <w:r w:rsidR="002D0DF2" w:rsidRPr="00A205C0">
        <w:t>–</w:t>
      </w:r>
      <w:r w:rsidR="009A5CD0" w:rsidRPr="00A205C0">
        <w:t>1100.</w:t>
      </w:r>
    </w:p>
    <w:p w:rsidR="007C180B" w:rsidRPr="00A205C0" w:rsidRDefault="00743E72" w:rsidP="0048753A">
      <w:pPr>
        <w:pStyle w:val="Heading2"/>
      </w:pPr>
      <w:r w:rsidRPr="00A205C0">
        <w:t>Fiscal Year 2019–20</w:t>
      </w:r>
    </w:p>
    <w:p w:rsidR="007C180B" w:rsidRPr="00A205C0" w:rsidRDefault="00302704" w:rsidP="007C180B">
      <w:pPr>
        <w:spacing w:after="240"/>
      </w:pPr>
      <w:r w:rsidRPr="00A205C0">
        <w:t>A total of 37</w:t>
      </w:r>
      <w:r w:rsidR="00DC1117" w:rsidRPr="00A205C0">
        <w:t>8</w:t>
      </w:r>
      <w:r w:rsidRPr="00A205C0">
        <w:t xml:space="preserve"> applications were submitted, requesting over $900 million in funding. Three standards were set to evaluate applications per </w:t>
      </w:r>
      <w:r w:rsidRPr="00A205C0">
        <w:rPr>
          <w:i/>
        </w:rPr>
        <w:t>EC</w:t>
      </w:r>
      <w:r w:rsidRPr="00A205C0">
        <w:t xml:space="preserve"> Sections 53071 and 53073</w:t>
      </w:r>
      <w:r w:rsidR="00743E72" w:rsidRPr="00A205C0">
        <w:t>:</w:t>
      </w:r>
    </w:p>
    <w:p w:rsidR="00743E72" w:rsidRPr="00A205C0" w:rsidRDefault="007C180B" w:rsidP="00427DDB">
      <w:pPr>
        <w:pStyle w:val="ListParagraph"/>
        <w:numPr>
          <w:ilvl w:val="0"/>
          <w:numId w:val="1"/>
        </w:numPr>
        <w:spacing w:after="240"/>
        <w:ind w:left="778"/>
        <w:contextualSpacing w:val="0"/>
      </w:pPr>
      <w:r w:rsidRPr="00A205C0">
        <w:t>The evaluation of high-quality CTE programs using a self-evaluation and reviewers’ scores</w:t>
      </w:r>
      <w:r w:rsidR="002D0DF2" w:rsidRPr="00A205C0">
        <w:t>,</w:t>
      </w:r>
    </w:p>
    <w:p w:rsidR="00743E72" w:rsidRPr="00A205C0" w:rsidRDefault="007C180B" w:rsidP="00427DDB">
      <w:pPr>
        <w:pStyle w:val="ListParagraph"/>
        <w:numPr>
          <w:ilvl w:val="0"/>
          <w:numId w:val="1"/>
        </w:numPr>
        <w:spacing w:after="240"/>
        <w:ind w:left="778"/>
        <w:contextualSpacing w:val="0"/>
      </w:pPr>
      <w:r w:rsidRPr="00A205C0">
        <w:t>Evaluation of application narrative including budget narrative and three</w:t>
      </w:r>
      <w:r w:rsidR="00242A89" w:rsidRPr="00A205C0">
        <w:t>-</w:t>
      </w:r>
      <w:r w:rsidRPr="00A205C0">
        <w:t>year budget plan</w:t>
      </w:r>
      <w:r w:rsidR="002D0DF2" w:rsidRPr="00A205C0">
        <w:t xml:space="preserve">, </w:t>
      </w:r>
      <w:r w:rsidR="0047522B" w:rsidRPr="00A205C0">
        <w:t>and</w:t>
      </w:r>
    </w:p>
    <w:p w:rsidR="00D850DA" w:rsidRPr="00A205C0" w:rsidRDefault="007C180B">
      <w:pPr>
        <w:pStyle w:val="ListParagraph"/>
        <w:numPr>
          <w:ilvl w:val="0"/>
          <w:numId w:val="1"/>
        </w:numPr>
        <w:spacing w:after="240"/>
        <w:ind w:left="778"/>
        <w:contextualSpacing w:val="0"/>
      </w:pPr>
      <w:r w:rsidRPr="00A205C0">
        <w:t xml:space="preserve">The relationship between </w:t>
      </w:r>
      <w:r w:rsidR="006073C5" w:rsidRPr="00A205C0">
        <w:t>the grant proposal</w:t>
      </w:r>
      <w:r w:rsidRPr="00A205C0">
        <w:t xml:space="preserve"> and </w:t>
      </w:r>
      <w:r w:rsidR="006073C5" w:rsidRPr="00A205C0">
        <w:t xml:space="preserve">goals, actions, and services in the </w:t>
      </w:r>
      <w:r w:rsidRPr="00A205C0">
        <w:t xml:space="preserve">LEA’s </w:t>
      </w:r>
      <w:r w:rsidR="006073C5" w:rsidRPr="00A205C0">
        <w:t xml:space="preserve">adopted </w:t>
      </w:r>
      <w:r w:rsidRPr="00A205C0">
        <w:t xml:space="preserve">Local Control </w:t>
      </w:r>
      <w:r w:rsidR="006073C5" w:rsidRPr="00A205C0">
        <w:t xml:space="preserve">and </w:t>
      </w:r>
      <w:r w:rsidRPr="00A205C0">
        <w:t>Accountability Plan</w:t>
      </w:r>
      <w:r w:rsidR="006073C5" w:rsidRPr="00A205C0">
        <w:t xml:space="preserve"> (LCAP)</w:t>
      </w:r>
      <w:r w:rsidRPr="00A205C0">
        <w:t>.</w:t>
      </w:r>
    </w:p>
    <w:p w:rsidR="007B2E66" w:rsidRPr="00A205C0" w:rsidRDefault="007B2E66" w:rsidP="00743E72">
      <w:pPr>
        <w:spacing w:after="240"/>
      </w:pPr>
      <w:r w:rsidRPr="00A205C0">
        <w:t xml:space="preserve">All applicants were reviewed and evaluated by a team of scorers using the criteria set forth in the rubric (Attachment </w:t>
      </w:r>
      <w:r w:rsidR="00230B1F" w:rsidRPr="00A205C0">
        <w:t>1</w:t>
      </w:r>
      <w:r w:rsidR="00ED0939" w:rsidRPr="00A205C0">
        <w:t>: High Quality CTE Program Evaluation</w:t>
      </w:r>
      <w:r w:rsidRPr="00A205C0">
        <w:t>).</w:t>
      </w:r>
    </w:p>
    <w:p w:rsidR="00C8046A" w:rsidRPr="00A205C0" w:rsidRDefault="00976F77" w:rsidP="00976F77">
      <w:pPr>
        <w:spacing w:after="240"/>
      </w:pPr>
      <w:r w:rsidRPr="00A205C0">
        <w:t xml:space="preserve">The application review process was used to determine whether applications for renewal grants met the requirements of </w:t>
      </w:r>
      <w:r w:rsidRPr="00A205C0">
        <w:rPr>
          <w:i/>
        </w:rPr>
        <w:t>EC</w:t>
      </w:r>
      <w:r w:rsidRPr="00A205C0">
        <w:t xml:space="preserve"> Section 53071 </w:t>
      </w:r>
      <w:r w:rsidR="00883273" w:rsidRPr="00A205C0">
        <w:t xml:space="preserve">and </w:t>
      </w:r>
      <w:r w:rsidRPr="00A205C0">
        <w:t>53073, which state</w:t>
      </w:r>
      <w:r w:rsidR="00C72351" w:rsidRPr="00A205C0">
        <w:t xml:space="preserve"> </w:t>
      </w:r>
      <w:r w:rsidRPr="00A205C0">
        <w:t>that the Superintendent, in collaboration with the state board, must determine if a renewal grant is eligible for funding based on the metrics specified in the legislation.</w:t>
      </w:r>
    </w:p>
    <w:p w:rsidR="00C72351" w:rsidRPr="00A205C0" w:rsidRDefault="00976F77" w:rsidP="001A0EB3">
      <w:pPr>
        <w:pStyle w:val="NormalWeb"/>
        <w:spacing w:after="240"/>
        <w:rPr>
          <w:rFonts w:ascii="Arial" w:hAnsi="Arial" w:cs="Arial"/>
          <w:color w:val="000000"/>
        </w:rPr>
      </w:pPr>
      <w:r w:rsidRPr="00A205C0">
        <w:rPr>
          <w:rFonts w:ascii="Arial" w:hAnsi="Arial" w:cs="Arial"/>
        </w:rPr>
        <w:t xml:space="preserve">Attachment 2 shows the </w:t>
      </w:r>
      <w:r w:rsidR="00BE7E7D" w:rsidRPr="00A205C0">
        <w:rPr>
          <w:rFonts w:ascii="Arial" w:hAnsi="Arial" w:cs="Arial"/>
        </w:rPr>
        <w:t>m</w:t>
      </w:r>
      <w:r w:rsidRPr="00A205C0">
        <w:rPr>
          <w:rFonts w:ascii="Arial" w:hAnsi="Arial" w:cs="Arial"/>
        </w:rPr>
        <w:t xml:space="preserve">etrics for the CTEIG program that </w:t>
      </w:r>
      <w:r w:rsidR="00BE7E7D" w:rsidRPr="00A205C0">
        <w:rPr>
          <w:rFonts w:ascii="Arial" w:hAnsi="Arial" w:cs="Arial"/>
        </w:rPr>
        <w:t>must</w:t>
      </w:r>
      <w:r w:rsidRPr="00A205C0">
        <w:rPr>
          <w:rFonts w:ascii="Arial" w:hAnsi="Arial" w:cs="Arial"/>
        </w:rPr>
        <w:t xml:space="preserve"> be reviewed for determining the eligibility of a renewal grant.</w:t>
      </w:r>
      <w:r w:rsidR="006F3869" w:rsidRPr="00A205C0">
        <w:rPr>
          <w:rFonts w:ascii="Arial" w:hAnsi="Arial" w:cs="Arial"/>
        </w:rPr>
        <w:t xml:space="preserve"> The metrics are defined in the </w:t>
      </w:r>
      <w:r w:rsidR="006F3869" w:rsidRPr="00A205C0">
        <w:rPr>
          <w:rFonts w:ascii="Arial" w:hAnsi="Arial" w:cs="Arial"/>
          <w:i/>
        </w:rPr>
        <w:t>EC</w:t>
      </w:r>
      <w:r w:rsidR="00BE7E7D" w:rsidRPr="00A205C0">
        <w:rPr>
          <w:rFonts w:ascii="Arial" w:hAnsi="Arial" w:cs="Arial"/>
        </w:rPr>
        <w:t xml:space="preserve"> Section </w:t>
      </w:r>
      <w:r w:rsidR="006F3869" w:rsidRPr="00A205C0">
        <w:rPr>
          <w:rFonts w:ascii="Arial" w:hAnsi="Arial" w:cs="Arial"/>
        </w:rPr>
        <w:t xml:space="preserve">53071 </w:t>
      </w:r>
      <w:r w:rsidR="006073C5" w:rsidRPr="00A205C0">
        <w:rPr>
          <w:rFonts w:ascii="Arial" w:hAnsi="Arial" w:cs="Arial"/>
        </w:rPr>
        <w:t>(c)</w:t>
      </w:r>
      <w:r w:rsidR="006F3869" w:rsidRPr="00A205C0">
        <w:rPr>
          <w:rFonts w:ascii="Arial" w:hAnsi="Arial" w:cs="Arial"/>
        </w:rPr>
        <w:t>(11)(B)</w:t>
      </w:r>
      <w:r w:rsidR="00BE7E7D" w:rsidRPr="00A205C0">
        <w:rPr>
          <w:rFonts w:ascii="Arial" w:hAnsi="Arial" w:cs="Arial"/>
        </w:rPr>
        <w:t>, and</w:t>
      </w:r>
      <w:r w:rsidR="006F3869" w:rsidRPr="00A205C0">
        <w:rPr>
          <w:rFonts w:ascii="Arial" w:hAnsi="Arial" w:cs="Arial"/>
        </w:rPr>
        <w:t xml:space="preserve"> are listed in the attachment. These metrics were </w:t>
      </w:r>
      <w:r w:rsidR="0047522B" w:rsidRPr="00A205C0">
        <w:rPr>
          <w:rFonts w:ascii="Arial" w:hAnsi="Arial" w:cs="Arial"/>
        </w:rPr>
        <w:t xml:space="preserve">initially </w:t>
      </w:r>
      <w:r w:rsidR="006F3869" w:rsidRPr="00A205C0">
        <w:rPr>
          <w:rFonts w:ascii="Arial" w:hAnsi="Arial" w:cs="Arial"/>
        </w:rPr>
        <w:t>aligned to th</w:t>
      </w:r>
      <w:r w:rsidR="00BE7E7D" w:rsidRPr="00A205C0">
        <w:rPr>
          <w:rFonts w:ascii="Arial" w:hAnsi="Arial" w:cs="Arial"/>
        </w:rPr>
        <w:t>e metrics</w:t>
      </w:r>
      <w:r w:rsidR="006F3869" w:rsidRPr="00A205C0">
        <w:rPr>
          <w:rFonts w:ascii="Arial" w:hAnsi="Arial" w:cs="Arial"/>
        </w:rPr>
        <w:t xml:space="preserve"> identified in the Perkins IV federal legislation</w:t>
      </w:r>
      <w:r w:rsidR="00BE7E7D" w:rsidRPr="00A205C0">
        <w:rPr>
          <w:rFonts w:ascii="Arial" w:hAnsi="Arial" w:cs="Arial"/>
        </w:rPr>
        <w:t xml:space="preserve"> and have</w:t>
      </w:r>
      <w:r w:rsidR="006F3869" w:rsidRPr="00A205C0">
        <w:rPr>
          <w:rFonts w:ascii="Arial" w:hAnsi="Arial" w:cs="Arial"/>
        </w:rPr>
        <w:t xml:space="preserve"> been updated to include the new Perkins V accountability indicators.</w:t>
      </w:r>
    </w:p>
    <w:p w:rsidR="007F2DA9" w:rsidRPr="00A205C0" w:rsidRDefault="00976F77" w:rsidP="00976F77">
      <w:pPr>
        <w:spacing w:after="240"/>
      </w:pPr>
      <w:r w:rsidRPr="00A205C0">
        <w:rPr>
          <w:rFonts w:cs="Arial"/>
        </w:rPr>
        <w:t>Of the 37</w:t>
      </w:r>
      <w:r w:rsidR="00DC1117" w:rsidRPr="00A205C0">
        <w:rPr>
          <w:rFonts w:cs="Arial"/>
        </w:rPr>
        <w:t>8</w:t>
      </w:r>
      <w:r w:rsidRPr="00A205C0">
        <w:rPr>
          <w:rFonts w:cs="Arial"/>
        </w:rPr>
        <w:t xml:space="preserve"> total applications received in FY</w:t>
      </w:r>
      <w:r w:rsidR="0047522B" w:rsidRPr="00A205C0">
        <w:rPr>
          <w:rFonts w:cs="Arial"/>
        </w:rPr>
        <w:t xml:space="preserve"> </w:t>
      </w:r>
      <w:r w:rsidRPr="00A205C0">
        <w:rPr>
          <w:rFonts w:cs="Arial"/>
        </w:rPr>
        <w:t>2019</w:t>
      </w:r>
      <w:r w:rsidR="001A0EB3" w:rsidRPr="00A205C0">
        <w:rPr>
          <w:rFonts w:cs="Arial"/>
        </w:rPr>
        <w:t>–</w:t>
      </w:r>
      <w:r w:rsidRPr="00A205C0">
        <w:rPr>
          <w:rFonts w:cs="Arial"/>
        </w:rPr>
        <w:t xml:space="preserve">20, there were 288 that </w:t>
      </w:r>
      <w:r w:rsidR="0047522B" w:rsidRPr="00A205C0">
        <w:rPr>
          <w:rFonts w:cs="Arial"/>
        </w:rPr>
        <w:t xml:space="preserve">had </w:t>
      </w:r>
      <w:r w:rsidRPr="00A205C0">
        <w:rPr>
          <w:rFonts w:cs="Arial"/>
        </w:rPr>
        <w:t>applied in the previous year.</w:t>
      </w:r>
      <w:r w:rsidR="00A34B09" w:rsidRPr="00A205C0">
        <w:rPr>
          <w:rFonts w:cs="Arial"/>
        </w:rPr>
        <w:t xml:space="preserve"> </w:t>
      </w:r>
      <w:r w:rsidR="00A34B09" w:rsidRPr="00A205C0">
        <w:rPr>
          <w:rFonts w:cs="Arial"/>
          <w:color w:val="000000"/>
        </w:rPr>
        <w:t>The CDE reviewed the applications for the elements set forth in EC Section 53071(c)(1)-(10), and verified that all LEAs submitting a renewal application submitted the data required by 53071(c</w:t>
      </w:r>
      <w:proofErr w:type="gramStart"/>
      <w:r w:rsidR="00A34B09" w:rsidRPr="00A205C0">
        <w:rPr>
          <w:rFonts w:cs="Arial"/>
          <w:color w:val="000000"/>
        </w:rPr>
        <w:t>)(</w:t>
      </w:r>
      <w:proofErr w:type="gramEnd"/>
      <w:r w:rsidR="00A34B09" w:rsidRPr="00A205C0">
        <w:rPr>
          <w:rFonts w:cs="Arial"/>
          <w:color w:val="000000"/>
        </w:rPr>
        <w:t xml:space="preserve">11). This data will be considered the base year data, and next year the CDE will be able to review 2 years of data for purposes of </w:t>
      </w:r>
      <w:r w:rsidR="00A34B09" w:rsidRPr="00A205C0">
        <w:rPr>
          <w:rFonts w:cs="Arial"/>
          <w:color w:val="000000"/>
        </w:rPr>
        <w:lastRenderedPageBreak/>
        <w:t>evaluating the efficacy of the LEAs program or whether different or additional data is needed for this purpose.</w:t>
      </w:r>
      <w:r w:rsidRPr="00A205C0">
        <w:t xml:space="preserve"> Data </w:t>
      </w:r>
      <w:r w:rsidR="00D32B14" w:rsidRPr="00A205C0">
        <w:t>for</w:t>
      </w:r>
      <w:r w:rsidRPr="00A205C0">
        <w:t xml:space="preserve"> the FY</w:t>
      </w:r>
      <w:r w:rsidR="0047522B" w:rsidRPr="00A205C0">
        <w:t xml:space="preserve"> </w:t>
      </w:r>
      <w:r w:rsidRPr="00A205C0">
        <w:t>2017</w:t>
      </w:r>
      <w:r w:rsidR="00DC1117" w:rsidRPr="00A205C0">
        <w:t>–</w:t>
      </w:r>
      <w:r w:rsidRPr="00A205C0">
        <w:t xml:space="preserve">18 applicants was collected </w:t>
      </w:r>
      <w:r w:rsidR="00832129" w:rsidRPr="00A205C0">
        <w:t xml:space="preserve">by way of a survey, </w:t>
      </w:r>
      <w:r w:rsidRPr="00A205C0">
        <w:t xml:space="preserve">and </w:t>
      </w:r>
      <w:r w:rsidR="00832129" w:rsidRPr="00A205C0">
        <w:t xml:space="preserve">was </w:t>
      </w:r>
      <w:r w:rsidRPr="00A205C0">
        <w:t xml:space="preserve">shared with the California Workforce Pathways Joint Advisory Committee (CWPJAC) in the fall of 2019. Data for FY 2018–19 is currently being collected, a significant portion of which is being directly submitted </w:t>
      </w:r>
      <w:r w:rsidR="00BC64DF" w:rsidRPr="00A205C0">
        <w:t>through</w:t>
      </w:r>
      <w:r w:rsidRPr="00A205C0">
        <w:t xml:space="preserve"> the California Longitudinal Pupil Accountability Data System (CALPADS)</w:t>
      </w:r>
      <w:r w:rsidR="00BC64DF" w:rsidRPr="00A205C0">
        <w:t>. Using CALPADS</w:t>
      </w:r>
      <w:r w:rsidRPr="00A205C0">
        <w:t xml:space="preserve"> will provide a more comprehensive data set to review prior to awarding future funds.</w:t>
      </w:r>
    </w:p>
    <w:p w:rsidR="007C180B" w:rsidRPr="00A205C0" w:rsidRDefault="009A5CD0" w:rsidP="00743E72">
      <w:pPr>
        <w:spacing w:after="240"/>
      </w:pPr>
      <w:r w:rsidRPr="00A205C0">
        <w:t>For FY 2019</w:t>
      </w:r>
      <w:r w:rsidR="002D0DF2" w:rsidRPr="00A205C0">
        <w:t>–</w:t>
      </w:r>
      <w:r w:rsidRPr="00A205C0">
        <w:t xml:space="preserve">20, CDE staff, in collaboration with SBE staff and the </w:t>
      </w:r>
      <w:r w:rsidR="004A4C43" w:rsidRPr="00A205C0">
        <w:t xml:space="preserve">CWPJAC </w:t>
      </w:r>
      <w:r w:rsidRPr="00A205C0">
        <w:t xml:space="preserve">decided to </w:t>
      </w:r>
      <w:r w:rsidR="001B27EB" w:rsidRPr="00A205C0">
        <w:t>utilize</w:t>
      </w:r>
      <w:r w:rsidR="007B2E66" w:rsidRPr="00A205C0">
        <w:t xml:space="preserve"> </w:t>
      </w:r>
      <w:r w:rsidRPr="00A205C0">
        <w:t xml:space="preserve">the </w:t>
      </w:r>
      <w:r w:rsidR="000A1B70" w:rsidRPr="00A205C0">
        <w:t xml:space="preserve">allocation </w:t>
      </w:r>
      <w:r w:rsidRPr="00A205C0">
        <w:t>method used in FY</w:t>
      </w:r>
      <w:r w:rsidR="001A0EB3" w:rsidRPr="00A205C0">
        <w:t>s</w:t>
      </w:r>
      <w:r w:rsidRPr="00A205C0">
        <w:t xml:space="preserve"> 2015</w:t>
      </w:r>
      <w:r w:rsidR="001A0EB3" w:rsidRPr="00A205C0">
        <w:t>–</w:t>
      </w:r>
      <w:r w:rsidRPr="00A205C0">
        <w:t>16</w:t>
      </w:r>
      <w:r w:rsidR="001A0EB3" w:rsidRPr="00A205C0">
        <w:t xml:space="preserve">, 2016–17, and </w:t>
      </w:r>
      <w:r w:rsidRPr="00A205C0">
        <w:t>2017</w:t>
      </w:r>
      <w:r w:rsidR="001A0EB3" w:rsidRPr="00A205C0">
        <w:t>–</w:t>
      </w:r>
      <w:r w:rsidRPr="00A205C0">
        <w:t xml:space="preserve">18, with the </w:t>
      </w:r>
      <w:r w:rsidR="00743E72" w:rsidRPr="00A205C0">
        <w:t>belie</w:t>
      </w:r>
      <w:r w:rsidR="00D03980" w:rsidRPr="00A205C0">
        <w:t>f that</w:t>
      </w:r>
      <w:r w:rsidR="00743E72" w:rsidRPr="00A205C0">
        <w:t xml:space="preserve"> the three funding categories (Small, Medium, Large) used in all years except </w:t>
      </w:r>
      <w:r w:rsidR="001B27EB" w:rsidRPr="00A205C0">
        <w:t xml:space="preserve">the anomaly year, </w:t>
      </w:r>
      <w:r w:rsidR="00743E72" w:rsidRPr="00A205C0">
        <w:t>2018</w:t>
      </w:r>
      <w:r w:rsidR="002D0DF2" w:rsidRPr="00A205C0">
        <w:t>–</w:t>
      </w:r>
      <w:r w:rsidR="00743E72" w:rsidRPr="00A205C0">
        <w:t>19</w:t>
      </w:r>
      <w:r w:rsidR="00BC64DF" w:rsidRPr="00A205C0">
        <w:t xml:space="preserve">, </w:t>
      </w:r>
      <w:r w:rsidR="00743E72" w:rsidRPr="00A205C0">
        <w:t xml:space="preserve">provides the most equitable distribution </w:t>
      </w:r>
      <w:r w:rsidR="00BC64DF" w:rsidRPr="00A205C0">
        <w:t>of</w:t>
      </w:r>
      <w:r w:rsidR="00743E72" w:rsidRPr="00A205C0">
        <w:t xml:space="preserve"> these funds</w:t>
      </w:r>
      <w:r w:rsidR="00BC1DCD" w:rsidRPr="00A205C0">
        <w:t xml:space="preserve">, especially in years, like this year, in which the program is oversubscribed. </w:t>
      </w:r>
      <w:r w:rsidR="00D03980" w:rsidRPr="00A205C0">
        <w:t>C</w:t>
      </w:r>
      <w:r w:rsidR="00743E72" w:rsidRPr="00A205C0">
        <w:t>hanging the allocation</w:t>
      </w:r>
      <w:r w:rsidR="00DB2BFE" w:rsidRPr="00A205C0">
        <w:t xml:space="preserve"> methodology</w:t>
      </w:r>
      <w:r w:rsidR="00743E72" w:rsidRPr="00A205C0">
        <w:t xml:space="preserve"> in 2018</w:t>
      </w:r>
      <w:r w:rsidR="002D0DF2" w:rsidRPr="00A205C0">
        <w:t>–</w:t>
      </w:r>
      <w:r w:rsidR="00743E72" w:rsidRPr="00A205C0">
        <w:t>19</w:t>
      </w:r>
      <w:r w:rsidR="00D03980" w:rsidRPr="00A205C0">
        <w:t xml:space="preserve"> was </w:t>
      </w:r>
      <w:r w:rsidR="00BC1DCD" w:rsidRPr="00A205C0">
        <w:t>necessary to fully allocate the $150 million appropriated.</w:t>
      </w:r>
      <w:r w:rsidR="00D03980" w:rsidRPr="00A205C0">
        <w:t xml:space="preserve"> However, b</w:t>
      </w:r>
      <w:r w:rsidR="00743E72" w:rsidRPr="00A205C0">
        <w:t>y doing so, an anomaly</w:t>
      </w:r>
      <w:r w:rsidR="00D03980" w:rsidRPr="00A205C0">
        <w:t xml:space="preserve"> was created and LEAs in one category received a </w:t>
      </w:r>
      <w:r w:rsidR="00C34128" w:rsidRPr="00A205C0">
        <w:t xml:space="preserve">disproportionate amount as compared with </w:t>
      </w:r>
      <w:r w:rsidR="000A1B70" w:rsidRPr="00A205C0">
        <w:t xml:space="preserve">previous </w:t>
      </w:r>
      <w:r w:rsidR="00C34128" w:rsidRPr="00A205C0">
        <w:t>years</w:t>
      </w:r>
      <w:r w:rsidR="00D03980" w:rsidRPr="00A205C0">
        <w:t xml:space="preserve">. </w:t>
      </w:r>
      <w:r w:rsidR="00743E72" w:rsidRPr="00A205C0">
        <w:t xml:space="preserve">Moving forward, </w:t>
      </w:r>
      <w:r w:rsidR="00D03980" w:rsidRPr="00A205C0">
        <w:t xml:space="preserve">CDE will </w:t>
      </w:r>
      <w:r w:rsidR="00743E72" w:rsidRPr="00A205C0">
        <w:t>ensure that LEAs</w:t>
      </w:r>
      <w:r w:rsidR="00D03980" w:rsidRPr="00A205C0">
        <w:t xml:space="preserve">, </w:t>
      </w:r>
      <w:r w:rsidR="00BC1DCD" w:rsidRPr="00A205C0">
        <w:t xml:space="preserve">CWPJAC, </w:t>
      </w:r>
      <w:r w:rsidR="00D03980" w:rsidRPr="00A205C0">
        <w:t>the SBE, and stakeholders</w:t>
      </w:r>
      <w:r w:rsidR="00743E72" w:rsidRPr="00A205C0">
        <w:t xml:space="preserve"> are fully informed about the funding formula methodology for 2019</w:t>
      </w:r>
      <w:r w:rsidR="002D0DF2" w:rsidRPr="00A205C0">
        <w:t>–</w:t>
      </w:r>
      <w:r w:rsidR="00743E72" w:rsidRPr="00A205C0">
        <w:t>20 and beyond, through stakeholder and LEA engagement via email, webinars</w:t>
      </w:r>
      <w:r w:rsidR="001D2864" w:rsidRPr="00A205C0">
        <w:t>,</w:t>
      </w:r>
      <w:r w:rsidR="00743E72" w:rsidRPr="00A205C0">
        <w:t xml:space="preserve"> and other communications.</w:t>
      </w:r>
    </w:p>
    <w:p w:rsidR="00230B1F" w:rsidRPr="00A205C0" w:rsidRDefault="00230B1F" w:rsidP="0048753A">
      <w:pPr>
        <w:pStyle w:val="Heading2"/>
      </w:pPr>
      <w:r w:rsidRPr="00A205C0">
        <w:t>Proposed Grant Awards for FY 2019</w:t>
      </w:r>
      <w:r w:rsidR="001A0EB3" w:rsidRPr="00A205C0">
        <w:t>–</w:t>
      </w:r>
      <w:r w:rsidRPr="00A205C0">
        <w:t>20</w:t>
      </w:r>
    </w:p>
    <w:p w:rsidR="00594C80" w:rsidRPr="00A205C0" w:rsidRDefault="00230B1F" w:rsidP="000F7DDD">
      <w:pPr>
        <w:pStyle w:val="Header"/>
        <w:spacing w:after="240"/>
      </w:pPr>
      <w:r w:rsidRPr="00A205C0">
        <w:t>Preliminary allocations for t</w:t>
      </w:r>
      <w:r w:rsidR="005976C2" w:rsidRPr="00A205C0">
        <w:t xml:space="preserve">he CTEIG </w:t>
      </w:r>
      <w:r w:rsidR="00D03980" w:rsidRPr="00A205C0">
        <w:t>grant award</w:t>
      </w:r>
      <w:r w:rsidRPr="00A205C0">
        <w:t xml:space="preserve">s </w:t>
      </w:r>
      <w:r w:rsidR="005976C2" w:rsidRPr="00A205C0">
        <w:t xml:space="preserve">will be </w:t>
      </w:r>
      <w:r w:rsidR="00DF1AB2" w:rsidRPr="00A205C0">
        <w:t>presented</w:t>
      </w:r>
      <w:r w:rsidR="005976C2" w:rsidRPr="00A205C0">
        <w:t xml:space="preserve"> at the March 2020 SBE meeting. In preparation for presenting the item, </w:t>
      </w:r>
      <w:r w:rsidR="00DF1AB2" w:rsidRPr="00A205C0">
        <w:t xml:space="preserve">the </w:t>
      </w:r>
      <w:r w:rsidR="009321D0" w:rsidRPr="00A205C0">
        <w:t xml:space="preserve">CDE staff </w:t>
      </w:r>
      <w:r w:rsidR="005976C2" w:rsidRPr="00A205C0">
        <w:t>undertook steps to ensure accuracy in the allocation formula; recalculated the CTEIG allocation</w:t>
      </w:r>
      <w:r w:rsidR="00DF1AB2" w:rsidRPr="00A205C0">
        <w:t>s</w:t>
      </w:r>
      <w:r w:rsidR="005976C2" w:rsidRPr="00A205C0">
        <w:t xml:space="preserve"> based on the five categories used in FY</w:t>
      </w:r>
      <w:r w:rsidR="00DF1AB2" w:rsidRPr="00A205C0">
        <w:t xml:space="preserve"> </w:t>
      </w:r>
      <w:r w:rsidR="005976C2" w:rsidRPr="00A205C0">
        <w:t>2018</w:t>
      </w:r>
      <w:r w:rsidR="00DF1AB2" w:rsidRPr="00A205C0">
        <w:t>–</w:t>
      </w:r>
      <w:r w:rsidR="005976C2" w:rsidRPr="00A205C0">
        <w:t>19; and analyzed the resultant changes in allocation</w:t>
      </w:r>
      <w:r w:rsidR="00DF1AB2" w:rsidRPr="00A205C0">
        <w:t>s</w:t>
      </w:r>
      <w:r w:rsidR="005976C2" w:rsidRPr="00A205C0">
        <w:t xml:space="preserve"> between the two fiscal years</w:t>
      </w:r>
      <w:r w:rsidR="00AF6A4B" w:rsidRPr="00A205C0">
        <w:t>.</w:t>
      </w:r>
      <w:r w:rsidR="00D03980" w:rsidRPr="00A205C0">
        <w:t xml:space="preserve"> Attached is a chart comparing allocations using three categories and using five categories</w:t>
      </w:r>
      <w:r w:rsidRPr="00A205C0">
        <w:t xml:space="preserve"> (Attachment 3: Comparison of Categories and Allocation Runs)</w:t>
      </w:r>
      <w:r w:rsidR="000F7DDD" w:rsidRPr="00A205C0">
        <w:t>.</w:t>
      </w:r>
    </w:p>
    <w:p w:rsidR="00145938" w:rsidRPr="00A205C0" w:rsidRDefault="00547AEC" w:rsidP="00FF1525">
      <w:pPr>
        <w:spacing w:after="240"/>
      </w:pPr>
      <w:r w:rsidRPr="00A205C0">
        <w:t>I</w:t>
      </w:r>
      <w:r w:rsidR="000A0AF6" w:rsidRPr="00A205C0">
        <w:t>nsights into</w:t>
      </w:r>
      <w:r w:rsidR="00366536" w:rsidRPr="00A205C0">
        <w:t xml:space="preserve"> the</w:t>
      </w:r>
      <w:r w:rsidR="000A0AF6" w:rsidRPr="00A205C0">
        <w:t xml:space="preserve"> CTEIG funding and allocation</w:t>
      </w:r>
      <w:r w:rsidR="00366536" w:rsidRPr="00A205C0">
        <w:t>s</w:t>
      </w:r>
      <w:r w:rsidR="000A0AF6" w:rsidRPr="00A205C0">
        <w:t xml:space="preserve"> over the past five cycles of funding are salient</w:t>
      </w:r>
      <w:r w:rsidR="008D515B" w:rsidRPr="00A205C0">
        <w:t xml:space="preserve">. </w:t>
      </w:r>
      <w:r w:rsidR="00145938" w:rsidRPr="00A205C0">
        <w:t>One,</w:t>
      </w:r>
      <w:r w:rsidR="00FF1525" w:rsidRPr="00A205C0">
        <w:t xml:space="preserve"> when</w:t>
      </w:r>
      <w:r w:rsidR="000A0AF6" w:rsidRPr="00A205C0">
        <w:t xml:space="preserve"> </w:t>
      </w:r>
      <w:r w:rsidR="00366536" w:rsidRPr="00A205C0">
        <w:t xml:space="preserve">the initial </w:t>
      </w:r>
      <w:r w:rsidR="000A0AF6" w:rsidRPr="00A205C0">
        <w:t>CTEIG funding was first authorized, the funding was for a total of $900 million</w:t>
      </w:r>
      <w:r w:rsidR="00DB2BFE" w:rsidRPr="00A205C0">
        <w:t xml:space="preserve"> in one-time funds</w:t>
      </w:r>
      <w:r w:rsidR="000A0AF6" w:rsidRPr="00A205C0">
        <w:t>, spread out over three fiscal years</w:t>
      </w:r>
      <w:r w:rsidR="00DB2BFE" w:rsidRPr="00A205C0">
        <w:t>.</w:t>
      </w:r>
      <w:r w:rsidR="000A0AF6" w:rsidRPr="00A205C0">
        <w:rPr>
          <w:rStyle w:val="FootnoteReference"/>
        </w:rPr>
        <w:footnoteReference w:id="1"/>
      </w:r>
      <w:r w:rsidR="000A0AF6" w:rsidRPr="00A205C0">
        <w:t xml:space="preserve"> </w:t>
      </w:r>
      <w:r w:rsidR="004766C7" w:rsidRPr="00A205C0">
        <w:t>T</w:t>
      </w:r>
      <w:r w:rsidR="000A0AF6" w:rsidRPr="00A205C0">
        <w:t>he last two funding cycles (FY</w:t>
      </w:r>
      <w:r w:rsidR="00366536" w:rsidRPr="00A205C0">
        <w:t xml:space="preserve"> </w:t>
      </w:r>
      <w:r w:rsidR="000A0AF6" w:rsidRPr="00A205C0">
        <w:t>2018</w:t>
      </w:r>
      <w:r w:rsidR="00366536" w:rsidRPr="00A205C0">
        <w:t>–</w:t>
      </w:r>
      <w:r w:rsidR="000A0AF6" w:rsidRPr="00A205C0">
        <w:t>19 and FY2019</w:t>
      </w:r>
      <w:r w:rsidR="00366536" w:rsidRPr="00A205C0">
        <w:t>–</w:t>
      </w:r>
      <w:r w:rsidR="000A0AF6" w:rsidRPr="00A205C0">
        <w:t>20) w</w:t>
      </w:r>
      <w:r w:rsidRPr="00A205C0">
        <w:t>ere</w:t>
      </w:r>
      <w:r w:rsidR="000A0AF6" w:rsidRPr="00A205C0">
        <w:t xml:space="preserve"> for $150 million each</w:t>
      </w:r>
      <w:r w:rsidR="00BC1DCD" w:rsidRPr="00A205C0">
        <w:t xml:space="preserve"> year.</w:t>
      </w:r>
      <w:r w:rsidR="000A0AF6" w:rsidRPr="00A205C0">
        <w:t xml:space="preserve"> </w:t>
      </w:r>
      <w:r w:rsidR="00AF6A4B" w:rsidRPr="00A205C0">
        <w:t xml:space="preserve">In contrast, the number of </w:t>
      </w:r>
      <w:r w:rsidR="00DB2BFE" w:rsidRPr="00A205C0">
        <w:t>applicants</w:t>
      </w:r>
      <w:r w:rsidR="00517413" w:rsidRPr="00A205C0">
        <w:t xml:space="preserve"> </w:t>
      </w:r>
      <w:r w:rsidR="00AF6A4B" w:rsidRPr="00A205C0">
        <w:t xml:space="preserve">stayed </w:t>
      </w:r>
      <w:r w:rsidR="00BC1DCD" w:rsidRPr="00A205C0">
        <w:t xml:space="preserve">about the same, ranging </w:t>
      </w:r>
      <w:r w:rsidR="00AF6A4B" w:rsidRPr="00A205C0">
        <w:t>between 330 and 400.</w:t>
      </w:r>
    </w:p>
    <w:p w:rsidR="00AF6A4B" w:rsidRPr="00A205C0" w:rsidRDefault="00145938" w:rsidP="00FF1525">
      <w:pPr>
        <w:spacing w:after="240"/>
      </w:pPr>
      <w:r w:rsidRPr="00A205C0">
        <w:t>Two,</w:t>
      </w:r>
      <w:r w:rsidR="008D515B" w:rsidRPr="00A205C0">
        <w:t xml:space="preserve"> the total CTEIG funds requested for 2018–19 was $353 million, while the total request for CTEIG funds in 2019–20 was $934 million</w:t>
      </w:r>
      <w:r w:rsidR="00AF6A4B" w:rsidRPr="00A205C0">
        <w:t xml:space="preserve">. </w:t>
      </w:r>
      <w:r w:rsidR="008D515B" w:rsidRPr="00A205C0">
        <w:t>Given a fixed funding amount of $150 million, the FY</w:t>
      </w:r>
      <w:r w:rsidR="00FF1525" w:rsidRPr="00A205C0">
        <w:t xml:space="preserve"> </w:t>
      </w:r>
      <w:r w:rsidR="00517413" w:rsidRPr="00A205C0">
        <w:t>2019</w:t>
      </w:r>
      <w:r w:rsidR="00DC1117" w:rsidRPr="00A205C0">
        <w:t>–</w:t>
      </w:r>
      <w:r w:rsidR="00517413" w:rsidRPr="00A205C0">
        <w:t>20</w:t>
      </w:r>
      <w:r w:rsidR="008D515B" w:rsidRPr="00A205C0">
        <w:t xml:space="preserve"> request for funds from school districts was 2.65 times </w:t>
      </w:r>
      <w:r w:rsidR="00BC1DCD" w:rsidRPr="00A205C0">
        <w:t xml:space="preserve">greater than </w:t>
      </w:r>
      <w:r w:rsidR="008D515B" w:rsidRPr="00A205C0">
        <w:t>in FY</w:t>
      </w:r>
      <w:r w:rsidR="00FF1525" w:rsidRPr="00A205C0">
        <w:t xml:space="preserve"> </w:t>
      </w:r>
      <w:r w:rsidR="008D515B" w:rsidRPr="00A205C0">
        <w:t>201</w:t>
      </w:r>
      <w:r w:rsidR="00517413" w:rsidRPr="00A205C0">
        <w:t>8</w:t>
      </w:r>
      <w:r w:rsidR="00FF1525" w:rsidRPr="00A205C0">
        <w:t>–</w:t>
      </w:r>
      <w:r w:rsidR="00517413" w:rsidRPr="00A205C0">
        <w:t>19</w:t>
      </w:r>
      <w:r w:rsidR="003773EF" w:rsidRPr="00A205C0">
        <w:t>.</w:t>
      </w:r>
      <w:r w:rsidR="00AF6A4B" w:rsidRPr="00A205C0">
        <w:t xml:space="preserve"> </w:t>
      </w:r>
      <w:r w:rsidR="00BC1DCD" w:rsidRPr="00A205C0">
        <w:t>However, t</w:t>
      </w:r>
      <w:r w:rsidR="00AF6A4B" w:rsidRPr="00A205C0">
        <w:t xml:space="preserve">he total number of </w:t>
      </w:r>
      <w:r w:rsidR="00DB2BFE" w:rsidRPr="00A205C0">
        <w:t xml:space="preserve">applicants </w:t>
      </w:r>
      <w:r w:rsidR="00AF6A4B" w:rsidRPr="00A205C0">
        <w:t xml:space="preserve">for the two years </w:t>
      </w:r>
      <w:r w:rsidR="00FF1525" w:rsidRPr="00A205C0">
        <w:t>(FY 2018–19 and FY</w:t>
      </w:r>
      <w:r w:rsidR="00F66498" w:rsidRPr="00A205C0">
        <w:t xml:space="preserve"> </w:t>
      </w:r>
      <w:r w:rsidR="00FF1525" w:rsidRPr="00A205C0">
        <w:t xml:space="preserve">2019–20) </w:t>
      </w:r>
      <w:r w:rsidR="00AF6A4B" w:rsidRPr="00A205C0">
        <w:t>stayed exactly the same</w:t>
      </w:r>
      <w:r w:rsidR="00517413" w:rsidRPr="00A205C0">
        <w:t xml:space="preserve"> </w:t>
      </w:r>
      <w:r w:rsidR="00BC1DCD" w:rsidRPr="00A205C0">
        <w:t xml:space="preserve">at </w:t>
      </w:r>
      <w:r w:rsidR="00DC1117" w:rsidRPr="00A205C0">
        <w:t>378</w:t>
      </w:r>
      <w:r w:rsidR="00AF6A4B" w:rsidRPr="00A205C0">
        <w:t>.</w:t>
      </w:r>
    </w:p>
    <w:p w:rsidR="004304C1" w:rsidRPr="00A205C0" w:rsidRDefault="004766C7" w:rsidP="00145938">
      <w:pPr>
        <w:spacing w:after="240"/>
      </w:pPr>
      <w:r w:rsidRPr="00A205C0">
        <w:lastRenderedPageBreak/>
        <w:t>Three</w:t>
      </w:r>
      <w:r w:rsidR="003773EF" w:rsidRPr="00A205C0">
        <w:t xml:space="preserve">, </w:t>
      </w:r>
      <w:r w:rsidR="002D0DF2" w:rsidRPr="00A205C0">
        <w:t>in FY 2018–19 the LEAs</w:t>
      </w:r>
      <w:r w:rsidR="008807DC" w:rsidRPr="00A205C0">
        <w:t xml:space="preserve"> </w:t>
      </w:r>
      <w:r w:rsidR="002D0DF2" w:rsidRPr="00A205C0">
        <w:t xml:space="preserve">in categories </w:t>
      </w:r>
      <w:r w:rsidR="008807DC" w:rsidRPr="00A205C0">
        <w:t>Large A and Large B received additional dollars</w:t>
      </w:r>
      <w:r w:rsidR="00145938" w:rsidRPr="00A205C0">
        <w:t>,</w:t>
      </w:r>
      <w:r w:rsidR="008807DC" w:rsidRPr="00A205C0">
        <w:t xml:space="preserve"> </w:t>
      </w:r>
      <w:r w:rsidR="0047647C" w:rsidRPr="00A205C0">
        <w:t>but would</w:t>
      </w:r>
      <w:r w:rsidR="008807DC" w:rsidRPr="00A205C0">
        <w:t xml:space="preserve"> not receive those additional dollars </w:t>
      </w:r>
      <w:r w:rsidR="0047647C" w:rsidRPr="00A205C0">
        <w:t xml:space="preserve">pursuant to the proposed allocation </w:t>
      </w:r>
      <w:r w:rsidR="008807DC" w:rsidRPr="00A205C0">
        <w:t>for FY 2019–20.</w:t>
      </w:r>
      <w:r w:rsidR="003773EF" w:rsidRPr="00A205C0">
        <w:t xml:space="preserve"> It was also the case, that prior to FY</w:t>
      </w:r>
      <w:r w:rsidR="00145938" w:rsidRPr="00A205C0">
        <w:t xml:space="preserve"> </w:t>
      </w:r>
      <w:r w:rsidR="003773EF" w:rsidRPr="00A205C0">
        <w:t>2018</w:t>
      </w:r>
      <w:r w:rsidR="00145938" w:rsidRPr="00A205C0">
        <w:t>–</w:t>
      </w:r>
      <w:r w:rsidR="003773EF" w:rsidRPr="00A205C0">
        <w:t>19, on average, the LEAs</w:t>
      </w:r>
      <w:r w:rsidR="002D0DF2" w:rsidRPr="00A205C0">
        <w:t xml:space="preserve"> in Large A and Large B</w:t>
      </w:r>
      <w:r w:rsidR="003773EF" w:rsidRPr="00A205C0">
        <w:t xml:space="preserve"> received about the same </w:t>
      </w:r>
      <w:r w:rsidR="0047647C" w:rsidRPr="00A205C0">
        <w:t xml:space="preserve">amount </w:t>
      </w:r>
      <w:r w:rsidR="003773EF" w:rsidRPr="00A205C0">
        <w:t xml:space="preserve">as they </w:t>
      </w:r>
      <w:r w:rsidR="00B25037" w:rsidRPr="00A205C0">
        <w:t xml:space="preserve">would in proposed </w:t>
      </w:r>
      <w:r w:rsidR="003773EF" w:rsidRPr="00A205C0">
        <w:t>FY</w:t>
      </w:r>
      <w:r w:rsidR="00145938" w:rsidRPr="00A205C0">
        <w:t xml:space="preserve"> </w:t>
      </w:r>
      <w:r w:rsidR="003773EF" w:rsidRPr="00A205C0">
        <w:t>2019</w:t>
      </w:r>
      <w:r w:rsidR="00145938" w:rsidRPr="00A205C0">
        <w:t>–</w:t>
      </w:r>
      <w:r w:rsidR="003773EF" w:rsidRPr="00A205C0">
        <w:t xml:space="preserve">20. </w:t>
      </w:r>
      <w:r w:rsidRPr="00A205C0">
        <w:t>Further, the much higher request in funds in FY</w:t>
      </w:r>
      <w:r w:rsidR="00145938" w:rsidRPr="00A205C0">
        <w:t xml:space="preserve"> </w:t>
      </w:r>
      <w:r w:rsidRPr="00A205C0">
        <w:t>2019</w:t>
      </w:r>
      <w:r w:rsidR="00145938" w:rsidRPr="00A205C0">
        <w:t>–</w:t>
      </w:r>
      <w:r w:rsidRPr="00A205C0">
        <w:t xml:space="preserve">20 only exacerbates the </w:t>
      </w:r>
      <w:r w:rsidR="00BC64DF" w:rsidRPr="00A205C0">
        <w:t>difference</w:t>
      </w:r>
      <w:r w:rsidRPr="00A205C0">
        <w:t xml:space="preserve"> that the LEAs </w:t>
      </w:r>
      <w:r w:rsidR="002D0DF2" w:rsidRPr="00A205C0">
        <w:t>from prior category Large A and Large B</w:t>
      </w:r>
      <w:r w:rsidR="00030D23" w:rsidRPr="00A205C0">
        <w:t xml:space="preserve"> </w:t>
      </w:r>
      <w:r w:rsidRPr="00A205C0">
        <w:t>realized.</w:t>
      </w:r>
    </w:p>
    <w:p w:rsidR="008807DC" w:rsidRPr="00A205C0" w:rsidRDefault="003047C0" w:rsidP="00F66498">
      <w:pPr>
        <w:spacing w:after="240"/>
      </w:pPr>
      <w:r w:rsidRPr="00A205C0">
        <w:t xml:space="preserve">On January 29, 2020, the </w:t>
      </w:r>
      <w:r w:rsidR="00BB5574" w:rsidRPr="00A205C0">
        <w:t xml:space="preserve">California State </w:t>
      </w:r>
      <w:r w:rsidRPr="00A205C0">
        <w:t xml:space="preserve">Assembly held a hearing for the purposes of updating the Committee </w:t>
      </w:r>
      <w:r w:rsidR="00F66498" w:rsidRPr="00A205C0">
        <w:t xml:space="preserve">on Education </w:t>
      </w:r>
      <w:r w:rsidRPr="00A205C0">
        <w:t>on the CTEIG</w:t>
      </w:r>
      <w:r w:rsidR="00F66498" w:rsidRPr="00A205C0">
        <w:t>,</w:t>
      </w:r>
      <w:r w:rsidRPr="00A205C0">
        <w:t xml:space="preserve"> and </w:t>
      </w:r>
      <w:r w:rsidR="00BB5574" w:rsidRPr="00A205C0">
        <w:t>k</w:t>
      </w:r>
      <w:r w:rsidRPr="00A205C0">
        <w:t xml:space="preserve">indergarten through </w:t>
      </w:r>
      <w:r w:rsidR="00BB5574" w:rsidRPr="00A205C0">
        <w:t>g</w:t>
      </w:r>
      <w:r w:rsidRPr="00A205C0">
        <w:t xml:space="preserve">rade </w:t>
      </w:r>
      <w:r w:rsidR="00BB5574" w:rsidRPr="00A205C0">
        <w:t>twelve</w:t>
      </w:r>
      <w:r w:rsidRPr="00A205C0">
        <w:t xml:space="preserve"> Strong Workforce Program. During this </w:t>
      </w:r>
      <w:r w:rsidR="00F66498" w:rsidRPr="00A205C0">
        <w:t>hearing</w:t>
      </w:r>
      <w:r w:rsidRPr="00A205C0">
        <w:t>, it was requested</w:t>
      </w:r>
      <w:r w:rsidR="000F7344" w:rsidRPr="00A205C0">
        <w:t xml:space="preserve"> by a member of the </w:t>
      </w:r>
      <w:r w:rsidR="00BF7141" w:rsidRPr="00A205C0">
        <w:t>Assembly</w:t>
      </w:r>
      <w:r w:rsidR="00B7372C" w:rsidRPr="00A205C0">
        <w:t xml:space="preserve"> </w:t>
      </w:r>
      <w:r w:rsidRPr="00A205C0">
        <w:t>that both options of allocations (three categor</w:t>
      </w:r>
      <w:r w:rsidR="00ED0939" w:rsidRPr="00A205C0">
        <w:t>ies</w:t>
      </w:r>
      <w:r w:rsidRPr="00A205C0">
        <w:t xml:space="preserve"> and five categor</w:t>
      </w:r>
      <w:r w:rsidR="00ED0939" w:rsidRPr="00A205C0">
        <w:t>ies</w:t>
      </w:r>
      <w:r w:rsidRPr="00A205C0">
        <w:t xml:space="preserve">) be shared with the SBE for full transparency. Additionally, on February </w:t>
      </w:r>
      <w:r w:rsidR="0041132D" w:rsidRPr="00A205C0">
        <w:t>25</w:t>
      </w:r>
      <w:r w:rsidR="00547AEC" w:rsidRPr="00A205C0">
        <w:t xml:space="preserve">, </w:t>
      </w:r>
      <w:r w:rsidRPr="00A205C0">
        <w:t xml:space="preserve">2020, </w:t>
      </w:r>
      <w:r w:rsidR="00F66498" w:rsidRPr="00A205C0">
        <w:t xml:space="preserve">the </w:t>
      </w:r>
      <w:r w:rsidRPr="00A205C0">
        <w:t xml:space="preserve">CDE staff will hold </w:t>
      </w:r>
      <w:r w:rsidR="00F66498" w:rsidRPr="00A205C0">
        <w:t>two</w:t>
      </w:r>
      <w:r w:rsidRPr="00A205C0">
        <w:t xml:space="preserve"> webinar</w:t>
      </w:r>
      <w:r w:rsidR="00F66498" w:rsidRPr="00A205C0">
        <w:t xml:space="preserve">s </w:t>
      </w:r>
      <w:r w:rsidRPr="00A205C0">
        <w:t>to explain the CTEIG allocation methodology.</w:t>
      </w:r>
    </w:p>
    <w:p w:rsidR="00057A96" w:rsidRPr="00A205C0" w:rsidRDefault="00057A96" w:rsidP="0048753A">
      <w:pPr>
        <w:pStyle w:val="Heading2"/>
      </w:pPr>
      <w:r w:rsidRPr="0048753A">
        <w:t>Attachment</w:t>
      </w:r>
      <w:r w:rsidRPr="00A205C0">
        <w:t>(s)</w:t>
      </w:r>
    </w:p>
    <w:p w:rsidR="00FB6E11" w:rsidRPr="00A205C0" w:rsidRDefault="00030D23" w:rsidP="00B7372C">
      <w:pPr>
        <w:spacing w:after="240"/>
      </w:pPr>
      <w:r w:rsidRPr="00A205C0">
        <w:t xml:space="preserve">Attachment 1: </w:t>
      </w:r>
      <w:r w:rsidR="00230B1F" w:rsidRPr="00A205C0">
        <w:t>High-Quality CTE Program Evaluation (</w:t>
      </w:r>
      <w:r w:rsidR="0048753A">
        <w:t>15</w:t>
      </w:r>
      <w:r w:rsidR="00230B1F" w:rsidRPr="00A205C0">
        <w:t xml:space="preserve"> Pages)</w:t>
      </w:r>
    </w:p>
    <w:p w:rsidR="00FB6E11" w:rsidRPr="00A205C0" w:rsidRDefault="00FB6E11" w:rsidP="00B7372C">
      <w:pPr>
        <w:spacing w:after="240"/>
      </w:pPr>
      <w:r w:rsidRPr="00A205C0">
        <w:t>Attachment 2: Metri</w:t>
      </w:r>
      <w:r w:rsidR="008572C2" w:rsidRPr="00A205C0">
        <w:t>c Recommendations</w:t>
      </w:r>
      <w:r w:rsidR="00ED0939" w:rsidRPr="00A205C0">
        <w:t xml:space="preserve"> (</w:t>
      </w:r>
      <w:r w:rsidR="0048753A">
        <w:t>8</w:t>
      </w:r>
      <w:r w:rsidR="00ED0939" w:rsidRPr="00A205C0">
        <w:t xml:space="preserve"> Pages)</w:t>
      </w:r>
    </w:p>
    <w:p w:rsidR="00FB6E11" w:rsidRPr="00A205C0" w:rsidRDefault="00FB6E11" w:rsidP="000F7DDD">
      <w:pPr>
        <w:sectPr w:rsidR="00FB6E11" w:rsidRPr="00A205C0" w:rsidSect="002A2813">
          <w:headerReference w:type="default" r:id="rId9"/>
          <w:type w:val="continuous"/>
          <w:pgSz w:w="12240" w:h="15840"/>
          <w:pgMar w:top="720" w:right="1440" w:bottom="1440" w:left="1440" w:header="720" w:footer="720" w:gutter="0"/>
          <w:cols w:space="720"/>
          <w:titlePg/>
          <w:docGrid w:linePitch="326"/>
        </w:sectPr>
      </w:pPr>
      <w:r w:rsidRPr="00A205C0">
        <w:t xml:space="preserve">Attachment 3: </w:t>
      </w:r>
      <w:r w:rsidR="00230B1F" w:rsidRPr="00A205C0">
        <w:t>Comparison of Categories and Allocation Runs</w:t>
      </w:r>
      <w:r w:rsidR="00230B1F" w:rsidRPr="00A205C0" w:rsidDel="00230B1F">
        <w:t xml:space="preserve"> </w:t>
      </w:r>
      <w:r w:rsidR="00230B1F" w:rsidRPr="00A205C0">
        <w:t>(</w:t>
      </w:r>
      <w:r w:rsidR="000F1B40" w:rsidRPr="00A205C0">
        <w:t>2</w:t>
      </w:r>
      <w:r w:rsidR="00230B1F" w:rsidRPr="00A205C0">
        <w:t xml:space="preserve"> Page</w:t>
      </w:r>
      <w:r w:rsidR="000F1B40" w:rsidRPr="00A205C0">
        <w:t>s</w:t>
      </w:r>
      <w:r w:rsidR="00230B1F" w:rsidRPr="00A205C0">
        <w:t>)</w:t>
      </w:r>
    </w:p>
    <w:p w:rsidR="005D6C8A" w:rsidRPr="00A205C0" w:rsidRDefault="005D6C8A">
      <w:pPr>
        <w:spacing w:after="160" w:line="259" w:lineRule="auto"/>
        <w:rPr>
          <w:sz w:val="2"/>
          <w:szCs w:val="2"/>
        </w:rPr>
      </w:pPr>
    </w:p>
    <w:p w:rsidR="004C33CC" w:rsidRPr="00A205C0" w:rsidRDefault="004C33CC">
      <w:pPr>
        <w:rPr>
          <w:sz w:val="2"/>
          <w:szCs w:val="2"/>
        </w:rPr>
      </w:pPr>
    </w:p>
    <w:p w:rsidR="000277EC" w:rsidRPr="0048753A" w:rsidRDefault="000277EC" w:rsidP="0048753A">
      <w:pPr>
        <w:pStyle w:val="Heading1"/>
        <w:spacing w:before="0"/>
        <w:jc w:val="center"/>
        <w:rPr>
          <w:rFonts w:ascii="Arial" w:hAnsi="Arial" w:cs="Arial"/>
          <w:b/>
          <w:color w:val="auto"/>
          <w:sz w:val="28"/>
        </w:rPr>
      </w:pPr>
      <w:r w:rsidRPr="0048753A">
        <w:rPr>
          <w:rFonts w:ascii="Arial" w:hAnsi="Arial" w:cs="Arial"/>
          <w:b/>
          <w:color w:val="auto"/>
          <w:sz w:val="28"/>
        </w:rPr>
        <w:t>Attachment 3: Comparison of Categories and Allocation Runs</w:t>
      </w:r>
    </w:p>
    <w:p w:rsidR="000277EC" w:rsidRPr="0048753A" w:rsidRDefault="000277EC" w:rsidP="0048753A">
      <w:pPr>
        <w:spacing w:before="480" w:after="120"/>
        <w:rPr>
          <w:b/>
        </w:rPr>
      </w:pPr>
      <w:r w:rsidRPr="0048753A">
        <w:rPr>
          <w:b/>
        </w:rPr>
        <w:t>Award Categories for Fiscal Year (FY) 2015–16, 2016–17, 2017–18, and 2019–20.</w:t>
      </w:r>
    </w:p>
    <w:tbl>
      <w:tblPr>
        <w:tblStyle w:val="TableGrid"/>
        <w:tblW w:w="0" w:type="auto"/>
        <w:tblLook w:val="04A0" w:firstRow="1" w:lastRow="0" w:firstColumn="1" w:lastColumn="0" w:noHBand="0" w:noVBand="1"/>
        <w:tblCaption w:val="Allocations and Average Daily Attendance for past four fiscal years"/>
        <w:tblDescription w:val="Column 1 is the Fiscal Year"/>
      </w:tblPr>
      <w:tblGrid>
        <w:gridCol w:w="1409"/>
        <w:gridCol w:w="1399"/>
        <w:gridCol w:w="1628"/>
        <w:gridCol w:w="1757"/>
      </w:tblGrid>
      <w:tr w:rsidR="000277EC" w:rsidRPr="00A205C0" w:rsidTr="0048753A">
        <w:trPr>
          <w:cantSplit/>
          <w:trHeight w:val="432"/>
          <w:tblHeader/>
        </w:trPr>
        <w:tc>
          <w:tcPr>
            <w:tcW w:w="1409" w:type="dxa"/>
            <w:vAlign w:val="center"/>
          </w:tcPr>
          <w:p w:rsidR="000277EC" w:rsidRPr="00A205C0" w:rsidRDefault="000277EC" w:rsidP="000277EC">
            <w:pPr>
              <w:jc w:val="center"/>
              <w:rPr>
                <w:b/>
              </w:rPr>
            </w:pPr>
            <w:r w:rsidRPr="00A205C0">
              <w:rPr>
                <w:b/>
              </w:rPr>
              <w:t>FY</w:t>
            </w:r>
          </w:p>
        </w:tc>
        <w:tc>
          <w:tcPr>
            <w:tcW w:w="1399" w:type="dxa"/>
            <w:vAlign w:val="center"/>
          </w:tcPr>
          <w:p w:rsidR="000277EC" w:rsidRPr="00A205C0" w:rsidRDefault="000277EC" w:rsidP="000277EC">
            <w:pPr>
              <w:jc w:val="center"/>
              <w:rPr>
                <w:b/>
              </w:rPr>
            </w:pPr>
            <w:r w:rsidRPr="00A205C0">
              <w:rPr>
                <w:b/>
              </w:rPr>
              <w:t>Small</w:t>
            </w:r>
          </w:p>
        </w:tc>
        <w:tc>
          <w:tcPr>
            <w:tcW w:w="1628" w:type="dxa"/>
            <w:vAlign w:val="center"/>
          </w:tcPr>
          <w:p w:rsidR="000277EC" w:rsidRPr="00A205C0" w:rsidRDefault="000277EC" w:rsidP="000277EC">
            <w:pPr>
              <w:jc w:val="center"/>
              <w:rPr>
                <w:b/>
              </w:rPr>
            </w:pPr>
            <w:r w:rsidRPr="00A205C0">
              <w:rPr>
                <w:b/>
              </w:rPr>
              <w:t>Medium</w:t>
            </w:r>
          </w:p>
        </w:tc>
        <w:tc>
          <w:tcPr>
            <w:tcW w:w="1757" w:type="dxa"/>
            <w:vAlign w:val="center"/>
          </w:tcPr>
          <w:p w:rsidR="000277EC" w:rsidRPr="00A205C0" w:rsidRDefault="000277EC" w:rsidP="000277EC">
            <w:pPr>
              <w:jc w:val="center"/>
              <w:rPr>
                <w:b/>
              </w:rPr>
            </w:pPr>
            <w:r w:rsidRPr="00A205C0">
              <w:rPr>
                <w:b/>
              </w:rPr>
              <w:t>Large</w:t>
            </w:r>
          </w:p>
        </w:tc>
      </w:tr>
      <w:tr w:rsidR="000277EC" w:rsidRPr="00A205C0" w:rsidTr="0048753A">
        <w:trPr>
          <w:cantSplit/>
        </w:trPr>
        <w:tc>
          <w:tcPr>
            <w:tcW w:w="1409" w:type="dxa"/>
            <w:vAlign w:val="center"/>
          </w:tcPr>
          <w:p w:rsidR="000277EC" w:rsidRPr="00A205C0" w:rsidRDefault="000277EC" w:rsidP="000277EC">
            <w:pPr>
              <w:jc w:val="center"/>
              <w:rPr>
                <w:b/>
                <w:i/>
              </w:rPr>
            </w:pPr>
            <w:r w:rsidRPr="00A205C0">
              <w:rPr>
                <w:b/>
                <w:i/>
              </w:rPr>
              <w:t>2015–16</w:t>
            </w:r>
          </w:p>
          <w:p w:rsidR="000277EC" w:rsidRPr="00A205C0" w:rsidRDefault="000277EC" w:rsidP="000277EC">
            <w:pPr>
              <w:jc w:val="center"/>
              <w:rPr>
                <w:b/>
                <w:i/>
              </w:rPr>
            </w:pPr>
            <w:r w:rsidRPr="00A205C0">
              <w:rPr>
                <w:b/>
                <w:i/>
              </w:rPr>
              <w:t>2016–17</w:t>
            </w:r>
          </w:p>
          <w:p w:rsidR="000277EC" w:rsidRPr="00A205C0" w:rsidRDefault="000277EC" w:rsidP="000277EC">
            <w:pPr>
              <w:jc w:val="center"/>
              <w:rPr>
                <w:b/>
                <w:i/>
              </w:rPr>
            </w:pPr>
            <w:r w:rsidRPr="00A205C0">
              <w:rPr>
                <w:b/>
                <w:i/>
              </w:rPr>
              <w:t>2017–18</w:t>
            </w:r>
          </w:p>
          <w:p w:rsidR="000277EC" w:rsidRPr="00A205C0" w:rsidRDefault="000277EC" w:rsidP="000277EC">
            <w:pPr>
              <w:jc w:val="center"/>
              <w:rPr>
                <w:b/>
                <w:i/>
              </w:rPr>
            </w:pPr>
            <w:r w:rsidRPr="00A205C0">
              <w:rPr>
                <w:b/>
                <w:i/>
              </w:rPr>
              <w:t>2019–20</w:t>
            </w:r>
          </w:p>
        </w:tc>
        <w:tc>
          <w:tcPr>
            <w:tcW w:w="1399" w:type="dxa"/>
            <w:vAlign w:val="center"/>
          </w:tcPr>
          <w:p w:rsidR="000277EC" w:rsidRPr="00A205C0" w:rsidRDefault="000277EC" w:rsidP="000277EC">
            <w:pPr>
              <w:jc w:val="center"/>
            </w:pPr>
            <w:r w:rsidRPr="00A205C0">
              <w:t>&lt;140 ADA</w:t>
            </w:r>
          </w:p>
        </w:tc>
        <w:tc>
          <w:tcPr>
            <w:tcW w:w="1628" w:type="dxa"/>
            <w:vAlign w:val="center"/>
          </w:tcPr>
          <w:p w:rsidR="000277EC" w:rsidRPr="00A205C0" w:rsidRDefault="000277EC" w:rsidP="000277EC">
            <w:pPr>
              <w:jc w:val="center"/>
            </w:pPr>
            <w:r w:rsidRPr="00A205C0">
              <w:t>141-549 ADA</w:t>
            </w:r>
          </w:p>
        </w:tc>
        <w:tc>
          <w:tcPr>
            <w:tcW w:w="1757" w:type="dxa"/>
            <w:vAlign w:val="center"/>
          </w:tcPr>
          <w:p w:rsidR="000277EC" w:rsidRPr="00A205C0" w:rsidRDefault="000277EC" w:rsidP="000277EC">
            <w:pPr>
              <w:jc w:val="center"/>
            </w:pPr>
            <w:r w:rsidRPr="00A205C0">
              <w:t>550+ ADA</w:t>
            </w:r>
          </w:p>
        </w:tc>
      </w:tr>
    </w:tbl>
    <w:p w:rsidR="000277EC" w:rsidRPr="0048753A" w:rsidRDefault="000277EC" w:rsidP="0048753A">
      <w:pPr>
        <w:spacing w:before="360" w:after="120"/>
        <w:rPr>
          <w:b/>
        </w:rPr>
      </w:pPr>
      <w:r w:rsidRPr="0048753A">
        <w:rPr>
          <w:b/>
        </w:rPr>
        <w:t>Award Categories for FY 2018–19</w:t>
      </w:r>
    </w:p>
    <w:tbl>
      <w:tblPr>
        <w:tblStyle w:val="TableGrid"/>
        <w:tblW w:w="0" w:type="auto"/>
        <w:jc w:val="center"/>
        <w:tblLook w:val="04A0" w:firstRow="1" w:lastRow="0" w:firstColumn="1" w:lastColumn="0" w:noHBand="0" w:noVBand="1"/>
        <w:tblCaption w:val="Allocations and Average Daily Attendance for past four fiscal years"/>
        <w:tblDescription w:val="Column 1 is the Fiscal Year"/>
      </w:tblPr>
      <w:tblGrid>
        <w:gridCol w:w="1409"/>
        <w:gridCol w:w="1399"/>
        <w:gridCol w:w="1628"/>
        <w:gridCol w:w="1757"/>
        <w:gridCol w:w="1753"/>
        <w:gridCol w:w="1404"/>
      </w:tblGrid>
      <w:tr w:rsidR="000277EC" w:rsidRPr="00A205C0" w:rsidTr="0048753A">
        <w:trPr>
          <w:cantSplit/>
          <w:trHeight w:val="432"/>
          <w:tblHeader/>
          <w:jc w:val="center"/>
        </w:trPr>
        <w:tc>
          <w:tcPr>
            <w:tcW w:w="1409" w:type="dxa"/>
            <w:vAlign w:val="center"/>
          </w:tcPr>
          <w:p w:rsidR="000277EC" w:rsidRPr="00A205C0" w:rsidRDefault="000277EC" w:rsidP="000277EC">
            <w:pPr>
              <w:jc w:val="center"/>
              <w:rPr>
                <w:b/>
              </w:rPr>
            </w:pPr>
            <w:r w:rsidRPr="00A205C0">
              <w:rPr>
                <w:b/>
              </w:rPr>
              <w:t>FY</w:t>
            </w:r>
          </w:p>
        </w:tc>
        <w:tc>
          <w:tcPr>
            <w:tcW w:w="1399" w:type="dxa"/>
            <w:vAlign w:val="center"/>
          </w:tcPr>
          <w:p w:rsidR="000277EC" w:rsidRPr="00A205C0" w:rsidRDefault="000277EC" w:rsidP="000277EC">
            <w:pPr>
              <w:jc w:val="center"/>
              <w:rPr>
                <w:b/>
              </w:rPr>
            </w:pPr>
            <w:r w:rsidRPr="00A205C0">
              <w:rPr>
                <w:b/>
              </w:rPr>
              <w:t>Small</w:t>
            </w:r>
          </w:p>
        </w:tc>
        <w:tc>
          <w:tcPr>
            <w:tcW w:w="1628" w:type="dxa"/>
            <w:vAlign w:val="center"/>
          </w:tcPr>
          <w:p w:rsidR="000277EC" w:rsidRPr="00A205C0" w:rsidRDefault="000277EC" w:rsidP="000277EC">
            <w:pPr>
              <w:jc w:val="center"/>
              <w:rPr>
                <w:b/>
              </w:rPr>
            </w:pPr>
            <w:r w:rsidRPr="00A205C0">
              <w:rPr>
                <w:b/>
              </w:rPr>
              <w:t>Medium</w:t>
            </w:r>
          </w:p>
        </w:tc>
        <w:tc>
          <w:tcPr>
            <w:tcW w:w="1757" w:type="dxa"/>
            <w:vAlign w:val="center"/>
          </w:tcPr>
          <w:p w:rsidR="000277EC" w:rsidRPr="00A205C0" w:rsidRDefault="000277EC" w:rsidP="000277EC">
            <w:pPr>
              <w:jc w:val="center"/>
              <w:rPr>
                <w:b/>
              </w:rPr>
            </w:pPr>
            <w:r w:rsidRPr="00A205C0">
              <w:rPr>
                <w:b/>
              </w:rPr>
              <w:t>Large A</w:t>
            </w:r>
          </w:p>
        </w:tc>
        <w:tc>
          <w:tcPr>
            <w:tcW w:w="1753" w:type="dxa"/>
            <w:vAlign w:val="center"/>
          </w:tcPr>
          <w:p w:rsidR="000277EC" w:rsidRPr="00A205C0" w:rsidRDefault="000277EC" w:rsidP="000277EC">
            <w:pPr>
              <w:jc w:val="center"/>
              <w:rPr>
                <w:b/>
              </w:rPr>
            </w:pPr>
            <w:r w:rsidRPr="00A205C0">
              <w:rPr>
                <w:b/>
              </w:rPr>
              <w:t>Large B</w:t>
            </w:r>
          </w:p>
        </w:tc>
        <w:tc>
          <w:tcPr>
            <w:tcW w:w="1404" w:type="dxa"/>
            <w:vAlign w:val="center"/>
          </w:tcPr>
          <w:p w:rsidR="000277EC" w:rsidRPr="00A205C0" w:rsidRDefault="000277EC" w:rsidP="000277EC">
            <w:pPr>
              <w:jc w:val="center"/>
              <w:rPr>
                <w:b/>
              </w:rPr>
            </w:pPr>
            <w:r w:rsidRPr="00A205C0">
              <w:rPr>
                <w:b/>
              </w:rPr>
              <w:t>Large C</w:t>
            </w:r>
          </w:p>
        </w:tc>
      </w:tr>
      <w:tr w:rsidR="000277EC" w:rsidRPr="00A205C0" w:rsidTr="0048753A">
        <w:trPr>
          <w:cantSplit/>
          <w:trHeight w:val="746"/>
          <w:jc w:val="center"/>
        </w:trPr>
        <w:tc>
          <w:tcPr>
            <w:tcW w:w="1409" w:type="dxa"/>
            <w:vAlign w:val="center"/>
          </w:tcPr>
          <w:p w:rsidR="000277EC" w:rsidRPr="00A205C0" w:rsidRDefault="000277EC" w:rsidP="000277EC">
            <w:pPr>
              <w:rPr>
                <w:b/>
                <w:i/>
              </w:rPr>
            </w:pPr>
            <w:r w:rsidRPr="00A205C0">
              <w:rPr>
                <w:b/>
                <w:i/>
              </w:rPr>
              <w:t>2018–19</w:t>
            </w:r>
          </w:p>
        </w:tc>
        <w:tc>
          <w:tcPr>
            <w:tcW w:w="1399" w:type="dxa"/>
            <w:vAlign w:val="center"/>
          </w:tcPr>
          <w:p w:rsidR="000277EC" w:rsidRPr="00A205C0" w:rsidRDefault="000277EC" w:rsidP="000277EC">
            <w:pPr>
              <w:jc w:val="center"/>
            </w:pPr>
            <w:r w:rsidRPr="00A205C0">
              <w:t>&lt;140 ADA</w:t>
            </w:r>
          </w:p>
        </w:tc>
        <w:tc>
          <w:tcPr>
            <w:tcW w:w="1628" w:type="dxa"/>
            <w:vAlign w:val="center"/>
          </w:tcPr>
          <w:p w:rsidR="000277EC" w:rsidRPr="00A205C0" w:rsidRDefault="000277EC" w:rsidP="000277EC">
            <w:pPr>
              <w:jc w:val="center"/>
            </w:pPr>
            <w:r w:rsidRPr="00A205C0">
              <w:t>141-549 ADA</w:t>
            </w:r>
          </w:p>
        </w:tc>
        <w:tc>
          <w:tcPr>
            <w:tcW w:w="1757" w:type="dxa"/>
            <w:vAlign w:val="center"/>
          </w:tcPr>
          <w:p w:rsidR="000277EC" w:rsidRPr="00A205C0" w:rsidRDefault="000277EC" w:rsidP="000277EC">
            <w:pPr>
              <w:jc w:val="center"/>
            </w:pPr>
            <w:r w:rsidRPr="00A205C0">
              <w:t>550-1000 ADA</w:t>
            </w:r>
          </w:p>
        </w:tc>
        <w:tc>
          <w:tcPr>
            <w:tcW w:w="1753" w:type="dxa"/>
            <w:vAlign w:val="center"/>
          </w:tcPr>
          <w:p w:rsidR="000277EC" w:rsidRPr="00A205C0" w:rsidRDefault="000277EC" w:rsidP="000277EC">
            <w:pPr>
              <w:jc w:val="center"/>
            </w:pPr>
            <w:r w:rsidRPr="00A205C0">
              <w:t>1001-2500 ADA</w:t>
            </w:r>
          </w:p>
        </w:tc>
        <w:tc>
          <w:tcPr>
            <w:tcW w:w="1404" w:type="dxa"/>
            <w:vAlign w:val="center"/>
          </w:tcPr>
          <w:p w:rsidR="000277EC" w:rsidRPr="00A205C0" w:rsidRDefault="000277EC" w:rsidP="000277EC">
            <w:pPr>
              <w:jc w:val="center"/>
            </w:pPr>
            <w:r w:rsidRPr="00A205C0">
              <w:t>2500+ ADA</w:t>
            </w:r>
          </w:p>
        </w:tc>
      </w:tr>
    </w:tbl>
    <w:p w:rsidR="000277EC" w:rsidRPr="0048753A" w:rsidRDefault="000277EC" w:rsidP="0048753A">
      <w:pPr>
        <w:spacing w:before="360" w:after="120"/>
        <w:rPr>
          <w:b/>
        </w:rPr>
      </w:pPr>
      <w:r w:rsidRPr="0048753A">
        <w:rPr>
          <w:b/>
        </w:rPr>
        <w:t xml:space="preserve">Number of Awardees </w:t>
      </w:r>
      <w:r w:rsidR="00BF7141" w:rsidRPr="0048753A">
        <w:rPr>
          <w:b/>
        </w:rPr>
        <w:t xml:space="preserve">Potential Awardees </w:t>
      </w:r>
      <w:r w:rsidRPr="0048753A">
        <w:rPr>
          <w:b/>
        </w:rPr>
        <w:t xml:space="preserve">and the Amount Allocated </w:t>
      </w:r>
      <w:r w:rsidR="00BF7141" w:rsidRPr="0048753A">
        <w:rPr>
          <w:b/>
        </w:rPr>
        <w:t xml:space="preserve">and Proposed to be Allocated </w:t>
      </w:r>
      <w:r w:rsidRPr="0048753A">
        <w:rPr>
          <w:b/>
        </w:rPr>
        <w:t>by Category</w:t>
      </w:r>
    </w:p>
    <w:tbl>
      <w:tblPr>
        <w:tblStyle w:val="TableGrid"/>
        <w:tblpPr w:leftFromText="180" w:rightFromText="180" w:vertAnchor="text" w:horzAnchor="margin" w:tblpY="2"/>
        <w:tblW w:w="9355" w:type="dxa"/>
        <w:tblLayout w:type="fixed"/>
        <w:tblLook w:val="04A0" w:firstRow="1" w:lastRow="0" w:firstColumn="1" w:lastColumn="0" w:noHBand="0" w:noVBand="1"/>
        <w:tblDescription w:val="Columns are: categories, FY 2018-19 number of awards, FY 2018-19 total allocated using five categories, FY 2019-20 number of awards, and FY 2019-20 total allocated if five categories were used."/>
      </w:tblPr>
      <w:tblGrid>
        <w:gridCol w:w="2625"/>
        <w:gridCol w:w="1105"/>
        <w:gridCol w:w="1952"/>
        <w:gridCol w:w="1632"/>
        <w:gridCol w:w="2041"/>
      </w:tblGrid>
      <w:tr w:rsidR="000277EC" w:rsidRPr="00A205C0" w:rsidTr="0048753A">
        <w:trPr>
          <w:cantSplit/>
          <w:tblHeader/>
        </w:trPr>
        <w:tc>
          <w:tcPr>
            <w:tcW w:w="2790" w:type="dxa"/>
            <w:vAlign w:val="center"/>
          </w:tcPr>
          <w:p w:rsidR="000277EC" w:rsidRPr="00A205C0" w:rsidRDefault="000277EC" w:rsidP="000277EC">
            <w:pPr>
              <w:rPr>
                <w:b/>
              </w:rPr>
            </w:pPr>
            <w:r w:rsidRPr="00A205C0">
              <w:rPr>
                <w:b/>
              </w:rPr>
              <w:t>Categories</w:t>
            </w:r>
          </w:p>
        </w:tc>
        <w:tc>
          <w:tcPr>
            <w:tcW w:w="1165" w:type="dxa"/>
            <w:vAlign w:val="center"/>
          </w:tcPr>
          <w:p w:rsidR="000277EC" w:rsidRPr="00A205C0" w:rsidRDefault="000277EC" w:rsidP="000277EC">
            <w:pPr>
              <w:jc w:val="center"/>
              <w:rPr>
                <w:b/>
              </w:rPr>
            </w:pPr>
            <w:r w:rsidRPr="00A205C0">
              <w:rPr>
                <w:b/>
              </w:rPr>
              <w:t xml:space="preserve">FY 2018–19 </w:t>
            </w:r>
            <w:r w:rsidRPr="00A205C0">
              <w:rPr>
                <w:b/>
              </w:rPr>
              <w:br/>
              <w:t>No. of Awards</w:t>
            </w:r>
          </w:p>
        </w:tc>
        <w:tc>
          <w:tcPr>
            <w:tcW w:w="2070" w:type="dxa"/>
            <w:vAlign w:val="center"/>
          </w:tcPr>
          <w:p w:rsidR="000277EC" w:rsidRPr="00A205C0" w:rsidRDefault="000277EC" w:rsidP="000277EC">
            <w:pPr>
              <w:jc w:val="center"/>
              <w:rPr>
                <w:b/>
              </w:rPr>
            </w:pPr>
            <w:r w:rsidRPr="00A205C0">
              <w:rPr>
                <w:b/>
              </w:rPr>
              <w:t xml:space="preserve">FY 2018–19 </w:t>
            </w:r>
            <w:r w:rsidRPr="00A205C0">
              <w:rPr>
                <w:b/>
              </w:rPr>
              <w:br/>
              <w:t>Total Allocated</w:t>
            </w:r>
          </w:p>
          <w:p w:rsidR="00A30061" w:rsidRPr="00A205C0" w:rsidRDefault="00A30061" w:rsidP="000277EC">
            <w:pPr>
              <w:jc w:val="center"/>
              <w:rPr>
                <w:b/>
              </w:rPr>
            </w:pPr>
            <w:r w:rsidRPr="00A205C0">
              <w:rPr>
                <w:b/>
              </w:rPr>
              <w:t>Using Five Categories</w:t>
            </w:r>
          </w:p>
        </w:tc>
        <w:tc>
          <w:tcPr>
            <w:tcW w:w="1728" w:type="dxa"/>
            <w:vAlign w:val="center"/>
          </w:tcPr>
          <w:p w:rsidR="000277EC" w:rsidRPr="00A205C0" w:rsidRDefault="00BF7141" w:rsidP="008264B4">
            <w:pPr>
              <w:jc w:val="center"/>
              <w:rPr>
                <w:b/>
              </w:rPr>
            </w:pPr>
            <w:r w:rsidRPr="00A205C0">
              <w:rPr>
                <w:b/>
              </w:rPr>
              <w:t xml:space="preserve">Proposed </w:t>
            </w:r>
            <w:r w:rsidR="000277EC" w:rsidRPr="00A205C0">
              <w:rPr>
                <w:b/>
              </w:rPr>
              <w:t>FY 2019–20</w:t>
            </w:r>
            <w:r w:rsidR="008264B4" w:rsidRPr="00A205C0">
              <w:rPr>
                <w:b/>
              </w:rPr>
              <w:br/>
            </w:r>
            <w:r w:rsidR="000277EC" w:rsidRPr="00A205C0">
              <w:rPr>
                <w:b/>
              </w:rPr>
              <w:t>No. of Awards</w:t>
            </w:r>
          </w:p>
        </w:tc>
        <w:tc>
          <w:tcPr>
            <w:tcW w:w="2165" w:type="dxa"/>
            <w:vAlign w:val="center"/>
          </w:tcPr>
          <w:p w:rsidR="00BF7141" w:rsidRPr="00A205C0" w:rsidRDefault="00BF7141" w:rsidP="000277EC">
            <w:pPr>
              <w:jc w:val="center"/>
              <w:rPr>
                <w:b/>
              </w:rPr>
            </w:pPr>
            <w:r w:rsidRPr="00A205C0">
              <w:rPr>
                <w:b/>
              </w:rPr>
              <w:t xml:space="preserve">Proposed </w:t>
            </w:r>
          </w:p>
          <w:p w:rsidR="000277EC" w:rsidRPr="00A205C0" w:rsidRDefault="000277EC" w:rsidP="000277EC">
            <w:pPr>
              <w:jc w:val="center"/>
              <w:rPr>
                <w:b/>
              </w:rPr>
            </w:pPr>
            <w:r w:rsidRPr="00A205C0">
              <w:rPr>
                <w:b/>
              </w:rPr>
              <w:t>FY 2019–20</w:t>
            </w:r>
            <w:r w:rsidRPr="00A205C0">
              <w:rPr>
                <w:b/>
              </w:rPr>
              <w:br/>
              <w:t>Total Allocated</w:t>
            </w:r>
            <w:r w:rsidR="00A30061" w:rsidRPr="00A205C0">
              <w:rPr>
                <w:b/>
              </w:rPr>
              <w:t xml:space="preserve"> If Five Categories Were Used</w:t>
            </w:r>
          </w:p>
        </w:tc>
      </w:tr>
      <w:tr w:rsidR="000277EC" w:rsidRPr="00A205C0" w:rsidTr="0048753A">
        <w:trPr>
          <w:cantSplit/>
          <w:trHeight w:val="557"/>
        </w:trPr>
        <w:tc>
          <w:tcPr>
            <w:tcW w:w="2790" w:type="dxa"/>
          </w:tcPr>
          <w:p w:rsidR="000277EC" w:rsidRPr="00A205C0" w:rsidRDefault="000277EC" w:rsidP="000277EC">
            <w:pPr>
              <w:tabs>
                <w:tab w:val="left" w:pos="342"/>
              </w:tabs>
            </w:pPr>
            <w:r w:rsidRPr="00A205C0">
              <w:t>Small:</w:t>
            </w:r>
            <w:r w:rsidRPr="00A205C0">
              <w:br/>
            </w:r>
            <w:r w:rsidRPr="00A205C0">
              <w:tab/>
              <w:t>&lt;140 ADA</w:t>
            </w:r>
          </w:p>
        </w:tc>
        <w:tc>
          <w:tcPr>
            <w:tcW w:w="1165" w:type="dxa"/>
          </w:tcPr>
          <w:p w:rsidR="000277EC" w:rsidRPr="00A205C0" w:rsidRDefault="000277EC" w:rsidP="000277EC">
            <w:pPr>
              <w:jc w:val="right"/>
              <w:rPr>
                <w:b/>
              </w:rPr>
            </w:pPr>
            <w:r w:rsidRPr="00A205C0">
              <w:rPr>
                <w:b/>
              </w:rPr>
              <w:t>22</w:t>
            </w:r>
          </w:p>
        </w:tc>
        <w:tc>
          <w:tcPr>
            <w:tcW w:w="2070" w:type="dxa"/>
          </w:tcPr>
          <w:p w:rsidR="000277EC" w:rsidRPr="00A205C0" w:rsidRDefault="000277EC" w:rsidP="000277EC">
            <w:pPr>
              <w:jc w:val="right"/>
              <w:rPr>
                <w:b/>
              </w:rPr>
            </w:pPr>
            <w:r w:rsidRPr="00A205C0">
              <w:rPr>
                <w:b/>
              </w:rPr>
              <w:t>$2,000,160</w:t>
            </w:r>
          </w:p>
        </w:tc>
        <w:tc>
          <w:tcPr>
            <w:tcW w:w="1728" w:type="dxa"/>
          </w:tcPr>
          <w:p w:rsidR="000277EC" w:rsidRPr="00A205C0" w:rsidRDefault="000277EC" w:rsidP="000277EC">
            <w:pPr>
              <w:jc w:val="right"/>
            </w:pPr>
            <w:r w:rsidRPr="00A205C0">
              <w:t>20</w:t>
            </w:r>
          </w:p>
        </w:tc>
        <w:tc>
          <w:tcPr>
            <w:tcW w:w="2165" w:type="dxa"/>
          </w:tcPr>
          <w:p w:rsidR="00DE1C78" w:rsidRPr="00A205C0" w:rsidRDefault="00DE1C78" w:rsidP="000277EC">
            <w:pPr>
              <w:jc w:val="right"/>
            </w:pPr>
            <w:r w:rsidRPr="00A205C0">
              <w:t>$2,445,576</w:t>
            </w:r>
          </w:p>
          <w:p w:rsidR="000277EC" w:rsidRPr="00A205C0" w:rsidRDefault="000277EC" w:rsidP="000277EC">
            <w:pPr>
              <w:jc w:val="right"/>
            </w:pPr>
          </w:p>
        </w:tc>
      </w:tr>
      <w:tr w:rsidR="000277EC" w:rsidRPr="00A205C0" w:rsidTr="0048753A">
        <w:trPr>
          <w:cantSplit/>
        </w:trPr>
        <w:tc>
          <w:tcPr>
            <w:tcW w:w="2790" w:type="dxa"/>
          </w:tcPr>
          <w:p w:rsidR="000277EC" w:rsidRPr="00A205C0" w:rsidRDefault="000277EC" w:rsidP="000277EC">
            <w:r w:rsidRPr="00A205C0">
              <w:t>Medium:</w:t>
            </w:r>
          </w:p>
          <w:p w:rsidR="000277EC" w:rsidRPr="00A205C0" w:rsidRDefault="000277EC" w:rsidP="000277EC">
            <w:pPr>
              <w:tabs>
                <w:tab w:val="left" w:pos="342"/>
              </w:tabs>
            </w:pPr>
            <w:r w:rsidRPr="00A205C0">
              <w:tab/>
              <w:t>141-549 ADA</w:t>
            </w:r>
          </w:p>
        </w:tc>
        <w:tc>
          <w:tcPr>
            <w:tcW w:w="1165" w:type="dxa"/>
          </w:tcPr>
          <w:p w:rsidR="000277EC" w:rsidRPr="00A205C0" w:rsidRDefault="000277EC" w:rsidP="000277EC">
            <w:pPr>
              <w:jc w:val="right"/>
              <w:rPr>
                <w:b/>
              </w:rPr>
            </w:pPr>
            <w:r w:rsidRPr="00A205C0">
              <w:rPr>
                <w:b/>
              </w:rPr>
              <w:t>45</w:t>
            </w:r>
          </w:p>
        </w:tc>
        <w:tc>
          <w:tcPr>
            <w:tcW w:w="2070" w:type="dxa"/>
          </w:tcPr>
          <w:p w:rsidR="000277EC" w:rsidRPr="00A205C0" w:rsidRDefault="000277EC" w:rsidP="000277EC">
            <w:pPr>
              <w:jc w:val="right"/>
              <w:rPr>
                <w:b/>
              </w:rPr>
            </w:pPr>
            <w:r w:rsidRPr="00A205C0">
              <w:rPr>
                <w:b/>
              </w:rPr>
              <w:t>$6,010,502</w:t>
            </w:r>
          </w:p>
        </w:tc>
        <w:tc>
          <w:tcPr>
            <w:tcW w:w="1728" w:type="dxa"/>
          </w:tcPr>
          <w:p w:rsidR="000277EC" w:rsidRPr="00A205C0" w:rsidRDefault="008264B4" w:rsidP="000277EC">
            <w:pPr>
              <w:jc w:val="right"/>
            </w:pPr>
            <w:r w:rsidRPr="00A205C0">
              <w:t>52</w:t>
            </w:r>
          </w:p>
        </w:tc>
        <w:tc>
          <w:tcPr>
            <w:tcW w:w="2165" w:type="dxa"/>
          </w:tcPr>
          <w:p w:rsidR="00DE1C78" w:rsidRPr="00A205C0" w:rsidRDefault="00DE1C78" w:rsidP="000277EC">
            <w:pPr>
              <w:jc w:val="right"/>
            </w:pPr>
            <w:r w:rsidRPr="00A205C0">
              <w:t>$10,108,579</w:t>
            </w:r>
          </w:p>
          <w:p w:rsidR="000277EC" w:rsidRPr="00A205C0" w:rsidRDefault="000277EC" w:rsidP="000277EC">
            <w:pPr>
              <w:jc w:val="right"/>
            </w:pPr>
          </w:p>
        </w:tc>
      </w:tr>
      <w:tr w:rsidR="000277EC" w:rsidRPr="00A205C0" w:rsidTr="0048753A">
        <w:trPr>
          <w:cantSplit/>
        </w:trPr>
        <w:tc>
          <w:tcPr>
            <w:tcW w:w="2790" w:type="dxa"/>
          </w:tcPr>
          <w:p w:rsidR="000277EC" w:rsidRPr="00A205C0" w:rsidRDefault="000277EC" w:rsidP="000277EC">
            <w:r w:rsidRPr="00A205C0">
              <w:t>Large A:</w:t>
            </w:r>
          </w:p>
          <w:p w:rsidR="000277EC" w:rsidRPr="00A205C0" w:rsidRDefault="000277EC" w:rsidP="000277EC">
            <w:pPr>
              <w:tabs>
                <w:tab w:val="left" w:pos="342"/>
              </w:tabs>
            </w:pPr>
            <w:r w:rsidRPr="00A205C0">
              <w:tab/>
              <w:t>550 – 1,000 ADA</w:t>
            </w:r>
          </w:p>
        </w:tc>
        <w:tc>
          <w:tcPr>
            <w:tcW w:w="1165" w:type="dxa"/>
          </w:tcPr>
          <w:p w:rsidR="000277EC" w:rsidRPr="00A205C0" w:rsidRDefault="000277EC" w:rsidP="000277EC">
            <w:pPr>
              <w:jc w:val="right"/>
              <w:rPr>
                <w:b/>
              </w:rPr>
            </w:pPr>
            <w:r w:rsidRPr="00A205C0">
              <w:rPr>
                <w:b/>
              </w:rPr>
              <w:t>49</w:t>
            </w:r>
          </w:p>
        </w:tc>
        <w:tc>
          <w:tcPr>
            <w:tcW w:w="2070" w:type="dxa"/>
          </w:tcPr>
          <w:p w:rsidR="000277EC" w:rsidRPr="00A205C0" w:rsidRDefault="000277EC" w:rsidP="000277EC">
            <w:pPr>
              <w:jc w:val="right"/>
              <w:rPr>
                <w:b/>
              </w:rPr>
            </w:pPr>
            <w:r w:rsidRPr="00A205C0">
              <w:rPr>
                <w:b/>
              </w:rPr>
              <w:t>$10,493,459</w:t>
            </w:r>
          </w:p>
        </w:tc>
        <w:tc>
          <w:tcPr>
            <w:tcW w:w="1728" w:type="dxa"/>
          </w:tcPr>
          <w:p w:rsidR="000277EC" w:rsidRPr="00A205C0" w:rsidRDefault="00DE1C78" w:rsidP="000277EC">
            <w:pPr>
              <w:jc w:val="right"/>
            </w:pPr>
            <w:r w:rsidRPr="00A205C0">
              <w:t>46</w:t>
            </w:r>
          </w:p>
        </w:tc>
        <w:tc>
          <w:tcPr>
            <w:tcW w:w="2165" w:type="dxa"/>
          </w:tcPr>
          <w:p w:rsidR="00DE1C78" w:rsidRPr="00A205C0" w:rsidRDefault="000277EC" w:rsidP="00DE1C78">
            <w:pPr>
              <w:jc w:val="right"/>
            </w:pPr>
            <w:r w:rsidRPr="00A205C0">
              <w:t>$</w:t>
            </w:r>
          </w:p>
          <w:p w:rsidR="000277EC" w:rsidRPr="00A205C0" w:rsidRDefault="00DE1C78" w:rsidP="00DE1C78">
            <w:pPr>
              <w:jc w:val="right"/>
            </w:pPr>
            <w:r w:rsidRPr="00A205C0">
              <w:t>15,583,823</w:t>
            </w:r>
          </w:p>
          <w:p w:rsidR="00DE1C78" w:rsidRPr="00A205C0" w:rsidRDefault="00DE1C78" w:rsidP="00DE1C78">
            <w:pPr>
              <w:jc w:val="right"/>
            </w:pPr>
          </w:p>
        </w:tc>
      </w:tr>
      <w:tr w:rsidR="000277EC" w:rsidRPr="00A205C0" w:rsidTr="0048753A">
        <w:trPr>
          <w:cantSplit/>
        </w:trPr>
        <w:tc>
          <w:tcPr>
            <w:tcW w:w="2790" w:type="dxa"/>
          </w:tcPr>
          <w:p w:rsidR="000277EC" w:rsidRPr="00A205C0" w:rsidRDefault="000277EC" w:rsidP="000277EC">
            <w:r w:rsidRPr="00A205C0">
              <w:t>Large B:</w:t>
            </w:r>
          </w:p>
          <w:p w:rsidR="000277EC" w:rsidRPr="00A205C0" w:rsidRDefault="000277EC" w:rsidP="000277EC">
            <w:pPr>
              <w:tabs>
                <w:tab w:val="left" w:pos="350"/>
              </w:tabs>
            </w:pPr>
            <w:r w:rsidRPr="00A205C0">
              <w:tab/>
              <w:t>1,001 – 2,500 ADA</w:t>
            </w:r>
          </w:p>
        </w:tc>
        <w:tc>
          <w:tcPr>
            <w:tcW w:w="1165" w:type="dxa"/>
          </w:tcPr>
          <w:p w:rsidR="000277EC" w:rsidRPr="00A205C0" w:rsidRDefault="000277EC" w:rsidP="000277EC">
            <w:pPr>
              <w:jc w:val="right"/>
              <w:rPr>
                <w:b/>
              </w:rPr>
            </w:pPr>
            <w:r w:rsidRPr="00A205C0">
              <w:rPr>
                <w:b/>
              </w:rPr>
              <w:t>54</w:t>
            </w:r>
          </w:p>
        </w:tc>
        <w:tc>
          <w:tcPr>
            <w:tcW w:w="2070" w:type="dxa"/>
          </w:tcPr>
          <w:p w:rsidR="000277EC" w:rsidRPr="00A205C0" w:rsidRDefault="000277EC" w:rsidP="000277EC">
            <w:pPr>
              <w:jc w:val="right"/>
              <w:rPr>
                <w:b/>
              </w:rPr>
            </w:pPr>
            <w:r w:rsidRPr="00A205C0">
              <w:rPr>
                <w:b/>
              </w:rPr>
              <w:t>$8,983,421</w:t>
            </w:r>
          </w:p>
        </w:tc>
        <w:tc>
          <w:tcPr>
            <w:tcW w:w="1728" w:type="dxa"/>
          </w:tcPr>
          <w:p w:rsidR="000277EC" w:rsidRPr="00A205C0" w:rsidRDefault="000277EC" w:rsidP="000277EC">
            <w:pPr>
              <w:jc w:val="right"/>
            </w:pPr>
            <w:r w:rsidRPr="00A205C0">
              <w:t>52</w:t>
            </w:r>
          </w:p>
        </w:tc>
        <w:tc>
          <w:tcPr>
            <w:tcW w:w="2165" w:type="dxa"/>
          </w:tcPr>
          <w:p w:rsidR="000277EC" w:rsidRPr="00A205C0" w:rsidRDefault="000277EC" w:rsidP="00DE1C78">
            <w:pPr>
              <w:jc w:val="right"/>
            </w:pPr>
            <w:r w:rsidRPr="00A205C0">
              <w:t>$</w:t>
            </w:r>
          </w:p>
          <w:p w:rsidR="00DE1C78" w:rsidRPr="00A205C0" w:rsidRDefault="00DE1C78" w:rsidP="00DE1C78">
            <w:pPr>
              <w:jc w:val="right"/>
            </w:pPr>
            <w:r w:rsidRPr="00A205C0">
              <w:t>$24,022,346</w:t>
            </w:r>
          </w:p>
        </w:tc>
      </w:tr>
      <w:tr w:rsidR="000277EC" w:rsidRPr="00A205C0" w:rsidTr="0048753A">
        <w:trPr>
          <w:cantSplit/>
        </w:trPr>
        <w:tc>
          <w:tcPr>
            <w:tcW w:w="2790" w:type="dxa"/>
          </w:tcPr>
          <w:p w:rsidR="000277EC" w:rsidRPr="00A205C0" w:rsidRDefault="000277EC" w:rsidP="000277EC">
            <w:r w:rsidRPr="00A205C0">
              <w:t>Large C:</w:t>
            </w:r>
          </w:p>
          <w:p w:rsidR="000277EC" w:rsidRPr="00A205C0" w:rsidRDefault="000277EC" w:rsidP="000277EC">
            <w:pPr>
              <w:tabs>
                <w:tab w:val="left" w:pos="342"/>
              </w:tabs>
            </w:pPr>
            <w:r w:rsidRPr="00A205C0">
              <w:tab/>
              <w:t>2501 + ADA</w:t>
            </w:r>
          </w:p>
        </w:tc>
        <w:tc>
          <w:tcPr>
            <w:tcW w:w="1165" w:type="dxa"/>
          </w:tcPr>
          <w:p w:rsidR="000277EC" w:rsidRPr="00A205C0" w:rsidRDefault="000277EC" w:rsidP="000277EC">
            <w:pPr>
              <w:jc w:val="right"/>
              <w:rPr>
                <w:b/>
              </w:rPr>
            </w:pPr>
            <w:r w:rsidRPr="00A205C0">
              <w:rPr>
                <w:b/>
              </w:rPr>
              <w:t>167</w:t>
            </w:r>
          </w:p>
        </w:tc>
        <w:tc>
          <w:tcPr>
            <w:tcW w:w="2070" w:type="dxa"/>
          </w:tcPr>
          <w:p w:rsidR="000277EC" w:rsidRPr="00A205C0" w:rsidRDefault="000277EC" w:rsidP="000277EC">
            <w:pPr>
              <w:jc w:val="right"/>
              <w:rPr>
                <w:b/>
              </w:rPr>
            </w:pPr>
            <w:r w:rsidRPr="00A205C0">
              <w:rPr>
                <w:b/>
              </w:rPr>
              <w:t>$122,512,448</w:t>
            </w:r>
          </w:p>
        </w:tc>
        <w:tc>
          <w:tcPr>
            <w:tcW w:w="1728" w:type="dxa"/>
          </w:tcPr>
          <w:p w:rsidR="000277EC" w:rsidRPr="00A205C0" w:rsidRDefault="00DE1C78" w:rsidP="000277EC">
            <w:pPr>
              <w:jc w:val="right"/>
            </w:pPr>
            <w:r w:rsidRPr="00A205C0">
              <w:t>166</w:t>
            </w:r>
          </w:p>
        </w:tc>
        <w:tc>
          <w:tcPr>
            <w:tcW w:w="2165" w:type="dxa"/>
          </w:tcPr>
          <w:p w:rsidR="000277EC" w:rsidRPr="00A205C0" w:rsidRDefault="000277EC" w:rsidP="00DE1C78">
            <w:pPr>
              <w:jc w:val="right"/>
            </w:pPr>
            <w:r w:rsidRPr="00A205C0">
              <w:t>$</w:t>
            </w:r>
          </w:p>
          <w:p w:rsidR="00DE1C78" w:rsidRPr="00A205C0" w:rsidRDefault="00DE1C78" w:rsidP="00B933B9">
            <w:pPr>
              <w:jc w:val="right"/>
            </w:pPr>
            <w:r w:rsidRPr="00A205C0">
              <w:t>$97,</w:t>
            </w:r>
            <w:r w:rsidR="00B933B9" w:rsidRPr="00A205C0">
              <w:t>839,676</w:t>
            </w:r>
          </w:p>
        </w:tc>
      </w:tr>
      <w:tr w:rsidR="000277EC" w:rsidRPr="00A205C0" w:rsidTr="0048753A">
        <w:trPr>
          <w:cantSplit/>
        </w:trPr>
        <w:tc>
          <w:tcPr>
            <w:tcW w:w="2790" w:type="dxa"/>
          </w:tcPr>
          <w:p w:rsidR="000277EC" w:rsidRPr="00A205C0" w:rsidRDefault="000277EC" w:rsidP="000277EC">
            <w:pPr>
              <w:jc w:val="right"/>
            </w:pPr>
            <w:r w:rsidRPr="00A205C0">
              <w:t>TOTAL</w:t>
            </w:r>
          </w:p>
        </w:tc>
        <w:tc>
          <w:tcPr>
            <w:tcW w:w="1165" w:type="dxa"/>
          </w:tcPr>
          <w:p w:rsidR="000277EC" w:rsidRPr="00A205C0" w:rsidRDefault="000277EC" w:rsidP="000277EC">
            <w:pPr>
              <w:jc w:val="right"/>
              <w:rPr>
                <w:b/>
              </w:rPr>
            </w:pPr>
            <w:r w:rsidRPr="00A205C0">
              <w:rPr>
                <w:b/>
              </w:rPr>
              <w:t>337</w:t>
            </w:r>
          </w:p>
        </w:tc>
        <w:tc>
          <w:tcPr>
            <w:tcW w:w="2070" w:type="dxa"/>
          </w:tcPr>
          <w:p w:rsidR="000277EC" w:rsidRPr="00A205C0" w:rsidRDefault="000277EC" w:rsidP="000277EC">
            <w:pPr>
              <w:jc w:val="right"/>
              <w:rPr>
                <w:b/>
              </w:rPr>
            </w:pPr>
            <w:r w:rsidRPr="00A205C0">
              <w:rPr>
                <w:b/>
              </w:rPr>
              <w:t>$149,999,990</w:t>
            </w:r>
          </w:p>
        </w:tc>
        <w:tc>
          <w:tcPr>
            <w:tcW w:w="1728" w:type="dxa"/>
          </w:tcPr>
          <w:p w:rsidR="000277EC" w:rsidRPr="00A205C0" w:rsidRDefault="008264B4" w:rsidP="000277EC">
            <w:pPr>
              <w:jc w:val="right"/>
            </w:pPr>
            <w:r w:rsidRPr="00A205C0">
              <w:t>336</w:t>
            </w:r>
          </w:p>
        </w:tc>
        <w:tc>
          <w:tcPr>
            <w:tcW w:w="2165" w:type="dxa"/>
          </w:tcPr>
          <w:p w:rsidR="000277EC" w:rsidRPr="00A205C0" w:rsidRDefault="000277EC" w:rsidP="00DE1C78">
            <w:pPr>
              <w:jc w:val="right"/>
            </w:pPr>
            <w:r w:rsidRPr="00A205C0">
              <w:t>$</w:t>
            </w:r>
          </w:p>
          <w:p w:rsidR="00DE1C78" w:rsidRPr="00A205C0" w:rsidRDefault="00DE1C78" w:rsidP="00DE1C78">
            <w:pPr>
              <w:jc w:val="right"/>
            </w:pPr>
            <w:r w:rsidRPr="00A205C0">
              <w:t>$150,000,000</w:t>
            </w:r>
          </w:p>
        </w:tc>
      </w:tr>
    </w:tbl>
    <w:p w:rsidR="000277EC" w:rsidRPr="00A205C0" w:rsidRDefault="000277EC" w:rsidP="000277EC">
      <w:pPr>
        <w:spacing w:before="480" w:after="120"/>
        <w:rPr>
          <w:b/>
        </w:rPr>
      </w:pPr>
      <w:r w:rsidRPr="00A205C0">
        <w:rPr>
          <w:b/>
        </w:rPr>
        <w:br w:type="page"/>
      </w:r>
    </w:p>
    <w:p w:rsidR="000277EC" w:rsidRPr="0048753A" w:rsidRDefault="000277EC" w:rsidP="0048753A">
      <w:pPr>
        <w:rPr>
          <w:b/>
        </w:rPr>
      </w:pPr>
      <w:r w:rsidRPr="0048753A">
        <w:rPr>
          <w:b/>
        </w:rPr>
        <w:lastRenderedPageBreak/>
        <w:t xml:space="preserve">Number of Potential Awardees and the Amount Allocated by Category </w:t>
      </w:r>
    </w:p>
    <w:p w:rsidR="000277EC" w:rsidRPr="00A205C0" w:rsidRDefault="000277EC" w:rsidP="000277EC">
      <w:pPr>
        <w:spacing w:before="240" w:after="120"/>
      </w:pPr>
      <w:r w:rsidRPr="00A205C0">
        <w:t xml:space="preserve">The table below shows the number of awardees and the amount allocated by category if three categories were used for FY 2018–19 instead of the five categories that were actually used. The table below also shows the proposed number of awardees and </w:t>
      </w:r>
      <w:r w:rsidR="001D2864" w:rsidRPr="00A205C0">
        <w:t xml:space="preserve">the </w:t>
      </w:r>
      <w:r w:rsidRPr="00A205C0">
        <w:t>amount allocated by category for FY 2019–20.</w:t>
      </w:r>
    </w:p>
    <w:tbl>
      <w:tblPr>
        <w:tblStyle w:val="TableGrid"/>
        <w:tblpPr w:leftFromText="180" w:rightFromText="180" w:vertAnchor="text" w:horzAnchor="margin" w:tblpY="49"/>
        <w:tblW w:w="9435" w:type="dxa"/>
        <w:tblLayout w:type="fixed"/>
        <w:tblLook w:val="04A0" w:firstRow="1" w:lastRow="0" w:firstColumn="1" w:lastColumn="0" w:noHBand="0" w:noVBand="1"/>
        <w:tblDescription w:val="Columns are: categories, FY 2018-19 potential number of awards, FY 2018-19 potential total allocated if three categories were used, FY 2019-20 proposed number of awards, and FY 2019-20 proposed total allocated using three categories."/>
      </w:tblPr>
      <w:tblGrid>
        <w:gridCol w:w="2425"/>
        <w:gridCol w:w="1525"/>
        <w:gridCol w:w="1975"/>
        <w:gridCol w:w="1525"/>
        <w:gridCol w:w="1985"/>
      </w:tblGrid>
      <w:tr w:rsidR="000277EC" w:rsidRPr="00A205C0" w:rsidTr="0048753A">
        <w:trPr>
          <w:cantSplit/>
          <w:tblHeader/>
        </w:trPr>
        <w:tc>
          <w:tcPr>
            <w:tcW w:w="2425" w:type="dxa"/>
            <w:vAlign w:val="center"/>
          </w:tcPr>
          <w:p w:rsidR="000277EC" w:rsidRPr="00A205C0" w:rsidRDefault="000277EC" w:rsidP="000277EC">
            <w:pPr>
              <w:jc w:val="center"/>
              <w:rPr>
                <w:b/>
              </w:rPr>
            </w:pPr>
            <w:r w:rsidRPr="00A205C0">
              <w:rPr>
                <w:b/>
              </w:rPr>
              <w:t>Categories</w:t>
            </w:r>
          </w:p>
        </w:tc>
        <w:tc>
          <w:tcPr>
            <w:tcW w:w="1525" w:type="dxa"/>
            <w:vAlign w:val="center"/>
          </w:tcPr>
          <w:p w:rsidR="000277EC" w:rsidRPr="00A205C0" w:rsidRDefault="000277EC" w:rsidP="000277EC">
            <w:pPr>
              <w:jc w:val="center"/>
              <w:rPr>
                <w:b/>
              </w:rPr>
            </w:pPr>
            <w:r w:rsidRPr="00A205C0">
              <w:rPr>
                <w:b/>
              </w:rPr>
              <w:t>FY 2018–19</w:t>
            </w:r>
            <w:r w:rsidRPr="00A205C0">
              <w:rPr>
                <w:b/>
              </w:rPr>
              <w:br/>
              <w:t>Potential</w:t>
            </w:r>
          </w:p>
          <w:p w:rsidR="000277EC" w:rsidRPr="00A205C0" w:rsidRDefault="000277EC" w:rsidP="000277EC">
            <w:pPr>
              <w:jc w:val="center"/>
              <w:rPr>
                <w:b/>
              </w:rPr>
            </w:pPr>
            <w:r w:rsidRPr="00A205C0">
              <w:rPr>
                <w:b/>
              </w:rPr>
              <w:t>No. of Awards</w:t>
            </w:r>
            <w:r w:rsidR="00A30061" w:rsidRPr="00A205C0">
              <w:rPr>
                <w:b/>
              </w:rPr>
              <w:t xml:space="preserve"> </w:t>
            </w:r>
          </w:p>
        </w:tc>
        <w:tc>
          <w:tcPr>
            <w:tcW w:w="1975" w:type="dxa"/>
            <w:vAlign w:val="center"/>
          </w:tcPr>
          <w:p w:rsidR="000277EC" w:rsidRPr="00A205C0" w:rsidRDefault="000277EC" w:rsidP="000277EC">
            <w:pPr>
              <w:jc w:val="center"/>
              <w:rPr>
                <w:b/>
              </w:rPr>
            </w:pPr>
            <w:r w:rsidRPr="00A205C0">
              <w:rPr>
                <w:b/>
              </w:rPr>
              <w:t>FY 2018–19 Potential</w:t>
            </w:r>
            <w:r w:rsidRPr="00A205C0">
              <w:rPr>
                <w:b/>
              </w:rPr>
              <w:br/>
              <w:t>Total Allocated</w:t>
            </w:r>
            <w:r w:rsidR="00A30061" w:rsidRPr="00A205C0">
              <w:rPr>
                <w:b/>
              </w:rPr>
              <w:t xml:space="preserve"> If Three Categories Were Used</w:t>
            </w:r>
          </w:p>
        </w:tc>
        <w:tc>
          <w:tcPr>
            <w:tcW w:w="1525" w:type="dxa"/>
            <w:vAlign w:val="center"/>
          </w:tcPr>
          <w:p w:rsidR="000277EC" w:rsidRPr="00A205C0" w:rsidRDefault="000277EC" w:rsidP="000277EC">
            <w:pPr>
              <w:jc w:val="center"/>
              <w:rPr>
                <w:b/>
              </w:rPr>
            </w:pPr>
            <w:r w:rsidRPr="00A205C0">
              <w:rPr>
                <w:b/>
              </w:rPr>
              <w:t>FY 2019–20</w:t>
            </w:r>
          </w:p>
          <w:p w:rsidR="000277EC" w:rsidRPr="00A205C0" w:rsidRDefault="000277EC" w:rsidP="000277EC">
            <w:pPr>
              <w:jc w:val="center"/>
              <w:rPr>
                <w:b/>
              </w:rPr>
            </w:pPr>
            <w:r w:rsidRPr="00A205C0">
              <w:rPr>
                <w:b/>
              </w:rPr>
              <w:t>Proposed</w:t>
            </w:r>
            <w:r w:rsidRPr="00A205C0">
              <w:rPr>
                <w:b/>
              </w:rPr>
              <w:br/>
              <w:t>No. of Awards</w:t>
            </w:r>
          </w:p>
        </w:tc>
        <w:tc>
          <w:tcPr>
            <w:tcW w:w="1985" w:type="dxa"/>
            <w:vAlign w:val="center"/>
          </w:tcPr>
          <w:p w:rsidR="000277EC" w:rsidRPr="00A205C0" w:rsidRDefault="000277EC" w:rsidP="000277EC">
            <w:pPr>
              <w:jc w:val="center"/>
              <w:rPr>
                <w:b/>
              </w:rPr>
            </w:pPr>
            <w:r w:rsidRPr="00A205C0">
              <w:rPr>
                <w:b/>
              </w:rPr>
              <w:t>FY 2019–20 Proposed</w:t>
            </w:r>
            <w:r w:rsidRPr="00A205C0">
              <w:rPr>
                <w:b/>
              </w:rPr>
              <w:br/>
              <w:t>Total Allocated</w:t>
            </w:r>
            <w:r w:rsidR="00A30061" w:rsidRPr="00A205C0">
              <w:rPr>
                <w:b/>
              </w:rPr>
              <w:t xml:space="preserve"> Using Three Categories</w:t>
            </w:r>
          </w:p>
        </w:tc>
      </w:tr>
      <w:tr w:rsidR="000277EC" w:rsidRPr="00A205C0" w:rsidTr="0048753A">
        <w:trPr>
          <w:cantSplit/>
        </w:trPr>
        <w:tc>
          <w:tcPr>
            <w:tcW w:w="2425" w:type="dxa"/>
            <w:vAlign w:val="center"/>
          </w:tcPr>
          <w:p w:rsidR="000277EC" w:rsidRPr="00A205C0" w:rsidRDefault="000277EC" w:rsidP="000277EC">
            <w:r w:rsidRPr="00A205C0">
              <w:t>Small:</w:t>
            </w:r>
          </w:p>
          <w:p w:rsidR="000277EC" w:rsidRPr="00A205C0" w:rsidRDefault="000277EC" w:rsidP="000277EC">
            <w:pPr>
              <w:tabs>
                <w:tab w:val="left" w:pos="350"/>
              </w:tabs>
            </w:pPr>
            <w:r w:rsidRPr="00A205C0">
              <w:tab/>
              <w:t>&lt;140 ADA</w:t>
            </w:r>
          </w:p>
        </w:tc>
        <w:tc>
          <w:tcPr>
            <w:tcW w:w="1525" w:type="dxa"/>
            <w:vAlign w:val="center"/>
          </w:tcPr>
          <w:p w:rsidR="000277EC" w:rsidRPr="00A205C0" w:rsidRDefault="000277EC" w:rsidP="000277EC">
            <w:pPr>
              <w:jc w:val="right"/>
            </w:pPr>
            <w:r w:rsidRPr="00A205C0">
              <w:t>22</w:t>
            </w:r>
          </w:p>
        </w:tc>
        <w:tc>
          <w:tcPr>
            <w:tcW w:w="1975" w:type="dxa"/>
            <w:vAlign w:val="center"/>
          </w:tcPr>
          <w:p w:rsidR="000277EC" w:rsidRPr="00A205C0" w:rsidRDefault="000277EC" w:rsidP="000277EC">
            <w:pPr>
              <w:jc w:val="right"/>
            </w:pPr>
            <w:r w:rsidRPr="00A205C0">
              <w:rPr>
                <w:rFonts w:cs="Arial"/>
              </w:rPr>
              <w:t>$ 2,000,160</w:t>
            </w:r>
          </w:p>
        </w:tc>
        <w:tc>
          <w:tcPr>
            <w:tcW w:w="1525" w:type="dxa"/>
            <w:vAlign w:val="center"/>
          </w:tcPr>
          <w:p w:rsidR="000277EC" w:rsidRPr="00A205C0" w:rsidRDefault="000277EC" w:rsidP="000277EC">
            <w:pPr>
              <w:jc w:val="right"/>
              <w:rPr>
                <w:b/>
              </w:rPr>
            </w:pPr>
            <w:r w:rsidRPr="00A205C0">
              <w:rPr>
                <w:b/>
              </w:rPr>
              <w:t>20</w:t>
            </w:r>
          </w:p>
        </w:tc>
        <w:tc>
          <w:tcPr>
            <w:tcW w:w="1985" w:type="dxa"/>
            <w:vAlign w:val="center"/>
          </w:tcPr>
          <w:p w:rsidR="000277EC" w:rsidRPr="00A205C0" w:rsidRDefault="000277EC" w:rsidP="000277EC">
            <w:pPr>
              <w:jc w:val="right"/>
              <w:rPr>
                <w:b/>
              </w:rPr>
            </w:pPr>
            <w:r w:rsidRPr="00A205C0">
              <w:rPr>
                <w:rFonts w:cs="Arial"/>
                <w:b/>
                <w:color w:val="000000"/>
              </w:rPr>
              <w:t>$2,</w:t>
            </w:r>
            <w:r w:rsidR="008264B4" w:rsidRPr="00A205C0">
              <w:rPr>
                <w:rFonts w:cs="Arial"/>
                <w:b/>
                <w:color w:val="000000"/>
              </w:rPr>
              <w:t>445</w:t>
            </w:r>
            <w:r w:rsidRPr="00A205C0">
              <w:rPr>
                <w:rFonts w:cs="Arial"/>
                <w:b/>
                <w:color w:val="000000"/>
              </w:rPr>
              <w:t>,5</w:t>
            </w:r>
            <w:r w:rsidR="008264B4" w:rsidRPr="00A205C0">
              <w:rPr>
                <w:rFonts w:cs="Arial"/>
                <w:b/>
                <w:color w:val="000000"/>
              </w:rPr>
              <w:t>76</w:t>
            </w:r>
          </w:p>
        </w:tc>
      </w:tr>
      <w:tr w:rsidR="000277EC" w:rsidRPr="00A205C0" w:rsidTr="0048753A">
        <w:trPr>
          <w:cantSplit/>
        </w:trPr>
        <w:tc>
          <w:tcPr>
            <w:tcW w:w="2425" w:type="dxa"/>
            <w:vAlign w:val="center"/>
          </w:tcPr>
          <w:p w:rsidR="000277EC" w:rsidRPr="00A205C0" w:rsidRDefault="000277EC" w:rsidP="000277EC">
            <w:r w:rsidRPr="00A205C0">
              <w:t>Medium:</w:t>
            </w:r>
          </w:p>
          <w:p w:rsidR="000277EC" w:rsidRPr="00A205C0" w:rsidRDefault="000277EC" w:rsidP="000277EC">
            <w:pPr>
              <w:tabs>
                <w:tab w:val="left" w:pos="341"/>
              </w:tabs>
            </w:pPr>
            <w:r w:rsidRPr="00A205C0">
              <w:tab/>
              <w:t>141-549 ADA</w:t>
            </w:r>
          </w:p>
        </w:tc>
        <w:tc>
          <w:tcPr>
            <w:tcW w:w="1525" w:type="dxa"/>
            <w:vAlign w:val="center"/>
          </w:tcPr>
          <w:p w:rsidR="000277EC" w:rsidRPr="00A205C0" w:rsidRDefault="000277EC" w:rsidP="000277EC">
            <w:pPr>
              <w:jc w:val="right"/>
            </w:pPr>
            <w:r w:rsidRPr="00A205C0">
              <w:t>45</w:t>
            </w:r>
          </w:p>
        </w:tc>
        <w:tc>
          <w:tcPr>
            <w:tcW w:w="1975" w:type="dxa"/>
            <w:vAlign w:val="center"/>
          </w:tcPr>
          <w:p w:rsidR="000277EC" w:rsidRPr="00A205C0" w:rsidRDefault="000277EC" w:rsidP="000277EC">
            <w:pPr>
              <w:jc w:val="right"/>
            </w:pPr>
            <w:r w:rsidRPr="00A205C0">
              <w:rPr>
                <w:rFonts w:cs="Arial"/>
              </w:rPr>
              <w:t>$6,010,501</w:t>
            </w:r>
          </w:p>
        </w:tc>
        <w:tc>
          <w:tcPr>
            <w:tcW w:w="1525" w:type="dxa"/>
            <w:vAlign w:val="center"/>
          </w:tcPr>
          <w:p w:rsidR="000277EC" w:rsidRPr="00A205C0" w:rsidRDefault="008264B4" w:rsidP="000277EC">
            <w:pPr>
              <w:jc w:val="right"/>
              <w:rPr>
                <w:b/>
              </w:rPr>
            </w:pPr>
            <w:r w:rsidRPr="00A205C0">
              <w:rPr>
                <w:b/>
              </w:rPr>
              <w:t>52</w:t>
            </w:r>
          </w:p>
        </w:tc>
        <w:tc>
          <w:tcPr>
            <w:tcW w:w="1985" w:type="dxa"/>
            <w:vAlign w:val="center"/>
          </w:tcPr>
          <w:p w:rsidR="000277EC" w:rsidRPr="00A205C0" w:rsidRDefault="000277EC" w:rsidP="000277EC">
            <w:pPr>
              <w:jc w:val="right"/>
              <w:rPr>
                <w:b/>
              </w:rPr>
            </w:pPr>
            <w:r w:rsidRPr="00A205C0">
              <w:rPr>
                <w:rFonts w:cs="Arial"/>
                <w:b/>
              </w:rPr>
              <w:t>$</w:t>
            </w:r>
            <w:r w:rsidR="008264B4" w:rsidRPr="00A205C0">
              <w:rPr>
                <w:rFonts w:cs="Arial"/>
                <w:b/>
              </w:rPr>
              <w:t>10</w:t>
            </w:r>
            <w:r w:rsidRPr="00A205C0">
              <w:rPr>
                <w:rFonts w:cs="Arial"/>
                <w:b/>
                <w:color w:val="000000"/>
              </w:rPr>
              <w:t>,1</w:t>
            </w:r>
            <w:r w:rsidR="008264B4" w:rsidRPr="00A205C0">
              <w:rPr>
                <w:rFonts w:cs="Arial"/>
                <w:b/>
                <w:color w:val="000000"/>
              </w:rPr>
              <w:t>08</w:t>
            </w:r>
            <w:r w:rsidRPr="00A205C0">
              <w:rPr>
                <w:rFonts w:cs="Arial"/>
                <w:b/>
                <w:color w:val="000000"/>
              </w:rPr>
              <w:t>,5</w:t>
            </w:r>
            <w:r w:rsidR="008264B4" w:rsidRPr="00A205C0">
              <w:rPr>
                <w:rFonts w:cs="Arial"/>
                <w:b/>
                <w:color w:val="000000"/>
              </w:rPr>
              <w:t>79</w:t>
            </w:r>
          </w:p>
        </w:tc>
      </w:tr>
      <w:tr w:rsidR="000277EC" w:rsidRPr="00A205C0" w:rsidTr="0048753A">
        <w:trPr>
          <w:cantSplit/>
        </w:trPr>
        <w:tc>
          <w:tcPr>
            <w:tcW w:w="2425" w:type="dxa"/>
            <w:vAlign w:val="center"/>
          </w:tcPr>
          <w:p w:rsidR="000277EC" w:rsidRPr="00A205C0" w:rsidRDefault="000277EC" w:rsidP="000277EC">
            <w:r w:rsidRPr="00A205C0">
              <w:t>Large A:</w:t>
            </w:r>
          </w:p>
          <w:p w:rsidR="000277EC" w:rsidRPr="00A205C0" w:rsidRDefault="000277EC" w:rsidP="000277EC">
            <w:pPr>
              <w:tabs>
                <w:tab w:val="left" w:pos="342"/>
              </w:tabs>
            </w:pPr>
            <w:r w:rsidRPr="00A205C0">
              <w:tab/>
              <w:t>550&lt; ADA</w:t>
            </w:r>
          </w:p>
        </w:tc>
        <w:tc>
          <w:tcPr>
            <w:tcW w:w="1525" w:type="dxa"/>
            <w:vAlign w:val="center"/>
          </w:tcPr>
          <w:p w:rsidR="000277EC" w:rsidRPr="00A205C0" w:rsidRDefault="000277EC" w:rsidP="000277EC">
            <w:pPr>
              <w:jc w:val="right"/>
            </w:pPr>
            <w:r w:rsidRPr="00A205C0">
              <w:t>270</w:t>
            </w:r>
          </w:p>
        </w:tc>
        <w:tc>
          <w:tcPr>
            <w:tcW w:w="1975" w:type="dxa"/>
            <w:vAlign w:val="center"/>
          </w:tcPr>
          <w:p w:rsidR="000277EC" w:rsidRPr="00A205C0" w:rsidRDefault="000277EC" w:rsidP="000277EC">
            <w:pPr>
              <w:jc w:val="right"/>
            </w:pPr>
            <w:r w:rsidRPr="00A205C0">
              <w:t>$141,989,339</w:t>
            </w:r>
          </w:p>
        </w:tc>
        <w:tc>
          <w:tcPr>
            <w:tcW w:w="1525" w:type="dxa"/>
            <w:vAlign w:val="center"/>
          </w:tcPr>
          <w:p w:rsidR="000277EC" w:rsidRPr="00A205C0" w:rsidRDefault="000277EC" w:rsidP="000277EC">
            <w:pPr>
              <w:jc w:val="right"/>
              <w:rPr>
                <w:b/>
              </w:rPr>
            </w:pPr>
            <w:r w:rsidRPr="00A205C0">
              <w:rPr>
                <w:b/>
              </w:rPr>
              <w:t>264</w:t>
            </w:r>
          </w:p>
        </w:tc>
        <w:tc>
          <w:tcPr>
            <w:tcW w:w="1985" w:type="dxa"/>
            <w:vAlign w:val="center"/>
          </w:tcPr>
          <w:p w:rsidR="00B933B9" w:rsidRPr="00A205C0" w:rsidRDefault="000277EC" w:rsidP="00B933B9">
            <w:pPr>
              <w:jc w:val="right"/>
              <w:rPr>
                <w:rFonts w:cs="Arial"/>
                <w:b/>
                <w:color w:val="000000"/>
              </w:rPr>
            </w:pPr>
            <w:r w:rsidRPr="00A205C0">
              <w:rPr>
                <w:rFonts w:cs="Arial"/>
                <w:b/>
              </w:rPr>
              <w:t>$</w:t>
            </w:r>
          </w:p>
          <w:p w:rsidR="000277EC" w:rsidRPr="00A205C0" w:rsidRDefault="00B933B9" w:rsidP="00B933B9">
            <w:pPr>
              <w:jc w:val="right"/>
              <w:rPr>
                <w:b/>
              </w:rPr>
            </w:pPr>
            <w:r w:rsidRPr="00A205C0">
              <w:rPr>
                <w:rFonts w:cs="Arial"/>
                <w:b/>
                <w:color w:val="000000"/>
              </w:rPr>
              <w:t>137,445,845</w:t>
            </w:r>
          </w:p>
        </w:tc>
      </w:tr>
      <w:tr w:rsidR="000277EC" w:rsidRPr="00A205C0" w:rsidTr="0048753A">
        <w:trPr>
          <w:cantSplit/>
        </w:trPr>
        <w:tc>
          <w:tcPr>
            <w:tcW w:w="2425" w:type="dxa"/>
            <w:vAlign w:val="center"/>
          </w:tcPr>
          <w:p w:rsidR="000277EC" w:rsidRPr="00A205C0" w:rsidRDefault="000277EC" w:rsidP="000277EC">
            <w:pPr>
              <w:jc w:val="right"/>
            </w:pPr>
            <w:r w:rsidRPr="00A205C0">
              <w:t>TOTAL</w:t>
            </w:r>
          </w:p>
        </w:tc>
        <w:tc>
          <w:tcPr>
            <w:tcW w:w="1525" w:type="dxa"/>
            <w:vAlign w:val="center"/>
          </w:tcPr>
          <w:p w:rsidR="000277EC" w:rsidRPr="00A205C0" w:rsidRDefault="000277EC" w:rsidP="000277EC">
            <w:pPr>
              <w:jc w:val="right"/>
            </w:pPr>
            <w:r w:rsidRPr="00A205C0">
              <w:t>337</w:t>
            </w:r>
          </w:p>
        </w:tc>
        <w:tc>
          <w:tcPr>
            <w:tcW w:w="1975" w:type="dxa"/>
            <w:vAlign w:val="center"/>
          </w:tcPr>
          <w:p w:rsidR="000277EC" w:rsidRPr="00A205C0" w:rsidRDefault="000277EC" w:rsidP="000277EC">
            <w:pPr>
              <w:jc w:val="right"/>
            </w:pPr>
            <w:r w:rsidRPr="00A205C0">
              <w:t>$150,000,000</w:t>
            </w:r>
          </w:p>
        </w:tc>
        <w:tc>
          <w:tcPr>
            <w:tcW w:w="1525" w:type="dxa"/>
            <w:vAlign w:val="center"/>
          </w:tcPr>
          <w:p w:rsidR="000277EC" w:rsidRPr="00A205C0" w:rsidRDefault="008264B4" w:rsidP="000277EC">
            <w:pPr>
              <w:jc w:val="right"/>
              <w:rPr>
                <w:b/>
              </w:rPr>
            </w:pPr>
            <w:r w:rsidRPr="00A205C0">
              <w:rPr>
                <w:b/>
              </w:rPr>
              <w:t>336</w:t>
            </w:r>
          </w:p>
        </w:tc>
        <w:tc>
          <w:tcPr>
            <w:tcW w:w="1985" w:type="dxa"/>
            <w:vAlign w:val="center"/>
          </w:tcPr>
          <w:p w:rsidR="00B933B9" w:rsidRPr="00A205C0" w:rsidRDefault="000277EC" w:rsidP="00B933B9">
            <w:pPr>
              <w:jc w:val="right"/>
              <w:rPr>
                <w:b/>
              </w:rPr>
            </w:pPr>
            <w:r w:rsidRPr="00A205C0">
              <w:rPr>
                <w:b/>
              </w:rPr>
              <w:t>$</w:t>
            </w:r>
          </w:p>
          <w:p w:rsidR="000277EC" w:rsidRPr="00A205C0" w:rsidRDefault="00B933B9" w:rsidP="00B933B9">
            <w:pPr>
              <w:jc w:val="right"/>
              <w:rPr>
                <w:b/>
              </w:rPr>
            </w:pPr>
            <w:r w:rsidRPr="00A205C0">
              <w:rPr>
                <w:b/>
              </w:rPr>
              <w:t>150,000,000</w:t>
            </w:r>
          </w:p>
        </w:tc>
      </w:tr>
    </w:tbl>
    <w:p w:rsidR="000277EC" w:rsidRPr="00A205C0" w:rsidRDefault="000277EC" w:rsidP="002D6A88">
      <w:pPr>
        <w:spacing w:before="240" w:after="240"/>
      </w:pPr>
      <w:r w:rsidRPr="00A205C0">
        <w:t>The information below refers to FY 2019–20:</w:t>
      </w:r>
    </w:p>
    <w:p w:rsidR="000277EC" w:rsidRPr="00A205C0" w:rsidRDefault="000277EC" w:rsidP="002D6A88">
      <w:pPr>
        <w:pStyle w:val="ListParagraph"/>
        <w:numPr>
          <w:ilvl w:val="0"/>
          <w:numId w:val="4"/>
        </w:numPr>
        <w:spacing w:after="240"/>
        <w:contextualSpacing w:val="0"/>
      </w:pPr>
      <w:r w:rsidRPr="00A205C0">
        <w:t xml:space="preserve">With five categories, </w:t>
      </w:r>
      <w:r w:rsidR="00F47B1D" w:rsidRPr="00A205C0">
        <w:t xml:space="preserve">157 </w:t>
      </w:r>
      <w:r w:rsidRPr="00A205C0">
        <w:t xml:space="preserve">LEAs </w:t>
      </w:r>
      <w:r w:rsidR="00BF7141" w:rsidRPr="00A205C0">
        <w:t xml:space="preserve">might </w:t>
      </w:r>
      <w:r w:rsidRPr="00A205C0">
        <w:t xml:space="preserve">receive less funds and </w:t>
      </w:r>
      <w:r w:rsidR="00F47B1D" w:rsidRPr="00A205C0">
        <w:t xml:space="preserve">95 </w:t>
      </w:r>
      <w:r w:rsidRPr="00A205C0">
        <w:t>LEAs will receive more funds.</w:t>
      </w:r>
      <w:r w:rsidR="00F47B1D" w:rsidRPr="00A205C0">
        <w:t xml:space="preserve"> 85 LEAs would receive the same amount of funds.</w:t>
      </w:r>
    </w:p>
    <w:p w:rsidR="000277EC" w:rsidRPr="00A205C0" w:rsidRDefault="000277EC" w:rsidP="002D6A88">
      <w:pPr>
        <w:pStyle w:val="ListParagraph"/>
        <w:numPr>
          <w:ilvl w:val="0"/>
          <w:numId w:val="4"/>
        </w:numPr>
        <w:spacing w:after="240"/>
        <w:contextualSpacing w:val="0"/>
      </w:pPr>
      <w:r w:rsidRPr="00A205C0">
        <w:t xml:space="preserve">The LEA with the highest loss </w:t>
      </w:r>
      <w:r w:rsidR="00BF7141" w:rsidRPr="00A205C0">
        <w:t xml:space="preserve">might </w:t>
      </w:r>
      <w:r w:rsidRPr="00A205C0">
        <w:t>have their funding reduced by $</w:t>
      </w:r>
      <w:r w:rsidR="00F47B1D" w:rsidRPr="00A205C0">
        <w:t xml:space="preserve"> 902,370</w:t>
      </w:r>
    </w:p>
    <w:p w:rsidR="000277EC" w:rsidRPr="00A205C0" w:rsidRDefault="000277EC" w:rsidP="000277EC">
      <w:pPr>
        <w:pStyle w:val="ListParagraph"/>
        <w:numPr>
          <w:ilvl w:val="0"/>
          <w:numId w:val="4"/>
        </w:numPr>
      </w:pPr>
      <w:r w:rsidRPr="00A205C0">
        <w:t xml:space="preserve">The LEA with the highest gain </w:t>
      </w:r>
      <w:r w:rsidR="00BF7141" w:rsidRPr="00A205C0">
        <w:t xml:space="preserve">might </w:t>
      </w:r>
      <w:r w:rsidRPr="00A205C0">
        <w:t>have an increase of funds of $</w:t>
      </w:r>
      <w:r w:rsidR="00F47B1D" w:rsidRPr="00A205C0">
        <w:t xml:space="preserve"> 4,706,154</w:t>
      </w:r>
    </w:p>
    <w:sectPr w:rsidR="000277EC" w:rsidRPr="00A205C0" w:rsidSect="000277EC">
      <w:headerReference w:type="default" r:id="rId10"/>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3ADE" w:rsidRDefault="00933ADE" w:rsidP="001E548A">
      <w:r>
        <w:separator/>
      </w:r>
    </w:p>
  </w:endnote>
  <w:endnote w:type="continuationSeparator" w:id="0">
    <w:p w:rsidR="00933ADE" w:rsidRDefault="00933ADE" w:rsidP="001E54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3ADE" w:rsidRDefault="00933ADE" w:rsidP="001E548A">
      <w:r>
        <w:separator/>
      </w:r>
    </w:p>
  </w:footnote>
  <w:footnote w:type="continuationSeparator" w:id="0">
    <w:p w:rsidR="00933ADE" w:rsidRDefault="00933ADE" w:rsidP="001E548A">
      <w:r>
        <w:continuationSeparator/>
      </w:r>
    </w:p>
  </w:footnote>
  <w:footnote w:id="1">
    <w:p w:rsidR="00A30061" w:rsidRPr="000F7DDD" w:rsidRDefault="00A30061">
      <w:pPr>
        <w:pStyle w:val="FootnoteText"/>
        <w:rPr>
          <w:sz w:val="24"/>
          <w:szCs w:val="24"/>
        </w:rPr>
      </w:pPr>
      <w:r w:rsidRPr="000F7DDD">
        <w:rPr>
          <w:rStyle w:val="FootnoteReference"/>
          <w:sz w:val="24"/>
          <w:szCs w:val="24"/>
          <w:vertAlign w:val="baseline"/>
        </w:rPr>
        <w:footnoteRef/>
      </w:r>
      <w:r>
        <w:rPr>
          <w:sz w:val="24"/>
          <w:szCs w:val="24"/>
        </w:rPr>
        <w:t>.</w:t>
      </w:r>
      <w:r w:rsidRPr="000F7DDD">
        <w:rPr>
          <w:sz w:val="24"/>
          <w:szCs w:val="24"/>
        </w:rPr>
        <w:t xml:space="preserve"> The $900 million funding was for FY 2015–16 ($400 million), FY 2016–17 ($300 million), and FY 2017–18 ($200 million).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0061" w:rsidRDefault="00A30061" w:rsidP="002A2813">
    <w:pPr>
      <w:jc w:val="right"/>
    </w:pPr>
    <w:r w:rsidRPr="002A2813">
      <w:t>memo-eab-cctd-feb20item</w:t>
    </w:r>
    <w:r>
      <w:t>01</w:t>
    </w:r>
  </w:p>
  <w:p w:rsidR="00A30061" w:rsidRDefault="00A30061" w:rsidP="002A2813">
    <w:pPr>
      <w:pStyle w:val="Header"/>
      <w:jc w:val="right"/>
    </w:pPr>
    <w:r>
      <w:t xml:space="preserve">Page </w:t>
    </w:r>
    <w:r>
      <w:fldChar w:fldCharType="begin"/>
    </w:r>
    <w:r>
      <w:instrText xml:space="preserve"> PAGE   \* MERGEFORMAT </w:instrText>
    </w:r>
    <w:r>
      <w:fldChar w:fldCharType="separate"/>
    </w:r>
    <w:r>
      <w:rPr>
        <w:noProof/>
      </w:rPr>
      <w:t>1</w:t>
    </w:r>
    <w:r>
      <w:rPr>
        <w:noProof/>
      </w:rPr>
      <w:fldChar w:fldCharType="end"/>
    </w:r>
    <w:r>
      <w:rPr>
        <w:noProof/>
      </w:rPr>
      <w:t xml:space="preserve"> of 3</w:t>
    </w:r>
  </w:p>
  <w:p w:rsidR="00A30061" w:rsidRDefault="00A300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0061" w:rsidRDefault="00A30061" w:rsidP="005D6C8A">
    <w:pPr>
      <w:jc w:val="right"/>
    </w:pPr>
    <w:r w:rsidRPr="002A2813">
      <w:t>memo-eab-cctd-feb20item</w:t>
    </w:r>
    <w:r>
      <w:t>01</w:t>
    </w:r>
  </w:p>
  <w:p w:rsidR="00A30061" w:rsidRPr="00805167" w:rsidRDefault="00A30061" w:rsidP="00B7372C">
    <w:pPr>
      <w:pStyle w:val="Header"/>
      <w:spacing w:after="240"/>
      <w:jc w:val="right"/>
    </w:pPr>
    <w:r w:rsidRPr="00805167">
      <w:t xml:space="preserve">Page </w:t>
    </w:r>
    <w:r w:rsidRPr="00805167">
      <w:rPr>
        <w:bCs/>
      </w:rPr>
      <w:fldChar w:fldCharType="begin"/>
    </w:r>
    <w:r w:rsidRPr="00805167">
      <w:rPr>
        <w:bCs/>
      </w:rPr>
      <w:instrText xml:space="preserve"> PAGE  \* Arabic  \* MERGEFORMAT </w:instrText>
    </w:r>
    <w:r w:rsidRPr="00805167">
      <w:rPr>
        <w:bCs/>
      </w:rPr>
      <w:fldChar w:fldCharType="separate"/>
    </w:r>
    <w:r w:rsidR="00A205C0">
      <w:rPr>
        <w:bCs/>
        <w:noProof/>
      </w:rPr>
      <w:t>4</w:t>
    </w:r>
    <w:r w:rsidRPr="00805167">
      <w:rPr>
        <w:bCs/>
      </w:rPr>
      <w:fldChar w:fldCharType="end"/>
    </w:r>
    <w:r w:rsidRPr="00805167">
      <w:t xml:space="preserve"> of </w:t>
    </w:r>
    <w:r>
      <w:rPr>
        <w:bCs/>
      </w:rPr>
      <w:t>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0061" w:rsidRDefault="00A30061" w:rsidP="000277EC">
    <w:pPr>
      <w:jc w:val="right"/>
    </w:pPr>
    <w:r w:rsidRPr="002A2813">
      <w:t>memo-eab-cctd-feb20item</w:t>
    </w:r>
    <w:r>
      <w:t>01</w:t>
    </w:r>
  </w:p>
  <w:p w:rsidR="00A30061" w:rsidRDefault="00A30061" w:rsidP="000277EC">
    <w:pPr>
      <w:pStyle w:val="Header"/>
      <w:jc w:val="right"/>
    </w:pPr>
    <w:r>
      <w:t>Attachment 3</w:t>
    </w:r>
  </w:p>
  <w:p w:rsidR="00A30061" w:rsidRPr="00805167" w:rsidRDefault="00A30061" w:rsidP="002D6A88">
    <w:pPr>
      <w:pStyle w:val="Header"/>
      <w:spacing w:after="240"/>
      <w:jc w:val="right"/>
    </w:pPr>
    <w:r w:rsidRPr="00805167">
      <w:t xml:space="preserve">Page </w:t>
    </w:r>
    <w:r w:rsidRPr="00805167">
      <w:rPr>
        <w:bCs/>
      </w:rPr>
      <w:fldChar w:fldCharType="begin"/>
    </w:r>
    <w:r w:rsidRPr="00805167">
      <w:rPr>
        <w:bCs/>
      </w:rPr>
      <w:instrText xml:space="preserve"> PAGE  \* Arabic  \* MERGEFORMAT </w:instrText>
    </w:r>
    <w:r w:rsidRPr="00805167">
      <w:rPr>
        <w:bCs/>
      </w:rPr>
      <w:fldChar w:fldCharType="separate"/>
    </w:r>
    <w:r w:rsidR="00A205C0">
      <w:rPr>
        <w:bCs/>
        <w:noProof/>
      </w:rPr>
      <w:t>2</w:t>
    </w:r>
    <w:r w:rsidRPr="00805167">
      <w:rPr>
        <w:bCs/>
      </w:rPr>
      <w:fldChar w:fldCharType="end"/>
    </w:r>
    <w:r w:rsidRPr="00805167">
      <w:t xml:space="preserve"> of </w:t>
    </w:r>
    <w:r>
      <w:rPr>
        <w:bCs/>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DB013F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7D653D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378561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3548D1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C04703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704E4A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AAC492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70AD81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DFC89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986A0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50857D9"/>
    <w:multiLevelType w:val="hybridMultilevel"/>
    <w:tmpl w:val="BCCA4BA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2C9F7D80"/>
    <w:multiLevelType w:val="hybridMultilevel"/>
    <w:tmpl w:val="FAFE8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716285"/>
    <w:multiLevelType w:val="hybridMultilevel"/>
    <w:tmpl w:val="718ED5FA"/>
    <w:lvl w:ilvl="0" w:tplc="A01CC4A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EB6D0C"/>
    <w:multiLevelType w:val="hybridMultilevel"/>
    <w:tmpl w:val="4A760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12"/>
  </w:num>
  <w:num w:numId="4">
    <w:abstractNumId w:val="1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czNTA3MTSytDA2NzdX0lEKTi0uzszPAykwrAUAH+TSFSwAAAA="/>
  </w:docVars>
  <w:rsids>
    <w:rsidRoot w:val="00057A96"/>
    <w:rsid w:val="00002C1C"/>
    <w:rsid w:val="000277EC"/>
    <w:rsid w:val="00030D23"/>
    <w:rsid w:val="00035C96"/>
    <w:rsid w:val="00041CF3"/>
    <w:rsid w:val="00053B2A"/>
    <w:rsid w:val="00057A96"/>
    <w:rsid w:val="0007778C"/>
    <w:rsid w:val="00077927"/>
    <w:rsid w:val="00080889"/>
    <w:rsid w:val="000976A4"/>
    <w:rsid w:val="000A0AF6"/>
    <w:rsid w:val="000A1B70"/>
    <w:rsid w:val="000B27F4"/>
    <w:rsid w:val="000B4548"/>
    <w:rsid w:val="000C139F"/>
    <w:rsid w:val="000C7804"/>
    <w:rsid w:val="000D40A7"/>
    <w:rsid w:val="000F1B40"/>
    <w:rsid w:val="000F5253"/>
    <w:rsid w:val="000F7344"/>
    <w:rsid w:val="000F7DDD"/>
    <w:rsid w:val="001033EB"/>
    <w:rsid w:val="00130A38"/>
    <w:rsid w:val="00136CE8"/>
    <w:rsid w:val="0014384E"/>
    <w:rsid w:val="00145938"/>
    <w:rsid w:val="00155CA8"/>
    <w:rsid w:val="0016173B"/>
    <w:rsid w:val="001648E9"/>
    <w:rsid w:val="00171B1C"/>
    <w:rsid w:val="00184DEF"/>
    <w:rsid w:val="001A0EB3"/>
    <w:rsid w:val="001A1261"/>
    <w:rsid w:val="001B27EB"/>
    <w:rsid w:val="001C1CAA"/>
    <w:rsid w:val="001D2864"/>
    <w:rsid w:val="001D37D5"/>
    <w:rsid w:val="001D4A5B"/>
    <w:rsid w:val="001E298C"/>
    <w:rsid w:val="001E548A"/>
    <w:rsid w:val="00206EF9"/>
    <w:rsid w:val="002264FE"/>
    <w:rsid w:val="00230B1F"/>
    <w:rsid w:val="002408E4"/>
    <w:rsid w:val="00242A89"/>
    <w:rsid w:val="00255CF3"/>
    <w:rsid w:val="002727C4"/>
    <w:rsid w:val="00291909"/>
    <w:rsid w:val="0029286A"/>
    <w:rsid w:val="002A2813"/>
    <w:rsid w:val="002A78F6"/>
    <w:rsid w:val="002B04E7"/>
    <w:rsid w:val="002C0540"/>
    <w:rsid w:val="002D0DF2"/>
    <w:rsid w:val="002D6A88"/>
    <w:rsid w:val="00302704"/>
    <w:rsid w:val="003047C0"/>
    <w:rsid w:val="00321D49"/>
    <w:rsid w:val="00322C00"/>
    <w:rsid w:val="00325EAA"/>
    <w:rsid w:val="0033616F"/>
    <w:rsid w:val="00364C1F"/>
    <w:rsid w:val="00366536"/>
    <w:rsid w:val="00371193"/>
    <w:rsid w:val="003773EF"/>
    <w:rsid w:val="003945E0"/>
    <w:rsid w:val="00396407"/>
    <w:rsid w:val="003A1CB2"/>
    <w:rsid w:val="003B194B"/>
    <w:rsid w:val="003B544A"/>
    <w:rsid w:val="003D0789"/>
    <w:rsid w:val="003D6071"/>
    <w:rsid w:val="003E3B94"/>
    <w:rsid w:val="00405A4C"/>
    <w:rsid w:val="0041132D"/>
    <w:rsid w:val="0042019F"/>
    <w:rsid w:val="0042563C"/>
    <w:rsid w:val="00427DDB"/>
    <w:rsid w:val="004304C1"/>
    <w:rsid w:val="004403D4"/>
    <w:rsid w:val="00451D68"/>
    <w:rsid w:val="00474A2F"/>
    <w:rsid w:val="0047522B"/>
    <w:rsid w:val="0047647C"/>
    <w:rsid w:val="004766C7"/>
    <w:rsid w:val="0048753A"/>
    <w:rsid w:val="004A4C43"/>
    <w:rsid w:val="004B5585"/>
    <w:rsid w:val="004C33CC"/>
    <w:rsid w:val="004D5155"/>
    <w:rsid w:val="004E121C"/>
    <w:rsid w:val="004E76F8"/>
    <w:rsid w:val="004F594C"/>
    <w:rsid w:val="0051479B"/>
    <w:rsid w:val="00514A1C"/>
    <w:rsid w:val="00517413"/>
    <w:rsid w:val="0053216D"/>
    <w:rsid w:val="0054334A"/>
    <w:rsid w:val="00547AEC"/>
    <w:rsid w:val="005600BF"/>
    <w:rsid w:val="00576CF6"/>
    <w:rsid w:val="00594C80"/>
    <w:rsid w:val="005976C2"/>
    <w:rsid w:val="00597CBE"/>
    <w:rsid w:val="005B1325"/>
    <w:rsid w:val="005C366C"/>
    <w:rsid w:val="005D600A"/>
    <w:rsid w:val="005D6C8A"/>
    <w:rsid w:val="005D6E8F"/>
    <w:rsid w:val="005E781D"/>
    <w:rsid w:val="006073C5"/>
    <w:rsid w:val="00620286"/>
    <w:rsid w:val="006332BB"/>
    <w:rsid w:val="00666E21"/>
    <w:rsid w:val="00681207"/>
    <w:rsid w:val="006829EE"/>
    <w:rsid w:val="006847A5"/>
    <w:rsid w:val="006A3E65"/>
    <w:rsid w:val="006D46AA"/>
    <w:rsid w:val="006F3869"/>
    <w:rsid w:val="006F4631"/>
    <w:rsid w:val="00727A5E"/>
    <w:rsid w:val="007302AD"/>
    <w:rsid w:val="00743E72"/>
    <w:rsid w:val="00766664"/>
    <w:rsid w:val="007A2653"/>
    <w:rsid w:val="007B2E66"/>
    <w:rsid w:val="007B3636"/>
    <w:rsid w:val="007C180B"/>
    <w:rsid w:val="007E2A97"/>
    <w:rsid w:val="007E50D9"/>
    <w:rsid w:val="007F2DA9"/>
    <w:rsid w:val="00805167"/>
    <w:rsid w:val="008213F2"/>
    <w:rsid w:val="008264B4"/>
    <w:rsid w:val="00826644"/>
    <w:rsid w:val="00832129"/>
    <w:rsid w:val="00846A3B"/>
    <w:rsid w:val="008572C2"/>
    <w:rsid w:val="0087290D"/>
    <w:rsid w:val="008764DB"/>
    <w:rsid w:val="008807DC"/>
    <w:rsid w:val="00883273"/>
    <w:rsid w:val="008B1135"/>
    <w:rsid w:val="008B2168"/>
    <w:rsid w:val="008D2B05"/>
    <w:rsid w:val="008D3F07"/>
    <w:rsid w:val="008D515B"/>
    <w:rsid w:val="008F6CA0"/>
    <w:rsid w:val="00900894"/>
    <w:rsid w:val="00907FF8"/>
    <w:rsid w:val="009321D0"/>
    <w:rsid w:val="00933ADE"/>
    <w:rsid w:val="009470DC"/>
    <w:rsid w:val="009474FF"/>
    <w:rsid w:val="00963290"/>
    <w:rsid w:val="00976F77"/>
    <w:rsid w:val="00982A10"/>
    <w:rsid w:val="00986CA4"/>
    <w:rsid w:val="009A5CD0"/>
    <w:rsid w:val="009D2FE1"/>
    <w:rsid w:val="009F5A8C"/>
    <w:rsid w:val="00A11875"/>
    <w:rsid w:val="00A205C0"/>
    <w:rsid w:val="00A30061"/>
    <w:rsid w:val="00A34B09"/>
    <w:rsid w:val="00A35C73"/>
    <w:rsid w:val="00A64287"/>
    <w:rsid w:val="00A669B3"/>
    <w:rsid w:val="00A94F48"/>
    <w:rsid w:val="00AA47AC"/>
    <w:rsid w:val="00AA79F5"/>
    <w:rsid w:val="00AB4C92"/>
    <w:rsid w:val="00AB66C4"/>
    <w:rsid w:val="00AC76CC"/>
    <w:rsid w:val="00AE3790"/>
    <w:rsid w:val="00AF51BE"/>
    <w:rsid w:val="00AF6A4B"/>
    <w:rsid w:val="00B25037"/>
    <w:rsid w:val="00B44CDF"/>
    <w:rsid w:val="00B7372C"/>
    <w:rsid w:val="00B8203E"/>
    <w:rsid w:val="00B933B9"/>
    <w:rsid w:val="00BB23F9"/>
    <w:rsid w:val="00BB5574"/>
    <w:rsid w:val="00BC1DCD"/>
    <w:rsid w:val="00BC3667"/>
    <w:rsid w:val="00BC376B"/>
    <w:rsid w:val="00BC64DF"/>
    <w:rsid w:val="00BD0A0E"/>
    <w:rsid w:val="00BE7E7D"/>
    <w:rsid w:val="00BF7141"/>
    <w:rsid w:val="00BF7F32"/>
    <w:rsid w:val="00C067BF"/>
    <w:rsid w:val="00C12CB9"/>
    <w:rsid w:val="00C23AD8"/>
    <w:rsid w:val="00C32B3B"/>
    <w:rsid w:val="00C34128"/>
    <w:rsid w:val="00C420BB"/>
    <w:rsid w:val="00C44950"/>
    <w:rsid w:val="00C55693"/>
    <w:rsid w:val="00C61F78"/>
    <w:rsid w:val="00C72351"/>
    <w:rsid w:val="00C8046A"/>
    <w:rsid w:val="00C85814"/>
    <w:rsid w:val="00CA09C3"/>
    <w:rsid w:val="00CC1CCD"/>
    <w:rsid w:val="00CC5474"/>
    <w:rsid w:val="00CD0F5C"/>
    <w:rsid w:val="00CD3FEC"/>
    <w:rsid w:val="00D03980"/>
    <w:rsid w:val="00D062C9"/>
    <w:rsid w:val="00D14EB4"/>
    <w:rsid w:val="00D238F6"/>
    <w:rsid w:val="00D32B14"/>
    <w:rsid w:val="00D569B3"/>
    <w:rsid w:val="00D72C6B"/>
    <w:rsid w:val="00D81E7D"/>
    <w:rsid w:val="00D850DA"/>
    <w:rsid w:val="00DA2494"/>
    <w:rsid w:val="00DB0FD6"/>
    <w:rsid w:val="00DB2BFE"/>
    <w:rsid w:val="00DC1117"/>
    <w:rsid w:val="00DC3D81"/>
    <w:rsid w:val="00DC5FAA"/>
    <w:rsid w:val="00DE08BA"/>
    <w:rsid w:val="00DE1C78"/>
    <w:rsid w:val="00DF1AB2"/>
    <w:rsid w:val="00E32FDC"/>
    <w:rsid w:val="00E51035"/>
    <w:rsid w:val="00E77A50"/>
    <w:rsid w:val="00EA358B"/>
    <w:rsid w:val="00EC3FF1"/>
    <w:rsid w:val="00EC622E"/>
    <w:rsid w:val="00ED0939"/>
    <w:rsid w:val="00EE75FA"/>
    <w:rsid w:val="00EF18F7"/>
    <w:rsid w:val="00EF222A"/>
    <w:rsid w:val="00F06887"/>
    <w:rsid w:val="00F134A2"/>
    <w:rsid w:val="00F16143"/>
    <w:rsid w:val="00F20E19"/>
    <w:rsid w:val="00F24528"/>
    <w:rsid w:val="00F24CC6"/>
    <w:rsid w:val="00F27B32"/>
    <w:rsid w:val="00F37CA7"/>
    <w:rsid w:val="00F47B1D"/>
    <w:rsid w:val="00F66498"/>
    <w:rsid w:val="00F674B4"/>
    <w:rsid w:val="00FB1B3C"/>
    <w:rsid w:val="00FB1EA2"/>
    <w:rsid w:val="00FB6E11"/>
    <w:rsid w:val="00FB6EDC"/>
    <w:rsid w:val="00FF15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8172D50"/>
  <w15:chartTrackingRefBased/>
  <w15:docId w15:val="{D8193D93-5ABD-436C-9EDD-771A4720B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753A"/>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33616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8753A"/>
    <w:pPr>
      <w:spacing w:after="240"/>
      <w:outlineLvl w:val="1"/>
    </w:pPr>
    <w:rPr>
      <w:b/>
      <w:sz w:val="36"/>
      <w:szCs w:val="36"/>
    </w:rPr>
  </w:style>
  <w:style w:type="paragraph" w:styleId="Heading3">
    <w:name w:val="heading 3"/>
    <w:basedOn w:val="Normal"/>
    <w:next w:val="Normal"/>
    <w:link w:val="Heading3Char"/>
    <w:uiPriority w:val="9"/>
    <w:unhideWhenUsed/>
    <w:qFormat/>
    <w:rsid w:val="0007778C"/>
    <w:pPr>
      <w:spacing w:before="240" w:after="12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F7F32"/>
    <w:pPr>
      <w:framePr w:w="7920" w:h="1980" w:hRule="exact" w:hSpace="180" w:wrap="auto" w:hAnchor="page" w:xAlign="center" w:yAlign="bottom"/>
      <w:ind w:left="2880"/>
    </w:pPr>
    <w:rPr>
      <w:rFonts w:eastAsiaTheme="majorEastAsia" w:cstheme="majorBidi"/>
      <w:kern w:val="24"/>
    </w:rPr>
  </w:style>
  <w:style w:type="character" w:customStyle="1" w:styleId="Heading2Char">
    <w:name w:val="Heading 2 Char"/>
    <w:basedOn w:val="DefaultParagraphFont"/>
    <w:link w:val="Heading2"/>
    <w:uiPriority w:val="9"/>
    <w:rsid w:val="0048753A"/>
    <w:rPr>
      <w:rFonts w:ascii="Arial" w:eastAsia="Times New Roman" w:hAnsi="Arial" w:cs="Times New Roman"/>
      <w:b/>
      <w:sz w:val="36"/>
      <w:szCs w:val="36"/>
    </w:rPr>
  </w:style>
  <w:style w:type="paragraph" w:styleId="BalloonText">
    <w:name w:val="Balloon Text"/>
    <w:basedOn w:val="Normal"/>
    <w:link w:val="BalloonTextChar"/>
    <w:uiPriority w:val="99"/>
    <w:semiHidden/>
    <w:unhideWhenUsed/>
    <w:rsid w:val="00D569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69B3"/>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33616F"/>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9321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1E548A"/>
    <w:rPr>
      <w:sz w:val="20"/>
      <w:szCs w:val="20"/>
    </w:rPr>
  </w:style>
  <w:style w:type="character" w:customStyle="1" w:styleId="EndnoteTextChar">
    <w:name w:val="Endnote Text Char"/>
    <w:basedOn w:val="DefaultParagraphFont"/>
    <w:link w:val="EndnoteText"/>
    <w:uiPriority w:val="99"/>
    <w:semiHidden/>
    <w:rsid w:val="001E548A"/>
    <w:rPr>
      <w:rFonts w:ascii="Arial" w:eastAsia="Times New Roman" w:hAnsi="Arial" w:cs="Times New Roman"/>
      <w:sz w:val="20"/>
      <w:szCs w:val="20"/>
    </w:rPr>
  </w:style>
  <w:style w:type="character" w:styleId="EndnoteReference">
    <w:name w:val="endnote reference"/>
    <w:basedOn w:val="DefaultParagraphFont"/>
    <w:uiPriority w:val="99"/>
    <w:semiHidden/>
    <w:unhideWhenUsed/>
    <w:rsid w:val="001E548A"/>
    <w:rPr>
      <w:vertAlign w:val="superscript"/>
    </w:rPr>
  </w:style>
  <w:style w:type="paragraph" w:styleId="FootnoteText">
    <w:name w:val="footnote text"/>
    <w:basedOn w:val="Normal"/>
    <w:link w:val="FootnoteTextChar"/>
    <w:uiPriority w:val="99"/>
    <w:semiHidden/>
    <w:unhideWhenUsed/>
    <w:rsid w:val="001E548A"/>
    <w:rPr>
      <w:sz w:val="20"/>
      <w:szCs w:val="20"/>
    </w:rPr>
  </w:style>
  <w:style w:type="character" w:customStyle="1" w:styleId="FootnoteTextChar">
    <w:name w:val="Footnote Text Char"/>
    <w:basedOn w:val="DefaultParagraphFont"/>
    <w:link w:val="FootnoteText"/>
    <w:uiPriority w:val="99"/>
    <w:semiHidden/>
    <w:rsid w:val="001E548A"/>
    <w:rPr>
      <w:rFonts w:ascii="Arial" w:eastAsia="Times New Roman" w:hAnsi="Arial" w:cs="Times New Roman"/>
      <w:sz w:val="20"/>
      <w:szCs w:val="20"/>
    </w:rPr>
  </w:style>
  <w:style w:type="character" w:styleId="FootnoteReference">
    <w:name w:val="footnote reference"/>
    <w:basedOn w:val="DefaultParagraphFont"/>
    <w:uiPriority w:val="99"/>
    <w:semiHidden/>
    <w:unhideWhenUsed/>
    <w:rsid w:val="001E548A"/>
    <w:rPr>
      <w:vertAlign w:val="superscript"/>
    </w:rPr>
  </w:style>
  <w:style w:type="paragraph" w:styleId="Header">
    <w:name w:val="header"/>
    <w:basedOn w:val="Normal"/>
    <w:link w:val="HeaderChar"/>
    <w:uiPriority w:val="99"/>
    <w:unhideWhenUsed/>
    <w:rsid w:val="002A2813"/>
    <w:pPr>
      <w:tabs>
        <w:tab w:val="center" w:pos="4680"/>
        <w:tab w:val="right" w:pos="9360"/>
      </w:tabs>
    </w:pPr>
  </w:style>
  <w:style w:type="character" w:customStyle="1" w:styleId="HeaderChar">
    <w:name w:val="Header Char"/>
    <w:basedOn w:val="DefaultParagraphFont"/>
    <w:link w:val="Header"/>
    <w:uiPriority w:val="99"/>
    <w:rsid w:val="002A2813"/>
    <w:rPr>
      <w:rFonts w:ascii="Arial" w:eastAsia="Times New Roman" w:hAnsi="Arial" w:cs="Times New Roman"/>
      <w:sz w:val="24"/>
      <w:szCs w:val="24"/>
    </w:rPr>
  </w:style>
  <w:style w:type="paragraph" w:styleId="Footer">
    <w:name w:val="footer"/>
    <w:basedOn w:val="Normal"/>
    <w:link w:val="FooterChar"/>
    <w:uiPriority w:val="99"/>
    <w:unhideWhenUsed/>
    <w:rsid w:val="002A2813"/>
    <w:pPr>
      <w:tabs>
        <w:tab w:val="center" w:pos="4680"/>
        <w:tab w:val="right" w:pos="9360"/>
      </w:tabs>
    </w:pPr>
  </w:style>
  <w:style w:type="character" w:customStyle="1" w:styleId="FooterChar">
    <w:name w:val="Footer Char"/>
    <w:basedOn w:val="DefaultParagraphFont"/>
    <w:link w:val="Footer"/>
    <w:uiPriority w:val="99"/>
    <w:rsid w:val="002A2813"/>
    <w:rPr>
      <w:rFonts w:ascii="Arial" w:eastAsia="Times New Roman" w:hAnsi="Arial" w:cs="Times New Roman"/>
      <w:sz w:val="24"/>
      <w:szCs w:val="24"/>
    </w:rPr>
  </w:style>
  <w:style w:type="paragraph" w:styleId="ListParagraph">
    <w:name w:val="List Paragraph"/>
    <w:basedOn w:val="Normal"/>
    <w:uiPriority w:val="34"/>
    <w:qFormat/>
    <w:rsid w:val="00743E72"/>
    <w:pPr>
      <w:ind w:left="720"/>
      <w:contextualSpacing/>
    </w:pPr>
  </w:style>
  <w:style w:type="paragraph" w:styleId="Revision">
    <w:name w:val="Revision"/>
    <w:hidden/>
    <w:uiPriority w:val="99"/>
    <w:semiHidden/>
    <w:rsid w:val="00155CA8"/>
    <w:pPr>
      <w:spacing w:after="0" w:line="240" w:lineRule="auto"/>
    </w:pPr>
    <w:rPr>
      <w:rFonts w:ascii="Arial" w:eastAsia="Times New Roman" w:hAnsi="Arial" w:cs="Times New Roman"/>
      <w:sz w:val="24"/>
      <w:szCs w:val="24"/>
    </w:rPr>
  </w:style>
  <w:style w:type="character" w:styleId="CommentReference">
    <w:name w:val="annotation reference"/>
    <w:basedOn w:val="DefaultParagraphFont"/>
    <w:uiPriority w:val="99"/>
    <w:semiHidden/>
    <w:unhideWhenUsed/>
    <w:rsid w:val="00C34128"/>
    <w:rPr>
      <w:sz w:val="16"/>
      <w:szCs w:val="16"/>
    </w:rPr>
  </w:style>
  <w:style w:type="paragraph" w:styleId="CommentText">
    <w:name w:val="annotation text"/>
    <w:basedOn w:val="Normal"/>
    <w:link w:val="CommentTextChar"/>
    <w:uiPriority w:val="99"/>
    <w:semiHidden/>
    <w:unhideWhenUsed/>
    <w:rsid w:val="00C34128"/>
    <w:rPr>
      <w:sz w:val="20"/>
      <w:szCs w:val="20"/>
    </w:rPr>
  </w:style>
  <w:style w:type="character" w:customStyle="1" w:styleId="CommentTextChar">
    <w:name w:val="Comment Text Char"/>
    <w:basedOn w:val="DefaultParagraphFont"/>
    <w:link w:val="CommentText"/>
    <w:uiPriority w:val="99"/>
    <w:semiHidden/>
    <w:rsid w:val="00C34128"/>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C34128"/>
    <w:rPr>
      <w:b/>
      <w:bCs/>
    </w:rPr>
  </w:style>
  <w:style w:type="character" w:customStyle="1" w:styleId="CommentSubjectChar">
    <w:name w:val="Comment Subject Char"/>
    <w:basedOn w:val="CommentTextChar"/>
    <w:link w:val="CommentSubject"/>
    <w:uiPriority w:val="99"/>
    <w:semiHidden/>
    <w:rsid w:val="00C34128"/>
    <w:rPr>
      <w:rFonts w:ascii="Arial" w:eastAsia="Times New Roman" w:hAnsi="Arial" w:cs="Times New Roman"/>
      <w:b/>
      <w:bCs/>
      <w:sz w:val="20"/>
      <w:szCs w:val="20"/>
    </w:rPr>
  </w:style>
  <w:style w:type="table" w:styleId="GridTable1Light">
    <w:name w:val="Grid Table 1 Light"/>
    <w:basedOn w:val="TableNormal"/>
    <w:uiPriority w:val="46"/>
    <w:rsid w:val="000277E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rmalWeb">
    <w:name w:val="Normal (Web)"/>
    <w:basedOn w:val="Normal"/>
    <w:uiPriority w:val="99"/>
    <w:unhideWhenUsed/>
    <w:rsid w:val="00832129"/>
    <w:rPr>
      <w:rFonts w:ascii="Times New Roman" w:eastAsiaTheme="minorHAnsi" w:hAnsi="Times New Roman"/>
    </w:rPr>
  </w:style>
  <w:style w:type="character" w:customStyle="1" w:styleId="Heading3Char">
    <w:name w:val="Heading 3 Char"/>
    <w:basedOn w:val="DefaultParagraphFont"/>
    <w:link w:val="Heading3"/>
    <w:uiPriority w:val="9"/>
    <w:rsid w:val="0007778C"/>
    <w:rPr>
      <w:rFonts w:ascii="Arial" w:eastAsia="Times New Roman" w:hAnsi="Arial" w:cs="Times New Roman"/>
      <w:b/>
      <w:sz w:val="24"/>
      <w:szCs w:val="24"/>
    </w:rPr>
  </w:style>
  <w:style w:type="paragraph" w:styleId="MessageHeader">
    <w:name w:val="Message Header"/>
    <w:basedOn w:val="Normal"/>
    <w:link w:val="MessageHeaderChar"/>
    <w:uiPriority w:val="99"/>
    <w:unhideWhenUsed/>
    <w:rsid w:val="0048753A"/>
    <w:pPr>
      <w:spacing w:after="360"/>
    </w:pPr>
    <w:rPr>
      <w:b/>
    </w:rPr>
  </w:style>
  <w:style w:type="character" w:customStyle="1" w:styleId="MessageHeaderChar">
    <w:name w:val="Message Header Char"/>
    <w:basedOn w:val="DefaultParagraphFont"/>
    <w:link w:val="MessageHeader"/>
    <w:uiPriority w:val="99"/>
    <w:rsid w:val="0048753A"/>
    <w:rPr>
      <w:rFonts w:ascii="Arial" w:eastAsia="Times New Roman" w:hAnsi="Arial" w:cs="Times New Roman"/>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801828">
      <w:bodyDiv w:val="1"/>
      <w:marLeft w:val="0"/>
      <w:marRight w:val="0"/>
      <w:marTop w:val="0"/>
      <w:marBottom w:val="0"/>
      <w:divBdr>
        <w:top w:val="none" w:sz="0" w:space="0" w:color="auto"/>
        <w:left w:val="none" w:sz="0" w:space="0" w:color="auto"/>
        <w:bottom w:val="none" w:sz="0" w:space="0" w:color="auto"/>
        <w:right w:val="none" w:sz="0" w:space="0" w:color="auto"/>
      </w:divBdr>
    </w:div>
    <w:div w:id="372467944">
      <w:bodyDiv w:val="1"/>
      <w:marLeft w:val="0"/>
      <w:marRight w:val="0"/>
      <w:marTop w:val="0"/>
      <w:marBottom w:val="0"/>
      <w:divBdr>
        <w:top w:val="none" w:sz="0" w:space="0" w:color="auto"/>
        <w:left w:val="none" w:sz="0" w:space="0" w:color="auto"/>
        <w:bottom w:val="none" w:sz="0" w:space="0" w:color="auto"/>
        <w:right w:val="none" w:sz="0" w:space="0" w:color="auto"/>
      </w:divBdr>
    </w:div>
    <w:div w:id="1076779288">
      <w:bodyDiv w:val="1"/>
      <w:marLeft w:val="0"/>
      <w:marRight w:val="0"/>
      <w:marTop w:val="0"/>
      <w:marBottom w:val="0"/>
      <w:divBdr>
        <w:top w:val="none" w:sz="0" w:space="0" w:color="auto"/>
        <w:left w:val="none" w:sz="0" w:space="0" w:color="auto"/>
        <w:bottom w:val="none" w:sz="0" w:space="0" w:color="auto"/>
        <w:right w:val="none" w:sz="0" w:space="0" w:color="auto"/>
      </w:divBdr>
    </w:div>
    <w:div w:id="1697735372">
      <w:bodyDiv w:val="1"/>
      <w:marLeft w:val="0"/>
      <w:marRight w:val="0"/>
      <w:marTop w:val="0"/>
      <w:marBottom w:val="0"/>
      <w:divBdr>
        <w:top w:val="none" w:sz="0" w:space="0" w:color="auto"/>
        <w:left w:val="none" w:sz="0" w:space="0" w:color="auto"/>
        <w:bottom w:val="none" w:sz="0" w:space="0" w:color="auto"/>
        <w:right w:val="none" w:sz="0" w:space="0" w:color="auto"/>
      </w:divBdr>
    </w:div>
    <w:div w:id="2135099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97BA2D-E915-47E7-B11F-AC86DDC24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6</Pages>
  <Words>1658</Words>
  <Characters>9454</Characters>
  <DocSecurity>0</DocSecurity>
  <Lines>78</Lines>
  <Paragraphs>22</Paragraphs>
  <ScaleCrop>false</ScaleCrop>
  <HeadingPairs>
    <vt:vector size="2" baseType="variant">
      <vt:variant>
        <vt:lpstr>Title</vt:lpstr>
      </vt:variant>
      <vt:variant>
        <vt:i4>1</vt:i4>
      </vt:variant>
    </vt:vector>
  </HeadingPairs>
  <TitlesOfParts>
    <vt:vector size="1" baseType="lpstr">
      <vt:lpstr>February 2020 Memo EAB CCTD Item 01 - Information Memorandum (CA State Board of Education)</vt:lpstr>
    </vt:vector>
  </TitlesOfParts>
  <Company>California State Board of Education</Company>
  <LinksUpToDate>false</LinksUpToDate>
  <CharactersWithSpaces>11090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2020 Memo EAB CCTD Item 01 Revised - Information Memorandum (CA State Board of Education)</dc:title>
  <dc:subject>Revised Career Technical Education Incentive Grant Fiscal Year 2019-20 Awards.</dc:subject>
  <dc:creator/>
  <cp:keywords/>
  <dc:description/>
  <cp:lastPrinted>2020-02-28T22:34:00Z</cp:lastPrinted>
  <dcterms:created xsi:type="dcterms:W3CDTF">2020-02-27T19:26:00Z</dcterms:created>
  <dcterms:modified xsi:type="dcterms:W3CDTF">2020-03-02T20:30:00Z</dcterms:modified>
  <cp:category/>
</cp:coreProperties>
</file>