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197" w:rsidRPr="00407731" w:rsidRDefault="00324140" w:rsidP="00407731">
      <w:pPr>
        <w:pStyle w:val="Heading1"/>
        <w:spacing w:after="100" w:afterAutospacing="1"/>
      </w:pPr>
      <w:bookmarkStart w:id="0" w:name="_GoBack"/>
      <w:bookmarkEnd w:id="0"/>
      <w:r w:rsidRPr="00324140">
        <w:t>State Board of Education-Authorized Charter Schools</w:t>
      </w:r>
      <w:r w:rsidR="00407731">
        <w:t xml:space="preserve"> </w:t>
      </w:r>
      <w:r w:rsidRPr="00324140">
        <w:t>in Fair or Poor Financial Condition</w:t>
      </w:r>
    </w:p>
    <w:p w:rsidR="00F61978" w:rsidRPr="00BC16C2" w:rsidRDefault="00F61978" w:rsidP="00A75084">
      <w:pPr>
        <w:pStyle w:val="Heading2"/>
        <w:rPr>
          <w:rFonts w:eastAsia="Calibri"/>
        </w:rPr>
      </w:pPr>
      <w:r w:rsidRPr="00BC16C2">
        <w:rPr>
          <w:rFonts w:eastAsia="Calibri"/>
        </w:rPr>
        <w:t xml:space="preserve">Definition of Fiscal Indicators </w:t>
      </w:r>
    </w:p>
    <w:p w:rsidR="00F61978" w:rsidRDefault="00F61978" w:rsidP="00407731">
      <w:pPr>
        <w:autoSpaceDE w:val="0"/>
        <w:autoSpaceDN w:val="0"/>
        <w:adjustRightInd w:val="0"/>
        <w:spacing w:after="100" w:afterAutospacing="1"/>
        <w:rPr>
          <w:rFonts w:eastAsia="Calibri" w:cs="Arial"/>
        </w:rPr>
      </w:pPr>
      <w:r w:rsidRPr="00BC16C2">
        <w:rPr>
          <w:rFonts w:eastAsia="Calibri" w:cs="Arial"/>
        </w:rPr>
        <w:t xml:space="preserve">Deficit Spending </w:t>
      </w:r>
    </w:p>
    <w:p w:rsidR="00F61978" w:rsidRPr="00BC16C2" w:rsidRDefault="00F61978" w:rsidP="00407731">
      <w:pPr>
        <w:autoSpaceDE w:val="0"/>
        <w:autoSpaceDN w:val="0"/>
        <w:adjustRightInd w:val="0"/>
        <w:spacing w:after="100" w:afterAutospacing="1"/>
        <w:ind w:left="720"/>
        <w:rPr>
          <w:rFonts w:eastAsia="Calibri" w:cs="Arial"/>
        </w:rPr>
      </w:pPr>
      <w:r w:rsidRPr="00BC16C2">
        <w:rPr>
          <w:rFonts w:eastAsia="Calibri" w:cs="Arial"/>
        </w:rPr>
        <w:t xml:space="preserve">Deficit spending occurs when the charter </w:t>
      </w:r>
      <w:r>
        <w:rPr>
          <w:rFonts w:eastAsia="Calibri" w:cs="Arial"/>
        </w:rPr>
        <w:t>school’s (school)</w:t>
      </w:r>
      <w:r w:rsidRPr="00BC16C2">
        <w:rPr>
          <w:rFonts w:eastAsia="Calibri" w:cs="Arial"/>
        </w:rPr>
        <w:t xml:space="preserve"> expenditures exceed its revenues. A school’s </w:t>
      </w:r>
      <w:r>
        <w:rPr>
          <w:rFonts w:eastAsia="Calibri" w:cs="Arial"/>
        </w:rPr>
        <w:t>operational unrestricted budget</w:t>
      </w:r>
      <w:r w:rsidRPr="00BC16C2">
        <w:rPr>
          <w:rFonts w:eastAsia="Calibri" w:cs="Arial"/>
        </w:rPr>
        <w:t xml:space="preserve"> should be balanced and ideally provide for growth in fund balance and reserves. Deficit</w:t>
      </w:r>
      <w:r>
        <w:rPr>
          <w:rFonts w:eastAsia="Calibri" w:cs="Arial"/>
        </w:rPr>
        <w:t xml:space="preserve"> spending depletes fund balance</w:t>
      </w:r>
      <w:r w:rsidRPr="00BC16C2">
        <w:rPr>
          <w:rFonts w:eastAsia="Calibri" w:cs="Arial"/>
        </w:rPr>
        <w:t xml:space="preserve"> and rese</w:t>
      </w:r>
      <w:r>
        <w:rPr>
          <w:rFonts w:eastAsia="Calibri" w:cs="Arial"/>
        </w:rPr>
        <w:t xml:space="preserve">rves and as such, must be </w:t>
      </w:r>
      <w:r w:rsidRPr="00BC16C2">
        <w:rPr>
          <w:rFonts w:eastAsia="Calibri" w:cs="Arial"/>
        </w:rPr>
        <w:t>addressed or it will lead to an insolvent financial position.</w:t>
      </w:r>
    </w:p>
    <w:p w:rsidR="00F61978" w:rsidRDefault="00F61978" w:rsidP="00407731">
      <w:pPr>
        <w:autoSpaceDE w:val="0"/>
        <w:autoSpaceDN w:val="0"/>
        <w:adjustRightInd w:val="0"/>
        <w:spacing w:after="100" w:afterAutospacing="1"/>
        <w:rPr>
          <w:rFonts w:eastAsia="Calibri" w:cs="Arial"/>
        </w:rPr>
      </w:pPr>
      <w:r w:rsidRPr="00BC16C2">
        <w:rPr>
          <w:rFonts w:eastAsia="Calibri" w:cs="Arial"/>
        </w:rPr>
        <w:t xml:space="preserve">Fund Balance </w:t>
      </w:r>
    </w:p>
    <w:p w:rsidR="00F61978" w:rsidRPr="00BC16C2" w:rsidRDefault="00F61978" w:rsidP="00407731">
      <w:pPr>
        <w:autoSpaceDE w:val="0"/>
        <w:autoSpaceDN w:val="0"/>
        <w:adjustRightInd w:val="0"/>
        <w:spacing w:after="100" w:afterAutospacing="1"/>
        <w:ind w:left="720"/>
        <w:rPr>
          <w:rFonts w:eastAsia="Calibri" w:cs="Arial"/>
        </w:rPr>
      </w:pPr>
      <w:r w:rsidRPr="00BC16C2">
        <w:rPr>
          <w:rFonts w:eastAsia="Calibri" w:cs="Arial"/>
        </w:rPr>
        <w:t>The unrest</w:t>
      </w:r>
      <w:r>
        <w:rPr>
          <w:rFonts w:eastAsia="Calibri" w:cs="Arial"/>
        </w:rPr>
        <w:t>ricted fund balance of a</w:t>
      </w:r>
      <w:r w:rsidRPr="00BC16C2">
        <w:rPr>
          <w:rFonts w:eastAsia="Calibri" w:cs="Arial"/>
        </w:rPr>
        <w:t xml:space="preserve"> school should be positive. At a minimum, the sch</w:t>
      </w:r>
      <w:r>
        <w:rPr>
          <w:rFonts w:eastAsia="Calibri" w:cs="Arial"/>
        </w:rPr>
        <w:t>ool’s unrestricted fund balance</w:t>
      </w:r>
      <w:r w:rsidRPr="00BC16C2">
        <w:rPr>
          <w:rFonts w:eastAsia="Calibri" w:cs="Arial"/>
        </w:rPr>
        <w:t xml:space="preserve"> should be at a level to provide for reserves required in the Memorandum of Understanding (MOU). If </w:t>
      </w:r>
      <w:r>
        <w:rPr>
          <w:rFonts w:eastAsia="Calibri" w:cs="Arial"/>
        </w:rPr>
        <w:t xml:space="preserve">the </w:t>
      </w:r>
      <w:r w:rsidRPr="00BC16C2">
        <w:rPr>
          <w:rFonts w:eastAsia="Calibri" w:cs="Arial"/>
        </w:rPr>
        <w:t>cause of the negative fund balance is not addressed in a timely and appropriate manner, the school could be in jeopardy of financial insolvency that increases the likelihood of revocation. A negative fund balance is indicative of a poor financial condition.</w:t>
      </w:r>
    </w:p>
    <w:p w:rsidR="00F61978" w:rsidRDefault="00F61978" w:rsidP="00407731">
      <w:pPr>
        <w:autoSpaceDE w:val="0"/>
        <w:autoSpaceDN w:val="0"/>
        <w:adjustRightInd w:val="0"/>
        <w:spacing w:after="100" w:afterAutospacing="1"/>
        <w:rPr>
          <w:rFonts w:eastAsia="Calibri" w:cs="Arial"/>
        </w:rPr>
      </w:pPr>
      <w:r w:rsidRPr="00BC16C2">
        <w:rPr>
          <w:rFonts w:eastAsia="Calibri" w:cs="Arial"/>
        </w:rPr>
        <w:t xml:space="preserve">Reserves for Economic Uncertainty </w:t>
      </w:r>
    </w:p>
    <w:p w:rsidR="00F61978" w:rsidRPr="00BC16C2" w:rsidRDefault="00F61978" w:rsidP="00407731">
      <w:pPr>
        <w:autoSpaceDE w:val="0"/>
        <w:autoSpaceDN w:val="0"/>
        <w:adjustRightInd w:val="0"/>
        <w:spacing w:after="100" w:afterAutospacing="1"/>
        <w:ind w:left="720"/>
        <w:rPr>
          <w:rFonts w:eastAsia="Calibri" w:cs="Arial"/>
        </w:rPr>
      </w:pPr>
      <w:r w:rsidRPr="00BC16C2">
        <w:rPr>
          <w:rFonts w:eastAsia="Calibri" w:cs="Arial"/>
        </w:rPr>
        <w:t>MOU terms are written with th</w:t>
      </w:r>
      <w:r>
        <w:rPr>
          <w:rFonts w:eastAsia="Calibri" w:cs="Arial"/>
        </w:rPr>
        <w:t xml:space="preserve">e expectation that each </w:t>
      </w:r>
      <w:r w:rsidRPr="00BC16C2">
        <w:rPr>
          <w:rFonts w:eastAsia="Calibri" w:cs="Arial"/>
        </w:rPr>
        <w:t>school</w:t>
      </w:r>
      <w:r>
        <w:rPr>
          <w:rFonts w:eastAsia="Calibri" w:cs="Arial"/>
        </w:rPr>
        <w:t xml:space="preserve">, depending on the level of the school’s </w:t>
      </w:r>
      <w:r w:rsidRPr="00BC16C2">
        <w:rPr>
          <w:rFonts w:eastAsia="Calibri" w:cs="Arial"/>
        </w:rPr>
        <w:t>average daily attendance</w:t>
      </w:r>
      <w:r>
        <w:rPr>
          <w:rFonts w:eastAsia="Calibri" w:cs="Arial"/>
        </w:rPr>
        <w:t xml:space="preserve"> (ADA), set aside reserves at the greater of four to five percent of expenditures, or a floor amount that is adjusted for inflation. The current</w:t>
      </w:r>
      <w:r w:rsidRPr="00BC16C2">
        <w:rPr>
          <w:rFonts w:eastAsia="Calibri" w:cs="Arial"/>
        </w:rPr>
        <w:t xml:space="preserve"> inflation adjusted floor amount is $6</w:t>
      </w:r>
      <w:r w:rsidR="003D3054">
        <w:rPr>
          <w:rFonts w:eastAsia="Calibri" w:cs="Arial"/>
        </w:rPr>
        <w:t>7</w:t>
      </w:r>
      <w:r w:rsidRPr="00BC16C2">
        <w:rPr>
          <w:rFonts w:eastAsia="Calibri" w:cs="Arial"/>
        </w:rPr>
        <w:t>,000. Reserves below the minimum levels are indicative of a poor financial condition.</w:t>
      </w:r>
    </w:p>
    <w:p w:rsidR="00F61978" w:rsidRDefault="00F61978" w:rsidP="00407731">
      <w:pPr>
        <w:autoSpaceDE w:val="0"/>
        <w:autoSpaceDN w:val="0"/>
        <w:adjustRightInd w:val="0"/>
        <w:spacing w:after="100" w:afterAutospacing="1"/>
        <w:rPr>
          <w:rFonts w:eastAsia="Calibri" w:cs="Arial"/>
        </w:rPr>
      </w:pPr>
      <w:r w:rsidRPr="00BC16C2">
        <w:rPr>
          <w:rFonts w:eastAsia="Calibri" w:cs="Arial"/>
        </w:rPr>
        <w:t>Attendance Ratio</w:t>
      </w:r>
    </w:p>
    <w:p w:rsidR="00F61978" w:rsidRPr="00BC16C2" w:rsidRDefault="00F61978" w:rsidP="00407731">
      <w:pPr>
        <w:autoSpaceDE w:val="0"/>
        <w:autoSpaceDN w:val="0"/>
        <w:adjustRightInd w:val="0"/>
        <w:spacing w:after="100" w:afterAutospacing="1"/>
        <w:ind w:left="720"/>
        <w:rPr>
          <w:rFonts w:eastAsia="Calibri" w:cs="Arial"/>
        </w:rPr>
      </w:pPr>
      <w:r w:rsidRPr="00BC16C2">
        <w:rPr>
          <w:rFonts w:eastAsia="Calibri" w:cs="Arial"/>
        </w:rPr>
        <w:t>The attendance ratio is calculated by dividing the</w:t>
      </w:r>
      <w:r>
        <w:rPr>
          <w:rFonts w:eastAsia="Calibri" w:cs="Arial"/>
        </w:rPr>
        <w:t xml:space="preserve"> second period report of ADA</w:t>
      </w:r>
      <w:r w:rsidRPr="00BC16C2">
        <w:rPr>
          <w:rFonts w:eastAsia="Calibri" w:cs="Arial"/>
        </w:rPr>
        <w:t xml:space="preserve"> f</w:t>
      </w:r>
      <w:r>
        <w:rPr>
          <w:rFonts w:eastAsia="Calibri" w:cs="Arial"/>
        </w:rPr>
        <w:t xml:space="preserve">or the Second Principal </w:t>
      </w:r>
      <w:r w:rsidR="00B66519">
        <w:rPr>
          <w:rFonts w:eastAsia="Calibri" w:cs="Arial"/>
        </w:rPr>
        <w:t>(P-</w:t>
      </w:r>
      <w:r w:rsidRPr="00BC16C2">
        <w:rPr>
          <w:rFonts w:eastAsia="Calibri" w:cs="Arial"/>
        </w:rPr>
        <w:t xml:space="preserve">2) </w:t>
      </w:r>
      <w:r>
        <w:rPr>
          <w:rFonts w:eastAsia="Calibri" w:cs="Arial"/>
        </w:rPr>
        <w:t>A</w:t>
      </w:r>
      <w:r w:rsidRPr="00BC16C2">
        <w:rPr>
          <w:rFonts w:eastAsia="Calibri" w:cs="Arial"/>
        </w:rPr>
        <w:t xml:space="preserve">pportionment by the fall October enrollment count. Generally, the </w:t>
      </w:r>
      <w:r>
        <w:rPr>
          <w:rFonts w:eastAsia="Calibri" w:cs="Arial"/>
        </w:rPr>
        <w:t>attendance ratio</w:t>
      </w:r>
      <w:r w:rsidRPr="00BC16C2">
        <w:rPr>
          <w:rFonts w:eastAsia="Calibri" w:cs="Arial"/>
        </w:rPr>
        <w:t xml:space="preserve"> is between 93 to 96 percent.</w:t>
      </w:r>
    </w:p>
    <w:p w:rsidR="00F61978" w:rsidRDefault="00F61978" w:rsidP="00407731">
      <w:pPr>
        <w:autoSpaceDE w:val="0"/>
        <w:autoSpaceDN w:val="0"/>
        <w:adjustRightInd w:val="0"/>
        <w:spacing w:after="100" w:afterAutospacing="1"/>
        <w:rPr>
          <w:rFonts w:cs="Arial"/>
          <w:color w:val="000000"/>
        </w:rPr>
      </w:pPr>
      <w:r w:rsidRPr="00BC16C2">
        <w:rPr>
          <w:rFonts w:eastAsia="Calibri" w:cs="Arial"/>
        </w:rPr>
        <w:t>Debt Ratio</w:t>
      </w:r>
      <w:r w:rsidRPr="00BC16C2">
        <w:rPr>
          <w:rFonts w:cs="Arial"/>
          <w:color w:val="000000"/>
        </w:rPr>
        <w:t xml:space="preserve"> </w:t>
      </w:r>
    </w:p>
    <w:p w:rsidR="00F61978" w:rsidRDefault="00F61978" w:rsidP="00407731">
      <w:pPr>
        <w:autoSpaceDE w:val="0"/>
        <w:autoSpaceDN w:val="0"/>
        <w:adjustRightInd w:val="0"/>
        <w:spacing w:after="100" w:afterAutospacing="1"/>
        <w:ind w:left="720"/>
        <w:rPr>
          <w:rFonts w:cs="Arial"/>
          <w:color w:val="000000"/>
        </w:rPr>
      </w:pPr>
      <w:r w:rsidRPr="00BC16C2">
        <w:rPr>
          <w:rFonts w:cs="Arial"/>
          <w:color w:val="000000"/>
        </w:rPr>
        <w:t>The debt ratio is calculated</w:t>
      </w:r>
      <w:r>
        <w:rPr>
          <w:rFonts w:cs="Arial"/>
          <w:color w:val="000000"/>
        </w:rPr>
        <w:t xml:space="preserve"> by dividing the total liabilities</w:t>
      </w:r>
      <w:r w:rsidRPr="00BC16C2">
        <w:rPr>
          <w:rFonts w:cs="Arial"/>
          <w:color w:val="000000"/>
        </w:rPr>
        <w:t xml:space="preserve"> by the total assets. The d</w:t>
      </w:r>
      <w:r w:rsidRPr="00BC16C2">
        <w:rPr>
          <w:color w:val="000000"/>
        </w:rPr>
        <w:t>ebt ratio measures a school’s level of financial risk. A debt ratio of more than 1.0 indicates that the school has more debts than assets. Schools with a high debt ratio have limited options for short-term financing and generally will pay more in financing and interest cost</w:t>
      </w:r>
      <w:r w:rsidRPr="00BC16C2">
        <w:rPr>
          <w:rFonts w:cs="Arial"/>
          <w:color w:val="000000"/>
        </w:rPr>
        <w:fldChar w:fldCharType="begin"/>
      </w:r>
      <w:r w:rsidRPr="00BC16C2">
        <w:rPr>
          <w:rFonts w:cs="Arial"/>
          <w:color w:val="000000"/>
        </w:rPr>
        <w:instrText xml:space="preserve"> INCLUDEPICTURE "http://i.investopedia.com/inv/dictionary/terms/debtratio.gif" \* MERGEFORMATINET </w:instrText>
      </w:r>
      <w:r w:rsidRPr="00BC16C2">
        <w:rPr>
          <w:rFonts w:cs="Arial"/>
          <w:color w:val="000000"/>
        </w:rPr>
        <w:fldChar w:fldCharType="end"/>
      </w:r>
      <w:r>
        <w:rPr>
          <w:rFonts w:cs="Arial"/>
          <w:color w:val="000000"/>
        </w:rPr>
        <w:t>.</w:t>
      </w:r>
    </w:p>
    <w:p w:rsidR="00F61978" w:rsidRDefault="00F61978" w:rsidP="00407731">
      <w:pPr>
        <w:autoSpaceDE w:val="0"/>
        <w:autoSpaceDN w:val="0"/>
        <w:adjustRightInd w:val="0"/>
        <w:spacing w:after="100" w:afterAutospacing="1"/>
        <w:rPr>
          <w:color w:val="000000"/>
        </w:rPr>
      </w:pPr>
      <w:r w:rsidRPr="00BC16C2">
        <w:rPr>
          <w:color w:val="000000"/>
        </w:rPr>
        <w:lastRenderedPageBreak/>
        <w:t xml:space="preserve">Working Capital Ratio </w:t>
      </w:r>
    </w:p>
    <w:p w:rsidR="001A6670" w:rsidRDefault="00F61978" w:rsidP="000B491B">
      <w:pPr>
        <w:shd w:val="clear" w:color="auto" w:fill="FFFFFF"/>
        <w:spacing w:after="100" w:afterAutospacing="1"/>
        <w:ind w:left="720"/>
        <w:rPr>
          <w:rFonts w:cs="Arial"/>
          <w:color w:val="000000"/>
        </w:rPr>
      </w:pPr>
      <w:r w:rsidRPr="00BC16C2">
        <w:rPr>
          <w:color w:val="000000"/>
        </w:rPr>
        <w:t>The working capital ratio is calculated by dividing current assets by current liabilities. The w</w:t>
      </w:r>
      <w:r w:rsidRPr="00BC16C2">
        <w:rPr>
          <w:rFonts w:cs="Arial"/>
          <w:color w:val="000000"/>
        </w:rPr>
        <w:t>orking capital ratio, also known as current ratio, measures cash liquidity and whether the school has enough short</w:t>
      </w:r>
      <w:r>
        <w:rPr>
          <w:rFonts w:cs="Arial"/>
          <w:color w:val="000000"/>
        </w:rPr>
        <w:t>-</w:t>
      </w:r>
      <w:r w:rsidRPr="00BC16C2">
        <w:rPr>
          <w:rFonts w:cs="Arial"/>
          <w:color w:val="000000"/>
        </w:rPr>
        <w:t xml:space="preserve">term assets to cover its short-term debt. </w:t>
      </w:r>
      <w:r w:rsidRPr="00BC16C2">
        <w:rPr>
          <w:rFonts w:cs="Arial"/>
          <w:color w:val="000000"/>
          <w:lang w:val="en"/>
        </w:rPr>
        <w:t>A ratio of less than 1.0 means current assets are le</w:t>
      </w:r>
      <w:r>
        <w:rPr>
          <w:rFonts w:cs="Arial"/>
          <w:color w:val="000000"/>
          <w:lang w:val="en"/>
        </w:rPr>
        <w:t xml:space="preserve">ss than current liabilities. A </w:t>
      </w:r>
      <w:r w:rsidRPr="00BC16C2">
        <w:rPr>
          <w:rFonts w:cs="Arial"/>
          <w:color w:val="000000"/>
        </w:rPr>
        <w:t xml:space="preserve">school with a ratio below 0.8 may have difficulty paying its bills </w:t>
      </w:r>
      <w:r>
        <w:rPr>
          <w:rFonts w:cs="Arial"/>
          <w:color w:val="000000"/>
        </w:rPr>
        <w:t>i</w:t>
      </w:r>
      <w:r w:rsidR="001A6670">
        <w:rPr>
          <w:rFonts w:cs="Arial"/>
          <w:color w:val="000000"/>
        </w:rPr>
        <w:t xml:space="preserve">n a timely manner. A current ratio of 1.2 or higher is considered to represent good </w:t>
      </w:r>
      <w:proofErr w:type="gramStart"/>
      <w:r w:rsidR="001A6670">
        <w:rPr>
          <w:rFonts w:cs="Arial"/>
          <w:color w:val="000000"/>
        </w:rPr>
        <w:t>short term</w:t>
      </w:r>
      <w:proofErr w:type="gramEnd"/>
      <w:r w:rsidR="001A6670">
        <w:rPr>
          <w:rFonts w:cs="Arial"/>
          <w:color w:val="000000"/>
        </w:rPr>
        <w:t xml:space="preserve"> liquidity.</w:t>
      </w:r>
    </w:p>
    <w:p w:rsidR="001A6670" w:rsidRDefault="001A6670">
      <w:pPr>
        <w:spacing w:after="160" w:line="259" w:lineRule="auto"/>
        <w:rPr>
          <w:rFonts w:cs="Arial"/>
          <w:color w:val="000000"/>
        </w:rPr>
      </w:pPr>
      <w:r>
        <w:rPr>
          <w:rFonts w:cs="Arial"/>
          <w:color w:val="000000"/>
        </w:rPr>
        <w:br w:type="page"/>
      </w:r>
    </w:p>
    <w:p w:rsidR="001A6670" w:rsidRPr="00407731" w:rsidRDefault="001A6670" w:rsidP="00A75084">
      <w:pPr>
        <w:pStyle w:val="Heading2"/>
      </w:pPr>
      <w:r w:rsidRPr="00407731">
        <w:lastRenderedPageBreak/>
        <w:t>Fair Financial Condition</w:t>
      </w:r>
    </w:p>
    <w:p w:rsidR="00407731" w:rsidRDefault="001A6670" w:rsidP="00407731">
      <w:pPr>
        <w:spacing w:after="100" w:afterAutospacing="1"/>
      </w:pPr>
      <w:r>
        <w:t>Charter schools</w:t>
      </w:r>
      <w:r w:rsidRPr="00BC16C2">
        <w:t xml:space="preserve"> in fair financial condition </w:t>
      </w:r>
      <w:r>
        <w:t>are</w:t>
      </w:r>
      <w:r w:rsidRPr="00BC16C2">
        <w:t xml:space="preserve"> showing some signs of fiscal distress and need to take appropriate action</w:t>
      </w:r>
      <w:r>
        <w:t>s</w:t>
      </w:r>
      <w:r w:rsidRPr="00BC16C2">
        <w:t xml:space="preserve"> to address the decline in financial condition. Specifically, </w:t>
      </w:r>
      <w:r>
        <w:t>charter schools</w:t>
      </w:r>
      <w:r w:rsidRPr="00BC16C2">
        <w:t xml:space="preserve"> in fa</w:t>
      </w:r>
      <w:r>
        <w:t xml:space="preserve">ir financial condition may have </w:t>
      </w:r>
      <w:r w:rsidRPr="00BC16C2">
        <w:t>budget</w:t>
      </w:r>
      <w:r>
        <w:t>s</w:t>
      </w:r>
      <w:r w:rsidRPr="00BC16C2">
        <w:t xml:space="preserve"> that</w:t>
      </w:r>
      <w:r>
        <w:t xml:space="preserve"> are</w:t>
      </w:r>
      <w:r w:rsidRPr="00BC16C2">
        <w:t xml:space="preserve"> out of balance (deficit spending), declining</w:t>
      </w:r>
      <w:r>
        <w:t xml:space="preserve"> enrollment or attendance ratio</w:t>
      </w:r>
      <w:r w:rsidRPr="00BC16C2">
        <w:t>, cash liquidity that is not adequate, debt level</w:t>
      </w:r>
      <w:r>
        <w:t>s that are</w:t>
      </w:r>
      <w:r w:rsidRPr="00BC16C2">
        <w:t xml:space="preserve"> high, </w:t>
      </w:r>
      <w:r>
        <w:t>d</w:t>
      </w:r>
      <w:r w:rsidRPr="00BC16C2">
        <w:t>eclining or low fund balance</w:t>
      </w:r>
      <w:r>
        <w:t>s, or reserve levels</w:t>
      </w:r>
      <w:r w:rsidRPr="00BC16C2">
        <w:t xml:space="preserve"> tha</w:t>
      </w:r>
      <w:r>
        <w:t xml:space="preserve">t are below the levels required </w:t>
      </w:r>
      <w:r w:rsidRPr="00BC16C2">
        <w:t>in the MOU. The chart</w:t>
      </w:r>
      <w:r w:rsidR="008250AC">
        <w:t>er school</w:t>
      </w:r>
      <w:r w:rsidRPr="00BC16C2">
        <w:t xml:space="preserve"> identified as bein</w:t>
      </w:r>
      <w:r w:rsidR="001F4207">
        <w:t>g in fair financial condition</w:t>
      </w:r>
      <w:r w:rsidR="00815147">
        <w:t xml:space="preserve"> is</w:t>
      </w:r>
      <w:r w:rsidRPr="00BC16C2">
        <w:t>:</w:t>
      </w:r>
    </w:p>
    <w:p w:rsidR="007C3BB7" w:rsidRPr="00407731" w:rsidRDefault="007C3BB7" w:rsidP="008424F4">
      <w:pPr>
        <w:pStyle w:val="ListParagraph"/>
        <w:numPr>
          <w:ilvl w:val="0"/>
          <w:numId w:val="4"/>
        </w:numPr>
        <w:spacing w:after="100" w:afterAutospacing="1"/>
        <w:rPr>
          <w:rFonts w:cs="Arial"/>
          <w:color w:val="000000"/>
        </w:rPr>
      </w:pPr>
      <w:r w:rsidRPr="00407731">
        <w:rPr>
          <w:rFonts w:cs="Arial"/>
        </w:rPr>
        <w:t>A</w:t>
      </w:r>
      <w:r w:rsidR="003D3054">
        <w:rPr>
          <w:rFonts w:cs="Arial"/>
        </w:rPr>
        <w:t xml:space="preserve">cademia </w:t>
      </w:r>
      <w:proofErr w:type="spellStart"/>
      <w:r w:rsidR="003D3054">
        <w:rPr>
          <w:rFonts w:cs="Arial"/>
        </w:rPr>
        <w:t>Avance</w:t>
      </w:r>
      <w:proofErr w:type="spellEnd"/>
      <w:r w:rsidR="003D3054">
        <w:rPr>
          <w:rFonts w:cs="Arial"/>
        </w:rPr>
        <w:t xml:space="preserve"> Charter</w:t>
      </w:r>
    </w:p>
    <w:p w:rsidR="007C3BB7" w:rsidRDefault="007C3BB7" w:rsidP="000B491B">
      <w:pPr>
        <w:pStyle w:val="Heading3"/>
      </w:pPr>
      <w:r>
        <w:t>A</w:t>
      </w:r>
      <w:r w:rsidR="003D3054">
        <w:t xml:space="preserve">cademia </w:t>
      </w:r>
      <w:proofErr w:type="spellStart"/>
      <w:r w:rsidR="003D3054">
        <w:t>Avance</w:t>
      </w:r>
      <w:proofErr w:type="spellEnd"/>
      <w:r w:rsidR="003D3054">
        <w:t xml:space="preserve"> Charter</w:t>
      </w:r>
    </w:p>
    <w:p w:rsidR="007C3BB7" w:rsidRDefault="003D3054" w:rsidP="00407731">
      <w:pPr>
        <w:pStyle w:val="ListParagraph"/>
        <w:numPr>
          <w:ilvl w:val="0"/>
          <w:numId w:val="5"/>
        </w:numPr>
      </w:pPr>
      <w:r>
        <w:t>Charter Term Expires: 6/30/2020</w:t>
      </w:r>
    </w:p>
    <w:p w:rsidR="007C3BB7" w:rsidRDefault="007C3BB7" w:rsidP="00407731">
      <w:pPr>
        <w:pStyle w:val="ListParagraph"/>
        <w:numPr>
          <w:ilvl w:val="0"/>
          <w:numId w:val="5"/>
        </w:numPr>
      </w:pPr>
      <w:r>
        <w:t xml:space="preserve">Grades Authorized to Serve: </w:t>
      </w:r>
      <w:r w:rsidR="003D3054">
        <w:t>8</w:t>
      </w:r>
      <w:r>
        <w:t>–12</w:t>
      </w:r>
    </w:p>
    <w:p w:rsidR="007C3BB7" w:rsidRDefault="00B66519" w:rsidP="00407731">
      <w:pPr>
        <w:pStyle w:val="ListParagraph"/>
        <w:numPr>
          <w:ilvl w:val="0"/>
          <w:numId w:val="5"/>
        </w:numPr>
      </w:pPr>
      <w:r>
        <w:t>201</w:t>
      </w:r>
      <w:r w:rsidR="003D3054">
        <w:t>7–18</w:t>
      </w:r>
      <w:r>
        <w:t xml:space="preserve"> P-</w:t>
      </w:r>
      <w:r w:rsidR="007C3BB7">
        <w:t>2 ADA: 3</w:t>
      </w:r>
      <w:r w:rsidR="003D3054">
        <w:t>8</w:t>
      </w:r>
      <w:r w:rsidR="007C3BB7">
        <w:t>2</w:t>
      </w:r>
      <w:r w:rsidR="003D3054">
        <w:t>.41</w:t>
      </w:r>
    </w:p>
    <w:p w:rsidR="00407731" w:rsidRDefault="00B66519" w:rsidP="00407731">
      <w:pPr>
        <w:pStyle w:val="ListParagraph"/>
        <w:numPr>
          <w:ilvl w:val="0"/>
          <w:numId w:val="5"/>
        </w:numPr>
        <w:spacing w:after="100" w:afterAutospacing="1"/>
      </w:pPr>
      <w:r>
        <w:t>201</w:t>
      </w:r>
      <w:r w:rsidR="003D3054">
        <w:t>8–19</w:t>
      </w:r>
      <w:r>
        <w:t xml:space="preserve"> P-</w:t>
      </w:r>
      <w:r w:rsidR="007C3BB7">
        <w:t xml:space="preserve">2 ADA: </w:t>
      </w:r>
      <w:r w:rsidR="001F4207" w:rsidRPr="00476B0E">
        <w:t>3</w:t>
      </w:r>
      <w:r w:rsidR="00476B0E" w:rsidRPr="00476B0E">
        <w:t>67.4</w:t>
      </w:r>
    </w:p>
    <w:p w:rsidR="007C3BB7" w:rsidRDefault="007C3BB7" w:rsidP="004206BB">
      <w:pPr>
        <w:pStyle w:val="Heading4"/>
      </w:pPr>
      <w:r>
        <w:t>Fiscal Concerns</w:t>
      </w:r>
    </w:p>
    <w:p w:rsidR="00BF4286" w:rsidRPr="00391D2E" w:rsidRDefault="00BF4286" w:rsidP="00BF4286">
      <w:r w:rsidRPr="00391D2E">
        <w:t xml:space="preserve">Academia </w:t>
      </w:r>
      <w:proofErr w:type="spellStart"/>
      <w:r w:rsidRPr="00391D2E">
        <w:t>Avance</w:t>
      </w:r>
      <w:proofErr w:type="spellEnd"/>
      <w:r w:rsidRPr="00391D2E">
        <w:t xml:space="preserve"> Charter’s (AAC’s) second interim report indicates that AAC is </w:t>
      </w:r>
      <w:r w:rsidRPr="00391D2E">
        <w:tab/>
      </w:r>
    </w:p>
    <w:p w:rsidR="00450DE4" w:rsidRPr="00391D2E" w:rsidRDefault="00BF4286" w:rsidP="00BF4286">
      <w:pPr>
        <w:spacing w:after="100" w:afterAutospacing="1"/>
      </w:pPr>
      <w:r w:rsidRPr="00391D2E">
        <w:t>projecting a positive ending fund balance of $492,937</w:t>
      </w:r>
      <w:r w:rsidR="00FE1B05">
        <w:t xml:space="preserve"> with a 9.34</w:t>
      </w:r>
      <w:r w:rsidRPr="00391D2E">
        <w:t xml:space="preserve"> percent reserve</w:t>
      </w:r>
      <w:r w:rsidR="00FE1B05">
        <w:t>s</w:t>
      </w:r>
      <w:r w:rsidRPr="00391D2E">
        <w:t xml:space="preserve"> for FY 2018–19. However, </w:t>
      </w:r>
      <w:r w:rsidR="00450DE4" w:rsidRPr="00391D2E">
        <w:t>the C</w:t>
      </w:r>
      <w:r w:rsidR="00815147">
        <w:t xml:space="preserve">alifornia </w:t>
      </w:r>
      <w:r w:rsidR="00450DE4" w:rsidRPr="00391D2E">
        <w:t>D</w:t>
      </w:r>
      <w:r w:rsidR="00815147">
        <w:t xml:space="preserve">epartment of </w:t>
      </w:r>
      <w:r w:rsidR="00450DE4" w:rsidRPr="00391D2E">
        <w:t>E</w:t>
      </w:r>
      <w:r w:rsidR="00815147">
        <w:t>ducation (CDE)</w:t>
      </w:r>
      <w:r w:rsidR="00450DE4" w:rsidRPr="00391D2E">
        <w:t xml:space="preserve"> </w:t>
      </w:r>
      <w:r w:rsidRPr="00391D2E">
        <w:t>notes that as of February 28, 2019, AAC owes $292,101 in outstanding vendor bills, of which $161,476 are overdue more than 90 days. The CDE also notes that AAC’s net assets were negative $7,656 as of February 28, 2019</w:t>
      </w:r>
      <w:r w:rsidRPr="00DF38BB">
        <w:t>.</w:t>
      </w:r>
      <w:r w:rsidR="00450DE4" w:rsidRPr="00DF38BB">
        <w:t xml:space="preserve"> In reviewing the 2017–18 audit, </w:t>
      </w:r>
      <w:r w:rsidR="000E2147" w:rsidRPr="00DF38BB">
        <w:t>the CDE found the repeated financial statement finding of cash disbursements</w:t>
      </w:r>
      <w:r w:rsidR="00FD76CA" w:rsidRPr="00DF38BB">
        <w:t xml:space="preserve"> due to not adhering to its internal control procedures</w:t>
      </w:r>
      <w:r w:rsidR="00915370" w:rsidRPr="00DF38BB">
        <w:t xml:space="preserve"> and AAC not properly defining</w:t>
      </w:r>
      <w:r w:rsidR="00FD76CA" w:rsidRPr="00DF38BB">
        <w:t xml:space="preserve"> the areas of responsibility for disbursements</w:t>
      </w:r>
      <w:r w:rsidR="00915370" w:rsidRPr="00DF38BB">
        <w:t>;</w:t>
      </w:r>
      <w:r w:rsidR="000E2147" w:rsidRPr="00DF38BB">
        <w:t xml:space="preserve"> two state award findings of </w:t>
      </w:r>
      <w:r w:rsidR="00382423" w:rsidRPr="00DF38BB">
        <w:t>California Longitudinal Pupil Achievement Data System</w:t>
      </w:r>
      <w:r w:rsidR="00FD76CA" w:rsidRPr="00DF38BB">
        <w:t xml:space="preserve"> (CALPADS)</w:t>
      </w:r>
      <w:r w:rsidR="000E2147" w:rsidRPr="00DF38BB">
        <w:t xml:space="preserve"> unduplicated pupil count</w:t>
      </w:r>
      <w:r w:rsidR="00915370" w:rsidRPr="00DF38BB">
        <w:t>s</w:t>
      </w:r>
      <w:r w:rsidR="00FD76CA" w:rsidRPr="00DF38BB">
        <w:t xml:space="preserve"> due to the CALPADS reports </w:t>
      </w:r>
      <w:r w:rsidR="00915370" w:rsidRPr="00DF38BB">
        <w:t>not be</w:t>
      </w:r>
      <w:r w:rsidR="00DF38BB" w:rsidRPr="00DF38BB">
        <w:t>ing</w:t>
      </w:r>
      <w:r w:rsidR="00FD76CA" w:rsidRPr="00DF38BB">
        <w:t xml:space="preserve"> updated in a timely manner to correct student changes in the 2017–18 year</w:t>
      </w:r>
      <w:r w:rsidR="00915370" w:rsidRPr="00DF38BB">
        <w:t>;</w:t>
      </w:r>
      <w:r w:rsidR="000E2147" w:rsidRPr="00DF38BB">
        <w:t xml:space="preserve"> and </w:t>
      </w:r>
      <w:r w:rsidR="00915370" w:rsidRPr="00DF38BB">
        <w:t>one grade seven</w:t>
      </w:r>
      <w:r w:rsidR="00FD76CA" w:rsidRPr="00DF38BB">
        <w:t xml:space="preserve"> core-classroom </w:t>
      </w:r>
      <w:r w:rsidR="000E2147" w:rsidRPr="00DF38BB">
        <w:t xml:space="preserve">teacher </w:t>
      </w:r>
      <w:r w:rsidR="00FD76CA" w:rsidRPr="00DF38BB">
        <w:t>did not hold a valid Commission on Te</w:t>
      </w:r>
      <w:r w:rsidR="00915370" w:rsidRPr="00DF38BB">
        <w:t xml:space="preserve">acher Credentialing certificate, resulting in </w:t>
      </w:r>
      <w:r w:rsidR="00FD76CA" w:rsidRPr="00DF38BB">
        <w:t xml:space="preserve">the affected instructional minutes for grade 7 </w:t>
      </w:r>
      <w:r w:rsidR="00915370" w:rsidRPr="00DF38BB">
        <w:t xml:space="preserve">being </w:t>
      </w:r>
      <w:r w:rsidR="00FD76CA" w:rsidRPr="00DF38BB">
        <w:t>disallowed</w:t>
      </w:r>
      <w:r w:rsidR="007C012C" w:rsidRPr="00DF38BB">
        <w:t>.</w:t>
      </w:r>
      <w:r w:rsidR="000E2147" w:rsidRPr="00391D2E">
        <w:t xml:space="preserve"> </w:t>
      </w:r>
      <w:r w:rsidR="002E0854" w:rsidRPr="00391D2E">
        <w:t xml:space="preserve">The CDE also notes that </w:t>
      </w:r>
      <w:r w:rsidR="00391D2E" w:rsidRPr="00391D2E">
        <w:t>AAC’s financial services provider has estimated that its ending cash balance will be positive by approximately $11,642 at the end of 2018–19 with a condition of continuance of factoring its receivable</w:t>
      </w:r>
      <w:r w:rsidR="00815147">
        <w:t>s</w:t>
      </w:r>
      <w:r w:rsidR="00391D2E" w:rsidRPr="00391D2E">
        <w:t xml:space="preserve">. </w:t>
      </w:r>
      <w:r w:rsidR="000E2147" w:rsidRPr="00391D2E">
        <w:t xml:space="preserve"> </w:t>
      </w:r>
    </w:p>
    <w:p w:rsidR="00DD6097" w:rsidRDefault="00DD6097" w:rsidP="000B491B">
      <w:pPr>
        <w:pStyle w:val="Heading4"/>
      </w:pPr>
      <w:r>
        <w:t>California Department of Education Follow-Up</w:t>
      </w:r>
    </w:p>
    <w:p w:rsidR="00391D2E" w:rsidRPr="00A435CF" w:rsidRDefault="00391D2E" w:rsidP="00F147CD">
      <w:pPr>
        <w:spacing w:after="100" w:afterAutospacing="1"/>
      </w:pPr>
      <w:r w:rsidRPr="007C012C">
        <w:t>On Ma</w:t>
      </w:r>
      <w:r w:rsidR="00382423">
        <w:t xml:space="preserve">y 2, 2019, the CDE requested </w:t>
      </w:r>
      <w:r w:rsidRPr="007C012C">
        <w:t xml:space="preserve">updated </w:t>
      </w:r>
      <w:r w:rsidR="00FE1B05" w:rsidRPr="007C012C">
        <w:t>financial statements to determine if AAC has improved it financial condition. AAC’s April financial report indicates that AAC is projecting a positive ending fund balance of $504,470 with a 9.52 percent reserves for FY 2018–19. In addition, AAC’s net as</w:t>
      </w:r>
      <w:r w:rsidR="00D46338" w:rsidRPr="007C012C">
        <w:t xml:space="preserve">sets were increased to </w:t>
      </w:r>
      <w:r w:rsidR="00FE1B05" w:rsidRPr="007C012C">
        <w:t>$2,286</w:t>
      </w:r>
      <w:r w:rsidR="00D46338" w:rsidRPr="007C012C">
        <w:t xml:space="preserve"> as of April 30, </w:t>
      </w:r>
      <w:r w:rsidR="00D46338" w:rsidRPr="007C012C">
        <w:lastRenderedPageBreak/>
        <w:t>2019. AAC’s ending cash balance is projected to be $2,753 at the end of 2018–19</w:t>
      </w:r>
      <w:r w:rsidR="00815147">
        <w:t xml:space="preserve"> with the condition</w:t>
      </w:r>
      <w:r w:rsidR="00D46338" w:rsidRPr="007C012C">
        <w:t xml:space="preserve"> that AAC continue to factor its receivables. The </w:t>
      </w:r>
      <w:r w:rsidR="004C6FEA" w:rsidRPr="007C012C">
        <w:t xml:space="preserve">projected </w:t>
      </w:r>
      <w:r w:rsidR="00815147">
        <w:t xml:space="preserve">cost of receivables sales, </w:t>
      </w:r>
      <w:r w:rsidR="00D46338" w:rsidRPr="007C012C">
        <w:t xml:space="preserve">however, were reduced from FY 2017–18 to FY 2018–19 by </w:t>
      </w:r>
      <w:r w:rsidR="007C012C" w:rsidRPr="007C012C">
        <w:t>three</w:t>
      </w:r>
      <w:r w:rsidR="002D0A84" w:rsidRPr="007C012C">
        <w:t xml:space="preserve"> percent, from $217,999 to $</w:t>
      </w:r>
      <w:r w:rsidR="00E832AD" w:rsidRPr="007C012C">
        <w:t>210,652</w:t>
      </w:r>
      <w:r w:rsidR="007C012C" w:rsidRPr="007C012C">
        <w:t>.</w:t>
      </w:r>
      <w:r w:rsidR="00A435CF">
        <w:t xml:space="preserve"> </w:t>
      </w:r>
      <w:r w:rsidR="0070290D" w:rsidRPr="00DF38BB">
        <w:t>To address the</w:t>
      </w:r>
      <w:r w:rsidR="00A435CF" w:rsidRPr="00DF38BB">
        <w:t xml:space="preserve"> cash disbursements</w:t>
      </w:r>
      <w:r w:rsidR="0070290D" w:rsidRPr="00DF38BB">
        <w:t xml:space="preserve"> finding in the 2017–18 audit</w:t>
      </w:r>
      <w:r w:rsidR="00A435CF" w:rsidRPr="00DF38BB">
        <w:t>,</w:t>
      </w:r>
      <w:r w:rsidR="0070290D" w:rsidRPr="00DF38BB">
        <w:t xml:space="preserve"> AAC now requires</w:t>
      </w:r>
      <w:r w:rsidR="00A435CF" w:rsidRPr="00DF38BB">
        <w:t xml:space="preserve"> proper documentation</w:t>
      </w:r>
      <w:r w:rsidR="00A435CF">
        <w:t xml:space="preserve"> for every payment </w:t>
      </w:r>
      <w:r w:rsidR="004444BF">
        <w:t xml:space="preserve">that </w:t>
      </w:r>
      <w:r w:rsidR="00A435CF">
        <w:t>must be within the expense allowance authorized by the Fiscal Policy for approval by the Executive Director or Business Manager, and is within an approved budget category. AAC’s Fiscal Policy was revised by the Governing Board in January 2019 to clarify and improve the purchasing controls to mitigate this condition.</w:t>
      </w:r>
      <w:r w:rsidR="00120155">
        <w:rPr>
          <w:color w:val="FF0000"/>
        </w:rPr>
        <w:t xml:space="preserve"> </w:t>
      </w:r>
      <w:r w:rsidR="00120155" w:rsidRPr="007C012C">
        <w:t xml:space="preserve">The CDE will continue to monitor the AAC budget, and may recommend that the SBE take appropriate action, as deemed necessary. </w:t>
      </w:r>
    </w:p>
    <w:p w:rsidR="001D0D17" w:rsidRDefault="001D0D17" w:rsidP="00F147CD">
      <w:pPr>
        <w:spacing w:after="100" w:afterAutospacing="1"/>
      </w:pPr>
      <w:r>
        <w:br w:type="page"/>
      </w:r>
    </w:p>
    <w:p w:rsidR="001D0D17" w:rsidRDefault="001D0D17" w:rsidP="001D0D17">
      <w:pPr>
        <w:spacing w:after="100" w:afterAutospacing="1"/>
        <w:sectPr w:rsidR="001D0D17" w:rsidSect="000B491B">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900" w:left="1440" w:header="720" w:footer="720" w:gutter="0"/>
          <w:cols w:space="720"/>
        </w:sectPr>
      </w:pPr>
    </w:p>
    <w:p w:rsidR="007C3BB7" w:rsidRPr="001D0D17" w:rsidRDefault="001D0D17" w:rsidP="00F147CD">
      <w:pPr>
        <w:spacing w:after="100" w:afterAutospacing="1"/>
        <w:rPr>
          <w:b/>
        </w:rPr>
      </w:pPr>
      <w:r w:rsidRPr="001D0D17">
        <w:rPr>
          <w:b/>
        </w:rPr>
        <w:lastRenderedPageBreak/>
        <w:t>A</w:t>
      </w:r>
      <w:r w:rsidR="00815147">
        <w:rPr>
          <w:b/>
        </w:rPr>
        <w:t xml:space="preserve">cademia </w:t>
      </w:r>
      <w:proofErr w:type="spellStart"/>
      <w:r w:rsidR="00714FE2">
        <w:rPr>
          <w:b/>
        </w:rPr>
        <w:t>A</w:t>
      </w:r>
      <w:r w:rsidR="00815147">
        <w:rPr>
          <w:b/>
        </w:rPr>
        <w:t>vance</w:t>
      </w:r>
      <w:proofErr w:type="spellEnd"/>
      <w:r w:rsidR="00815147">
        <w:rPr>
          <w:b/>
        </w:rPr>
        <w:t xml:space="preserve"> </w:t>
      </w:r>
      <w:r w:rsidR="00714FE2">
        <w:rPr>
          <w:b/>
        </w:rPr>
        <w:t>C</w:t>
      </w:r>
      <w:r w:rsidR="00815147">
        <w:rPr>
          <w:b/>
        </w:rPr>
        <w:t>harter</w:t>
      </w:r>
      <w:r w:rsidRPr="001D0D17">
        <w:rPr>
          <w:b/>
        </w:rPr>
        <w:t xml:space="preserve"> </w:t>
      </w:r>
      <w:r w:rsidR="007C3BB7" w:rsidRPr="001D0D17">
        <w:rPr>
          <w:b/>
        </w:rPr>
        <w:t>Financial Highlights</w:t>
      </w:r>
    </w:p>
    <w:p w:rsidR="001D0D17" w:rsidRDefault="00F147CD" w:rsidP="001D0D17">
      <w:r>
        <w:t>N</w:t>
      </w:r>
      <w:r w:rsidR="001D0D17">
        <w:t>A = Not Applicable</w:t>
      </w:r>
    </w:p>
    <w:tbl>
      <w:tblPr>
        <w:tblStyle w:val="TableGrid"/>
        <w:tblW w:w="5000" w:type="pct"/>
        <w:tblLook w:val="04A0" w:firstRow="1" w:lastRow="0" w:firstColumn="1" w:lastColumn="0" w:noHBand="0" w:noVBand="1"/>
        <w:tblCaption w:val="Financial Highlights"/>
        <w:tblDescription w:val="Financial Highlights"/>
      </w:tblPr>
      <w:tblGrid>
        <w:gridCol w:w="1204"/>
        <w:gridCol w:w="1655"/>
        <w:gridCol w:w="2030"/>
        <w:gridCol w:w="1575"/>
        <w:gridCol w:w="1372"/>
        <w:gridCol w:w="951"/>
        <w:gridCol w:w="1777"/>
        <w:gridCol w:w="1608"/>
        <w:gridCol w:w="1498"/>
      </w:tblGrid>
      <w:tr w:rsidR="007C3BB7" w:rsidRPr="00407731" w:rsidTr="00B843CB">
        <w:trPr>
          <w:tblHeader/>
        </w:trPr>
        <w:tc>
          <w:tcPr>
            <w:tcW w:w="440" w:type="pct"/>
          </w:tcPr>
          <w:p w:rsidR="007C3BB7" w:rsidRPr="00407731" w:rsidRDefault="007C3BB7" w:rsidP="001F4207">
            <w:pPr>
              <w:jc w:val="center"/>
              <w:rPr>
                <w:rFonts w:cs="Arial"/>
                <w:b/>
              </w:rPr>
            </w:pPr>
            <w:r w:rsidRPr="00407731">
              <w:rPr>
                <w:rFonts w:cs="Arial"/>
                <w:b/>
              </w:rPr>
              <w:t>FY / Source</w:t>
            </w:r>
          </w:p>
        </w:tc>
        <w:tc>
          <w:tcPr>
            <w:tcW w:w="605" w:type="pct"/>
          </w:tcPr>
          <w:p w:rsidR="007C3BB7" w:rsidRPr="00407731" w:rsidRDefault="007C3BB7" w:rsidP="001F4207">
            <w:pPr>
              <w:jc w:val="center"/>
              <w:rPr>
                <w:rFonts w:cs="Arial"/>
                <w:b/>
              </w:rPr>
            </w:pPr>
            <w:r w:rsidRPr="00407731">
              <w:rPr>
                <w:rFonts w:cs="Arial"/>
                <w:b/>
              </w:rPr>
              <w:t>Total Revenues</w:t>
            </w:r>
          </w:p>
        </w:tc>
        <w:tc>
          <w:tcPr>
            <w:tcW w:w="742" w:type="pct"/>
          </w:tcPr>
          <w:p w:rsidR="007C3BB7" w:rsidRPr="00407731" w:rsidRDefault="007C3BB7" w:rsidP="001F4207">
            <w:pPr>
              <w:jc w:val="center"/>
              <w:rPr>
                <w:rFonts w:cs="Arial"/>
                <w:b/>
              </w:rPr>
            </w:pPr>
            <w:r w:rsidRPr="00407731">
              <w:rPr>
                <w:rFonts w:cs="Arial"/>
                <w:b/>
              </w:rPr>
              <w:t>Total Expenditures</w:t>
            </w:r>
          </w:p>
        </w:tc>
        <w:tc>
          <w:tcPr>
            <w:tcW w:w="576" w:type="pct"/>
          </w:tcPr>
          <w:p w:rsidR="007C3BB7" w:rsidRPr="00407731" w:rsidRDefault="007C3BB7" w:rsidP="001F4207">
            <w:pPr>
              <w:jc w:val="center"/>
              <w:rPr>
                <w:rFonts w:cs="Arial"/>
                <w:b/>
              </w:rPr>
            </w:pPr>
            <w:r w:rsidRPr="00407731">
              <w:rPr>
                <w:rFonts w:cs="Arial"/>
                <w:b/>
              </w:rPr>
              <w:t>Net Operating Surplus (Deficit)</w:t>
            </w:r>
          </w:p>
        </w:tc>
        <w:tc>
          <w:tcPr>
            <w:tcW w:w="502" w:type="pct"/>
          </w:tcPr>
          <w:p w:rsidR="007C3BB7" w:rsidRPr="00407731" w:rsidRDefault="007C3BB7" w:rsidP="001F4207">
            <w:pPr>
              <w:jc w:val="center"/>
              <w:rPr>
                <w:rFonts w:cs="Arial"/>
                <w:b/>
              </w:rPr>
            </w:pPr>
            <w:r w:rsidRPr="00407731">
              <w:rPr>
                <w:rFonts w:cs="Arial"/>
                <w:b/>
              </w:rPr>
              <w:t>Working Capital Ratio</w:t>
            </w:r>
          </w:p>
        </w:tc>
        <w:tc>
          <w:tcPr>
            <w:tcW w:w="348" w:type="pct"/>
          </w:tcPr>
          <w:p w:rsidR="007C3BB7" w:rsidRPr="00407731" w:rsidRDefault="007C3BB7" w:rsidP="001F4207">
            <w:pPr>
              <w:jc w:val="center"/>
              <w:rPr>
                <w:rFonts w:cs="Arial"/>
                <w:b/>
              </w:rPr>
            </w:pPr>
            <w:r w:rsidRPr="00407731">
              <w:rPr>
                <w:rFonts w:cs="Arial"/>
                <w:b/>
              </w:rPr>
              <w:t>Debt Ratio</w:t>
            </w:r>
          </w:p>
        </w:tc>
        <w:tc>
          <w:tcPr>
            <w:tcW w:w="650" w:type="pct"/>
          </w:tcPr>
          <w:p w:rsidR="007C3BB7" w:rsidRPr="00407731" w:rsidRDefault="007C3BB7" w:rsidP="001F4207">
            <w:pPr>
              <w:jc w:val="center"/>
              <w:rPr>
                <w:rFonts w:cs="Arial"/>
                <w:b/>
              </w:rPr>
            </w:pPr>
            <w:r w:rsidRPr="00407731">
              <w:rPr>
                <w:rFonts w:cs="Arial"/>
                <w:b/>
              </w:rPr>
              <w:t>Attendance Ratio</w:t>
            </w:r>
          </w:p>
        </w:tc>
        <w:tc>
          <w:tcPr>
            <w:tcW w:w="588" w:type="pct"/>
          </w:tcPr>
          <w:p w:rsidR="007C3BB7" w:rsidRPr="00407731" w:rsidRDefault="007C3BB7" w:rsidP="001F4207">
            <w:pPr>
              <w:jc w:val="center"/>
              <w:rPr>
                <w:rFonts w:cs="Arial"/>
                <w:b/>
              </w:rPr>
            </w:pPr>
            <w:r w:rsidRPr="00407731">
              <w:rPr>
                <w:rFonts w:cs="Arial"/>
                <w:b/>
              </w:rPr>
              <w:t>Ending Fund Balance</w:t>
            </w:r>
          </w:p>
        </w:tc>
        <w:tc>
          <w:tcPr>
            <w:tcW w:w="548" w:type="pct"/>
          </w:tcPr>
          <w:p w:rsidR="007C3BB7" w:rsidRPr="00407731" w:rsidRDefault="007C3BB7" w:rsidP="001F4207">
            <w:pPr>
              <w:jc w:val="center"/>
              <w:rPr>
                <w:rFonts w:cs="Arial"/>
                <w:b/>
              </w:rPr>
            </w:pPr>
            <w:r w:rsidRPr="00407731">
              <w:rPr>
                <w:rFonts w:cs="Arial"/>
                <w:b/>
              </w:rPr>
              <w:t>Percent of Reserves</w:t>
            </w:r>
          </w:p>
        </w:tc>
      </w:tr>
      <w:tr w:rsidR="007C3BB7" w:rsidRPr="00407731" w:rsidTr="00B843CB">
        <w:tc>
          <w:tcPr>
            <w:tcW w:w="440" w:type="pct"/>
            <w:vAlign w:val="center"/>
          </w:tcPr>
          <w:p w:rsidR="007C3BB7" w:rsidRPr="00407731" w:rsidRDefault="007C3BB7" w:rsidP="00714FE2">
            <w:pPr>
              <w:rPr>
                <w:rFonts w:cs="Arial"/>
              </w:rPr>
            </w:pPr>
            <w:r w:rsidRPr="00407731">
              <w:rPr>
                <w:rFonts w:cs="Arial"/>
              </w:rPr>
              <w:t>201</w:t>
            </w:r>
            <w:r w:rsidR="00714FE2">
              <w:rPr>
                <w:rFonts w:cs="Arial"/>
              </w:rPr>
              <w:t>7–18</w:t>
            </w:r>
            <w:r w:rsidRPr="00407731">
              <w:rPr>
                <w:rFonts w:cs="Arial"/>
              </w:rPr>
              <w:t xml:space="preserve"> Audit</w:t>
            </w:r>
          </w:p>
        </w:tc>
        <w:tc>
          <w:tcPr>
            <w:tcW w:w="605" w:type="pct"/>
            <w:vAlign w:val="center"/>
          </w:tcPr>
          <w:p w:rsidR="007C3BB7" w:rsidRPr="00407731" w:rsidRDefault="007C3BB7" w:rsidP="00714FE2">
            <w:pPr>
              <w:jc w:val="center"/>
              <w:rPr>
                <w:rFonts w:cs="Arial"/>
              </w:rPr>
            </w:pPr>
            <w:r w:rsidRPr="00407731">
              <w:rPr>
                <w:rFonts w:cs="Arial"/>
              </w:rPr>
              <w:t>$</w:t>
            </w:r>
            <w:r w:rsidR="00714FE2">
              <w:rPr>
                <w:rFonts w:cs="Arial"/>
              </w:rPr>
              <w:t>5,811,440</w:t>
            </w:r>
          </w:p>
        </w:tc>
        <w:tc>
          <w:tcPr>
            <w:tcW w:w="742" w:type="pct"/>
            <w:vAlign w:val="center"/>
          </w:tcPr>
          <w:p w:rsidR="007C3BB7" w:rsidRPr="00407731" w:rsidRDefault="00714FE2" w:rsidP="00714FE2">
            <w:pPr>
              <w:jc w:val="center"/>
              <w:rPr>
                <w:rFonts w:cs="Arial"/>
              </w:rPr>
            </w:pPr>
            <w:r>
              <w:rPr>
                <w:rFonts w:cs="Arial"/>
              </w:rPr>
              <w:t>$5,574,717</w:t>
            </w:r>
          </w:p>
        </w:tc>
        <w:tc>
          <w:tcPr>
            <w:tcW w:w="576" w:type="pct"/>
            <w:vAlign w:val="center"/>
          </w:tcPr>
          <w:p w:rsidR="007C3BB7" w:rsidRPr="00407731" w:rsidRDefault="007C3BB7" w:rsidP="00714FE2">
            <w:pPr>
              <w:jc w:val="center"/>
              <w:rPr>
                <w:rFonts w:cs="Arial"/>
              </w:rPr>
            </w:pPr>
            <w:r w:rsidRPr="00407731">
              <w:rPr>
                <w:rFonts w:cs="Arial"/>
              </w:rPr>
              <w:t>$</w:t>
            </w:r>
            <w:r w:rsidR="00714FE2">
              <w:rPr>
                <w:rFonts w:cs="Arial"/>
              </w:rPr>
              <w:t>236,723</w:t>
            </w:r>
          </w:p>
        </w:tc>
        <w:tc>
          <w:tcPr>
            <w:tcW w:w="502" w:type="pct"/>
            <w:vAlign w:val="center"/>
          </w:tcPr>
          <w:p w:rsidR="007C3BB7" w:rsidRPr="00407731" w:rsidRDefault="00714FE2" w:rsidP="001F4207">
            <w:pPr>
              <w:jc w:val="center"/>
              <w:rPr>
                <w:rFonts w:cs="Arial"/>
              </w:rPr>
            </w:pPr>
            <w:r>
              <w:rPr>
                <w:rFonts w:cs="Arial"/>
              </w:rPr>
              <w:t>0.58</w:t>
            </w:r>
          </w:p>
        </w:tc>
        <w:tc>
          <w:tcPr>
            <w:tcW w:w="348" w:type="pct"/>
            <w:vAlign w:val="center"/>
          </w:tcPr>
          <w:p w:rsidR="007C3BB7" w:rsidRPr="00407731" w:rsidRDefault="007C3BB7" w:rsidP="00714FE2">
            <w:pPr>
              <w:jc w:val="center"/>
              <w:rPr>
                <w:rFonts w:cs="Arial"/>
              </w:rPr>
            </w:pPr>
            <w:r w:rsidRPr="00407731">
              <w:rPr>
                <w:rFonts w:cs="Arial"/>
              </w:rPr>
              <w:t>1.</w:t>
            </w:r>
            <w:r w:rsidR="00714FE2">
              <w:rPr>
                <w:rFonts w:cs="Arial"/>
              </w:rPr>
              <w:t>00</w:t>
            </w:r>
          </w:p>
        </w:tc>
        <w:tc>
          <w:tcPr>
            <w:tcW w:w="650" w:type="pct"/>
            <w:vAlign w:val="center"/>
          </w:tcPr>
          <w:p w:rsidR="007C3BB7" w:rsidRPr="00407731" w:rsidRDefault="00714FE2" w:rsidP="001F4207">
            <w:pPr>
              <w:jc w:val="center"/>
              <w:rPr>
                <w:rFonts w:cs="Arial"/>
              </w:rPr>
            </w:pPr>
            <w:r>
              <w:rPr>
                <w:rFonts w:cs="Arial"/>
              </w:rPr>
              <w:t>98.3</w:t>
            </w:r>
            <w:r w:rsidR="007C3BB7" w:rsidRPr="00407731">
              <w:rPr>
                <w:rFonts w:cs="Arial"/>
              </w:rPr>
              <w:t>%</w:t>
            </w:r>
          </w:p>
        </w:tc>
        <w:tc>
          <w:tcPr>
            <w:tcW w:w="588" w:type="pct"/>
            <w:vAlign w:val="center"/>
          </w:tcPr>
          <w:p w:rsidR="007C3BB7" w:rsidRPr="00407731" w:rsidRDefault="007C3BB7" w:rsidP="00714FE2">
            <w:pPr>
              <w:jc w:val="center"/>
              <w:rPr>
                <w:rFonts w:cs="Arial"/>
              </w:rPr>
            </w:pPr>
            <w:r w:rsidRPr="00407731">
              <w:rPr>
                <w:rFonts w:cs="Arial"/>
              </w:rPr>
              <w:t>$</w:t>
            </w:r>
            <w:r w:rsidR="00714FE2">
              <w:rPr>
                <w:rFonts w:cs="Arial"/>
              </w:rPr>
              <w:t>6,562</w:t>
            </w:r>
          </w:p>
        </w:tc>
        <w:tc>
          <w:tcPr>
            <w:tcW w:w="548" w:type="pct"/>
            <w:vAlign w:val="center"/>
          </w:tcPr>
          <w:p w:rsidR="007C3BB7" w:rsidRPr="00407731" w:rsidRDefault="007C3BB7" w:rsidP="001F4207">
            <w:pPr>
              <w:jc w:val="center"/>
              <w:rPr>
                <w:rFonts w:cs="Arial"/>
              </w:rPr>
            </w:pPr>
            <w:r w:rsidRPr="00407731">
              <w:rPr>
                <w:rFonts w:cs="Arial"/>
              </w:rPr>
              <w:t>0%</w:t>
            </w:r>
          </w:p>
        </w:tc>
      </w:tr>
      <w:tr w:rsidR="007C3BB7" w:rsidRPr="00407731" w:rsidTr="00B843CB">
        <w:tc>
          <w:tcPr>
            <w:tcW w:w="440" w:type="pct"/>
          </w:tcPr>
          <w:p w:rsidR="007C3BB7" w:rsidRPr="00407731" w:rsidRDefault="007C3BB7" w:rsidP="00714FE2">
            <w:pPr>
              <w:rPr>
                <w:rFonts w:cs="Arial"/>
              </w:rPr>
            </w:pPr>
            <w:r w:rsidRPr="00407731">
              <w:rPr>
                <w:rFonts w:cs="Arial"/>
              </w:rPr>
              <w:t>201</w:t>
            </w:r>
            <w:r w:rsidR="00714FE2">
              <w:rPr>
                <w:rFonts w:cs="Arial"/>
              </w:rPr>
              <w:t>8–19</w:t>
            </w:r>
            <w:r w:rsidRPr="00407731">
              <w:rPr>
                <w:rFonts w:cs="Arial"/>
              </w:rPr>
              <w:t xml:space="preserve"> Budget</w:t>
            </w:r>
          </w:p>
        </w:tc>
        <w:tc>
          <w:tcPr>
            <w:tcW w:w="605" w:type="pct"/>
            <w:vAlign w:val="center"/>
          </w:tcPr>
          <w:p w:rsidR="007C3BB7" w:rsidRPr="00407731" w:rsidRDefault="007C3BB7" w:rsidP="00714FE2">
            <w:pPr>
              <w:jc w:val="center"/>
              <w:rPr>
                <w:rFonts w:cs="Arial"/>
              </w:rPr>
            </w:pPr>
            <w:r w:rsidRPr="00407731">
              <w:rPr>
                <w:rFonts w:cs="Arial"/>
              </w:rPr>
              <w:t>$</w:t>
            </w:r>
            <w:r w:rsidR="00714FE2">
              <w:rPr>
                <w:rFonts w:cs="Arial"/>
              </w:rPr>
              <w:t>5,554,062</w:t>
            </w:r>
          </w:p>
        </w:tc>
        <w:tc>
          <w:tcPr>
            <w:tcW w:w="742" w:type="pct"/>
            <w:vAlign w:val="center"/>
          </w:tcPr>
          <w:p w:rsidR="007C3BB7" w:rsidRPr="00407731" w:rsidRDefault="007C3BB7" w:rsidP="00714FE2">
            <w:pPr>
              <w:jc w:val="center"/>
              <w:rPr>
                <w:rFonts w:cs="Arial"/>
              </w:rPr>
            </w:pPr>
            <w:r w:rsidRPr="00407731">
              <w:rPr>
                <w:rFonts w:cs="Arial"/>
              </w:rPr>
              <w:t>$</w:t>
            </w:r>
            <w:r w:rsidR="00714FE2">
              <w:rPr>
                <w:rFonts w:cs="Arial"/>
              </w:rPr>
              <w:t>5,147,610</w:t>
            </w:r>
          </w:p>
        </w:tc>
        <w:tc>
          <w:tcPr>
            <w:tcW w:w="576" w:type="pct"/>
            <w:vAlign w:val="center"/>
          </w:tcPr>
          <w:p w:rsidR="007C3BB7" w:rsidRPr="00407731" w:rsidRDefault="007C3BB7" w:rsidP="00714FE2">
            <w:pPr>
              <w:jc w:val="center"/>
              <w:rPr>
                <w:rFonts w:cs="Arial"/>
              </w:rPr>
            </w:pPr>
            <w:r w:rsidRPr="00407731">
              <w:rPr>
                <w:rFonts w:cs="Arial"/>
              </w:rPr>
              <w:t>$</w:t>
            </w:r>
            <w:r w:rsidR="00714FE2">
              <w:rPr>
                <w:rFonts w:cs="Arial"/>
              </w:rPr>
              <w:t>406,452</w:t>
            </w:r>
          </w:p>
        </w:tc>
        <w:tc>
          <w:tcPr>
            <w:tcW w:w="502" w:type="pct"/>
            <w:vAlign w:val="center"/>
          </w:tcPr>
          <w:p w:rsidR="007C3BB7" w:rsidRPr="00407731" w:rsidRDefault="007C3BB7" w:rsidP="001F4207">
            <w:pPr>
              <w:jc w:val="center"/>
              <w:rPr>
                <w:rFonts w:cs="Arial"/>
              </w:rPr>
            </w:pPr>
            <w:r w:rsidRPr="00407731">
              <w:rPr>
                <w:rFonts w:cs="Arial"/>
              </w:rPr>
              <w:t>NA</w:t>
            </w:r>
          </w:p>
        </w:tc>
        <w:tc>
          <w:tcPr>
            <w:tcW w:w="348" w:type="pct"/>
            <w:vAlign w:val="center"/>
          </w:tcPr>
          <w:p w:rsidR="007C3BB7" w:rsidRPr="00407731" w:rsidRDefault="007C3BB7" w:rsidP="001F4207">
            <w:pPr>
              <w:jc w:val="center"/>
              <w:rPr>
                <w:rFonts w:cs="Arial"/>
              </w:rPr>
            </w:pPr>
            <w:r w:rsidRPr="00407731">
              <w:rPr>
                <w:rFonts w:cs="Arial"/>
              </w:rPr>
              <w:t>NA</w:t>
            </w:r>
          </w:p>
        </w:tc>
        <w:tc>
          <w:tcPr>
            <w:tcW w:w="650" w:type="pct"/>
            <w:vAlign w:val="center"/>
          </w:tcPr>
          <w:p w:rsidR="007C3BB7" w:rsidRPr="00407731" w:rsidRDefault="0016783C" w:rsidP="001F4207">
            <w:pPr>
              <w:jc w:val="center"/>
              <w:rPr>
                <w:rFonts w:cs="Arial"/>
              </w:rPr>
            </w:pPr>
            <w:r w:rsidRPr="0016783C">
              <w:rPr>
                <w:rFonts w:cs="Arial"/>
              </w:rPr>
              <w:t>95.4</w:t>
            </w:r>
            <w:r w:rsidR="007C3BB7" w:rsidRPr="00407731">
              <w:rPr>
                <w:rFonts w:cs="Arial"/>
              </w:rPr>
              <w:t>%</w:t>
            </w:r>
          </w:p>
        </w:tc>
        <w:tc>
          <w:tcPr>
            <w:tcW w:w="588" w:type="pct"/>
            <w:vAlign w:val="center"/>
          </w:tcPr>
          <w:p w:rsidR="007C3BB7" w:rsidRPr="00407731" w:rsidRDefault="007C3BB7" w:rsidP="00714FE2">
            <w:pPr>
              <w:jc w:val="center"/>
              <w:rPr>
                <w:rFonts w:cs="Arial"/>
              </w:rPr>
            </w:pPr>
            <w:r w:rsidRPr="00407731">
              <w:rPr>
                <w:rFonts w:cs="Arial"/>
              </w:rPr>
              <w:t>$</w:t>
            </w:r>
            <w:r w:rsidR="00714FE2">
              <w:rPr>
                <w:rFonts w:cs="Arial"/>
              </w:rPr>
              <w:t>259,893</w:t>
            </w:r>
          </w:p>
        </w:tc>
        <w:tc>
          <w:tcPr>
            <w:tcW w:w="548" w:type="pct"/>
            <w:vAlign w:val="center"/>
          </w:tcPr>
          <w:p w:rsidR="007C3BB7" w:rsidRPr="00407731" w:rsidRDefault="00714FE2" w:rsidP="001F4207">
            <w:pPr>
              <w:jc w:val="center"/>
              <w:rPr>
                <w:rFonts w:cs="Arial"/>
              </w:rPr>
            </w:pPr>
            <w:r>
              <w:rPr>
                <w:rFonts w:cs="Arial"/>
              </w:rPr>
              <w:t>5.05</w:t>
            </w:r>
            <w:r w:rsidR="007C3BB7" w:rsidRPr="00407731">
              <w:rPr>
                <w:rFonts w:cs="Arial"/>
              </w:rPr>
              <w:t>%</w:t>
            </w:r>
          </w:p>
        </w:tc>
      </w:tr>
      <w:tr w:rsidR="007C3BB7" w:rsidRPr="00407731" w:rsidTr="00B843CB">
        <w:tc>
          <w:tcPr>
            <w:tcW w:w="440" w:type="pct"/>
          </w:tcPr>
          <w:p w:rsidR="007C3BB7" w:rsidRPr="00407731" w:rsidRDefault="00714FE2" w:rsidP="001F4207">
            <w:pPr>
              <w:rPr>
                <w:rFonts w:cs="Arial"/>
              </w:rPr>
            </w:pPr>
            <w:r>
              <w:rPr>
                <w:rFonts w:cs="Arial"/>
              </w:rPr>
              <w:t>2018–19</w:t>
            </w:r>
            <w:r w:rsidR="007C3BB7" w:rsidRPr="00407731">
              <w:rPr>
                <w:rFonts w:cs="Arial"/>
              </w:rPr>
              <w:t xml:space="preserve"> 2</w:t>
            </w:r>
            <w:r w:rsidR="001D0D17" w:rsidRPr="001D0D17">
              <w:rPr>
                <w:rFonts w:cs="Arial"/>
              </w:rPr>
              <w:t>nd</w:t>
            </w:r>
            <w:r w:rsidR="007C3BB7" w:rsidRPr="001D0D17">
              <w:rPr>
                <w:rFonts w:cs="Arial"/>
              </w:rPr>
              <w:t xml:space="preserve"> </w:t>
            </w:r>
            <w:r w:rsidR="007C3BB7" w:rsidRPr="00407731">
              <w:rPr>
                <w:rFonts w:cs="Arial"/>
              </w:rPr>
              <w:t>Interim</w:t>
            </w:r>
          </w:p>
        </w:tc>
        <w:tc>
          <w:tcPr>
            <w:tcW w:w="605" w:type="pct"/>
            <w:vAlign w:val="center"/>
          </w:tcPr>
          <w:p w:rsidR="007C3BB7" w:rsidRPr="00407731" w:rsidRDefault="007C3BB7" w:rsidP="00714FE2">
            <w:pPr>
              <w:jc w:val="center"/>
              <w:rPr>
                <w:rFonts w:cs="Arial"/>
              </w:rPr>
            </w:pPr>
            <w:r w:rsidRPr="00407731">
              <w:rPr>
                <w:rFonts w:cs="Arial"/>
              </w:rPr>
              <w:t>$</w:t>
            </w:r>
            <w:r w:rsidR="00714FE2">
              <w:rPr>
                <w:rFonts w:cs="Arial"/>
              </w:rPr>
              <w:t>5,761,838</w:t>
            </w:r>
          </w:p>
        </w:tc>
        <w:tc>
          <w:tcPr>
            <w:tcW w:w="742" w:type="pct"/>
            <w:vAlign w:val="center"/>
          </w:tcPr>
          <w:p w:rsidR="007C3BB7" w:rsidRPr="00407731" w:rsidRDefault="007C3BB7" w:rsidP="00714FE2">
            <w:pPr>
              <w:jc w:val="center"/>
              <w:rPr>
                <w:rFonts w:cs="Arial"/>
              </w:rPr>
            </w:pPr>
            <w:r w:rsidRPr="00407731">
              <w:rPr>
                <w:rFonts w:cs="Arial"/>
              </w:rPr>
              <w:t>$</w:t>
            </w:r>
            <w:r w:rsidR="00714FE2">
              <w:rPr>
                <w:rFonts w:cs="Arial"/>
              </w:rPr>
              <w:t>5,275,463</w:t>
            </w:r>
          </w:p>
        </w:tc>
        <w:tc>
          <w:tcPr>
            <w:tcW w:w="576" w:type="pct"/>
            <w:vAlign w:val="center"/>
          </w:tcPr>
          <w:p w:rsidR="007C3BB7" w:rsidRPr="00407731" w:rsidRDefault="007C3BB7" w:rsidP="00714FE2">
            <w:pPr>
              <w:jc w:val="center"/>
              <w:rPr>
                <w:rFonts w:cs="Arial"/>
              </w:rPr>
            </w:pPr>
            <w:r w:rsidRPr="00407731">
              <w:rPr>
                <w:rFonts w:cs="Arial"/>
              </w:rPr>
              <w:t>$</w:t>
            </w:r>
            <w:r w:rsidR="00714FE2">
              <w:rPr>
                <w:rFonts w:cs="Arial"/>
              </w:rPr>
              <w:t>486,375</w:t>
            </w:r>
          </w:p>
        </w:tc>
        <w:tc>
          <w:tcPr>
            <w:tcW w:w="502" w:type="pct"/>
            <w:vAlign w:val="center"/>
          </w:tcPr>
          <w:p w:rsidR="007C3BB7" w:rsidRPr="00407731" w:rsidRDefault="007C3BB7" w:rsidP="001F4207">
            <w:pPr>
              <w:jc w:val="center"/>
              <w:rPr>
                <w:rFonts w:cs="Arial"/>
              </w:rPr>
            </w:pPr>
            <w:r w:rsidRPr="00407731">
              <w:rPr>
                <w:rFonts w:cs="Arial"/>
              </w:rPr>
              <w:t>NA</w:t>
            </w:r>
          </w:p>
        </w:tc>
        <w:tc>
          <w:tcPr>
            <w:tcW w:w="348" w:type="pct"/>
            <w:vAlign w:val="center"/>
          </w:tcPr>
          <w:p w:rsidR="007C3BB7" w:rsidRPr="00407731" w:rsidRDefault="007C3BB7" w:rsidP="00815147">
            <w:pPr>
              <w:jc w:val="center"/>
              <w:rPr>
                <w:rFonts w:cs="Arial"/>
              </w:rPr>
            </w:pPr>
            <w:r w:rsidRPr="00407731">
              <w:rPr>
                <w:rFonts w:cs="Arial"/>
              </w:rPr>
              <w:t>NA</w:t>
            </w:r>
          </w:p>
        </w:tc>
        <w:tc>
          <w:tcPr>
            <w:tcW w:w="650" w:type="pct"/>
            <w:vAlign w:val="center"/>
          </w:tcPr>
          <w:p w:rsidR="007C3BB7" w:rsidRPr="00407731" w:rsidRDefault="0016783C" w:rsidP="001F4207">
            <w:pPr>
              <w:jc w:val="center"/>
              <w:rPr>
                <w:rFonts w:cs="Arial"/>
                <w:color w:val="FF0000"/>
              </w:rPr>
            </w:pPr>
            <w:r w:rsidRPr="00815147">
              <w:rPr>
                <w:rFonts w:cs="Arial"/>
              </w:rPr>
              <w:t>96.8</w:t>
            </w:r>
            <w:r w:rsidR="001F4207" w:rsidRPr="00815147">
              <w:rPr>
                <w:rFonts w:cs="Arial"/>
              </w:rPr>
              <w:t>%</w:t>
            </w:r>
          </w:p>
        </w:tc>
        <w:tc>
          <w:tcPr>
            <w:tcW w:w="588" w:type="pct"/>
            <w:vAlign w:val="center"/>
          </w:tcPr>
          <w:p w:rsidR="007C3BB7" w:rsidRPr="00407731" w:rsidRDefault="00714FE2" w:rsidP="001F4207">
            <w:pPr>
              <w:jc w:val="center"/>
              <w:rPr>
                <w:rFonts w:cs="Arial"/>
              </w:rPr>
            </w:pPr>
            <w:r>
              <w:rPr>
                <w:rFonts w:cs="Arial"/>
              </w:rPr>
              <w:t>$492,937</w:t>
            </w:r>
          </w:p>
        </w:tc>
        <w:tc>
          <w:tcPr>
            <w:tcW w:w="548" w:type="pct"/>
            <w:vAlign w:val="center"/>
          </w:tcPr>
          <w:p w:rsidR="007C3BB7" w:rsidRPr="00407731" w:rsidRDefault="00714FE2" w:rsidP="001F4207">
            <w:pPr>
              <w:jc w:val="center"/>
              <w:rPr>
                <w:rFonts w:cs="Arial"/>
              </w:rPr>
            </w:pPr>
            <w:r>
              <w:rPr>
                <w:rFonts w:cs="Arial"/>
              </w:rPr>
              <w:t>9.34</w:t>
            </w:r>
            <w:r w:rsidR="007C3BB7" w:rsidRPr="00407731">
              <w:rPr>
                <w:rFonts w:cs="Arial"/>
              </w:rPr>
              <w:t>%</w:t>
            </w:r>
          </w:p>
        </w:tc>
      </w:tr>
    </w:tbl>
    <w:p w:rsidR="001D0D17" w:rsidRDefault="001D0D17" w:rsidP="007C3BB7">
      <w:pPr>
        <w:ind w:firstLine="720"/>
        <w:rPr>
          <w:sz w:val="16"/>
          <w:szCs w:val="16"/>
        </w:rPr>
        <w:sectPr w:rsidR="001D0D17" w:rsidSect="001D0D17">
          <w:pgSz w:w="15840" w:h="12240" w:orient="landscape"/>
          <w:pgMar w:top="1440" w:right="720" w:bottom="1440" w:left="1440" w:header="720" w:footer="720" w:gutter="0"/>
          <w:cols w:space="720"/>
          <w:docGrid w:linePitch="326"/>
        </w:sectPr>
      </w:pPr>
    </w:p>
    <w:p w:rsidR="0000439B" w:rsidRDefault="0000439B" w:rsidP="00A75084">
      <w:pPr>
        <w:pStyle w:val="Heading2"/>
      </w:pPr>
      <w:r>
        <w:lastRenderedPageBreak/>
        <w:t>Poor Financial Condition</w:t>
      </w:r>
    </w:p>
    <w:p w:rsidR="0000439B" w:rsidRDefault="0000439B" w:rsidP="00AE7DCD">
      <w:pPr>
        <w:spacing w:after="100" w:afterAutospacing="1"/>
        <w:rPr>
          <w:rFonts w:cs="Arial"/>
        </w:rPr>
      </w:pPr>
      <w:r>
        <w:rPr>
          <w:rFonts w:cs="Arial"/>
        </w:rPr>
        <w:t>C</w:t>
      </w:r>
      <w:r w:rsidRPr="00BC16C2">
        <w:rPr>
          <w:rFonts w:cs="Arial"/>
        </w:rPr>
        <w:t>harter school</w:t>
      </w:r>
      <w:r>
        <w:rPr>
          <w:rFonts w:cs="Arial"/>
        </w:rPr>
        <w:t>s</w:t>
      </w:r>
      <w:r w:rsidRPr="00BC16C2">
        <w:rPr>
          <w:rFonts w:cs="Arial"/>
        </w:rPr>
        <w:t xml:space="preserve"> in poor financial condition </w:t>
      </w:r>
      <w:r>
        <w:rPr>
          <w:rFonts w:cs="Arial"/>
        </w:rPr>
        <w:t>are</w:t>
      </w:r>
      <w:r w:rsidRPr="00BC16C2">
        <w:rPr>
          <w:rFonts w:cs="Arial"/>
        </w:rPr>
        <w:t xml:space="preserve"> in danger of jeopardizing </w:t>
      </w:r>
      <w:r>
        <w:rPr>
          <w:rFonts w:cs="Arial"/>
        </w:rPr>
        <w:t>their</w:t>
      </w:r>
      <w:r w:rsidRPr="00BC16C2">
        <w:rPr>
          <w:rFonts w:cs="Arial"/>
        </w:rPr>
        <w:t xml:space="preserve"> fiscal operations going forward. Timely and appropriate action by the charter school</w:t>
      </w:r>
      <w:r>
        <w:rPr>
          <w:rFonts w:cs="Arial"/>
        </w:rPr>
        <w:t>’s Board is</w:t>
      </w:r>
      <w:r w:rsidRPr="00BC16C2">
        <w:rPr>
          <w:rFonts w:cs="Arial"/>
        </w:rPr>
        <w:t xml:space="preserve"> critical in addressing and mitigating the serious decline in financial condition. Specifically, </w:t>
      </w:r>
      <w:r>
        <w:rPr>
          <w:rFonts w:cs="Arial"/>
        </w:rPr>
        <w:t xml:space="preserve">charter schools in poor financial condition may have a </w:t>
      </w:r>
      <w:r w:rsidRPr="00BC16C2">
        <w:rPr>
          <w:rFonts w:cs="Arial"/>
        </w:rPr>
        <w:t>negative fund balance</w:t>
      </w:r>
      <w:r>
        <w:rPr>
          <w:rFonts w:cs="Arial"/>
        </w:rPr>
        <w:t xml:space="preserve">, no reserves, an inadequate cash balance, and a high debt level. </w:t>
      </w:r>
      <w:r w:rsidRPr="00BC16C2">
        <w:rPr>
          <w:rFonts w:cs="Arial"/>
        </w:rPr>
        <w:t xml:space="preserve">The </w:t>
      </w:r>
      <w:r>
        <w:rPr>
          <w:rFonts w:cs="Arial"/>
        </w:rPr>
        <w:t xml:space="preserve">SBE-authorized </w:t>
      </w:r>
      <w:r w:rsidRPr="00BC16C2">
        <w:rPr>
          <w:rFonts w:cs="Arial"/>
        </w:rPr>
        <w:t>charter school</w:t>
      </w:r>
      <w:r>
        <w:rPr>
          <w:rFonts w:cs="Arial"/>
        </w:rPr>
        <w:t>s in poor financial condition are:</w:t>
      </w:r>
    </w:p>
    <w:p w:rsidR="00861A80" w:rsidRPr="00861A80" w:rsidRDefault="0000439B" w:rsidP="00861A80">
      <w:pPr>
        <w:pStyle w:val="ListParagraph"/>
        <w:numPr>
          <w:ilvl w:val="0"/>
          <w:numId w:val="2"/>
        </w:numPr>
        <w:shd w:val="clear" w:color="auto" w:fill="FFFFFF"/>
        <w:ind w:left="360" w:firstLine="0"/>
      </w:pPr>
      <w:r w:rsidRPr="00861A80">
        <w:rPr>
          <w:rFonts w:cs="Arial"/>
          <w:color w:val="000000"/>
        </w:rPr>
        <w:t xml:space="preserve">Celerity </w:t>
      </w:r>
      <w:proofErr w:type="spellStart"/>
      <w:r w:rsidRPr="00861A80">
        <w:rPr>
          <w:rFonts w:cs="Arial"/>
          <w:color w:val="000000"/>
        </w:rPr>
        <w:t>Rolas</w:t>
      </w:r>
      <w:proofErr w:type="spellEnd"/>
      <w:r w:rsidRPr="00861A80">
        <w:rPr>
          <w:rFonts w:cs="Arial"/>
          <w:color w:val="000000"/>
        </w:rPr>
        <w:t xml:space="preserve"> Charter School</w:t>
      </w:r>
    </w:p>
    <w:p w:rsidR="00861A80" w:rsidRPr="00714FE2" w:rsidRDefault="0000439B" w:rsidP="00815147">
      <w:pPr>
        <w:pStyle w:val="ListParagraph"/>
        <w:numPr>
          <w:ilvl w:val="0"/>
          <w:numId w:val="2"/>
        </w:numPr>
        <w:shd w:val="clear" w:color="auto" w:fill="FFFFFF"/>
        <w:spacing w:after="100" w:afterAutospacing="1"/>
        <w:ind w:left="360" w:firstLine="0"/>
        <w:contextualSpacing w:val="0"/>
      </w:pPr>
      <w:proofErr w:type="spellStart"/>
      <w:r w:rsidRPr="00861A80">
        <w:rPr>
          <w:rFonts w:cs="Arial"/>
          <w:color w:val="000000"/>
        </w:rPr>
        <w:t>Prepa</w:t>
      </w:r>
      <w:proofErr w:type="spellEnd"/>
      <w:r w:rsidRPr="00861A80">
        <w:rPr>
          <w:rFonts w:cs="Arial"/>
          <w:color w:val="000000"/>
        </w:rPr>
        <w:t xml:space="preserve"> Tec Los Angeles High</w:t>
      </w:r>
    </w:p>
    <w:p w:rsidR="00D43FB8" w:rsidRDefault="001D3CFD" w:rsidP="000B491B">
      <w:pPr>
        <w:pStyle w:val="Heading3"/>
      </w:pPr>
      <w:r>
        <w:t xml:space="preserve">Celerity </w:t>
      </w:r>
      <w:proofErr w:type="spellStart"/>
      <w:r>
        <w:t>Rolas</w:t>
      </w:r>
      <w:proofErr w:type="spellEnd"/>
      <w:r>
        <w:t xml:space="preserve"> Charter School</w:t>
      </w:r>
    </w:p>
    <w:p w:rsidR="001D3CFD" w:rsidRDefault="00714FE2" w:rsidP="00815147">
      <w:pPr>
        <w:pStyle w:val="ListParagraph"/>
        <w:numPr>
          <w:ilvl w:val="0"/>
          <w:numId w:val="8"/>
        </w:numPr>
        <w:contextualSpacing w:val="0"/>
      </w:pPr>
      <w:r>
        <w:t>Charter Voluntarily Closed: 7/19/2018</w:t>
      </w:r>
    </w:p>
    <w:p w:rsidR="001D3CFD" w:rsidRDefault="001D3CFD" w:rsidP="00815147">
      <w:pPr>
        <w:pStyle w:val="ListParagraph"/>
        <w:numPr>
          <w:ilvl w:val="0"/>
          <w:numId w:val="8"/>
        </w:numPr>
        <w:contextualSpacing w:val="0"/>
      </w:pPr>
      <w:r>
        <w:t>Grades Authorized to Serve: K–</w:t>
      </w:r>
      <w:r w:rsidR="0058760F">
        <w:t>8</w:t>
      </w:r>
    </w:p>
    <w:p w:rsidR="001D3CFD" w:rsidRDefault="00714FE2" w:rsidP="00815147">
      <w:pPr>
        <w:pStyle w:val="ListParagraph"/>
        <w:numPr>
          <w:ilvl w:val="0"/>
          <w:numId w:val="8"/>
        </w:numPr>
        <w:contextualSpacing w:val="0"/>
      </w:pPr>
      <w:r>
        <w:t>2017–18</w:t>
      </w:r>
      <w:r w:rsidR="00F147CD">
        <w:t xml:space="preserve"> P-</w:t>
      </w:r>
      <w:r w:rsidR="001D3CFD">
        <w:t xml:space="preserve">2 ADA: </w:t>
      </w:r>
      <w:r>
        <w:t>286.64</w:t>
      </w:r>
    </w:p>
    <w:p w:rsidR="00D43FB8" w:rsidRDefault="00714FE2" w:rsidP="00815147">
      <w:pPr>
        <w:pStyle w:val="ListParagraph"/>
        <w:numPr>
          <w:ilvl w:val="0"/>
          <w:numId w:val="8"/>
        </w:numPr>
        <w:spacing w:after="100" w:afterAutospacing="1"/>
        <w:contextualSpacing w:val="0"/>
      </w:pPr>
      <w:r>
        <w:t>2018–19</w:t>
      </w:r>
      <w:r w:rsidR="00D43FB8">
        <w:t xml:space="preserve"> P-2 ADA: </w:t>
      </w:r>
      <w:r w:rsidR="00814FFE">
        <w:t>NA</w:t>
      </w:r>
    </w:p>
    <w:p w:rsidR="001D3CFD" w:rsidRDefault="001D3CFD" w:rsidP="004206BB">
      <w:pPr>
        <w:pStyle w:val="Heading4"/>
      </w:pPr>
      <w:r>
        <w:t>Fiscal Concerns</w:t>
      </w:r>
    </w:p>
    <w:p w:rsidR="003321A8" w:rsidRDefault="00814FFE" w:rsidP="004E2933">
      <w:pPr>
        <w:spacing w:after="100" w:afterAutospacing="1"/>
      </w:pPr>
      <w:r>
        <w:t xml:space="preserve">The Celerity </w:t>
      </w:r>
      <w:proofErr w:type="spellStart"/>
      <w:r>
        <w:t>Rolas</w:t>
      </w:r>
      <w:proofErr w:type="spellEnd"/>
      <w:r>
        <w:t xml:space="preserve"> Charter School (CRCS) demonstrated financial distress since its inception in FY 2017–18. CRCS </w:t>
      </w:r>
      <w:r w:rsidR="000D281B">
        <w:t>relie</w:t>
      </w:r>
      <w:r w:rsidR="00F70704">
        <w:t>d heavily on long-</w:t>
      </w:r>
      <w:r w:rsidR="000D281B">
        <w:t>term intercompany loan</w:t>
      </w:r>
      <w:r w:rsidR="00F147CD">
        <w:t>s</w:t>
      </w:r>
      <w:r w:rsidR="000D281B">
        <w:t xml:space="preserve"> to help cash shortages.</w:t>
      </w:r>
    </w:p>
    <w:p w:rsidR="00814FFE" w:rsidRDefault="00814FFE" w:rsidP="00814FFE">
      <w:pPr>
        <w:pStyle w:val="Heading4"/>
      </w:pPr>
      <w:r>
        <w:t>Charter School Update</w:t>
      </w:r>
    </w:p>
    <w:p w:rsidR="00814FFE" w:rsidRDefault="00382423" w:rsidP="00814FFE">
      <w:pPr>
        <w:spacing w:after="100" w:afterAutospacing="1"/>
      </w:pPr>
      <w:r>
        <w:t>CRCS</w:t>
      </w:r>
      <w:r w:rsidR="00814FFE">
        <w:t xml:space="preserve"> voluntarily</w:t>
      </w:r>
      <w:r>
        <w:t xml:space="preserve"> closed</w:t>
      </w:r>
      <w:r w:rsidR="00814FFE">
        <w:t xml:space="preserve"> effective Thursday, July 19, 2018. </w:t>
      </w:r>
    </w:p>
    <w:p w:rsidR="004E2933" w:rsidRDefault="004E2933" w:rsidP="004206BB">
      <w:pPr>
        <w:pStyle w:val="Heading4"/>
      </w:pPr>
      <w:r>
        <w:t>California Department of Education Follow-Up</w:t>
      </w:r>
    </w:p>
    <w:p w:rsidR="00814FFE" w:rsidRDefault="00814FFE" w:rsidP="00814FFE">
      <w:pPr>
        <w:spacing w:after="100" w:afterAutospacing="1"/>
      </w:pPr>
      <w:r w:rsidRPr="00B21BCA">
        <w:t xml:space="preserve">On </w:t>
      </w:r>
      <w:r w:rsidR="00B21BCA" w:rsidRPr="00B21BCA">
        <w:t>July 27</w:t>
      </w:r>
      <w:r>
        <w:t>, 2018, the CDE issued the CRCS Board written notice to invoke closure procedures including:</w:t>
      </w:r>
    </w:p>
    <w:p w:rsidR="00814FFE" w:rsidRPr="00587E6B" w:rsidRDefault="00814FFE" w:rsidP="00814FFE">
      <w:pPr>
        <w:pStyle w:val="ListParagraph"/>
        <w:numPr>
          <w:ilvl w:val="0"/>
          <w:numId w:val="3"/>
        </w:numPr>
        <w:spacing w:after="240"/>
        <w:contextualSpacing w:val="0"/>
      </w:pPr>
      <w:r w:rsidRPr="00CE1C36">
        <w:rPr>
          <w:szCs w:val="23"/>
        </w:rPr>
        <w:t>Return grant funds and restricted categorical funds to their source in accordance with the terms of the grant or state and federal law as appropriate. Federal grants must be closed out, including the filing of the required Final Expenditure Reports and Final Performance Reports. Federal Form</w:t>
      </w:r>
      <w:r>
        <w:rPr>
          <w:szCs w:val="23"/>
        </w:rPr>
        <w:t xml:space="preserve">s 269 and 269a may apply if </w:t>
      </w:r>
      <w:r w:rsidR="00B21BCA">
        <w:rPr>
          <w:szCs w:val="23"/>
        </w:rPr>
        <w:t>CRCS</w:t>
      </w:r>
      <w:r>
        <w:rPr>
          <w:szCs w:val="23"/>
        </w:rPr>
        <w:t xml:space="preserve"> </w:t>
      </w:r>
      <w:r w:rsidRPr="00CE1C36">
        <w:rPr>
          <w:szCs w:val="23"/>
        </w:rPr>
        <w:t>was receiving funds directly from the U.S. Department of Education.</w:t>
      </w:r>
    </w:p>
    <w:p w:rsidR="00814FFE" w:rsidRPr="003D1042" w:rsidRDefault="00814FFE" w:rsidP="00814FFE">
      <w:pPr>
        <w:pStyle w:val="ListParagraph"/>
        <w:numPr>
          <w:ilvl w:val="0"/>
          <w:numId w:val="3"/>
        </w:numPr>
        <w:spacing w:after="240"/>
        <w:contextualSpacing w:val="0"/>
      </w:pPr>
      <w:r w:rsidRPr="00CE1C36">
        <w:rPr>
          <w:szCs w:val="23"/>
        </w:rPr>
        <w:t xml:space="preserve">Develop a plan to close out all financial records for the </w:t>
      </w:r>
      <w:r>
        <w:rPr>
          <w:szCs w:val="23"/>
        </w:rPr>
        <w:t>FY</w:t>
      </w:r>
      <w:r w:rsidRPr="00CE1C36">
        <w:rPr>
          <w:szCs w:val="23"/>
        </w:rPr>
        <w:t xml:space="preserve"> </w:t>
      </w:r>
      <w:r>
        <w:rPr>
          <w:szCs w:val="23"/>
        </w:rPr>
        <w:t>2017–18</w:t>
      </w:r>
      <w:r w:rsidRPr="00CE1C36">
        <w:rPr>
          <w:szCs w:val="23"/>
        </w:rPr>
        <w:t>.</w:t>
      </w:r>
    </w:p>
    <w:p w:rsidR="00814FFE" w:rsidRPr="00587E6B" w:rsidRDefault="00814FFE" w:rsidP="00814FFE">
      <w:pPr>
        <w:pStyle w:val="ListParagraph"/>
        <w:numPr>
          <w:ilvl w:val="0"/>
          <w:numId w:val="3"/>
        </w:numPr>
        <w:spacing w:after="240"/>
        <w:contextualSpacing w:val="0"/>
      </w:pPr>
      <w:r w:rsidRPr="00760F87">
        <w:rPr>
          <w:szCs w:val="23"/>
        </w:rPr>
        <w:lastRenderedPageBreak/>
        <w:t>Provide the CDE a description of current and projected payroll and payroll benefits commitments through closure, including a list of each employee and their job duties, and a projection of the funds necessary to: (1) transition the pupils and records; (2) complete all administrative closure related tasks; and (3) complete contracts and grants</w:t>
      </w:r>
      <w:r>
        <w:rPr>
          <w:szCs w:val="23"/>
        </w:rPr>
        <w:t>.</w:t>
      </w:r>
    </w:p>
    <w:p w:rsidR="00814FFE" w:rsidRDefault="00814FFE" w:rsidP="00814FFE">
      <w:pPr>
        <w:pStyle w:val="ListParagraph"/>
        <w:numPr>
          <w:ilvl w:val="0"/>
          <w:numId w:val="3"/>
        </w:numPr>
        <w:spacing w:after="240"/>
        <w:contextualSpacing w:val="0"/>
        <w:sectPr w:rsidR="00814FFE" w:rsidSect="00057A96">
          <w:type w:val="continuous"/>
          <w:pgSz w:w="12240" w:h="15840"/>
          <w:pgMar w:top="720" w:right="1440" w:bottom="1440" w:left="1440" w:header="720" w:footer="720" w:gutter="0"/>
          <w:cols w:space="720"/>
        </w:sectPr>
      </w:pPr>
    </w:p>
    <w:p w:rsidR="00814FFE" w:rsidRPr="00587E6B" w:rsidRDefault="00814FFE" w:rsidP="00814FFE">
      <w:pPr>
        <w:pStyle w:val="ListParagraph"/>
        <w:numPr>
          <w:ilvl w:val="0"/>
          <w:numId w:val="3"/>
        </w:numPr>
        <w:spacing w:after="240"/>
        <w:contextualSpacing w:val="0"/>
      </w:pPr>
      <w:r w:rsidRPr="00760F87">
        <w:rPr>
          <w:szCs w:val="23"/>
        </w:rPr>
        <w:t xml:space="preserve">Provide </w:t>
      </w:r>
      <w:r>
        <w:rPr>
          <w:szCs w:val="23"/>
        </w:rPr>
        <w:t xml:space="preserve">the </w:t>
      </w:r>
      <w:r w:rsidRPr="00760F87">
        <w:rPr>
          <w:szCs w:val="23"/>
        </w:rPr>
        <w:t>CDE with notice of any outstanding payments to staff and the method by which the school will make the payments</w:t>
      </w:r>
      <w:r>
        <w:rPr>
          <w:szCs w:val="23"/>
        </w:rPr>
        <w:t>.</w:t>
      </w:r>
    </w:p>
    <w:p w:rsidR="00814FFE" w:rsidRPr="003D1042" w:rsidRDefault="00814FFE" w:rsidP="00814FFE">
      <w:pPr>
        <w:pStyle w:val="ListParagraph"/>
        <w:numPr>
          <w:ilvl w:val="0"/>
          <w:numId w:val="3"/>
        </w:numPr>
        <w:spacing w:after="240"/>
        <w:contextualSpacing w:val="0"/>
      </w:pPr>
      <w:r w:rsidRPr="00760F87">
        <w:rPr>
          <w:szCs w:val="23"/>
        </w:rPr>
        <w:t>Notify all funding sources (including charitable partners), all current and former contractors (such as a charter management organization, education management organization, food service provider, instructional service provider, or transportation servi</w:t>
      </w:r>
      <w:r w:rsidR="00B21BCA">
        <w:rPr>
          <w:szCs w:val="23"/>
        </w:rPr>
        <w:t>ce provider), and lenders</w:t>
      </w:r>
      <w:r>
        <w:rPr>
          <w:szCs w:val="23"/>
        </w:rPr>
        <w:t xml:space="preserve"> of </w:t>
      </w:r>
      <w:r w:rsidR="00B21BCA">
        <w:rPr>
          <w:szCs w:val="23"/>
        </w:rPr>
        <w:t>CRCS</w:t>
      </w:r>
      <w:r w:rsidRPr="00760F87">
        <w:rPr>
          <w:szCs w:val="23"/>
        </w:rPr>
        <w:t>’s closure</w:t>
      </w:r>
      <w:r>
        <w:rPr>
          <w:szCs w:val="23"/>
        </w:rPr>
        <w:t>.</w:t>
      </w:r>
    </w:p>
    <w:p w:rsidR="00814FFE" w:rsidRPr="003D1042" w:rsidRDefault="00814FFE" w:rsidP="00814FFE">
      <w:pPr>
        <w:pStyle w:val="ListParagraph"/>
        <w:numPr>
          <w:ilvl w:val="0"/>
          <w:numId w:val="3"/>
        </w:numPr>
        <w:spacing w:after="240"/>
        <w:contextualSpacing w:val="0"/>
      </w:pPr>
      <w:r w:rsidRPr="00760F87">
        <w:rPr>
          <w:szCs w:val="23"/>
        </w:rPr>
        <w:t>Notify the CDE in electronic format of all</w:t>
      </w:r>
      <w:r>
        <w:rPr>
          <w:szCs w:val="23"/>
        </w:rPr>
        <w:t xml:space="preserve"> pending litigation to which </w:t>
      </w:r>
      <w:r w:rsidR="00B21BCA">
        <w:rPr>
          <w:szCs w:val="23"/>
        </w:rPr>
        <w:t>CRCS</w:t>
      </w:r>
      <w:r w:rsidRPr="00760F87">
        <w:rPr>
          <w:szCs w:val="23"/>
        </w:rPr>
        <w:t xml:space="preserve"> is a party to</w:t>
      </w:r>
      <w:r>
        <w:rPr>
          <w:szCs w:val="23"/>
        </w:rPr>
        <w:t>.</w:t>
      </w:r>
    </w:p>
    <w:p w:rsidR="00814FFE" w:rsidRPr="003D1042" w:rsidRDefault="00814FFE" w:rsidP="00814FFE">
      <w:pPr>
        <w:pStyle w:val="ListParagraph"/>
        <w:numPr>
          <w:ilvl w:val="0"/>
          <w:numId w:val="3"/>
        </w:numPr>
        <w:spacing w:after="240"/>
        <w:contextualSpacing w:val="0"/>
      </w:pPr>
      <w:r w:rsidRPr="00760F87">
        <w:rPr>
          <w:szCs w:val="23"/>
        </w:rPr>
        <w:t>Prepare a comprehensive list of creditors and debtors and comprehensive inventory of all assets</w:t>
      </w:r>
      <w:r>
        <w:rPr>
          <w:szCs w:val="23"/>
        </w:rPr>
        <w:t>.</w:t>
      </w:r>
    </w:p>
    <w:p w:rsidR="00814FFE" w:rsidRPr="003D1042" w:rsidRDefault="00814FFE" w:rsidP="00814FFE">
      <w:pPr>
        <w:pStyle w:val="ListParagraph"/>
        <w:numPr>
          <w:ilvl w:val="0"/>
          <w:numId w:val="3"/>
        </w:numPr>
        <w:spacing w:after="240"/>
        <w:contextualSpacing w:val="0"/>
      </w:pPr>
      <w:r w:rsidRPr="00760F87">
        <w:rPr>
          <w:szCs w:val="23"/>
        </w:rPr>
        <w:t>Prepare a plan for the proposed dispo</w:t>
      </w:r>
      <w:r>
        <w:rPr>
          <w:szCs w:val="23"/>
        </w:rPr>
        <w:t xml:space="preserve">sal of all property owned by </w:t>
      </w:r>
      <w:r w:rsidR="00B21BCA">
        <w:rPr>
          <w:szCs w:val="23"/>
        </w:rPr>
        <w:t>CRCS</w:t>
      </w:r>
      <w:r w:rsidRPr="00760F87">
        <w:rPr>
          <w:szCs w:val="23"/>
        </w:rPr>
        <w:t xml:space="preserve"> (and acquired with public funds) in order to maximize revenue in accordance with law</w:t>
      </w:r>
      <w:r>
        <w:rPr>
          <w:szCs w:val="23"/>
        </w:rPr>
        <w:t>;</w:t>
      </w:r>
      <w:r w:rsidRPr="00760F87">
        <w:rPr>
          <w:szCs w:val="23"/>
        </w:rPr>
        <w:t xml:space="preserve"> payment of any and all liabilities and the disbursemen</w:t>
      </w:r>
      <w:r>
        <w:rPr>
          <w:szCs w:val="23"/>
        </w:rPr>
        <w:t xml:space="preserve">t of any remaining assets of </w:t>
      </w:r>
      <w:r w:rsidR="00B21BCA">
        <w:rPr>
          <w:szCs w:val="23"/>
        </w:rPr>
        <w:t>CRCS</w:t>
      </w:r>
      <w:r>
        <w:rPr>
          <w:szCs w:val="23"/>
        </w:rPr>
        <w:t>; and</w:t>
      </w:r>
      <w:r w:rsidRPr="00760F87">
        <w:rPr>
          <w:szCs w:val="23"/>
        </w:rPr>
        <w:t xml:space="preserve"> liquidation of assets to pay off any and all outstanding liabilities, bearing in mind that assets paid for by state funds may be transferred in accordance with the nonprofit corporation’s bylaws to another public agency such as another chart</w:t>
      </w:r>
      <w:r>
        <w:rPr>
          <w:szCs w:val="23"/>
        </w:rPr>
        <w:t xml:space="preserve">er school. Assets donated to </w:t>
      </w:r>
      <w:r w:rsidR="00B21BCA">
        <w:rPr>
          <w:szCs w:val="23"/>
        </w:rPr>
        <w:t>CRCS</w:t>
      </w:r>
      <w:r w:rsidRPr="00760F87">
        <w:rPr>
          <w:szCs w:val="23"/>
        </w:rPr>
        <w:t xml:space="preserve"> may be returned to donors or disposed of in accordance with donor’</w:t>
      </w:r>
      <w:r w:rsidR="005E23FB">
        <w:rPr>
          <w:szCs w:val="23"/>
        </w:rPr>
        <w:t>s wishes. Net assets (</w:t>
      </w:r>
      <w:r w:rsidRPr="00760F87">
        <w:rPr>
          <w:szCs w:val="23"/>
        </w:rPr>
        <w:t>after the pay</w:t>
      </w:r>
      <w:r w:rsidR="005E23FB">
        <w:rPr>
          <w:szCs w:val="23"/>
        </w:rPr>
        <w:t>ment of outstanding liabilities)</w:t>
      </w:r>
      <w:r w:rsidRPr="00760F87">
        <w:rPr>
          <w:szCs w:val="23"/>
        </w:rPr>
        <w:t>, if any, may be transferred to another public agency such as another charter school</w:t>
      </w:r>
      <w:r>
        <w:rPr>
          <w:szCs w:val="23"/>
        </w:rPr>
        <w:t>.</w:t>
      </w:r>
    </w:p>
    <w:p w:rsidR="004E2933" w:rsidRDefault="00814FFE" w:rsidP="00B21BCA">
      <w:pPr>
        <w:pStyle w:val="ListParagraph"/>
        <w:numPr>
          <w:ilvl w:val="0"/>
          <w:numId w:val="3"/>
        </w:numPr>
      </w:pPr>
      <w:r w:rsidRPr="00B21BCA">
        <w:rPr>
          <w:szCs w:val="23"/>
        </w:rPr>
        <w:t xml:space="preserve">Arrange for final closure audits to be paid for from the special reserve or bond revenue. The auditor engaged to perform the audit shall be from the list of approved school auditors maintained by the California State Controller’s Office and shall be approved by the CDE. The audit, at a minimum, shall determine the disposition of all assets and liabilities of </w:t>
      </w:r>
      <w:r w:rsidR="00B21BCA">
        <w:rPr>
          <w:szCs w:val="23"/>
        </w:rPr>
        <w:t>CRCS</w:t>
      </w:r>
      <w:r w:rsidRPr="00B21BCA">
        <w:rPr>
          <w:szCs w:val="23"/>
        </w:rPr>
        <w:t xml:space="preserve"> and shall verify the </w:t>
      </w:r>
      <w:r w:rsidR="00B21BCA">
        <w:rPr>
          <w:szCs w:val="23"/>
        </w:rPr>
        <w:t>CRCS</w:t>
      </w:r>
      <w:r w:rsidRPr="00B21BCA">
        <w:rPr>
          <w:szCs w:val="23"/>
        </w:rPr>
        <w:t xml:space="preserve">’s comprehensive list of creditors and debtors, and the amounts owed or owing, as well as verify </w:t>
      </w:r>
      <w:r w:rsidR="00B21BCA">
        <w:rPr>
          <w:szCs w:val="23"/>
        </w:rPr>
        <w:t>CRCS</w:t>
      </w:r>
      <w:r w:rsidRPr="00B21BCA">
        <w:rPr>
          <w:szCs w:val="23"/>
        </w:rPr>
        <w:t>’s comprehensive list of all assets by source, noting any restrictions on each asset’s use.</w:t>
      </w:r>
    </w:p>
    <w:p w:rsidR="004E2933" w:rsidRDefault="004E2933" w:rsidP="00A75084">
      <w:pPr>
        <w:pStyle w:val="Heading2"/>
        <w:sectPr w:rsidR="004E2933" w:rsidSect="00057A96">
          <w:type w:val="continuous"/>
          <w:pgSz w:w="12240" w:h="15840"/>
          <w:pgMar w:top="720" w:right="1440" w:bottom="1440" w:left="1440" w:header="720" w:footer="720" w:gutter="0"/>
          <w:cols w:space="720"/>
        </w:sectPr>
      </w:pPr>
    </w:p>
    <w:p w:rsidR="001D3CFD" w:rsidRDefault="004E2933" w:rsidP="004E2933">
      <w:pPr>
        <w:spacing w:after="100" w:afterAutospacing="1"/>
        <w:rPr>
          <w:b/>
        </w:rPr>
      </w:pPr>
      <w:r w:rsidRPr="004E2933">
        <w:rPr>
          <w:b/>
        </w:rPr>
        <w:lastRenderedPageBreak/>
        <w:t>C</w:t>
      </w:r>
      <w:r w:rsidR="00815147">
        <w:rPr>
          <w:b/>
        </w:rPr>
        <w:t xml:space="preserve">elerity </w:t>
      </w:r>
      <w:proofErr w:type="spellStart"/>
      <w:r w:rsidRPr="004E2933">
        <w:rPr>
          <w:b/>
        </w:rPr>
        <w:t>R</w:t>
      </w:r>
      <w:r w:rsidR="00815147">
        <w:rPr>
          <w:b/>
        </w:rPr>
        <w:t>olas</w:t>
      </w:r>
      <w:proofErr w:type="spellEnd"/>
      <w:r w:rsidR="00815147">
        <w:rPr>
          <w:b/>
        </w:rPr>
        <w:t xml:space="preserve"> </w:t>
      </w:r>
      <w:r w:rsidRPr="004E2933">
        <w:rPr>
          <w:b/>
        </w:rPr>
        <w:t>C</w:t>
      </w:r>
      <w:r w:rsidR="00815147">
        <w:rPr>
          <w:b/>
        </w:rPr>
        <w:t>harter School</w:t>
      </w:r>
      <w:r w:rsidRPr="004E2933">
        <w:rPr>
          <w:b/>
        </w:rPr>
        <w:t xml:space="preserve"> </w:t>
      </w:r>
      <w:r w:rsidR="003321A8" w:rsidRPr="004E2933">
        <w:rPr>
          <w:b/>
        </w:rPr>
        <w:t>Financial Highlights</w:t>
      </w:r>
    </w:p>
    <w:p w:rsidR="00EA4DF4" w:rsidRPr="00EA4DF4" w:rsidRDefault="00EA4DF4" w:rsidP="00EA4DF4">
      <w:r>
        <w:t>NP = Not Provided</w:t>
      </w:r>
    </w:p>
    <w:tbl>
      <w:tblPr>
        <w:tblStyle w:val="TableGrid"/>
        <w:tblW w:w="5000" w:type="pct"/>
        <w:tblLook w:val="04A0" w:firstRow="1" w:lastRow="0" w:firstColumn="1" w:lastColumn="0" w:noHBand="0" w:noVBand="1"/>
        <w:tblCaption w:val="Financial Highlights"/>
        <w:tblDescription w:val="Financial Highlights"/>
      </w:tblPr>
      <w:tblGrid>
        <w:gridCol w:w="1234"/>
        <w:gridCol w:w="1633"/>
        <w:gridCol w:w="1986"/>
        <w:gridCol w:w="1588"/>
        <w:gridCol w:w="1381"/>
        <w:gridCol w:w="1020"/>
        <w:gridCol w:w="1750"/>
        <w:gridCol w:w="1588"/>
        <w:gridCol w:w="1490"/>
      </w:tblGrid>
      <w:tr w:rsidR="003321A8" w:rsidRPr="004E2933" w:rsidTr="004E2933">
        <w:trPr>
          <w:tblHeader/>
        </w:trPr>
        <w:tc>
          <w:tcPr>
            <w:tcW w:w="451" w:type="pct"/>
          </w:tcPr>
          <w:p w:rsidR="003321A8" w:rsidRPr="004E2933" w:rsidRDefault="003321A8" w:rsidP="00EA4DF4">
            <w:pPr>
              <w:jc w:val="center"/>
              <w:rPr>
                <w:rFonts w:cs="Arial"/>
                <w:b/>
              </w:rPr>
            </w:pPr>
            <w:r w:rsidRPr="004E2933">
              <w:rPr>
                <w:rFonts w:cs="Arial"/>
                <w:b/>
              </w:rPr>
              <w:t>FY / Source</w:t>
            </w:r>
          </w:p>
        </w:tc>
        <w:tc>
          <w:tcPr>
            <w:tcW w:w="597" w:type="pct"/>
          </w:tcPr>
          <w:p w:rsidR="003321A8" w:rsidRPr="004E2933" w:rsidRDefault="003321A8" w:rsidP="00D36A69">
            <w:pPr>
              <w:jc w:val="center"/>
              <w:rPr>
                <w:rFonts w:cs="Arial"/>
                <w:b/>
              </w:rPr>
            </w:pPr>
            <w:r w:rsidRPr="004E2933">
              <w:rPr>
                <w:rFonts w:cs="Arial"/>
                <w:b/>
              </w:rPr>
              <w:t>Total Revenues</w:t>
            </w:r>
          </w:p>
        </w:tc>
        <w:tc>
          <w:tcPr>
            <w:tcW w:w="726" w:type="pct"/>
          </w:tcPr>
          <w:p w:rsidR="003321A8" w:rsidRPr="004E2933" w:rsidRDefault="003321A8" w:rsidP="00D36A69">
            <w:pPr>
              <w:jc w:val="center"/>
              <w:rPr>
                <w:rFonts w:cs="Arial"/>
                <w:b/>
              </w:rPr>
            </w:pPr>
            <w:r w:rsidRPr="004E2933">
              <w:rPr>
                <w:rFonts w:cs="Arial"/>
                <w:b/>
              </w:rPr>
              <w:t>Total Expenditures</w:t>
            </w:r>
          </w:p>
        </w:tc>
        <w:tc>
          <w:tcPr>
            <w:tcW w:w="581" w:type="pct"/>
          </w:tcPr>
          <w:p w:rsidR="003321A8" w:rsidRPr="004E2933" w:rsidRDefault="003321A8" w:rsidP="00D36A69">
            <w:pPr>
              <w:jc w:val="center"/>
              <w:rPr>
                <w:rFonts w:cs="Arial"/>
                <w:b/>
              </w:rPr>
            </w:pPr>
            <w:r w:rsidRPr="004E2933">
              <w:rPr>
                <w:rFonts w:cs="Arial"/>
                <w:b/>
              </w:rPr>
              <w:t>Net Operating Surplus (Deficit)</w:t>
            </w:r>
          </w:p>
        </w:tc>
        <w:tc>
          <w:tcPr>
            <w:tcW w:w="505" w:type="pct"/>
          </w:tcPr>
          <w:p w:rsidR="003321A8" w:rsidRPr="004E2933" w:rsidRDefault="003321A8" w:rsidP="00D36A69">
            <w:pPr>
              <w:jc w:val="center"/>
              <w:rPr>
                <w:rFonts w:cs="Arial"/>
                <w:b/>
              </w:rPr>
            </w:pPr>
            <w:r w:rsidRPr="004E2933">
              <w:rPr>
                <w:rFonts w:cs="Arial"/>
                <w:b/>
              </w:rPr>
              <w:t>Working Capital Ratio</w:t>
            </w:r>
          </w:p>
        </w:tc>
        <w:tc>
          <w:tcPr>
            <w:tcW w:w="373" w:type="pct"/>
          </w:tcPr>
          <w:p w:rsidR="003321A8" w:rsidRPr="004E2933" w:rsidRDefault="003321A8" w:rsidP="00D36A69">
            <w:pPr>
              <w:jc w:val="center"/>
              <w:rPr>
                <w:rFonts w:cs="Arial"/>
                <w:b/>
              </w:rPr>
            </w:pPr>
            <w:r w:rsidRPr="004E2933">
              <w:rPr>
                <w:rFonts w:cs="Arial"/>
                <w:b/>
              </w:rPr>
              <w:t>Debt Ratio</w:t>
            </w:r>
          </w:p>
        </w:tc>
        <w:tc>
          <w:tcPr>
            <w:tcW w:w="640" w:type="pct"/>
          </w:tcPr>
          <w:p w:rsidR="003321A8" w:rsidRPr="004E2933" w:rsidRDefault="003321A8" w:rsidP="00D36A69">
            <w:pPr>
              <w:jc w:val="center"/>
              <w:rPr>
                <w:rFonts w:cs="Arial"/>
                <w:b/>
              </w:rPr>
            </w:pPr>
            <w:r w:rsidRPr="004E2933">
              <w:rPr>
                <w:rFonts w:cs="Arial"/>
                <w:b/>
              </w:rPr>
              <w:t>Attendance Ratio</w:t>
            </w:r>
          </w:p>
        </w:tc>
        <w:tc>
          <w:tcPr>
            <w:tcW w:w="581" w:type="pct"/>
          </w:tcPr>
          <w:p w:rsidR="003321A8" w:rsidRPr="004E2933" w:rsidRDefault="003321A8" w:rsidP="00D36A69">
            <w:pPr>
              <w:jc w:val="center"/>
              <w:rPr>
                <w:rFonts w:cs="Arial"/>
                <w:b/>
              </w:rPr>
            </w:pPr>
            <w:r w:rsidRPr="004E2933">
              <w:rPr>
                <w:rFonts w:cs="Arial"/>
                <w:b/>
              </w:rPr>
              <w:t>Ending Fund Balance</w:t>
            </w:r>
          </w:p>
        </w:tc>
        <w:tc>
          <w:tcPr>
            <w:tcW w:w="545" w:type="pct"/>
          </w:tcPr>
          <w:p w:rsidR="003321A8" w:rsidRPr="004E2933" w:rsidRDefault="003321A8" w:rsidP="00D36A69">
            <w:pPr>
              <w:jc w:val="center"/>
              <w:rPr>
                <w:rFonts w:cs="Arial"/>
                <w:b/>
              </w:rPr>
            </w:pPr>
            <w:r w:rsidRPr="004E2933">
              <w:rPr>
                <w:rFonts w:cs="Arial"/>
                <w:b/>
              </w:rPr>
              <w:t>Percent of Reserves</w:t>
            </w:r>
          </w:p>
        </w:tc>
      </w:tr>
      <w:tr w:rsidR="003321A8" w:rsidRPr="004E2933" w:rsidTr="005E23FB">
        <w:tc>
          <w:tcPr>
            <w:tcW w:w="451" w:type="pct"/>
          </w:tcPr>
          <w:p w:rsidR="003321A8" w:rsidRPr="004E2933" w:rsidRDefault="00EA4DF4" w:rsidP="00D36A69">
            <w:pPr>
              <w:rPr>
                <w:rFonts w:cs="Arial"/>
              </w:rPr>
            </w:pPr>
            <w:r>
              <w:rPr>
                <w:rFonts w:cs="Arial"/>
              </w:rPr>
              <w:t>2017–18</w:t>
            </w:r>
            <w:r w:rsidR="003321A8" w:rsidRPr="004E2933">
              <w:rPr>
                <w:rFonts w:cs="Arial"/>
              </w:rPr>
              <w:t xml:space="preserve"> Audit</w:t>
            </w:r>
          </w:p>
        </w:tc>
        <w:tc>
          <w:tcPr>
            <w:tcW w:w="597" w:type="pct"/>
            <w:vAlign w:val="center"/>
          </w:tcPr>
          <w:p w:rsidR="003321A8" w:rsidRPr="004E2933" w:rsidRDefault="004E5904" w:rsidP="00EA4DF4">
            <w:pPr>
              <w:jc w:val="center"/>
              <w:rPr>
                <w:rFonts w:cs="Arial"/>
              </w:rPr>
            </w:pPr>
            <w:r w:rsidRPr="004E2933">
              <w:rPr>
                <w:rFonts w:cs="Arial"/>
              </w:rPr>
              <w:t>N</w:t>
            </w:r>
            <w:r w:rsidR="00EA4DF4">
              <w:rPr>
                <w:rFonts w:cs="Arial"/>
              </w:rPr>
              <w:t>P</w:t>
            </w:r>
          </w:p>
        </w:tc>
        <w:tc>
          <w:tcPr>
            <w:tcW w:w="726" w:type="pct"/>
            <w:vAlign w:val="center"/>
          </w:tcPr>
          <w:p w:rsidR="003321A8" w:rsidRPr="004E2933" w:rsidRDefault="00EA4DF4" w:rsidP="00D36A69">
            <w:pPr>
              <w:jc w:val="center"/>
              <w:rPr>
                <w:rFonts w:cs="Arial"/>
              </w:rPr>
            </w:pPr>
            <w:r>
              <w:rPr>
                <w:rFonts w:cs="Arial"/>
              </w:rPr>
              <w:t>NP</w:t>
            </w:r>
          </w:p>
        </w:tc>
        <w:tc>
          <w:tcPr>
            <w:tcW w:w="581" w:type="pct"/>
            <w:vAlign w:val="center"/>
          </w:tcPr>
          <w:p w:rsidR="003321A8" w:rsidRPr="004E2933" w:rsidRDefault="00EA4DF4" w:rsidP="00D36A69">
            <w:pPr>
              <w:jc w:val="center"/>
              <w:rPr>
                <w:rFonts w:cs="Arial"/>
              </w:rPr>
            </w:pPr>
            <w:r>
              <w:rPr>
                <w:rFonts w:cs="Arial"/>
              </w:rPr>
              <w:t>NP</w:t>
            </w:r>
          </w:p>
        </w:tc>
        <w:tc>
          <w:tcPr>
            <w:tcW w:w="505" w:type="pct"/>
            <w:vAlign w:val="center"/>
          </w:tcPr>
          <w:p w:rsidR="003321A8" w:rsidRPr="004E2933" w:rsidRDefault="004E5904" w:rsidP="00EA4DF4">
            <w:pPr>
              <w:jc w:val="center"/>
              <w:rPr>
                <w:rFonts w:cs="Arial"/>
              </w:rPr>
            </w:pPr>
            <w:r w:rsidRPr="004E2933">
              <w:rPr>
                <w:rFonts w:cs="Arial"/>
              </w:rPr>
              <w:t>N</w:t>
            </w:r>
            <w:r w:rsidR="00EA4DF4">
              <w:rPr>
                <w:rFonts w:cs="Arial"/>
              </w:rPr>
              <w:t>P</w:t>
            </w:r>
          </w:p>
        </w:tc>
        <w:tc>
          <w:tcPr>
            <w:tcW w:w="373" w:type="pct"/>
            <w:vAlign w:val="center"/>
          </w:tcPr>
          <w:p w:rsidR="003321A8" w:rsidRPr="004E2933" w:rsidRDefault="00EA4DF4" w:rsidP="00D36A69">
            <w:pPr>
              <w:jc w:val="center"/>
              <w:rPr>
                <w:rFonts w:cs="Arial"/>
              </w:rPr>
            </w:pPr>
            <w:r>
              <w:rPr>
                <w:rFonts w:cs="Arial"/>
              </w:rPr>
              <w:t>NP</w:t>
            </w:r>
          </w:p>
        </w:tc>
        <w:tc>
          <w:tcPr>
            <w:tcW w:w="640" w:type="pct"/>
            <w:vAlign w:val="center"/>
          </w:tcPr>
          <w:p w:rsidR="003321A8" w:rsidRPr="004E2933" w:rsidRDefault="00087FB6" w:rsidP="00EA4DF4">
            <w:pPr>
              <w:jc w:val="center"/>
              <w:rPr>
                <w:rFonts w:cs="Arial"/>
              </w:rPr>
            </w:pPr>
            <w:r w:rsidRPr="004E2933">
              <w:rPr>
                <w:rFonts w:cs="Arial"/>
              </w:rPr>
              <w:t>N</w:t>
            </w:r>
            <w:r w:rsidR="00EA4DF4">
              <w:rPr>
                <w:rFonts w:cs="Arial"/>
              </w:rPr>
              <w:t>P</w:t>
            </w:r>
          </w:p>
        </w:tc>
        <w:tc>
          <w:tcPr>
            <w:tcW w:w="581" w:type="pct"/>
            <w:vAlign w:val="center"/>
          </w:tcPr>
          <w:p w:rsidR="003321A8" w:rsidRPr="004E2933" w:rsidRDefault="00EA4DF4" w:rsidP="00D36A69">
            <w:pPr>
              <w:jc w:val="center"/>
              <w:rPr>
                <w:rFonts w:cs="Arial"/>
              </w:rPr>
            </w:pPr>
            <w:r>
              <w:rPr>
                <w:rFonts w:cs="Arial"/>
              </w:rPr>
              <w:t>NP</w:t>
            </w:r>
          </w:p>
        </w:tc>
        <w:tc>
          <w:tcPr>
            <w:tcW w:w="545" w:type="pct"/>
            <w:vAlign w:val="center"/>
          </w:tcPr>
          <w:p w:rsidR="003321A8" w:rsidRPr="004E2933" w:rsidRDefault="00EA4DF4" w:rsidP="00D36A69">
            <w:pPr>
              <w:jc w:val="center"/>
              <w:rPr>
                <w:rFonts w:cs="Arial"/>
              </w:rPr>
            </w:pPr>
            <w:r>
              <w:rPr>
                <w:rFonts w:cs="Arial"/>
              </w:rPr>
              <w:t>NP</w:t>
            </w:r>
          </w:p>
        </w:tc>
      </w:tr>
      <w:tr w:rsidR="003321A8" w:rsidRPr="004E2933" w:rsidTr="005E23FB">
        <w:tc>
          <w:tcPr>
            <w:tcW w:w="451" w:type="pct"/>
          </w:tcPr>
          <w:p w:rsidR="003321A8" w:rsidRPr="004E2933" w:rsidRDefault="003321A8" w:rsidP="00EA4DF4">
            <w:pPr>
              <w:rPr>
                <w:rFonts w:cs="Arial"/>
              </w:rPr>
            </w:pPr>
            <w:r w:rsidRPr="004E2933">
              <w:rPr>
                <w:rFonts w:cs="Arial"/>
              </w:rPr>
              <w:t>201</w:t>
            </w:r>
            <w:r w:rsidR="00EA4DF4">
              <w:rPr>
                <w:rFonts w:cs="Arial"/>
              </w:rPr>
              <w:t>8–19</w:t>
            </w:r>
            <w:r w:rsidRPr="004E2933">
              <w:rPr>
                <w:rFonts w:cs="Arial"/>
              </w:rPr>
              <w:t xml:space="preserve"> Budget</w:t>
            </w:r>
          </w:p>
        </w:tc>
        <w:tc>
          <w:tcPr>
            <w:tcW w:w="597" w:type="pct"/>
            <w:vAlign w:val="center"/>
          </w:tcPr>
          <w:p w:rsidR="003321A8" w:rsidRPr="004E2933" w:rsidRDefault="00EA4DF4" w:rsidP="00087FB6">
            <w:pPr>
              <w:jc w:val="center"/>
              <w:rPr>
                <w:rFonts w:cs="Arial"/>
              </w:rPr>
            </w:pPr>
            <w:r>
              <w:rPr>
                <w:rFonts w:cs="Arial"/>
              </w:rPr>
              <w:t>$4,855,197</w:t>
            </w:r>
          </w:p>
        </w:tc>
        <w:tc>
          <w:tcPr>
            <w:tcW w:w="726" w:type="pct"/>
            <w:vAlign w:val="center"/>
          </w:tcPr>
          <w:p w:rsidR="003321A8" w:rsidRPr="004E2933" w:rsidRDefault="00EA4DF4" w:rsidP="00EA4DF4">
            <w:pPr>
              <w:jc w:val="center"/>
              <w:rPr>
                <w:rFonts w:cs="Arial"/>
              </w:rPr>
            </w:pPr>
            <w:r>
              <w:rPr>
                <w:rFonts w:cs="Arial"/>
              </w:rPr>
              <w:t>$5,167,076</w:t>
            </w:r>
          </w:p>
        </w:tc>
        <w:tc>
          <w:tcPr>
            <w:tcW w:w="581" w:type="pct"/>
            <w:vAlign w:val="center"/>
          </w:tcPr>
          <w:p w:rsidR="003321A8" w:rsidRPr="004E2933" w:rsidRDefault="00EA4DF4" w:rsidP="00087FB6">
            <w:pPr>
              <w:jc w:val="center"/>
              <w:rPr>
                <w:rFonts w:cs="Arial"/>
              </w:rPr>
            </w:pPr>
            <w:r>
              <w:rPr>
                <w:rFonts w:cs="Arial"/>
              </w:rPr>
              <w:t>($311,879)</w:t>
            </w:r>
          </w:p>
        </w:tc>
        <w:tc>
          <w:tcPr>
            <w:tcW w:w="505" w:type="pct"/>
            <w:vAlign w:val="center"/>
          </w:tcPr>
          <w:p w:rsidR="003321A8" w:rsidRPr="004E2933" w:rsidRDefault="003321A8" w:rsidP="00D36A69">
            <w:pPr>
              <w:jc w:val="center"/>
              <w:rPr>
                <w:rFonts w:cs="Arial"/>
              </w:rPr>
            </w:pPr>
            <w:r w:rsidRPr="004E2933">
              <w:rPr>
                <w:rFonts w:cs="Arial"/>
              </w:rPr>
              <w:t>NA</w:t>
            </w:r>
          </w:p>
        </w:tc>
        <w:tc>
          <w:tcPr>
            <w:tcW w:w="373" w:type="pct"/>
            <w:vAlign w:val="center"/>
          </w:tcPr>
          <w:p w:rsidR="003321A8" w:rsidRPr="004E2933" w:rsidRDefault="003321A8" w:rsidP="00D36A69">
            <w:pPr>
              <w:jc w:val="center"/>
              <w:rPr>
                <w:rFonts w:cs="Arial"/>
              </w:rPr>
            </w:pPr>
            <w:r w:rsidRPr="004E2933">
              <w:rPr>
                <w:rFonts w:cs="Arial"/>
              </w:rPr>
              <w:t>NA</w:t>
            </w:r>
          </w:p>
        </w:tc>
        <w:tc>
          <w:tcPr>
            <w:tcW w:w="640" w:type="pct"/>
            <w:vAlign w:val="center"/>
          </w:tcPr>
          <w:p w:rsidR="003321A8" w:rsidRPr="004E2933" w:rsidRDefault="00EA4DF4" w:rsidP="00D36A69">
            <w:pPr>
              <w:jc w:val="center"/>
              <w:rPr>
                <w:rFonts w:cs="Arial"/>
              </w:rPr>
            </w:pPr>
            <w:r>
              <w:rPr>
                <w:rFonts w:cs="Arial"/>
              </w:rPr>
              <w:t>NP</w:t>
            </w:r>
          </w:p>
        </w:tc>
        <w:tc>
          <w:tcPr>
            <w:tcW w:w="581" w:type="pct"/>
            <w:vAlign w:val="center"/>
          </w:tcPr>
          <w:p w:rsidR="003321A8" w:rsidRPr="004E2933" w:rsidRDefault="00EA4DF4" w:rsidP="00D36A69">
            <w:pPr>
              <w:jc w:val="center"/>
              <w:rPr>
                <w:rFonts w:cs="Arial"/>
              </w:rPr>
            </w:pPr>
            <w:r>
              <w:rPr>
                <w:rFonts w:cs="Arial"/>
              </w:rPr>
              <w:t>($1,390,022)</w:t>
            </w:r>
          </w:p>
        </w:tc>
        <w:tc>
          <w:tcPr>
            <w:tcW w:w="545" w:type="pct"/>
            <w:vAlign w:val="center"/>
          </w:tcPr>
          <w:p w:rsidR="003321A8" w:rsidRPr="004E2933" w:rsidRDefault="00EA4DF4" w:rsidP="00D36A69">
            <w:pPr>
              <w:jc w:val="center"/>
              <w:rPr>
                <w:rFonts w:cs="Arial"/>
              </w:rPr>
            </w:pPr>
            <w:r>
              <w:rPr>
                <w:rFonts w:cs="Arial"/>
              </w:rPr>
              <w:t>0%</w:t>
            </w:r>
          </w:p>
        </w:tc>
      </w:tr>
      <w:tr w:rsidR="003321A8" w:rsidRPr="004E2933" w:rsidTr="005E23FB">
        <w:tc>
          <w:tcPr>
            <w:tcW w:w="451" w:type="pct"/>
          </w:tcPr>
          <w:p w:rsidR="003321A8" w:rsidRPr="004E2933" w:rsidRDefault="00EA4DF4" w:rsidP="00EA4DF4">
            <w:pPr>
              <w:rPr>
                <w:rFonts w:cs="Arial"/>
              </w:rPr>
            </w:pPr>
            <w:r>
              <w:rPr>
                <w:rFonts w:cs="Arial"/>
              </w:rPr>
              <w:t>2018–19</w:t>
            </w:r>
            <w:r w:rsidR="003321A8" w:rsidRPr="004E2933">
              <w:rPr>
                <w:rFonts w:cs="Arial"/>
              </w:rPr>
              <w:t xml:space="preserve"> 2nd Interim</w:t>
            </w:r>
          </w:p>
        </w:tc>
        <w:tc>
          <w:tcPr>
            <w:tcW w:w="597" w:type="pct"/>
            <w:vAlign w:val="center"/>
          </w:tcPr>
          <w:p w:rsidR="003321A8" w:rsidRPr="004E2933" w:rsidRDefault="00EA4DF4" w:rsidP="00087FB6">
            <w:pPr>
              <w:jc w:val="center"/>
              <w:rPr>
                <w:rFonts w:cs="Arial"/>
              </w:rPr>
            </w:pPr>
            <w:r w:rsidRPr="004E2933">
              <w:rPr>
                <w:rFonts w:cs="Arial"/>
              </w:rPr>
              <w:t>NA</w:t>
            </w:r>
          </w:p>
        </w:tc>
        <w:tc>
          <w:tcPr>
            <w:tcW w:w="726" w:type="pct"/>
            <w:vAlign w:val="center"/>
          </w:tcPr>
          <w:p w:rsidR="003321A8" w:rsidRPr="004E2933" w:rsidRDefault="00EA4DF4" w:rsidP="00087FB6">
            <w:pPr>
              <w:jc w:val="center"/>
              <w:rPr>
                <w:rFonts w:cs="Arial"/>
              </w:rPr>
            </w:pPr>
            <w:r w:rsidRPr="004E2933">
              <w:rPr>
                <w:rFonts w:cs="Arial"/>
              </w:rPr>
              <w:t>NA</w:t>
            </w:r>
          </w:p>
        </w:tc>
        <w:tc>
          <w:tcPr>
            <w:tcW w:w="581" w:type="pct"/>
            <w:vAlign w:val="center"/>
          </w:tcPr>
          <w:p w:rsidR="003321A8" w:rsidRPr="004E2933" w:rsidRDefault="00EA4DF4" w:rsidP="00087FB6">
            <w:pPr>
              <w:jc w:val="center"/>
              <w:rPr>
                <w:rFonts w:cs="Arial"/>
              </w:rPr>
            </w:pPr>
            <w:r w:rsidRPr="004E2933">
              <w:rPr>
                <w:rFonts w:cs="Arial"/>
              </w:rPr>
              <w:t>NA</w:t>
            </w:r>
          </w:p>
        </w:tc>
        <w:tc>
          <w:tcPr>
            <w:tcW w:w="505" w:type="pct"/>
            <w:vAlign w:val="center"/>
          </w:tcPr>
          <w:p w:rsidR="003321A8" w:rsidRPr="004E2933" w:rsidRDefault="003321A8" w:rsidP="00D36A69">
            <w:pPr>
              <w:jc w:val="center"/>
              <w:rPr>
                <w:rFonts w:cs="Arial"/>
              </w:rPr>
            </w:pPr>
            <w:r w:rsidRPr="004E2933">
              <w:rPr>
                <w:rFonts w:cs="Arial"/>
              </w:rPr>
              <w:t>NA</w:t>
            </w:r>
          </w:p>
        </w:tc>
        <w:tc>
          <w:tcPr>
            <w:tcW w:w="373" w:type="pct"/>
            <w:vAlign w:val="center"/>
          </w:tcPr>
          <w:p w:rsidR="003321A8" w:rsidRPr="004E2933" w:rsidRDefault="003321A8" w:rsidP="005E23FB">
            <w:pPr>
              <w:jc w:val="center"/>
              <w:rPr>
                <w:rFonts w:cs="Arial"/>
              </w:rPr>
            </w:pPr>
            <w:r w:rsidRPr="004E2933">
              <w:rPr>
                <w:rFonts w:cs="Arial"/>
              </w:rPr>
              <w:t>NA</w:t>
            </w:r>
          </w:p>
        </w:tc>
        <w:tc>
          <w:tcPr>
            <w:tcW w:w="640" w:type="pct"/>
            <w:vAlign w:val="center"/>
          </w:tcPr>
          <w:p w:rsidR="003321A8" w:rsidRPr="004E2933" w:rsidRDefault="00EA4DF4" w:rsidP="00D36A69">
            <w:pPr>
              <w:jc w:val="center"/>
              <w:rPr>
                <w:rFonts w:cs="Arial"/>
                <w:color w:val="FF0000"/>
              </w:rPr>
            </w:pPr>
            <w:r w:rsidRPr="004E2933">
              <w:rPr>
                <w:rFonts w:cs="Arial"/>
              </w:rPr>
              <w:t>NA</w:t>
            </w:r>
          </w:p>
        </w:tc>
        <w:tc>
          <w:tcPr>
            <w:tcW w:w="581" w:type="pct"/>
            <w:vAlign w:val="center"/>
          </w:tcPr>
          <w:p w:rsidR="003321A8" w:rsidRPr="004E2933" w:rsidRDefault="00EA4DF4" w:rsidP="00087FB6">
            <w:pPr>
              <w:jc w:val="center"/>
              <w:rPr>
                <w:rFonts w:cs="Arial"/>
              </w:rPr>
            </w:pPr>
            <w:r w:rsidRPr="004E2933">
              <w:rPr>
                <w:rFonts w:cs="Arial"/>
              </w:rPr>
              <w:t>NA</w:t>
            </w:r>
          </w:p>
        </w:tc>
        <w:tc>
          <w:tcPr>
            <w:tcW w:w="545" w:type="pct"/>
            <w:vAlign w:val="center"/>
          </w:tcPr>
          <w:p w:rsidR="003321A8" w:rsidRPr="004E2933" w:rsidRDefault="00EA4DF4" w:rsidP="00D36A69">
            <w:pPr>
              <w:jc w:val="center"/>
              <w:rPr>
                <w:rFonts w:cs="Arial"/>
              </w:rPr>
            </w:pPr>
            <w:r w:rsidRPr="004E2933">
              <w:rPr>
                <w:rFonts w:cs="Arial"/>
              </w:rPr>
              <w:t>NA</w:t>
            </w:r>
          </w:p>
        </w:tc>
      </w:tr>
    </w:tbl>
    <w:p w:rsidR="00087FB6" w:rsidRDefault="00087FB6" w:rsidP="003321A8">
      <w:pPr>
        <w:sectPr w:rsidR="00087FB6" w:rsidSect="004E2933">
          <w:pgSz w:w="15840" w:h="12240" w:orient="landscape"/>
          <w:pgMar w:top="1440" w:right="720" w:bottom="1440" w:left="1440" w:header="720" w:footer="720" w:gutter="0"/>
          <w:cols w:space="720"/>
          <w:docGrid w:linePitch="326"/>
        </w:sectPr>
      </w:pPr>
    </w:p>
    <w:p w:rsidR="00BE5A48" w:rsidRDefault="00BE5A48" w:rsidP="000B491B">
      <w:pPr>
        <w:pStyle w:val="Heading3"/>
      </w:pPr>
      <w:proofErr w:type="spellStart"/>
      <w:r>
        <w:lastRenderedPageBreak/>
        <w:t>Prepa</w:t>
      </w:r>
      <w:proofErr w:type="spellEnd"/>
      <w:r>
        <w:t xml:space="preserve"> Tec Los Angeles High</w:t>
      </w:r>
    </w:p>
    <w:p w:rsidR="00BE5A48" w:rsidRPr="00D270A8" w:rsidRDefault="00BE5A48" w:rsidP="00861A80">
      <w:pPr>
        <w:pStyle w:val="ListParagraph"/>
        <w:numPr>
          <w:ilvl w:val="0"/>
          <w:numId w:val="10"/>
        </w:numPr>
      </w:pPr>
      <w:r w:rsidRPr="00D270A8">
        <w:t>Charter Term Expires: 6/30/2021</w:t>
      </w:r>
    </w:p>
    <w:p w:rsidR="00BE5A48" w:rsidRPr="00D270A8" w:rsidRDefault="00BE5A48" w:rsidP="00861A80">
      <w:pPr>
        <w:pStyle w:val="ListParagraph"/>
        <w:numPr>
          <w:ilvl w:val="0"/>
          <w:numId w:val="10"/>
        </w:numPr>
      </w:pPr>
      <w:r w:rsidRPr="00D270A8">
        <w:t>Grades Authorized to Serve: 9–12</w:t>
      </w:r>
    </w:p>
    <w:p w:rsidR="00BE5A48" w:rsidRPr="00D270A8" w:rsidRDefault="00AF22B1" w:rsidP="00861A80">
      <w:pPr>
        <w:pStyle w:val="ListParagraph"/>
        <w:numPr>
          <w:ilvl w:val="0"/>
          <w:numId w:val="10"/>
        </w:numPr>
      </w:pPr>
      <w:r w:rsidRPr="00D270A8">
        <w:t>201</w:t>
      </w:r>
      <w:r w:rsidR="00EA4DF4">
        <w:t>7–18</w:t>
      </w:r>
      <w:r w:rsidRPr="00D270A8">
        <w:t xml:space="preserve"> P-</w:t>
      </w:r>
      <w:r w:rsidR="00BE5A48" w:rsidRPr="00D270A8">
        <w:t xml:space="preserve">2 ADA: </w:t>
      </w:r>
      <w:r w:rsidR="00EA4DF4">
        <w:t>206.74</w:t>
      </w:r>
    </w:p>
    <w:p w:rsidR="001108ED" w:rsidRPr="00D270A8" w:rsidRDefault="00EA4DF4" w:rsidP="00861A80">
      <w:pPr>
        <w:pStyle w:val="ListParagraph"/>
        <w:numPr>
          <w:ilvl w:val="0"/>
          <w:numId w:val="10"/>
        </w:numPr>
        <w:spacing w:after="100" w:afterAutospacing="1"/>
      </w:pPr>
      <w:r>
        <w:t>2018–19</w:t>
      </w:r>
      <w:r w:rsidR="00AF22B1" w:rsidRPr="00D270A8">
        <w:t xml:space="preserve"> P-</w:t>
      </w:r>
      <w:r w:rsidR="001108ED" w:rsidRPr="00D270A8">
        <w:t xml:space="preserve">2 ADA: </w:t>
      </w:r>
      <w:r>
        <w:t>265.59</w:t>
      </w:r>
    </w:p>
    <w:p w:rsidR="00BE5A48" w:rsidRDefault="00BE5A48" w:rsidP="004206BB">
      <w:pPr>
        <w:pStyle w:val="Heading4"/>
      </w:pPr>
      <w:r>
        <w:t>Fiscal Concerns</w:t>
      </w:r>
    </w:p>
    <w:p w:rsidR="00BE5A48" w:rsidRDefault="009C325C" w:rsidP="004206BB">
      <w:pPr>
        <w:spacing w:after="100" w:afterAutospacing="1"/>
      </w:pPr>
      <w:r>
        <w:t>The CDE found that PTLAH’s 2018–19</w:t>
      </w:r>
      <w:r w:rsidRPr="00D270A8">
        <w:t xml:space="preserve"> </w:t>
      </w:r>
      <w:r w:rsidR="00BE5A48">
        <w:t>second interim report project</w:t>
      </w:r>
      <w:r w:rsidR="001108ED">
        <w:t>ed</w:t>
      </w:r>
      <w:r w:rsidR="00BE5A48">
        <w:t xml:space="preserve"> a negative ending fund balance of $</w:t>
      </w:r>
      <w:r>
        <w:t>202,038</w:t>
      </w:r>
      <w:r w:rsidR="00BE5A48">
        <w:t xml:space="preserve"> with</w:t>
      </w:r>
      <w:r w:rsidR="00D36A69">
        <w:t xml:space="preserve"> a</w:t>
      </w:r>
      <w:r w:rsidR="00BE5A48">
        <w:t xml:space="preserve"> zero percent reserve for FY 201</w:t>
      </w:r>
      <w:r>
        <w:t>8–19</w:t>
      </w:r>
      <w:r w:rsidR="00BE5A48">
        <w:t xml:space="preserve">, which is below the recommended five percent in reserves outlined in the MOU between </w:t>
      </w:r>
      <w:r w:rsidR="00D36A69">
        <w:t>PTLAH</w:t>
      </w:r>
      <w:r w:rsidR="00AF22B1">
        <w:t xml:space="preserve"> and the SBE.</w:t>
      </w:r>
      <w:r w:rsidR="00D36A69">
        <w:t xml:space="preserve"> PTLAH is considered to be in poor financial condition since its inception in FY 2016–17. </w:t>
      </w:r>
      <w:r w:rsidR="00C5666F">
        <w:t xml:space="preserve">The CDE also notes that as of </w:t>
      </w:r>
      <w:r w:rsidR="00465951">
        <w:t>March 15</w:t>
      </w:r>
      <w:r w:rsidR="00C5666F">
        <w:t>, 2018, PTLAH owes $</w:t>
      </w:r>
      <w:r w:rsidR="00465951">
        <w:t>234,328</w:t>
      </w:r>
      <w:r w:rsidR="00C5666F">
        <w:t xml:space="preserve"> in outstanding vendor bills, of which $</w:t>
      </w:r>
      <w:r w:rsidR="00465951">
        <w:t>121,550</w:t>
      </w:r>
      <w:r w:rsidR="00C5666F">
        <w:t xml:space="preserve"> are overdue more than 90 days. In</w:t>
      </w:r>
      <w:r w:rsidR="00BE5A48">
        <w:t xml:space="preserve"> addition, the CDE notes that </w:t>
      </w:r>
      <w:r w:rsidR="00D36A69">
        <w:t>PTLAH</w:t>
      </w:r>
      <w:r w:rsidR="00BE5A48">
        <w:t xml:space="preserve">’s net assets </w:t>
      </w:r>
      <w:r w:rsidR="00AF22B1">
        <w:t>were</w:t>
      </w:r>
      <w:r w:rsidR="00BE5A48">
        <w:t xml:space="preserve"> negative $</w:t>
      </w:r>
      <w:r w:rsidR="00465951">
        <w:t>544,846</w:t>
      </w:r>
      <w:r w:rsidR="00BE5A48" w:rsidRPr="000D281B">
        <w:t xml:space="preserve"> as of </w:t>
      </w:r>
      <w:r w:rsidR="00D36A69">
        <w:t>January 31</w:t>
      </w:r>
      <w:r w:rsidR="00BE5A48">
        <w:t>, 2018</w:t>
      </w:r>
      <w:r w:rsidR="001108ED">
        <w:t>,</w:t>
      </w:r>
      <w:r w:rsidR="00AF22B1">
        <w:t xml:space="preserve"> and that</w:t>
      </w:r>
      <w:r w:rsidR="00BE5A48">
        <w:t xml:space="preserve"> </w:t>
      </w:r>
      <w:r w:rsidR="00D36A69">
        <w:t>PTLAH</w:t>
      </w:r>
      <w:r w:rsidR="00BE5A48">
        <w:t xml:space="preserve"> relies heavily on</w:t>
      </w:r>
      <w:r w:rsidR="00E604DD">
        <w:t xml:space="preserve"> a</w:t>
      </w:r>
      <w:r w:rsidR="00BE5A48">
        <w:t xml:space="preserve"> </w:t>
      </w:r>
      <w:r w:rsidR="00C5666F">
        <w:t>line of credit</w:t>
      </w:r>
      <w:r w:rsidR="001108ED">
        <w:t xml:space="preserve"> of $514,000</w:t>
      </w:r>
      <w:r w:rsidR="00BE5A48">
        <w:t xml:space="preserve"> to help cash shortages.</w:t>
      </w:r>
    </w:p>
    <w:p w:rsidR="004206BB" w:rsidRDefault="004206BB" w:rsidP="004206BB">
      <w:pPr>
        <w:pStyle w:val="Heading4"/>
      </w:pPr>
      <w:r>
        <w:t>California Department of Education Follow-Up</w:t>
      </w:r>
    </w:p>
    <w:p w:rsidR="004206BB" w:rsidRPr="00476B0E" w:rsidRDefault="004206BB" w:rsidP="004206BB">
      <w:r w:rsidRPr="00476B0E">
        <w:t>The CDE issued a Letter of Concern to the PTLAH Board, identifying the fiscal concerns including</w:t>
      </w:r>
      <w:r w:rsidR="00AF22B1" w:rsidRPr="00476B0E">
        <w:t xml:space="preserve"> the</w:t>
      </w:r>
      <w:r w:rsidRPr="00476B0E">
        <w:t xml:space="preserve"> negative ending fund balance and a zero percent reserve on the second interim report and requested a F</w:t>
      </w:r>
      <w:r w:rsidR="005E23FB">
        <w:t xml:space="preserve">iscal </w:t>
      </w:r>
      <w:r w:rsidRPr="00476B0E">
        <w:t>C</w:t>
      </w:r>
      <w:r w:rsidR="005E23FB">
        <w:t xml:space="preserve">orrective </w:t>
      </w:r>
      <w:r w:rsidRPr="00476B0E">
        <w:t>A</w:t>
      </w:r>
      <w:r w:rsidR="005E23FB">
        <w:t xml:space="preserve">ction </w:t>
      </w:r>
      <w:r w:rsidRPr="00476B0E">
        <w:t>P</w:t>
      </w:r>
      <w:r w:rsidR="005E23FB">
        <w:t>lan</w:t>
      </w:r>
      <w:r w:rsidRPr="00476B0E">
        <w:t xml:space="preserve"> to address these concerns to be submi</w:t>
      </w:r>
      <w:r w:rsidR="00476B0E" w:rsidRPr="00476B0E">
        <w:t xml:space="preserve">tted to the CDE </w:t>
      </w:r>
      <w:r w:rsidR="00476B0E" w:rsidRPr="00382423">
        <w:t xml:space="preserve">by July </w:t>
      </w:r>
      <w:r w:rsidR="00382423" w:rsidRPr="00382423">
        <w:t>5</w:t>
      </w:r>
      <w:r w:rsidR="00476B0E" w:rsidRPr="00382423">
        <w:t>,</w:t>
      </w:r>
      <w:r w:rsidR="00476B0E" w:rsidRPr="00476B0E">
        <w:t xml:space="preserve"> 2019</w:t>
      </w:r>
      <w:r w:rsidRPr="00476B0E">
        <w:t>. The CDE will continue to monitor the PTLAH budget, and may recommend that the SBE take appropriate action, as deemed necessary.</w:t>
      </w:r>
    </w:p>
    <w:p w:rsidR="004206BB" w:rsidRDefault="004206BB" w:rsidP="00BE5A48">
      <w:pPr>
        <w:ind w:left="720"/>
        <w:sectPr w:rsidR="004206BB" w:rsidSect="00057A96">
          <w:type w:val="continuous"/>
          <w:pgSz w:w="12240" w:h="15840"/>
          <w:pgMar w:top="720" w:right="1440" w:bottom="1440" w:left="1440" w:header="720" w:footer="720" w:gutter="0"/>
          <w:cols w:space="720"/>
        </w:sectPr>
      </w:pPr>
    </w:p>
    <w:p w:rsidR="005E23FB" w:rsidRPr="00A75084" w:rsidRDefault="00A75084" w:rsidP="00A75084">
      <w:pPr>
        <w:spacing w:after="100" w:afterAutospacing="1"/>
        <w:rPr>
          <w:b/>
        </w:rPr>
      </w:pPr>
      <w:proofErr w:type="spellStart"/>
      <w:r w:rsidRPr="00A75084">
        <w:rPr>
          <w:b/>
        </w:rPr>
        <w:lastRenderedPageBreak/>
        <w:t>P</w:t>
      </w:r>
      <w:r w:rsidR="005E23FB">
        <w:rPr>
          <w:b/>
        </w:rPr>
        <w:t>repa</w:t>
      </w:r>
      <w:proofErr w:type="spellEnd"/>
      <w:r w:rsidR="005E23FB">
        <w:rPr>
          <w:b/>
        </w:rPr>
        <w:t xml:space="preserve"> </w:t>
      </w:r>
      <w:r w:rsidRPr="00A75084">
        <w:rPr>
          <w:b/>
        </w:rPr>
        <w:t>T</w:t>
      </w:r>
      <w:r w:rsidR="005E23FB">
        <w:rPr>
          <w:b/>
        </w:rPr>
        <w:t xml:space="preserve">ec </w:t>
      </w:r>
      <w:r w:rsidRPr="00A75084">
        <w:rPr>
          <w:b/>
        </w:rPr>
        <w:t>L</w:t>
      </w:r>
      <w:r w:rsidR="005E23FB">
        <w:rPr>
          <w:b/>
        </w:rPr>
        <w:t xml:space="preserve">os </w:t>
      </w:r>
      <w:r w:rsidRPr="00A75084">
        <w:rPr>
          <w:b/>
        </w:rPr>
        <w:t>A</w:t>
      </w:r>
      <w:r w:rsidR="005E23FB">
        <w:rPr>
          <w:b/>
        </w:rPr>
        <w:t xml:space="preserve">ngeles </w:t>
      </w:r>
      <w:r w:rsidRPr="00A75084">
        <w:rPr>
          <w:b/>
        </w:rPr>
        <w:t>H</w:t>
      </w:r>
      <w:r w:rsidR="005E23FB">
        <w:rPr>
          <w:b/>
        </w:rPr>
        <w:t>igh</w:t>
      </w:r>
      <w:r w:rsidRPr="00A75084">
        <w:rPr>
          <w:b/>
        </w:rPr>
        <w:t xml:space="preserve"> </w:t>
      </w:r>
      <w:r w:rsidR="00BE5A48" w:rsidRPr="00A75084">
        <w:rPr>
          <w:b/>
        </w:rPr>
        <w:t>Financial Highlights</w:t>
      </w:r>
    </w:p>
    <w:tbl>
      <w:tblPr>
        <w:tblStyle w:val="TableGrid"/>
        <w:tblW w:w="5000" w:type="pct"/>
        <w:tblLook w:val="04A0" w:firstRow="1" w:lastRow="0" w:firstColumn="1" w:lastColumn="0" w:noHBand="0" w:noVBand="1"/>
        <w:tblCaption w:val="Financial Highlights"/>
        <w:tblDescription w:val="Financial Highlights"/>
      </w:tblPr>
      <w:tblGrid>
        <w:gridCol w:w="1234"/>
        <w:gridCol w:w="1633"/>
        <w:gridCol w:w="1986"/>
        <w:gridCol w:w="1588"/>
        <w:gridCol w:w="1381"/>
        <w:gridCol w:w="1020"/>
        <w:gridCol w:w="1750"/>
        <w:gridCol w:w="1588"/>
        <w:gridCol w:w="1490"/>
      </w:tblGrid>
      <w:tr w:rsidR="00BE5A48" w:rsidRPr="00A75084" w:rsidTr="00A75084">
        <w:trPr>
          <w:tblHeader/>
        </w:trPr>
        <w:tc>
          <w:tcPr>
            <w:tcW w:w="451" w:type="pct"/>
          </w:tcPr>
          <w:p w:rsidR="00BE5A48" w:rsidRPr="00A75084" w:rsidRDefault="00BE5A48" w:rsidP="00D36A69">
            <w:pPr>
              <w:jc w:val="center"/>
              <w:rPr>
                <w:rFonts w:cs="Arial"/>
                <w:b/>
              </w:rPr>
            </w:pPr>
            <w:r w:rsidRPr="00A75084">
              <w:rPr>
                <w:rFonts w:cs="Arial"/>
                <w:b/>
              </w:rPr>
              <w:t>FY / Source</w:t>
            </w:r>
          </w:p>
        </w:tc>
        <w:tc>
          <w:tcPr>
            <w:tcW w:w="597" w:type="pct"/>
          </w:tcPr>
          <w:p w:rsidR="00BE5A48" w:rsidRPr="00A75084" w:rsidRDefault="00BE5A48" w:rsidP="00D36A69">
            <w:pPr>
              <w:jc w:val="center"/>
              <w:rPr>
                <w:rFonts w:cs="Arial"/>
                <w:b/>
              </w:rPr>
            </w:pPr>
            <w:r w:rsidRPr="00A75084">
              <w:rPr>
                <w:rFonts w:cs="Arial"/>
                <w:b/>
              </w:rPr>
              <w:t>Total Revenues</w:t>
            </w:r>
          </w:p>
        </w:tc>
        <w:tc>
          <w:tcPr>
            <w:tcW w:w="726" w:type="pct"/>
          </w:tcPr>
          <w:p w:rsidR="00BE5A48" w:rsidRPr="00A75084" w:rsidRDefault="00BE5A48" w:rsidP="00D36A69">
            <w:pPr>
              <w:jc w:val="center"/>
              <w:rPr>
                <w:rFonts w:cs="Arial"/>
                <w:b/>
              </w:rPr>
            </w:pPr>
            <w:r w:rsidRPr="00A75084">
              <w:rPr>
                <w:rFonts w:cs="Arial"/>
                <w:b/>
              </w:rPr>
              <w:t>Total Expenditures</w:t>
            </w:r>
          </w:p>
        </w:tc>
        <w:tc>
          <w:tcPr>
            <w:tcW w:w="581" w:type="pct"/>
          </w:tcPr>
          <w:p w:rsidR="00BE5A48" w:rsidRPr="00A75084" w:rsidRDefault="00BE5A48" w:rsidP="00D36A69">
            <w:pPr>
              <w:jc w:val="center"/>
              <w:rPr>
                <w:rFonts w:cs="Arial"/>
                <w:b/>
              </w:rPr>
            </w:pPr>
            <w:r w:rsidRPr="00A75084">
              <w:rPr>
                <w:rFonts w:cs="Arial"/>
                <w:b/>
              </w:rPr>
              <w:t>Net Operating Surplus (Deficit)</w:t>
            </w:r>
          </w:p>
        </w:tc>
        <w:tc>
          <w:tcPr>
            <w:tcW w:w="505" w:type="pct"/>
          </w:tcPr>
          <w:p w:rsidR="00BE5A48" w:rsidRPr="00A75084" w:rsidRDefault="00BE5A48" w:rsidP="00D36A69">
            <w:pPr>
              <w:jc w:val="center"/>
              <w:rPr>
                <w:rFonts w:cs="Arial"/>
                <w:b/>
              </w:rPr>
            </w:pPr>
            <w:r w:rsidRPr="00A75084">
              <w:rPr>
                <w:rFonts w:cs="Arial"/>
                <w:b/>
              </w:rPr>
              <w:t>Working Capital Ratio</w:t>
            </w:r>
          </w:p>
        </w:tc>
        <w:tc>
          <w:tcPr>
            <w:tcW w:w="373" w:type="pct"/>
          </w:tcPr>
          <w:p w:rsidR="00BE5A48" w:rsidRPr="00A75084" w:rsidRDefault="00BE5A48" w:rsidP="00D36A69">
            <w:pPr>
              <w:jc w:val="center"/>
              <w:rPr>
                <w:rFonts w:cs="Arial"/>
                <w:b/>
              </w:rPr>
            </w:pPr>
            <w:r w:rsidRPr="00A75084">
              <w:rPr>
                <w:rFonts w:cs="Arial"/>
                <w:b/>
              </w:rPr>
              <w:t>Debt Ratio</w:t>
            </w:r>
          </w:p>
        </w:tc>
        <w:tc>
          <w:tcPr>
            <w:tcW w:w="640" w:type="pct"/>
          </w:tcPr>
          <w:p w:rsidR="00BE5A48" w:rsidRPr="00A75084" w:rsidRDefault="00BE5A48" w:rsidP="00D36A69">
            <w:pPr>
              <w:jc w:val="center"/>
              <w:rPr>
                <w:rFonts w:cs="Arial"/>
                <w:b/>
              </w:rPr>
            </w:pPr>
            <w:r w:rsidRPr="00A75084">
              <w:rPr>
                <w:rFonts w:cs="Arial"/>
                <w:b/>
              </w:rPr>
              <w:t>Attendance Ratio</w:t>
            </w:r>
          </w:p>
        </w:tc>
        <w:tc>
          <w:tcPr>
            <w:tcW w:w="581" w:type="pct"/>
          </w:tcPr>
          <w:p w:rsidR="00BE5A48" w:rsidRPr="00A75084" w:rsidRDefault="00BE5A48" w:rsidP="00D36A69">
            <w:pPr>
              <w:jc w:val="center"/>
              <w:rPr>
                <w:rFonts w:cs="Arial"/>
                <w:b/>
              </w:rPr>
            </w:pPr>
            <w:r w:rsidRPr="00A75084">
              <w:rPr>
                <w:rFonts w:cs="Arial"/>
                <w:b/>
              </w:rPr>
              <w:t>Ending Fund Balance</w:t>
            </w:r>
          </w:p>
        </w:tc>
        <w:tc>
          <w:tcPr>
            <w:tcW w:w="545" w:type="pct"/>
          </w:tcPr>
          <w:p w:rsidR="00BE5A48" w:rsidRPr="00A75084" w:rsidRDefault="00BE5A48" w:rsidP="00D36A69">
            <w:pPr>
              <w:jc w:val="center"/>
              <w:rPr>
                <w:rFonts w:cs="Arial"/>
                <w:b/>
              </w:rPr>
            </w:pPr>
            <w:r w:rsidRPr="00A75084">
              <w:rPr>
                <w:rFonts w:cs="Arial"/>
                <w:b/>
              </w:rPr>
              <w:t>Percent of Reserves</w:t>
            </w:r>
          </w:p>
        </w:tc>
      </w:tr>
      <w:tr w:rsidR="00BE5A48" w:rsidRPr="00A75084" w:rsidTr="005E23FB">
        <w:tc>
          <w:tcPr>
            <w:tcW w:w="451" w:type="pct"/>
          </w:tcPr>
          <w:p w:rsidR="00BE5A48" w:rsidRPr="00A75084" w:rsidRDefault="00465951" w:rsidP="00D36A69">
            <w:pPr>
              <w:rPr>
                <w:rFonts w:cs="Arial"/>
              </w:rPr>
            </w:pPr>
            <w:r>
              <w:rPr>
                <w:rFonts w:cs="Arial"/>
              </w:rPr>
              <w:t>2017–18</w:t>
            </w:r>
            <w:r w:rsidR="00BE5A48" w:rsidRPr="00A75084">
              <w:rPr>
                <w:rFonts w:cs="Arial"/>
              </w:rPr>
              <w:t xml:space="preserve"> Audit</w:t>
            </w:r>
          </w:p>
        </w:tc>
        <w:tc>
          <w:tcPr>
            <w:tcW w:w="597" w:type="pct"/>
            <w:vAlign w:val="center"/>
          </w:tcPr>
          <w:p w:rsidR="00BE5A48" w:rsidRPr="00A75084" w:rsidRDefault="00C5666F" w:rsidP="00465951">
            <w:pPr>
              <w:jc w:val="center"/>
              <w:rPr>
                <w:rFonts w:cs="Arial"/>
              </w:rPr>
            </w:pPr>
            <w:r w:rsidRPr="00A75084">
              <w:rPr>
                <w:rFonts w:cs="Arial"/>
              </w:rPr>
              <w:t>$</w:t>
            </w:r>
            <w:r w:rsidR="00465951">
              <w:rPr>
                <w:rFonts w:cs="Arial"/>
              </w:rPr>
              <w:t>3,232,464</w:t>
            </w:r>
          </w:p>
        </w:tc>
        <w:tc>
          <w:tcPr>
            <w:tcW w:w="726" w:type="pct"/>
            <w:vAlign w:val="center"/>
          </w:tcPr>
          <w:p w:rsidR="00BE5A48" w:rsidRPr="00A75084" w:rsidRDefault="00C5666F" w:rsidP="00465951">
            <w:pPr>
              <w:jc w:val="center"/>
              <w:rPr>
                <w:rFonts w:cs="Arial"/>
              </w:rPr>
            </w:pPr>
            <w:r w:rsidRPr="00A75084">
              <w:rPr>
                <w:rFonts w:cs="Arial"/>
              </w:rPr>
              <w:t>$</w:t>
            </w:r>
            <w:r w:rsidR="00465951">
              <w:rPr>
                <w:rFonts w:cs="Arial"/>
              </w:rPr>
              <w:t>3,780,896</w:t>
            </w:r>
          </w:p>
        </w:tc>
        <w:tc>
          <w:tcPr>
            <w:tcW w:w="581" w:type="pct"/>
            <w:vAlign w:val="center"/>
          </w:tcPr>
          <w:p w:rsidR="00BE5A48" w:rsidRPr="00A75084" w:rsidRDefault="00C5666F" w:rsidP="00465951">
            <w:pPr>
              <w:jc w:val="center"/>
              <w:rPr>
                <w:rFonts w:cs="Arial"/>
              </w:rPr>
            </w:pPr>
            <w:r w:rsidRPr="00A75084">
              <w:rPr>
                <w:rFonts w:cs="Arial"/>
              </w:rPr>
              <w:t>($</w:t>
            </w:r>
            <w:r w:rsidR="00465951">
              <w:rPr>
                <w:rFonts w:cs="Arial"/>
              </w:rPr>
              <w:t>548,432</w:t>
            </w:r>
            <w:r w:rsidRPr="00A75084">
              <w:rPr>
                <w:rFonts w:cs="Arial"/>
              </w:rPr>
              <w:t>)</w:t>
            </w:r>
          </w:p>
        </w:tc>
        <w:tc>
          <w:tcPr>
            <w:tcW w:w="505" w:type="pct"/>
            <w:vAlign w:val="center"/>
          </w:tcPr>
          <w:p w:rsidR="00BE5A48" w:rsidRPr="00A75084" w:rsidRDefault="00465951" w:rsidP="00D36A69">
            <w:pPr>
              <w:jc w:val="center"/>
              <w:rPr>
                <w:rFonts w:cs="Arial"/>
              </w:rPr>
            </w:pPr>
            <w:r>
              <w:rPr>
                <w:rFonts w:cs="Arial"/>
              </w:rPr>
              <w:t>0.16</w:t>
            </w:r>
          </w:p>
        </w:tc>
        <w:tc>
          <w:tcPr>
            <w:tcW w:w="373" w:type="pct"/>
            <w:vAlign w:val="center"/>
          </w:tcPr>
          <w:p w:rsidR="00BE5A48" w:rsidRPr="00A75084" w:rsidRDefault="00465951" w:rsidP="00D36A69">
            <w:pPr>
              <w:jc w:val="center"/>
              <w:rPr>
                <w:rFonts w:cs="Arial"/>
              </w:rPr>
            </w:pPr>
            <w:r>
              <w:rPr>
                <w:rFonts w:cs="Arial"/>
              </w:rPr>
              <w:t>1.53</w:t>
            </w:r>
          </w:p>
        </w:tc>
        <w:tc>
          <w:tcPr>
            <w:tcW w:w="640" w:type="pct"/>
            <w:vAlign w:val="center"/>
          </w:tcPr>
          <w:p w:rsidR="00BE5A48" w:rsidRPr="00A75084" w:rsidRDefault="00465951" w:rsidP="00D36A69">
            <w:pPr>
              <w:jc w:val="center"/>
              <w:rPr>
                <w:rFonts w:cs="Arial"/>
              </w:rPr>
            </w:pPr>
            <w:r>
              <w:rPr>
                <w:rFonts w:cs="Arial"/>
              </w:rPr>
              <w:t>92.3</w:t>
            </w:r>
          </w:p>
        </w:tc>
        <w:tc>
          <w:tcPr>
            <w:tcW w:w="581" w:type="pct"/>
            <w:vAlign w:val="center"/>
          </w:tcPr>
          <w:p w:rsidR="00BE5A48" w:rsidRPr="00A75084" w:rsidRDefault="00C5666F" w:rsidP="00465951">
            <w:pPr>
              <w:jc w:val="center"/>
              <w:rPr>
                <w:rFonts w:cs="Arial"/>
              </w:rPr>
            </w:pPr>
            <w:r w:rsidRPr="00A75084">
              <w:rPr>
                <w:rFonts w:cs="Arial"/>
              </w:rPr>
              <w:t>($</w:t>
            </w:r>
            <w:r w:rsidR="00465951">
              <w:rPr>
                <w:rFonts w:cs="Arial"/>
              </w:rPr>
              <w:t>879,715</w:t>
            </w:r>
            <w:r w:rsidRPr="00A75084">
              <w:rPr>
                <w:rFonts w:cs="Arial"/>
              </w:rPr>
              <w:t>)</w:t>
            </w:r>
          </w:p>
        </w:tc>
        <w:tc>
          <w:tcPr>
            <w:tcW w:w="545" w:type="pct"/>
            <w:vAlign w:val="center"/>
          </w:tcPr>
          <w:p w:rsidR="00BE5A48" w:rsidRPr="00A75084" w:rsidRDefault="00C5666F" w:rsidP="00C5666F">
            <w:pPr>
              <w:jc w:val="center"/>
              <w:rPr>
                <w:rFonts w:cs="Arial"/>
              </w:rPr>
            </w:pPr>
            <w:r w:rsidRPr="00A75084">
              <w:rPr>
                <w:rFonts w:cs="Arial"/>
              </w:rPr>
              <w:t>0%</w:t>
            </w:r>
          </w:p>
        </w:tc>
      </w:tr>
      <w:tr w:rsidR="00BE5A48" w:rsidRPr="00A75084" w:rsidTr="005E23FB">
        <w:tc>
          <w:tcPr>
            <w:tcW w:w="451" w:type="pct"/>
          </w:tcPr>
          <w:p w:rsidR="00BE5A48" w:rsidRPr="00A75084" w:rsidRDefault="00BE5A48" w:rsidP="00D36A69">
            <w:pPr>
              <w:rPr>
                <w:rFonts w:cs="Arial"/>
              </w:rPr>
            </w:pPr>
            <w:r w:rsidRPr="00A75084">
              <w:rPr>
                <w:rFonts w:cs="Arial"/>
              </w:rPr>
              <w:t>20</w:t>
            </w:r>
            <w:r w:rsidR="00465951">
              <w:rPr>
                <w:rFonts w:cs="Arial"/>
              </w:rPr>
              <w:t>18–19</w:t>
            </w:r>
            <w:r w:rsidRPr="00A75084">
              <w:rPr>
                <w:rFonts w:cs="Arial"/>
              </w:rPr>
              <w:t xml:space="preserve"> Budget</w:t>
            </w:r>
          </w:p>
        </w:tc>
        <w:tc>
          <w:tcPr>
            <w:tcW w:w="597" w:type="pct"/>
            <w:vAlign w:val="center"/>
          </w:tcPr>
          <w:p w:rsidR="00BE5A48" w:rsidRPr="00A75084" w:rsidRDefault="00BE5A48" w:rsidP="00465951">
            <w:pPr>
              <w:jc w:val="center"/>
              <w:rPr>
                <w:rFonts w:cs="Arial"/>
              </w:rPr>
            </w:pPr>
            <w:r w:rsidRPr="00A75084">
              <w:rPr>
                <w:rFonts w:cs="Arial"/>
              </w:rPr>
              <w:t>$</w:t>
            </w:r>
            <w:r w:rsidR="00465951">
              <w:rPr>
                <w:rFonts w:cs="Arial"/>
              </w:rPr>
              <w:t>4,679,613</w:t>
            </w:r>
          </w:p>
        </w:tc>
        <w:tc>
          <w:tcPr>
            <w:tcW w:w="726" w:type="pct"/>
            <w:vAlign w:val="center"/>
          </w:tcPr>
          <w:p w:rsidR="00BE5A48" w:rsidRPr="00A75084" w:rsidRDefault="00BE5A48" w:rsidP="00465951">
            <w:pPr>
              <w:jc w:val="center"/>
              <w:rPr>
                <w:rFonts w:cs="Arial"/>
              </w:rPr>
            </w:pPr>
            <w:r w:rsidRPr="00A75084">
              <w:rPr>
                <w:rFonts w:cs="Arial"/>
              </w:rPr>
              <w:t>$</w:t>
            </w:r>
            <w:r w:rsidR="00465951">
              <w:rPr>
                <w:rFonts w:cs="Arial"/>
              </w:rPr>
              <w:t>4,197,516</w:t>
            </w:r>
          </w:p>
        </w:tc>
        <w:tc>
          <w:tcPr>
            <w:tcW w:w="581" w:type="pct"/>
            <w:vAlign w:val="center"/>
          </w:tcPr>
          <w:p w:rsidR="00BE5A48" w:rsidRPr="00A75084" w:rsidRDefault="00BE5A48" w:rsidP="00465951">
            <w:pPr>
              <w:jc w:val="center"/>
              <w:rPr>
                <w:rFonts w:cs="Arial"/>
              </w:rPr>
            </w:pPr>
            <w:r w:rsidRPr="00A75084">
              <w:rPr>
                <w:rFonts w:cs="Arial"/>
              </w:rPr>
              <w:t>$</w:t>
            </w:r>
            <w:r w:rsidR="00465951">
              <w:rPr>
                <w:rFonts w:cs="Arial"/>
              </w:rPr>
              <w:t>482,097</w:t>
            </w:r>
          </w:p>
        </w:tc>
        <w:tc>
          <w:tcPr>
            <w:tcW w:w="505" w:type="pct"/>
            <w:vAlign w:val="center"/>
          </w:tcPr>
          <w:p w:rsidR="00BE5A48" w:rsidRPr="00A75084" w:rsidRDefault="00BE5A48" w:rsidP="00D36A69">
            <w:pPr>
              <w:jc w:val="center"/>
              <w:rPr>
                <w:rFonts w:cs="Arial"/>
              </w:rPr>
            </w:pPr>
            <w:r w:rsidRPr="00A75084">
              <w:rPr>
                <w:rFonts w:cs="Arial"/>
              </w:rPr>
              <w:t>NA</w:t>
            </w:r>
          </w:p>
        </w:tc>
        <w:tc>
          <w:tcPr>
            <w:tcW w:w="373" w:type="pct"/>
            <w:vAlign w:val="center"/>
          </w:tcPr>
          <w:p w:rsidR="00BE5A48" w:rsidRPr="00A75084" w:rsidRDefault="00BE5A48" w:rsidP="00D36A69">
            <w:pPr>
              <w:jc w:val="center"/>
              <w:rPr>
                <w:rFonts w:cs="Arial"/>
              </w:rPr>
            </w:pPr>
            <w:r w:rsidRPr="00A75084">
              <w:rPr>
                <w:rFonts w:cs="Arial"/>
              </w:rPr>
              <w:t>NA</w:t>
            </w:r>
          </w:p>
        </w:tc>
        <w:tc>
          <w:tcPr>
            <w:tcW w:w="640" w:type="pct"/>
            <w:vAlign w:val="center"/>
          </w:tcPr>
          <w:p w:rsidR="00BE5A48" w:rsidRPr="00A75084" w:rsidRDefault="00C5666F" w:rsidP="00465951">
            <w:pPr>
              <w:jc w:val="center"/>
              <w:rPr>
                <w:rFonts w:cs="Arial"/>
              </w:rPr>
            </w:pPr>
            <w:r w:rsidRPr="00A75084">
              <w:rPr>
                <w:rFonts w:cs="Arial"/>
              </w:rPr>
              <w:t>9</w:t>
            </w:r>
            <w:r w:rsidR="00465951">
              <w:rPr>
                <w:rFonts w:cs="Arial"/>
              </w:rPr>
              <w:t>5</w:t>
            </w:r>
            <w:r w:rsidR="00BE5A48" w:rsidRPr="00A75084">
              <w:rPr>
                <w:rFonts w:cs="Arial"/>
              </w:rPr>
              <w:t>%</w:t>
            </w:r>
          </w:p>
        </w:tc>
        <w:tc>
          <w:tcPr>
            <w:tcW w:w="581" w:type="pct"/>
            <w:vAlign w:val="center"/>
          </w:tcPr>
          <w:p w:rsidR="00BE5A48" w:rsidRPr="00A75084" w:rsidRDefault="00465951" w:rsidP="00465951">
            <w:pPr>
              <w:jc w:val="center"/>
              <w:rPr>
                <w:rFonts w:cs="Arial"/>
              </w:rPr>
            </w:pPr>
            <w:r>
              <w:rPr>
                <w:rFonts w:cs="Arial"/>
              </w:rPr>
              <w:t>(</w:t>
            </w:r>
            <w:r w:rsidR="00BE5A48" w:rsidRPr="00A75084">
              <w:rPr>
                <w:rFonts w:cs="Arial"/>
              </w:rPr>
              <w:t>$</w:t>
            </w:r>
            <w:r>
              <w:rPr>
                <w:rFonts w:cs="Arial"/>
              </w:rPr>
              <w:t>346,192)</w:t>
            </w:r>
          </w:p>
        </w:tc>
        <w:tc>
          <w:tcPr>
            <w:tcW w:w="545" w:type="pct"/>
            <w:vAlign w:val="center"/>
          </w:tcPr>
          <w:p w:rsidR="00BE5A48" w:rsidRPr="00A75084" w:rsidRDefault="00465951" w:rsidP="00D36A69">
            <w:pPr>
              <w:jc w:val="center"/>
              <w:rPr>
                <w:rFonts w:cs="Arial"/>
              </w:rPr>
            </w:pPr>
            <w:r>
              <w:rPr>
                <w:rFonts w:cs="Arial"/>
              </w:rPr>
              <w:t>0</w:t>
            </w:r>
            <w:r w:rsidR="00BE5A48" w:rsidRPr="00A75084">
              <w:rPr>
                <w:rFonts w:cs="Arial"/>
              </w:rPr>
              <w:t>%</w:t>
            </w:r>
          </w:p>
        </w:tc>
      </w:tr>
      <w:tr w:rsidR="00BE5A48" w:rsidRPr="00A75084" w:rsidTr="005E23FB">
        <w:tc>
          <w:tcPr>
            <w:tcW w:w="451" w:type="pct"/>
          </w:tcPr>
          <w:p w:rsidR="00BE5A48" w:rsidRPr="00A75084" w:rsidRDefault="00465951" w:rsidP="00D36A69">
            <w:pPr>
              <w:rPr>
                <w:rFonts w:cs="Arial"/>
              </w:rPr>
            </w:pPr>
            <w:r>
              <w:rPr>
                <w:rFonts w:cs="Arial"/>
              </w:rPr>
              <w:t>2018–19</w:t>
            </w:r>
            <w:r w:rsidR="00BE5A48" w:rsidRPr="00A75084">
              <w:rPr>
                <w:rFonts w:cs="Arial"/>
              </w:rPr>
              <w:t xml:space="preserve"> 2nd Interim</w:t>
            </w:r>
          </w:p>
        </w:tc>
        <w:tc>
          <w:tcPr>
            <w:tcW w:w="597" w:type="pct"/>
            <w:vAlign w:val="center"/>
          </w:tcPr>
          <w:p w:rsidR="00BE5A48" w:rsidRPr="00A75084" w:rsidRDefault="00BE5A48" w:rsidP="00465951">
            <w:pPr>
              <w:jc w:val="center"/>
              <w:rPr>
                <w:rFonts w:cs="Arial"/>
              </w:rPr>
            </w:pPr>
            <w:r w:rsidRPr="00A75084">
              <w:rPr>
                <w:rFonts w:cs="Arial"/>
              </w:rPr>
              <w:t>$</w:t>
            </w:r>
            <w:r w:rsidR="00465951">
              <w:rPr>
                <w:rFonts w:cs="Arial"/>
              </w:rPr>
              <w:t>4,183,104</w:t>
            </w:r>
          </w:p>
        </w:tc>
        <w:tc>
          <w:tcPr>
            <w:tcW w:w="726" w:type="pct"/>
            <w:vAlign w:val="center"/>
          </w:tcPr>
          <w:p w:rsidR="00BE5A48" w:rsidRPr="00A75084" w:rsidRDefault="00BE5A48" w:rsidP="00465951">
            <w:pPr>
              <w:jc w:val="center"/>
              <w:rPr>
                <w:rFonts w:cs="Arial"/>
              </w:rPr>
            </w:pPr>
            <w:r w:rsidRPr="00A75084">
              <w:rPr>
                <w:rFonts w:cs="Arial"/>
              </w:rPr>
              <w:t>$</w:t>
            </w:r>
            <w:r w:rsidR="00465951">
              <w:rPr>
                <w:rFonts w:cs="Arial"/>
              </w:rPr>
              <w:t>3,505,427</w:t>
            </w:r>
          </w:p>
        </w:tc>
        <w:tc>
          <w:tcPr>
            <w:tcW w:w="581" w:type="pct"/>
            <w:vAlign w:val="center"/>
          </w:tcPr>
          <w:p w:rsidR="00BE5A48" w:rsidRPr="00A75084" w:rsidRDefault="00BE5A48" w:rsidP="00465951">
            <w:pPr>
              <w:jc w:val="center"/>
              <w:rPr>
                <w:rFonts w:cs="Arial"/>
              </w:rPr>
            </w:pPr>
            <w:r w:rsidRPr="00A75084">
              <w:rPr>
                <w:rFonts w:cs="Arial"/>
              </w:rPr>
              <w:t>$</w:t>
            </w:r>
            <w:r w:rsidR="00465951">
              <w:rPr>
                <w:rFonts w:cs="Arial"/>
              </w:rPr>
              <w:t>677,677</w:t>
            </w:r>
          </w:p>
        </w:tc>
        <w:tc>
          <w:tcPr>
            <w:tcW w:w="505" w:type="pct"/>
            <w:vAlign w:val="center"/>
          </w:tcPr>
          <w:p w:rsidR="00BE5A48" w:rsidRPr="00A75084" w:rsidRDefault="00BE5A48" w:rsidP="00D36A69">
            <w:pPr>
              <w:jc w:val="center"/>
              <w:rPr>
                <w:rFonts w:cs="Arial"/>
              </w:rPr>
            </w:pPr>
            <w:r w:rsidRPr="00A75084">
              <w:rPr>
                <w:rFonts w:cs="Arial"/>
              </w:rPr>
              <w:t>NA</w:t>
            </w:r>
          </w:p>
        </w:tc>
        <w:tc>
          <w:tcPr>
            <w:tcW w:w="373" w:type="pct"/>
            <w:vAlign w:val="center"/>
          </w:tcPr>
          <w:p w:rsidR="00BE5A48" w:rsidRPr="00A75084" w:rsidRDefault="00BE5A48" w:rsidP="005E23FB">
            <w:pPr>
              <w:jc w:val="center"/>
              <w:rPr>
                <w:rFonts w:cs="Arial"/>
              </w:rPr>
            </w:pPr>
            <w:r w:rsidRPr="00A75084">
              <w:rPr>
                <w:rFonts w:cs="Arial"/>
              </w:rPr>
              <w:t>NA</w:t>
            </w:r>
          </w:p>
        </w:tc>
        <w:tc>
          <w:tcPr>
            <w:tcW w:w="640" w:type="pct"/>
            <w:vAlign w:val="center"/>
          </w:tcPr>
          <w:p w:rsidR="00BE5A48" w:rsidRPr="00A75084" w:rsidRDefault="0016783C" w:rsidP="00D36A69">
            <w:pPr>
              <w:jc w:val="center"/>
              <w:rPr>
                <w:rFonts w:cs="Arial"/>
                <w:color w:val="FF0000"/>
              </w:rPr>
            </w:pPr>
            <w:r w:rsidRPr="0016783C">
              <w:rPr>
                <w:rFonts w:cs="Arial"/>
              </w:rPr>
              <w:t>95</w:t>
            </w:r>
            <w:r w:rsidR="00044BA8" w:rsidRPr="0016783C">
              <w:rPr>
                <w:rFonts w:cs="Arial"/>
              </w:rPr>
              <w:t>.3</w:t>
            </w:r>
            <w:r w:rsidR="00044BA8" w:rsidRPr="00A75084">
              <w:rPr>
                <w:rFonts w:cs="Arial"/>
              </w:rPr>
              <w:t>%</w:t>
            </w:r>
          </w:p>
        </w:tc>
        <w:tc>
          <w:tcPr>
            <w:tcW w:w="581" w:type="pct"/>
            <w:vAlign w:val="center"/>
          </w:tcPr>
          <w:p w:rsidR="00BE5A48" w:rsidRPr="00A75084" w:rsidRDefault="00C5666F" w:rsidP="00465951">
            <w:pPr>
              <w:jc w:val="center"/>
              <w:rPr>
                <w:rFonts w:cs="Arial"/>
              </w:rPr>
            </w:pPr>
            <w:r w:rsidRPr="00A75084">
              <w:rPr>
                <w:rFonts w:cs="Arial"/>
              </w:rPr>
              <w:t>($</w:t>
            </w:r>
            <w:r w:rsidR="00465951">
              <w:rPr>
                <w:rFonts w:cs="Arial"/>
              </w:rPr>
              <w:t>202,038</w:t>
            </w:r>
            <w:r w:rsidR="00BE5A48" w:rsidRPr="00A75084">
              <w:rPr>
                <w:rFonts w:cs="Arial"/>
              </w:rPr>
              <w:t>)</w:t>
            </w:r>
          </w:p>
        </w:tc>
        <w:tc>
          <w:tcPr>
            <w:tcW w:w="545" w:type="pct"/>
            <w:vAlign w:val="center"/>
          </w:tcPr>
          <w:p w:rsidR="00BE5A48" w:rsidRPr="00A75084" w:rsidRDefault="00BE5A48" w:rsidP="00D36A69">
            <w:pPr>
              <w:jc w:val="center"/>
              <w:rPr>
                <w:rFonts w:cs="Arial"/>
              </w:rPr>
            </w:pPr>
            <w:r w:rsidRPr="00A75084">
              <w:rPr>
                <w:rFonts w:cs="Arial"/>
              </w:rPr>
              <w:t>0%</w:t>
            </w:r>
          </w:p>
        </w:tc>
      </w:tr>
    </w:tbl>
    <w:p w:rsidR="00461A12" w:rsidRPr="00EF40E4" w:rsidRDefault="00EF40E4" w:rsidP="005E23FB">
      <w:pPr>
        <w:spacing w:before="240"/>
        <w:rPr>
          <w:i/>
        </w:rPr>
      </w:pPr>
      <w:r w:rsidRPr="00EF40E4">
        <w:rPr>
          <w:i/>
        </w:rPr>
        <w:t>California Depa</w:t>
      </w:r>
      <w:r w:rsidR="00465951">
        <w:rPr>
          <w:i/>
        </w:rPr>
        <w:t>rtment of Education, August 2019</w:t>
      </w:r>
    </w:p>
    <w:sectPr w:rsidR="00461A12" w:rsidRPr="00EF40E4" w:rsidSect="00917EB2">
      <w:pgSz w:w="15840" w:h="12240" w:orient="landscape"/>
      <w:pgMar w:top="1440" w:right="72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FE2" w:rsidRDefault="00714FE2" w:rsidP="00F84197">
      <w:r>
        <w:separator/>
      </w:r>
    </w:p>
  </w:endnote>
  <w:endnote w:type="continuationSeparator" w:id="0">
    <w:p w:rsidR="00714FE2" w:rsidRDefault="00714FE2" w:rsidP="00F8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25C" w:rsidRDefault="005F3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25C" w:rsidRDefault="005F32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25C" w:rsidRDefault="005F3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FE2" w:rsidRDefault="00714FE2" w:rsidP="00F84197">
      <w:r>
        <w:separator/>
      </w:r>
    </w:p>
  </w:footnote>
  <w:footnote w:type="continuationSeparator" w:id="0">
    <w:p w:rsidR="00714FE2" w:rsidRDefault="00714FE2" w:rsidP="00F84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25C" w:rsidRDefault="005F3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FE2" w:rsidRDefault="00714FE2" w:rsidP="00F61978">
    <w:pPr>
      <w:pStyle w:val="Header"/>
      <w:jc w:val="right"/>
    </w:pPr>
    <w:r w:rsidRPr="00F61978">
      <w:t>memo-</w:t>
    </w:r>
    <w:r w:rsidR="005F325C">
      <w:t>gacsb</w:t>
    </w:r>
    <w:r w:rsidRPr="00F61978">
      <w:t>-csd-aug1</w:t>
    </w:r>
    <w:r>
      <w:t>9</w:t>
    </w:r>
    <w:r w:rsidRPr="00F61978">
      <w:t>item01</w:t>
    </w:r>
  </w:p>
  <w:p w:rsidR="00714FE2" w:rsidRPr="00F61978" w:rsidRDefault="00714FE2" w:rsidP="00F61978">
    <w:pPr>
      <w:pStyle w:val="Header"/>
      <w:jc w:val="right"/>
    </w:pPr>
    <w:r>
      <w:t>Attachment 1</w:t>
    </w:r>
  </w:p>
  <w:p w:rsidR="00714FE2" w:rsidRPr="00F61978" w:rsidRDefault="00714FE2" w:rsidP="00F61978">
    <w:pPr>
      <w:tabs>
        <w:tab w:val="center" w:pos="4680"/>
        <w:tab w:val="right" w:pos="9360"/>
      </w:tabs>
      <w:spacing w:after="100" w:afterAutospacing="1"/>
      <w:jc w:val="right"/>
    </w:pPr>
    <w:r w:rsidRPr="00F61978">
      <w:t xml:space="preserve">Page </w:t>
    </w:r>
    <w:r w:rsidRPr="00F61978">
      <w:fldChar w:fldCharType="begin"/>
    </w:r>
    <w:r w:rsidRPr="00F61978">
      <w:instrText xml:space="preserve"> PAGE   \* MERGEFORMAT </w:instrText>
    </w:r>
    <w:r w:rsidRPr="00F61978">
      <w:fldChar w:fldCharType="separate"/>
    </w:r>
    <w:r w:rsidR="00DF38BB">
      <w:rPr>
        <w:noProof/>
      </w:rPr>
      <w:t>4</w:t>
    </w:r>
    <w:r w:rsidRPr="00F61978">
      <w:fldChar w:fldCharType="end"/>
    </w:r>
    <w:r w:rsidRPr="00F61978">
      <w:t xml:space="preserve"> of </w:t>
    </w:r>
    <w:fldSimple w:instr=" NUMPAGES   \* MERGEFORMAT ">
      <w:r w:rsidR="00DF38BB">
        <w:rPr>
          <w:noProof/>
        </w:rPr>
        <w:t>10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25C" w:rsidRDefault="005F3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2761"/>
    <w:multiLevelType w:val="hybridMultilevel"/>
    <w:tmpl w:val="E592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4561F"/>
    <w:multiLevelType w:val="hybridMultilevel"/>
    <w:tmpl w:val="4360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35970"/>
    <w:multiLevelType w:val="hybridMultilevel"/>
    <w:tmpl w:val="DF50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664FB"/>
    <w:multiLevelType w:val="hybridMultilevel"/>
    <w:tmpl w:val="8730D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C3B3078"/>
    <w:multiLevelType w:val="hybridMultilevel"/>
    <w:tmpl w:val="3CA4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E5227"/>
    <w:multiLevelType w:val="hybridMultilevel"/>
    <w:tmpl w:val="B9AA3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3A77AE"/>
    <w:multiLevelType w:val="hybridMultilevel"/>
    <w:tmpl w:val="1368C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F33895"/>
    <w:multiLevelType w:val="hybridMultilevel"/>
    <w:tmpl w:val="B352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300D1"/>
    <w:multiLevelType w:val="hybridMultilevel"/>
    <w:tmpl w:val="FD4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F37E5"/>
    <w:multiLevelType w:val="hybridMultilevel"/>
    <w:tmpl w:val="F4C0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D1EA6"/>
    <w:multiLevelType w:val="hybridMultilevel"/>
    <w:tmpl w:val="EE1E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8"/>
  </w:num>
  <w:num w:numId="6">
    <w:abstractNumId w:val="2"/>
  </w:num>
  <w:num w:numId="7">
    <w:abstractNumId w:val="4"/>
  </w:num>
  <w:num w:numId="8">
    <w:abstractNumId w:val="7"/>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40"/>
    <w:rsid w:val="0000439B"/>
    <w:rsid w:val="00044BA8"/>
    <w:rsid w:val="00053B2A"/>
    <w:rsid w:val="00057A96"/>
    <w:rsid w:val="00077927"/>
    <w:rsid w:val="00087FB6"/>
    <w:rsid w:val="0009091C"/>
    <w:rsid w:val="000B491B"/>
    <w:rsid w:val="000B7813"/>
    <w:rsid w:val="000B7D95"/>
    <w:rsid w:val="000C139F"/>
    <w:rsid w:val="000C1869"/>
    <w:rsid w:val="000D281B"/>
    <w:rsid w:val="000E2147"/>
    <w:rsid w:val="000E5069"/>
    <w:rsid w:val="001108ED"/>
    <w:rsid w:val="00120155"/>
    <w:rsid w:val="0013141B"/>
    <w:rsid w:val="0013271A"/>
    <w:rsid w:val="00143030"/>
    <w:rsid w:val="0016173B"/>
    <w:rsid w:val="001648E9"/>
    <w:rsid w:val="0016783C"/>
    <w:rsid w:val="00184DEF"/>
    <w:rsid w:val="001A6670"/>
    <w:rsid w:val="001D0C76"/>
    <w:rsid w:val="001D0D17"/>
    <w:rsid w:val="001D3CFD"/>
    <w:rsid w:val="001D4396"/>
    <w:rsid w:val="001F4207"/>
    <w:rsid w:val="0021425B"/>
    <w:rsid w:val="002232EF"/>
    <w:rsid w:val="002408E4"/>
    <w:rsid w:val="002521CA"/>
    <w:rsid w:val="00256699"/>
    <w:rsid w:val="0029286A"/>
    <w:rsid w:val="002D0A84"/>
    <w:rsid w:val="002E0854"/>
    <w:rsid w:val="002E6A6A"/>
    <w:rsid w:val="003163D0"/>
    <w:rsid w:val="00316E96"/>
    <w:rsid w:val="00321D49"/>
    <w:rsid w:val="00322C00"/>
    <w:rsid w:val="00324140"/>
    <w:rsid w:val="00325EAA"/>
    <w:rsid w:val="003321A8"/>
    <w:rsid w:val="0033616F"/>
    <w:rsid w:val="00364C1F"/>
    <w:rsid w:val="00382423"/>
    <w:rsid w:val="00391D2E"/>
    <w:rsid w:val="003B759F"/>
    <w:rsid w:val="003D1042"/>
    <w:rsid w:val="003D3054"/>
    <w:rsid w:val="003D35FD"/>
    <w:rsid w:val="003E3B94"/>
    <w:rsid w:val="00407731"/>
    <w:rsid w:val="004206BB"/>
    <w:rsid w:val="004413D7"/>
    <w:rsid w:val="004444BF"/>
    <w:rsid w:val="00447BF6"/>
    <w:rsid w:val="00450DE4"/>
    <w:rsid w:val="0045448A"/>
    <w:rsid w:val="00461A12"/>
    <w:rsid w:val="00465951"/>
    <w:rsid w:val="00474A2F"/>
    <w:rsid w:val="00476B0E"/>
    <w:rsid w:val="00480417"/>
    <w:rsid w:val="004A6B59"/>
    <w:rsid w:val="004B154E"/>
    <w:rsid w:val="004C6121"/>
    <w:rsid w:val="004C6FEA"/>
    <w:rsid w:val="004E121C"/>
    <w:rsid w:val="004E2933"/>
    <w:rsid w:val="004E5904"/>
    <w:rsid w:val="004E7793"/>
    <w:rsid w:val="00510C33"/>
    <w:rsid w:val="005138B9"/>
    <w:rsid w:val="0051479B"/>
    <w:rsid w:val="0054334A"/>
    <w:rsid w:val="00544351"/>
    <w:rsid w:val="005700FA"/>
    <w:rsid w:val="00586C01"/>
    <w:rsid w:val="0058760F"/>
    <w:rsid w:val="00587E6B"/>
    <w:rsid w:val="005B1325"/>
    <w:rsid w:val="005D600A"/>
    <w:rsid w:val="005E23FB"/>
    <w:rsid w:val="005F22CD"/>
    <w:rsid w:val="005F325C"/>
    <w:rsid w:val="006332BB"/>
    <w:rsid w:val="0066032B"/>
    <w:rsid w:val="00680588"/>
    <w:rsid w:val="00681207"/>
    <w:rsid w:val="00697EE9"/>
    <w:rsid w:val="006D01A6"/>
    <w:rsid w:val="006E4313"/>
    <w:rsid w:val="006F0CDD"/>
    <w:rsid w:val="0070290D"/>
    <w:rsid w:val="00714FE2"/>
    <w:rsid w:val="0074109F"/>
    <w:rsid w:val="007A2653"/>
    <w:rsid w:val="007C012C"/>
    <w:rsid w:val="007C1393"/>
    <w:rsid w:val="007C235A"/>
    <w:rsid w:val="007C3BB7"/>
    <w:rsid w:val="007D0D9B"/>
    <w:rsid w:val="008106F3"/>
    <w:rsid w:val="00814FFE"/>
    <w:rsid w:val="00815147"/>
    <w:rsid w:val="008213F2"/>
    <w:rsid w:val="00822110"/>
    <w:rsid w:val="008250AC"/>
    <w:rsid w:val="008424F4"/>
    <w:rsid w:val="0085577C"/>
    <w:rsid w:val="00861A80"/>
    <w:rsid w:val="008818CA"/>
    <w:rsid w:val="008B1135"/>
    <w:rsid w:val="008C45FE"/>
    <w:rsid w:val="008C5565"/>
    <w:rsid w:val="008D2B05"/>
    <w:rsid w:val="008F6CA0"/>
    <w:rsid w:val="00915370"/>
    <w:rsid w:val="00917EB2"/>
    <w:rsid w:val="0093596C"/>
    <w:rsid w:val="00957D56"/>
    <w:rsid w:val="00963290"/>
    <w:rsid w:val="00982A10"/>
    <w:rsid w:val="00986551"/>
    <w:rsid w:val="00986B30"/>
    <w:rsid w:val="00995D1D"/>
    <w:rsid w:val="009C325C"/>
    <w:rsid w:val="009C766A"/>
    <w:rsid w:val="00A00F39"/>
    <w:rsid w:val="00A11875"/>
    <w:rsid w:val="00A31CA9"/>
    <w:rsid w:val="00A35C73"/>
    <w:rsid w:val="00A435CF"/>
    <w:rsid w:val="00A75084"/>
    <w:rsid w:val="00AB4C92"/>
    <w:rsid w:val="00AD3501"/>
    <w:rsid w:val="00AE1BB0"/>
    <w:rsid w:val="00AE7DCD"/>
    <w:rsid w:val="00AF22B1"/>
    <w:rsid w:val="00B21BCA"/>
    <w:rsid w:val="00B66519"/>
    <w:rsid w:val="00B843CB"/>
    <w:rsid w:val="00BC3667"/>
    <w:rsid w:val="00BC376B"/>
    <w:rsid w:val="00BC4070"/>
    <w:rsid w:val="00BE5A48"/>
    <w:rsid w:val="00BF4286"/>
    <w:rsid w:val="00BF7F32"/>
    <w:rsid w:val="00C20634"/>
    <w:rsid w:val="00C21802"/>
    <w:rsid w:val="00C420BB"/>
    <w:rsid w:val="00C5666F"/>
    <w:rsid w:val="00C61F78"/>
    <w:rsid w:val="00C7045D"/>
    <w:rsid w:val="00CC5474"/>
    <w:rsid w:val="00D034B7"/>
    <w:rsid w:val="00D042D4"/>
    <w:rsid w:val="00D07EA8"/>
    <w:rsid w:val="00D270A8"/>
    <w:rsid w:val="00D36A69"/>
    <w:rsid w:val="00D43FB8"/>
    <w:rsid w:val="00D46338"/>
    <w:rsid w:val="00D569B3"/>
    <w:rsid w:val="00D6794C"/>
    <w:rsid w:val="00D81E7D"/>
    <w:rsid w:val="00D859A5"/>
    <w:rsid w:val="00DC5FAA"/>
    <w:rsid w:val="00DD6097"/>
    <w:rsid w:val="00DF38BB"/>
    <w:rsid w:val="00E305F7"/>
    <w:rsid w:val="00E32FDC"/>
    <w:rsid w:val="00E37B32"/>
    <w:rsid w:val="00E604DD"/>
    <w:rsid w:val="00E81D09"/>
    <w:rsid w:val="00E832AD"/>
    <w:rsid w:val="00EA4DF4"/>
    <w:rsid w:val="00EC3FF1"/>
    <w:rsid w:val="00EF3B2C"/>
    <w:rsid w:val="00EF40E4"/>
    <w:rsid w:val="00F04B97"/>
    <w:rsid w:val="00F06887"/>
    <w:rsid w:val="00F147CD"/>
    <w:rsid w:val="00F2229F"/>
    <w:rsid w:val="00F37CA7"/>
    <w:rsid w:val="00F508DD"/>
    <w:rsid w:val="00F61978"/>
    <w:rsid w:val="00F70704"/>
    <w:rsid w:val="00F84197"/>
    <w:rsid w:val="00FA342F"/>
    <w:rsid w:val="00FA4B5F"/>
    <w:rsid w:val="00FD40A5"/>
    <w:rsid w:val="00FD76CA"/>
    <w:rsid w:val="00FE1B05"/>
    <w:rsid w:val="00FF5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E38F77F6-2A7D-43EC-ABE7-CD2C4943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407731"/>
    <w:pPr>
      <w:keepNext/>
      <w:keepLines/>
      <w:spacing w:before="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A75084"/>
    <w:pPr>
      <w:keepNext/>
      <w:keepLines/>
      <w:spacing w:before="160" w:after="100" w:afterAutospacing="1"/>
      <w:outlineLvl w:val="1"/>
    </w:pPr>
    <w:rPr>
      <w:rFonts w:eastAsiaTheme="majorEastAsia" w:cstheme="majorBidi"/>
      <w:b/>
      <w:noProof/>
      <w:sz w:val="36"/>
      <w:szCs w:val="26"/>
    </w:rPr>
  </w:style>
  <w:style w:type="paragraph" w:styleId="Heading3">
    <w:name w:val="heading 3"/>
    <w:basedOn w:val="Normal"/>
    <w:next w:val="Normal"/>
    <w:link w:val="Heading3Char"/>
    <w:autoRedefine/>
    <w:uiPriority w:val="9"/>
    <w:unhideWhenUsed/>
    <w:qFormat/>
    <w:rsid w:val="000B491B"/>
    <w:pPr>
      <w:keepNext/>
      <w:keepLines/>
      <w:spacing w:before="40" w:after="100" w:afterAutospacing="1"/>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4206BB"/>
    <w:pPr>
      <w:keepNext/>
      <w:keepLines/>
      <w:spacing w:after="100" w:afterAutospacing="1"/>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A75084"/>
    <w:rPr>
      <w:rFonts w:ascii="Arial" w:eastAsiaTheme="majorEastAsia" w:hAnsi="Arial" w:cstheme="majorBidi"/>
      <w:b/>
      <w:noProof/>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07731"/>
    <w:rPr>
      <w:rFonts w:ascii="Arial" w:eastAsiaTheme="majorEastAsia" w:hAnsi="Arial" w:cstheme="majorBidi"/>
      <w:b/>
      <w:sz w:val="40"/>
      <w:szCs w:val="32"/>
    </w:rPr>
  </w:style>
  <w:style w:type="paragraph" w:styleId="Header">
    <w:name w:val="header"/>
    <w:basedOn w:val="Normal"/>
    <w:link w:val="HeaderChar"/>
    <w:uiPriority w:val="99"/>
    <w:unhideWhenUsed/>
    <w:rsid w:val="00F84197"/>
    <w:pPr>
      <w:tabs>
        <w:tab w:val="center" w:pos="4680"/>
        <w:tab w:val="right" w:pos="9360"/>
      </w:tabs>
    </w:pPr>
  </w:style>
  <w:style w:type="character" w:customStyle="1" w:styleId="HeaderChar">
    <w:name w:val="Header Char"/>
    <w:basedOn w:val="DefaultParagraphFont"/>
    <w:link w:val="Header"/>
    <w:uiPriority w:val="99"/>
    <w:rsid w:val="00F84197"/>
    <w:rPr>
      <w:rFonts w:ascii="Arial" w:eastAsia="Times New Roman" w:hAnsi="Arial" w:cs="Times New Roman"/>
      <w:sz w:val="24"/>
      <w:szCs w:val="24"/>
    </w:rPr>
  </w:style>
  <w:style w:type="paragraph" w:styleId="Footer">
    <w:name w:val="footer"/>
    <w:basedOn w:val="Normal"/>
    <w:link w:val="FooterChar"/>
    <w:uiPriority w:val="99"/>
    <w:unhideWhenUsed/>
    <w:rsid w:val="00F84197"/>
    <w:pPr>
      <w:tabs>
        <w:tab w:val="center" w:pos="4680"/>
        <w:tab w:val="right" w:pos="9360"/>
      </w:tabs>
    </w:pPr>
  </w:style>
  <w:style w:type="character" w:customStyle="1" w:styleId="FooterChar">
    <w:name w:val="Footer Char"/>
    <w:basedOn w:val="DefaultParagraphFont"/>
    <w:link w:val="Footer"/>
    <w:uiPriority w:val="99"/>
    <w:rsid w:val="00F84197"/>
    <w:rPr>
      <w:rFonts w:ascii="Arial" w:eastAsia="Times New Roman" w:hAnsi="Arial" w:cs="Times New Roman"/>
      <w:sz w:val="24"/>
      <w:szCs w:val="24"/>
    </w:rPr>
  </w:style>
  <w:style w:type="paragraph" w:styleId="ListParagraph">
    <w:name w:val="List Paragraph"/>
    <w:basedOn w:val="Normal"/>
    <w:uiPriority w:val="34"/>
    <w:qFormat/>
    <w:rsid w:val="001A6670"/>
    <w:pPr>
      <w:ind w:left="720"/>
      <w:contextualSpacing/>
    </w:pPr>
  </w:style>
  <w:style w:type="table" w:styleId="TableGrid">
    <w:name w:val="Table Grid"/>
    <w:basedOn w:val="TableNormal"/>
    <w:uiPriority w:val="39"/>
    <w:rsid w:val="000B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B491B"/>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4206BB"/>
    <w:rPr>
      <w:rFonts w:ascii="Arial" w:eastAsiaTheme="majorEastAsia" w:hAnsi="Arial" w:cstheme="majorBidi"/>
      <w:b/>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119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35134-20F6-4317-9841-9C64040F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10</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August 2019 Memo GACSB CSD Item 02 Attachment 1 - Information Memorandum (CA State Board of Education)</vt:lpstr>
    </vt:vector>
  </TitlesOfParts>
  <Company>California State Board of Education</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Item 01 Attachment 1 - Information Memorandum (CA State Board of Education)</dc:title>
  <dc:subject>State Board of Education-Authorized Charter Schools in Fair or Poor Financial Condition.</dc:subject>
  <cp:keywords/>
  <dc:description/>
  <cp:lastPrinted>2019-07-31T21:13:00Z</cp:lastPrinted>
  <dcterms:created xsi:type="dcterms:W3CDTF">2019-02-20T22:08:00Z</dcterms:created>
  <dcterms:modified xsi:type="dcterms:W3CDTF">2019-08-02T18:28:00Z</dcterms:modified>
  <cp:category/>
</cp:coreProperties>
</file>