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53E82" w14:textId="77777777" w:rsidR="00057A96" w:rsidRPr="009258E5" w:rsidRDefault="00057A96" w:rsidP="00057A96">
      <w:bookmarkStart w:id="0" w:name="_GoBack"/>
      <w:bookmarkEnd w:id="0"/>
      <w:r w:rsidRPr="009258E5">
        <w:t>California Department of Education</w:t>
      </w:r>
    </w:p>
    <w:p w14:paraId="076BC3EB" w14:textId="77777777" w:rsidR="00057A96" w:rsidRPr="009258E5" w:rsidRDefault="00057A96" w:rsidP="00057A96">
      <w:r w:rsidRPr="009258E5">
        <w:t>Executive Office</w:t>
      </w:r>
    </w:p>
    <w:p w14:paraId="4C47B4CF" w14:textId="77777777" w:rsidR="00982A10" w:rsidRPr="009258E5" w:rsidRDefault="00057A96" w:rsidP="00982A10">
      <w:r w:rsidRPr="009258E5">
        <w:t>SBE-00</w:t>
      </w:r>
      <w:r w:rsidR="00BC376B" w:rsidRPr="009258E5">
        <w:t>2</w:t>
      </w:r>
      <w:r w:rsidRPr="009258E5">
        <w:t xml:space="preserve"> (REV. 1</w:t>
      </w:r>
      <w:r w:rsidR="000C139F" w:rsidRPr="009258E5">
        <w:t>1</w:t>
      </w:r>
      <w:r w:rsidRPr="009258E5">
        <w:t>/2017)</w:t>
      </w:r>
    </w:p>
    <w:p w14:paraId="75F04A01" w14:textId="77777777" w:rsidR="00C5145E" w:rsidRPr="009258E5" w:rsidRDefault="00982A10" w:rsidP="00C5145E">
      <w:r w:rsidRPr="009258E5">
        <w:br w:type="column"/>
      </w:r>
      <w:proofErr w:type="gramStart"/>
      <w:r w:rsidR="00C5145E" w:rsidRPr="009258E5">
        <w:rPr>
          <w:rFonts w:cs="Arial"/>
          <w:color w:val="000000"/>
        </w:rPr>
        <w:t>memo-pptb-adad-aug18item01</w:t>
      </w:r>
      <w:proofErr w:type="gramEnd"/>
    </w:p>
    <w:p w14:paraId="1E53FC48" w14:textId="77777777" w:rsidR="00C5145E" w:rsidRPr="009258E5" w:rsidRDefault="00C5145E" w:rsidP="00C5145E">
      <w:pPr>
        <w:keepNext/>
        <w:keepLines/>
        <w:spacing w:before="240" w:line="360" w:lineRule="auto"/>
        <w:outlineLvl w:val="0"/>
        <w:rPr>
          <w:rFonts w:eastAsiaTheme="majorEastAsia" w:cs="Arial"/>
          <w:b/>
        </w:rPr>
        <w:sectPr w:rsidR="00C5145E" w:rsidRPr="009258E5" w:rsidSect="00ED70B4">
          <w:headerReference w:type="default" r:id="rId8"/>
          <w:type w:val="continuous"/>
          <w:pgSz w:w="12240" w:h="15840"/>
          <w:pgMar w:top="720" w:right="1440" w:bottom="1440" w:left="1440" w:header="720" w:footer="720" w:gutter="0"/>
          <w:cols w:num="2" w:space="144" w:equalWidth="0">
            <w:col w:w="5760" w:space="144"/>
            <w:col w:w="3456"/>
          </w:cols>
          <w:titlePg/>
          <w:docGrid w:linePitch="326"/>
        </w:sectPr>
      </w:pPr>
    </w:p>
    <w:p w14:paraId="170209A3" w14:textId="77777777" w:rsidR="00057A96" w:rsidRPr="00874D91" w:rsidRDefault="00BC376B" w:rsidP="00874D91">
      <w:pPr>
        <w:pStyle w:val="Heading1"/>
      </w:pPr>
      <w:r w:rsidRPr="00874D91">
        <w:t>MEMORANDUM</w:t>
      </w:r>
    </w:p>
    <w:p w14:paraId="44385D86" w14:textId="2BC7175D" w:rsidR="00057A96" w:rsidRPr="009258E5" w:rsidRDefault="008F6CA0" w:rsidP="00874D91">
      <w:pPr>
        <w:pStyle w:val="MessageHeader"/>
      </w:pPr>
      <w:r w:rsidRPr="009258E5">
        <w:rPr>
          <w:b/>
        </w:rPr>
        <w:t>DATE:</w:t>
      </w:r>
      <w:r w:rsidRPr="009258E5">
        <w:tab/>
      </w:r>
      <w:r w:rsidR="00D021BA" w:rsidRPr="009258E5">
        <w:t>August 6</w:t>
      </w:r>
      <w:r w:rsidR="00C5145E" w:rsidRPr="009258E5">
        <w:t>, 2018</w:t>
      </w:r>
    </w:p>
    <w:p w14:paraId="4168B712" w14:textId="48C1FEFA" w:rsidR="00057A96" w:rsidRPr="009258E5" w:rsidRDefault="00057A96" w:rsidP="00874D91">
      <w:pPr>
        <w:pStyle w:val="MessageHeader"/>
      </w:pPr>
      <w:r w:rsidRPr="009258E5">
        <w:rPr>
          <w:b/>
        </w:rPr>
        <w:t>TO:</w:t>
      </w:r>
      <w:r w:rsidRPr="009258E5">
        <w:rPr>
          <w:b/>
        </w:rPr>
        <w:tab/>
      </w:r>
      <w:r w:rsidRPr="009258E5">
        <w:t>MEMBERS, State Board of Education</w:t>
      </w:r>
    </w:p>
    <w:p w14:paraId="6943FBC3" w14:textId="77777777" w:rsidR="00057A96" w:rsidRPr="009258E5" w:rsidRDefault="00057A96" w:rsidP="00874D91">
      <w:pPr>
        <w:pStyle w:val="MessageHeader"/>
      </w:pPr>
      <w:r w:rsidRPr="009258E5">
        <w:rPr>
          <w:b/>
        </w:rPr>
        <w:t>FROM:</w:t>
      </w:r>
      <w:r w:rsidR="00C61F78" w:rsidRPr="009258E5">
        <w:tab/>
        <w:t xml:space="preserve">TOM TORLAKSON, </w:t>
      </w:r>
      <w:r w:rsidRPr="009258E5">
        <w:t>State Superintendent of Public Instruction</w:t>
      </w:r>
    </w:p>
    <w:p w14:paraId="701E59F4" w14:textId="77777777" w:rsidR="00057A96" w:rsidRPr="009258E5" w:rsidRDefault="00057A96" w:rsidP="00874D91">
      <w:pPr>
        <w:pStyle w:val="MessageHeader"/>
      </w:pPr>
      <w:r w:rsidRPr="009258E5">
        <w:rPr>
          <w:b/>
        </w:rPr>
        <w:t>SUBJECT:</w:t>
      </w:r>
      <w:r w:rsidRPr="009258E5">
        <w:rPr>
          <w:b/>
        </w:rPr>
        <w:tab/>
      </w:r>
      <w:r w:rsidR="00E14DA5" w:rsidRPr="009258E5">
        <w:t>Update</w:t>
      </w:r>
      <w:r w:rsidR="00C5145E" w:rsidRPr="009258E5">
        <w:t xml:space="preserve"> on the </w:t>
      </w:r>
      <w:r w:rsidR="00E14DA5" w:rsidRPr="009258E5">
        <w:t>2018</w:t>
      </w:r>
      <w:r w:rsidR="00E14DA5" w:rsidRPr="009258E5">
        <w:sym w:font="Symbol" w:char="F02D"/>
      </w:r>
      <w:r w:rsidR="00E14DA5" w:rsidRPr="009258E5">
        <w:t>19 Administration of the California Science Test and the California Alternate Assessment for Science</w:t>
      </w:r>
    </w:p>
    <w:p w14:paraId="576DD7FB" w14:textId="77777777" w:rsidR="00057A96" w:rsidRPr="009258E5" w:rsidRDefault="00474A2F" w:rsidP="008B1135">
      <w:pPr>
        <w:pStyle w:val="Heading2"/>
        <w:spacing w:before="240" w:after="0" w:line="360" w:lineRule="auto"/>
        <w:rPr>
          <w:sz w:val="36"/>
        </w:rPr>
      </w:pPr>
      <w:r w:rsidRPr="009258E5">
        <w:rPr>
          <w:sz w:val="36"/>
        </w:rPr>
        <w:t>Summary o</w:t>
      </w:r>
      <w:r w:rsidR="00057A96" w:rsidRPr="009258E5">
        <w:rPr>
          <w:sz w:val="36"/>
        </w:rPr>
        <w:t>f Key Issues</w:t>
      </w:r>
    </w:p>
    <w:p w14:paraId="2C039938" w14:textId="7B71E132" w:rsidR="00C5145E" w:rsidRPr="009258E5" w:rsidRDefault="00C5145E" w:rsidP="00C5145E">
      <w:pPr>
        <w:spacing w:after="240"/>
      </w:pPr>
      <w:r w:rsidRPr="009258E5">
        <w:t>This Memorandum provides 2018</w:t>
      </w:r>
      <w:r w:rsidRPr="009258E5">
        <w:sym w:font="Symbol" w:char="F02D"/>
      </w:r>
      <w:r w:rsidRPr="009258E5">
        <w:t xml:space="preserve">19 updates on the main development activities related to the </w:t>
      </w:r>
      <w:r w:rsidR="008D70AE" w:rsidRPr="009258E5">
        <w:t xml:space="preserve">first operational administration of the </w:t>
      </w:r>
      <w:r w:rsidRPr="009258E5">
        <w:t xml:space="preserve">California Science Test (CAST) and the activities in preparation for field testing of the California Alternate Assessment </w:t>
      </w:r>
      <w:r w:rsidR="00CD03E3" w:rsidRPr="009258E5">
        <w:t>(CAA) for Science.</w:t>
      </w:r>
    </w:p>
    <w:p w14:paraId="2119B570" w14:textId="4EFF49B8" w:rsidR="00C5145E" w:rsidRPr="009258E5" w:rsidRDefault="00375E65" w:rsidP="00C5145E">
      <w:pPr>
        <w:pStyle w:val="Heading3"/>
        <w:spacing w:before="240" w:after="240"/>
        <w:rPr>
          <w:rFonts w:ascii="Arial" w:hAnsi="Arial" w:cs="Arial"/>
          <w:b/>
          <w:sz w:val="32"/>
          <w:szCs w:val="32"/>
        </w:rPr>
      </w:pPr>
      <w:r w:rsidRPr="009258E5">
        <w:rPr>
          <w:rFonts w:ascii="Arial" w:hAnsi="Arial" w:cs="Arial"/>
          <w:b/>
          <w:color w:val="auto"/>
          <w:sz w:val="32"/>
          <w:szCs w:val="32"/>
        </w:rPr>
        <w:t>California Science Test</w:t>
      </w:r>
      <w:r w:rsidR="000932BD" w:rsidRPr="009258E5">
        <w:rPr>
          <w:rFonts w:ascii="Arial" w:hAnsi="Arial" w:cs="Arial"/>
          <w:b/>
          <w:color w:val="auto"/>
          <w:sz w:val="32"/>
          <w:szCs w:val="32"/>
        </w:rPr>
        <w:t>—</w:t>
      </w:r>
      <w:r w:rsidR="00C5145E" w:rsidRPr="009258E5">
        <w:rPr>
          <w:rFonts w:ascii="Arial" w:hAnsi="Arial" w:cs="Arial"/>
          <w:b/>
          <w:color w:val="auto"/>
          <w:sz w:val="32"/>
          <w:szCs w:val="32"/>
        </w:rPr>
        <w:t>First Operational Development Activities</w:t>
      </w:r>
    </w:p>
    <w:p w14:paraId="72525716" w14:textId="77777777" w:rsidR="00C5145E" w:rsidRPr="009258E5" w:rsidRDefault="00C5145E" w:rsidP="00C5145E">
      <w:pPr>
        <w:spacing w:after="240"/>
      </w:pPr>
      <w:bookmarkStart w:id="1" w:name="_Toc514771539"/>
      <w:r w:rsidRPr="009258E5">
        <w:rPr>
          <w:rFonts w:cs="Arial"/>
        </w:rPr>
        <w:t xml:space="preserve">In March 2016, the State Board of Education (SBE) approved the high-level test design (HLTD) for the CAST to measure the full range of the California Next Generation Science Standards (CA NGSS). The CAST aligns with the CA NGSS, and all students in grades five and eight and once in high school (i.e., grade ten, eleven, or twelve) must participate in the assessment. </w:t>
      </w:r>
      <w:r w:rsidRPr="009258E5">
        <w:rPr>
          <w:bCs/>
        </w:rPr>
        <w:t>The assessment includes three segments</w:t>
      </w:r>
      <w:r w:rsidR="00CD03E3" w:rsidRPr="009258E5">
        <w:rPr>
          <w:bCs/>
        </w:rPr>
        <w:t>:</w:t>
      </w:r>
      <w:r w:rsidRPr="009258E5">
        <w:rPr>
          <w:bCs/>
        </w:rPr>
        <w:t xml:space="preserve"> Segment </w:t>
      </w:r>
      <w:r w:rsidRPr="009258E5">
        <w:t xml:space="preserve">A, Segment B, and Segment C. </w:t>
      </w:r>
      <w:r w:rsidR="00CD03E3" w:rsidRPr="009258E5">
        <w:rPr>
          <w:rFonts w:cs="Arial"/>
        </w:rPr>
        <w:t>Table 1, on the following page</w:t>
      </w:r>
      <w:r w:rsidRPr="009258E5">
        <w:rPr>
          <w:rFonts w:cs="Arial"/>
        </w:rPr>
        <w:t>, displays the</w:t>
      </w:r>
      <w:r w:rsidRPr="009258E5" w:rsidDel="00594F18">
        <w:t xml:space="preserve"> </w:t>
      </w:r>
      <w:r w:rsidRPr="009258E5">
        <w:t xml:space="preserve">structure of the segments. </w:t>
      </w:r>
    </w:p>
    <w:p w14:paraId="5BE3D92E" w14:textId="37F4D319" w:rsidR="00C5145E" w:rsidRPr="009258E5" w:rsidRDefault="00C5145E" w:rsidP="00E20AC9">
      <w:pPr>
        <w:spacing w:after="240"/>
        <w:rPr>
          <w:rFonts w:eastAsiaTheme="minorEastAsia"/>
        </w:rPr>
      </w:pPr>
      <w:r w:rsidRPr="009258E5">
        <w:rPr>
          <w:rFonts w:eastAsiaTheme="minorEastAsia"/>
        </w:rPr>
        <w:t xml:space="preserve">The </w:t>
      </w:r>
      <w:r w:rsidR="003D5109" w:rsidRPr="009258E5">
        <w:rPr>
          <w:rFonts w:eastAsiaTheme="minorEastAsia"/>
        </w:rPr>
        <w:t>California Department of Education (</w:t>
      </w:r>
      <w:r w:rsidRPr="009258E5">
        <w:rPr>
          <w:rFonts w:eastAsiaTheme="minorEastAsia"/>
        </w:rPr>
        <w:t>CDE</w:t>
      </w:r>
      <w:r w:rsidR="003D5109" w:rsidRPr="009258E5">
        <w:rPr>
          <w:rFonts w:eastAsiaTheme="minorEastAsia"/>
        </w:rPr>
        <w:t>)</w:t>
      </w:r>
      <w:r w:rsidRPr="009258E5">
        <w:rPr>
          <w:rFonts w:eastAsiaTheme="minorEastAsia"/>
        </w:rPr>
        <w:t xml:space="preserve"> has continued collaborating with its partners, </w:t>
      </w:r>
      <w:r w:rsidR="00CD03E3" w:rsidRPr="009258E5">
        <w:rPr>
          <w:rFonts w:eastAsiaTheme="minorEastAsia"/>
        </w:rPr>
        <w:t>California Assessment of Student Performance and Progress (</w:t>
      </w:r>
      <w:r w:rsidRPr="009258E5">
        <w:rPr>
          <w:rFonts w:cs="Arial"/>
        </w:rPr>
        <w:t>CAASPP</w:t>
      </w:r>
      <w:r w:rsidR="00CD03E3" w:rsidRPr="009258E5">
        <w:rPr>
          <w:rFonts w:cs="Arial"/>
        </w:rPr>
        <w:t>) System</w:t>
      </w:r>
      <w:r w:rsidRPr="009258E5">
        <w:rPr>
          <w:rFonts w:cs="Arial"/>
        </w:rPr>
        <w:t xml:space="preserve"> testing contractor Educational Testing Services (ETS),</w:t>
      </w:r>
      <w:r w:rsidRPr="009258E5">
        <w:rPr>
          <w:rFonts w:eastAsiaTheme="minorEastAsia"/>
        </w:rPr>
        <w:t xml:space="preserve"> national NGSS experts, and stakeholders. As previously stated to the SBE, th</w:t>
      </w:r>
      <w:r w:rsidR="00CD03E3" w:rsidRPr="009258E5">
        <w:rPr>
          <w:rFonts w:eastAsiaTheme="minorEastAsia"/>
        </w:rPr>
        <w:t xml:space="preserve">e data collected from the field </w:t>
      </w:r>
      <w:r w:rsidRPr="009258E5">
        <w:rPr>
          <w:rFonts w:eastAsiaTheme="minorEastAsia"/>
        </w:rPr>
        <w:t>test and first operational administrations will be used to make informed decisions about the HLT</w:t>
      </w:r>
      <w:r w:rsidR="00CD03E3" w:rsidRPr="009258E5">
        <w:rPr>
          <w:rFonts w:eastAsiaTheme="minorEastAsia"/>
        </w:rPr>
        <w:t>D,</w:t>
      </w:r>
      <w:r w:rsidRPr="009258E5">
        <w:rPr>
          <w:rFonts w:eastAsiaTheme="minorEastAsia"/>
        </w:rPr>
        <w:t xml:space="preserve"> which include</w:t>
      </w:r>
      <w:r w:rsidR="00CD03E3" w:rsidRPr="009258E5">
        <w:rPr>
          <w:rFonts w:eastAsiaTheme="minorEastAsia"/>
        </w:rPr>
        <w:t>s a multi</w:t>
      </w:r>
      <w:r w:rsidR="00375E65" w:rsidRPr="009258E5">
        <w:rPr>
          <w:rFonts w:eastAsiaTheme="minorEastAsia"/>
        </w:rPr>
        <w:t>stage test (MST) structure</w:t>
      </w:r>
      <w:r w:rsidRPr="009258E5">
        <w:rPr>
          <w:rFonts w:eastAsiaTheme="minorEastAsia"/>
        </w:rPr>
        <w:t xml:space="preserve"> and t</w:t>
      </w:r>
      <w:r w:rsidR="006F295C" w:rsidRPr="009258E5">
        <w:rPr>
          <w:rFonts w:eastAsiaTheme="minorEastAsia"/>
        </w:rPr>
        <w:t xml:space="preserve">he use of a screener as </w:t>
      </w:r>
      <w:proofErr w:type="gramStart"/>
      <w:r w:rsidR="006F295C" w:rsidRPr="009258E5">
        <w:rPr>
          <w:rFonts w:eastAsiaTheme="minorEastAsia"/>
        </w:rPr>
        <w:t>student</w:t>
      </w:r>
      <w:r w:rsidRPr="009258E5">
        <w:rPr>
          <w:rFonts w:eastAsiaTheme="minorEastAsia"/>
        </w:rPr>
        <w:t>s</w:t>
      </w:r>
      <w:proofErr w:type="gramEnd"/>
      <w:r w:rsidRPr="009258E5">
        <w:rPr>
          <w:rFonts w:eastAsiaTheme="minorEastAsia"/>
        </w:rPr>
        <w:t xml:space="preserve"> transition from Segment A to Segment B.</w:t>
      </w:r>
    </w:p>
    <w:p w14:paraId="4F0FB305" w14:textId="77777777" w:rsidR="00C5145E" w:rsidRPr="009258E5" w:rsidRDefault="00C5145E" w:rsidP="00C5145E">
      <w:pPr>
        <w:pageBreakBefore/>
        <w:spacing w:before="240" w:after="240"/>
      </w:pPr>
      <w:r w:rsidRPr="009258E5">
        <w:rPr>
          <w:rFonts w:eastAsia="Arial"/>
          <w:b/>
          <w:bCs/>
        </w:rPr>
        <w:lastRenderedPageBreak/>
        <w:t>Table 1. CAST Design Summary</w:t>
      </w:r>
    </w:p>
    <w:tbl>
      <w:tblPr>
        <w:tblStyle w:val="GridTable1Light"/>
        <w:tblW w:w="9625" w:type="dxa"/>
        <w:tblInd w:w="-95" w:type="dxa"/>
        <w:tblLook w:val="04A0" w:firstRow="1" w:lastRow="0" w:firstColumn="1" w:lastColumn="0" w:noHBand="0" w:noVBand="1"/>
        <w:tblCaption w:val="CAST Design Summary"/>
        <w:tblDescription w:val="CAST Design Summary"/>
      </w:tblPr>
      <w:tblGrid>
        <w:gridCol w:w="2046"/>
        <w:gridCol w:w="2516"/>
        <w:gridCol w:w="2528"/>
        <w:gridCol w:w="2535"/>
      </w:tblGrid>
      <w:tr w:rsidR="00C5145E" w:rsidRPr="009258E5" w14:paraId="5DBEDF3E" w14:textId="77777777" w:rsidTr="00C5145E">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2046" w:type="dxa"/>
            <w:shd w:val="clear" w:color="auto" w:fill="D9D9D9" w:themeFill="background1" w:themeFillShade="D9"/>
            <w:vAlign w:val="center"/>
            <w:hideMark/>
          </w:tcPr>
          <w:p w14:paraId="2853A394" w14:textId="77777777" w:rsidR="00C5145E" w:rsidRPr="009258E5" w:rsidRDefault="00C5145E" w:rsidP="005D3585">
            <w:pPr>
              <w:spacing w:before="120" w:after="120"/>
              <w:jc w:val="center"/>
            </w:pPr>
            <w:r w:rsidRPr="009258E5">
              <w:t>Characteristics</w:t>
            </w:r>
          </w:p>
        </w:tc>
        <w:tc>
          <w:tcPr>
            <w:tcW w:w="2516" w:type="dxa"/>
            <w:shd w:val="clear" w:color="auto" w:fill="D9D9D9" w:themeFill="background1" w:themeFillShade="D9"/>
            <w:vAlign w:val="center"/>
            <w:hideMark/>
          </w:tcPr>
          <w:p w14:paraId="2BB739A9" w14:textId="77777777" w:rsidR="00C5145E" w:rsidRPr="009258E5" w:rsidRDefault="00C5145E" w:rsidP="005D3585">
            <w:pPr>
              <w:spacing w:before="120" w:after="120"/>
              <w:jc w:val="center"/>
              <w:cnfStyle w:val="100000000000" w:firstRow="1" w:lastRow="0" w:firstColumn="0" w:lastColumn="0" w:oddVBand="0" w:evenVBand="0" w:oddHBand="0" w:evenHBand="0" w:firstRowFirstColumn="0" w:firstRowLastColumn="0" w:lastRowFirstColumn="0" w:lastRowLastColumn="0"/>
            </w:pPr>
            <w:r w:rsidRPr="009258E5">
              <w:rPr>
                <w:rFonts w:eastAsia="Verdana"/>
              </w:rPr>
              <w:t>Segment A</w:t>
            </w:r>
          </w:p>
        </w:tc>
        <w:tc>
          <w:tcPr>
            <w:tcW w:w="2528" w:type="dxa"/>
            <w:shd w:val="clear" w:color="auto" w:fill="D9D9D9" w:themeFill="background1" w:themeFillShade="D9"/>
            <w:vAlign w:val="center"/>
            <w:hideMark/>
          </w:tcPr>
          <w:p w14:paraId="2F2BDA84" w14:textId="77777777" w:rsidR="00C5145E" w:rsidRPr="009258E5" w:rsidRDefault="00C5145E" w:rsidP="005D3585">
            <w:pPr>
              <w:spacing w:before="120" w:after="120"/>
              <w:jc w:val="center"/>
              <w:cnfStyle w:val="100000000000" w:firstRow="1" w:lastRow="0" w:firstColumn="0" w:lastColumn="0" w:oddVBand="0" w:evenVBand="0" w:oddHBand="0" w:evenHBand="0" w:firstRowFirstColumn="0" w:firstRowLastColumn="0" w:lastRowFirstColumn="0" w:lastRowLastColumn="0"/>
            </w:pPr>
            <w:r w:rsidRPr="009258E5">
              <w:rPr>
                <w:rFonts w:eastAsia="Verdana"/>
              </w:rPr>
              <w:t>Segment B</w:t>
            </w:r>
          </w:p>
        </w:tc>
        <w:tc>
          <w:tcPr>
            <w:tcW w:w="2535" w:type="dxa"/>
            <w:shd w:val="clear" w:color="auto" w:fill="D9D9D9" w:themeFill="background1" w:themeFillShade="D9"/>
            <w:vAlign w:val="center"/>
            <w:hideMark/>
          </w:tcPr>
          <w:p w14:paraId="406AD6CA" w14:textId="77777777" w:rsidR="00C5145E" w:rsidRPr="009258E5" w:rsidRDefault="00C5145E" w:rsidP="005D3585">
            <w:pPr>
              <w:spacing w:before="120" w:after="120"/>
              <w:jc w:val="center"/>
              <w:cnfStyle w:val="100000000000" w:firstRow="1" w:lastRow="0" w:firstColumn="0" w:lastColumn="0" w:oddVBand="0" w:evenVBand="0" w:oddHBand="0" w:evenHBand="0" w:firstRowFirstColumn="0" w:firstRowLastColumn="0" w:lastRowFirstColumn="0" w:lastRowLastColumn="0"/>
            </w:pPr>
            <w:r w:rsidRPr="009258E5">
              <w:rPr>
                <w:rFonts w:eastAsia="Verdana"/>
              </w:rPr>
              <w:t>Segment C</w:t>
            </w:r>
          </w:p>
        </w:tc>
      </w:tr>
      <w:tr w:rsidR="00C5145E" w:rsidRPr="009258E5" w14:paraId="4A0BAD3F" w14:textId="77777777" w:rsidTr="00C5145E">
        <w:trPr>
          <w:trHeight w:val="1159"/>
        </w:trPr>
        <w:tc>
          <w:tcPr>
            <w:cnfStyle w:val="001000000000" w:firstRow="0" w:lastRow="0" w:firstColumn="1" w:lastColumn="0" w:oddVBand="0" w:evenVBand="0" w:oddHBand="0" w:evenHBand="0" w:firstRowFirstColumn="0" w:firstRowLastColumn="0" w:lastRowFirstColumn="0" w:lastRowLastColumn="0"/>
            <w:tcW w:w="2046" w:type="dxa"/>
            <w:hideMark/>
          </w:tcPr>
          <w:p w14:paraId="7E8741E2" w14:textId="77777777" w:rsidR="00C5145E" w:rsidRPr="009258E5" w:rsidRDefault="00C5145E" w:rsidP="005D3585">
            <w:pPr>
              <w:spacing w:before="120" w:after="120"/>
            </w:pPr>
            <w:r w:rsidRPr="009258E5">
              <w:rPr>
                <w:rFonts w:eastAsia="Verdana"/>
              </w:rPr>
              <w:t>Reporting Level</w:t>
            </w:r>
          </w:p>
        </w:tc>
        <w:tc>
          <w:tcPr>
            <w:tcW w:w="2516" w:type="dxa"/>
            <w:hideMark/>
          </w:tcPr>
          <w:p w14:paraId="25F77EAD" w14:textId="77777777" w:rsidR="00C5145E" w:rsidRPr="009258E5" w:rsidRDefault="00C5145E" w:rsidP="005D3585">
            <w:pPr>
              <w:spacing w:before="120" w:after="120"/>
              <w:cnfStyle w:val="000000000000" w:firstRow="0" w:lastRow="0" w:firstColumn="0" w:lastColumn="0" w:oddVBand="0" w:evenVBand="0" w:oddHBand="0" w:evenHBand="0" w:firstRowFirstColumn="0" w:firstRowLastColumn="0" w:lastRowFirstColumn="0" w:lastRowLastColumn="0"/>
              <w:rPr>
                <w:b w:val="0"/>
              </w:rPr>
            </w:pPr>
            <w:r w:rsidRPr="009258E5">
              <w:rPr>
                <w:rFonts w:eastAsia="Verdana"/>
                <w:b w:val="0"/>
              </w:rPr>
              <w:t>Contributes to student and group scores</w:t>
            </w:r>
          </w:p>
        </w:tc>
        <w:tc>
          <w:tcPr>
            <w:tcW w:w="2528" w:type="dxa"/>
            <w:hideMark/>
          </w:tcPr>
          <w:p w14:paraId="22C38B31" w14:textId="77777777" w:rsidR="00C5145E" w:rsidRPr="009258E5" w:rsidRDefault="00C5145E" w:rsidP="005D3585">
            <w:pPr>
              <w:spacing w:before="120" w:after="120"/>
              <w:cnfStyle w:val="000000000000" w:firstRow="0" w:lastRow="0" w:firstColumn="0" w:lastColumn="0" w:oddVBand="0" w:evenVBand="0" w:oddHBand="0" w:evenHBand="0" w:firstRowFirstColumn="0" w:firstRowLastColumn="0" w:lastRowFirstColumn="0" w:lastRowLastColumn="0"/>
              <w:rPr>
                <w:b w:val="0"/>
              </w:rPr>
            </w:pPr>
            <w:r w:rsidRPr="009258E5">
              <w:rPr>
                <w:rFonts w:eastAsia="Verdana"/>
                <w:b w:val="0"/>
              </w:rPr>
              <w:t>Contributes to student and group scores</w:t>
            </w:r>
          </w:p>
        </w:tc>
        <w:tc>
          <w:tcPr>
            <w:tcW w:w="2535" w:type="dxa"/>
            <w:hideMark/>
          </w:tcPr>
          <w:p w14:paraId="42BF9032" w14:textId="77777777" w:rsidR="00C5145E" w:rsidRPr="009258E5" w:rsidRDefault="00C5145E" w:rsidP="005D3585">
            <w:pPr>
              <w:spacing w:before="120" w:after="120"/>
              <w:cnfStyle w:val="000000000000" w:firstRow="0" w:lastRow="0" w:firstColumn="0" w:lastColumn="0" w:oddVBand="0" w:evenVBand="0" w:oddHBand="0" w:evenHBand="0" w:firstRowFirstColumn="0" w:firstRowLastColumn="0" w:lastRowFirstColumn="0" w:lastRowLastColumn="0"/>
              <w:rPr>
                <w:b w:val="0"/>
              </w:rPr>
            </w:pPr>
            <w:r w:rsidRPr="009258E5">
              <w:rPr>
                <w:rFonts w:eastAsia="Verdana"/>
                <w:b w:val="0"/>
              </w:rPr>
              <w:t>Contributes to group scores</w:t>
            </w:r>
          </w:p>
        </w:tc>
      </w:tr>
      <w:tr w:rsidR="00C5145E" w:rsidRPr="009258E5" w14:paraId="372B8562" w14:textId="77777777" w:rsidTr="00C5145E">
        <w:trPr>
          <w:trHeight w:val="1696"/>
        </w:trPr>
        <w:tc>
          <w:tcPr>
            <w:cnfStyle w:val="001000000000" w:firstRow="0" w:lastRow="0" w:firstColumn="1" w:lastColumn="0" w:oddVBand="0" w:evenVBand="0" w:oddHBand="0" w:evenHBand="0" w:firstRowFirstColumn="0" w:firstRowLastColumn="0" w:lastRowFirstColumn="0" w:lastRowLastColumn="0"/>
            <w:tcW w:w="2046" w:type="dxa"/>
            <w:hideMark/>
          </w:tcPr>
          <w:p w14:paraId="3D0236FC" w14:textId="77777777" w:rsidR="00C5145E" w:rsidRPr="009258E5" w:rsidRDefault="00C5145E" w:rsidP="005D3585">
            <w:pPr>
              <w:spacing w:before="120" w:after="120"/>
            </w:pPr>
            <w:r w:rsidRPr="009258E5">
              <w:rPr>
                <w:rFonts w:eastAsia="Verdana"/>
              </w:rPr>
              <w:t>Scope and Depth of Measurement</w:t>
            </w:r>
          </w:p>
        </w:tc>
        <w:tc>
          <w:tcPr>
            <w:tcW w:w="2516" w:type="dxa"/>
            <w:hideMark/>
          </w:tcPr>
          <w:p w14:paraId="19042702" w14:textId="77777777" w:rsidR="00C5145E" w:rsidRPr="009258E5" w:rsidRDefault="00C5145E" w:rsidP="005D3585">
            <w:pPr>
              <w:spacing w:before="120" w:after="120"/>
              <w:cnfStyle w:val="000000000000" w:firstRow="0" w:lastRow="0" w:firstColumn="0" w:lastColumn="0" w:oddVBand="0" w:evenVBand="0" w:oddHBand="0" w:evenHBand="0" w:firstRowFirstColumn="0" w:firstRowLastColumn="0" w:lastRowFirstColumn="0" w:lastRowLastColumn="0"/>
              <w:rPr>
                <w:b w:val="0"/>
              </w:rPr>
            </w:pPr>
            <w:r w:rsidRPr="009258E5">
              <w:rPr>
                <w:rFonts w:eastAsia="Verdana"/>
                <w:b w:val="0"/>
              </w:rPr>
              <w:t>Wide brea</w:t>
            </w:r>
            <w:r w:rsidR="00AE2B40" w:rsidRPr="009258E5">
              <w:rPr>
                <w:rFonts w:eastAsia="Verdana"/>
                <w:b w:val="0"/>
              </w:rPr>
              <w:t>dth—measures a broad sample of performance expectations (PEs)</w:t>
            </w:r>
          </w:p>
        </w:tc>
        <w:tc>
          <w:tcPr>
            <w:tcW w:w="2528" w:type="dxa"/>
            <w:hideMark/>
          </w:tcPr>
          <w:p w14:paraId="4F5939D0" w14:textId="77777777" w:rsidR="00C5145E" w:rsidRPr="009258E5" w:rsidRDefault="00C5145E" w:rsidP="005D3585">
            <w:pPr>
              <w:spacing w:before="120" w:after="120"/>
              <w:cnfStyle w:val="000000000000" w:firstRow="0" w:lastRow="0" w:firstColumn="0" w:lastColumn="0" w:oddVBand="0" w:evenVBand="0" w:oddHBand="0" w:evenHBand="0" w:firstRowFirstColumn="0" w:firstRowLastColumn="0" w:lastRowFirstColumn="0" w:lastRowLastColumn="0"/>
              <w:rPr>
                <w:b w:val="0"/>
              </w:rPr>
            </w:pPr>
            <w:r w:rsidRPr="009258E5">
              <w:rPr>
                <w:rFonts w:eastAsia="Verdana"/>
                <w:b w:val="0"/>
              </w:rPr>
              <w:t>Deep measurement of targeted sample of a few PEs provided in item sets</w:t>
            </w:r>
          </w:p>
        </w:tc>
        <w:tc>
          <w:tcPr>
            <w:tcW w:w="2535" w:type="dxa"/>
            <w:hideMark/>
          </w:tcPr>
          <w:p w14:paraId="2D0BC258" w14:textId="77777777" w:rsidR="00C5145E" w:rsidRPr="009258E5" w:rsidRDefault="00C5145E" w:rsidP="005D3585">
            <w:pPr>
              <w:spacing w:before="120" w:after="120"/>
              <w:cnfStyle w:val="000000000000" w:firstRow="0" w:lastRow="0" w:firstColumn="0" w:lastColumn="0" w:oddVBand="0" w:evenVBand="0" w:oddHBand="0" w:evenHBand="0" w:firstRowFirstColumn="0" w:firstRowLastColumn="0" w:lastRowFirstColumn="0" w:lastRowLastColumn="0"/>
              <w:rPr>
                <w:b w:val="0"/>
              </w:rPr>
            </w:pPr>
            <w:r w:rsidRPr="009258E5">
              <w:rPr>
                <w:rFonts w:eastAsia="Verdana"/>
                <w:b w:val="0"/>
              </w:rPr>
              <w:t>Broad and deep—full range of measurement of PEs for each grade span</w:t>
            </w:r>
          </w:p>
        </w:tc>
      </w:tr>
      <w:tr w:rsidR="00C5145E" w:rsidRPr="009258E5" w14:paraId="7B867CAC" w14:textId="77777777" w:rsidTr="00C5145E">
        <w:trPr>
          <w:trHeight w:val="1930"/>
        </w:trPr>
        <w:tc>
          <w:tcPr>
            <w:cnfStyle w:val="001000000000" w:firstRow="0" w:lastRow="0" w:firstColumn="1" w:lastColumn="0" w:oddVBand="0" w:evenVBand="0" w:oddHBand="0" w:evenHBand="0" w:firstRowFirstColumn="0" w:firstRowLastColumn="0" w:lastRowFirstColumn="0" w:lastRowLastColumn="0"/>
            <w:tcW w:w="2046" w:type="dxa"/>
            <w:hideMark/>
          </w:tcPr>
          <w:p w14:paraId="1BA8CB28" w14:textId="77777777" w:rsidR="00C5145E" w:rsidRPr="009258E5" w:rsidRDefault="00C5145E" w:rsidP="005D3585">
            <w:pPr>
              <w:spacing w:before="120" w:after="120"/>
            </w:pPr>
            <w:r w:rsidRPr="009258E5">
              <w:t xml:space="preserve">Number and </w:t>
            </w:r>
            <w:r w:rsidRPr="009258E5">
              <w:rPr>
                <w:rFonts w:eastAsia="Verdana"/>
              </w:rPr>
              <w:t>Type of Items</w:t>
            </w:r>
          </w:p>
        </w:tc>
        <w:tc>
          <w:tcPr>
            <w:tcW w:w="2516" w:type="dxa"/>
            <w:hideMark/>
          </w:tcPr>
          <w:p w14:paraId="35868D1B" w14:textId="48B2DAA3" w:rsidR="00C5145E" w:rsidRPr="009258E5" w:rsidRDefault="00C5145E" w:rsidP="005D3585">
            <w:pPr>
              <w:spacing w:before="120" w:after="120"/>
              <w:cnfStyle w:val="000000000000" w:firstRow="0" w:lastRow="0" w:firstColumn="0" w:lastColumn="0" w:oddVBand="0" w:evenVBand="0" w:oddHBand="0" w:evenHBand="0" w:firstRowFirstColumn="0" w:firstRowLastColumn="0" w:lastRowFirstColumn="0" w:lastRowLastColumn="0"/>
              <w:rPr>
                <w:b w:val="0"/>
              </w:rPr>
            </w:pPr>
            <w:r w:rsidRPr="009258E5">
              <w:rPr>
                <w:b w:val="0"/>
              </w:rPr>
              <w:t>32–34 discrete (stand-alone</w:t>
            </w:r>
            <w:r w:rsidR="001D4060" w:rsidRPr="009258E5">
              <w:rPr>
                <w:b w:val="0"/>
              </w:rPr>
              <w:t>) items</w:t>
            </w:r>
            <w:r w:rsidRPr="009258E5">
              <w:rPr>
                <w:b w:val="0"/>
              </w:rPr>
              <w:t xml:space="preserve"> that i</w:t>
            </w:r>
            <w:r w:rsidR="003935F8" w:rsidRPr="009258E5">
              <w:rPr>
                <w:rFonts w:eastAsia="Verdana"/>
                <w:b w:val="0"/>
              </w:rPr>
              <w:t>nclude</w:t>
            </w:r>
            <w:r w:rsidRPr="009258E5">
              <w:rPr>
                <w:rFonts w:eastAsia="Verdana"/>
                <w:b w:val="0"/>
              </w:rPr>
              <w:t xml:space="preserve"> selected-response, technology enhanced</w:t>
            </w:r>
            <w:r w:rsidR="00695226" w:rsidRPr="009258E5">
              <w:rPr>
                <w:rFonts w:eastAsia="Verdana"/>
                <w:b w:val="0"/>
              </w:rPr>
              <w:t>,</w:t>
            </w:r>
            <w:r w:rsidRPr="009258E5">
              <w:rPr>
                <w:rFonts w:eastAsia="Verdana"/>
                <w:b w:val="0"/>
              </w:rPr>
              <w:t xml:space="preserve"> machine-</w:t>
            </w:r>
            <w:proofErr w:type="spellStart"/>
            <w:r w:rsidRPr="009258E5">
              <w:rPr>
                <w:rFonts w:eastAsia="Verdana"/>
                <w:b w:val="0"/>
              </w:rPr>
              <w:t>scorable</w:t>
            </w:r>
            <w:proofErr w:type="spellEnd"/>
            <w:r w:rsidRPr="009258E5">
              <w:rPr>
                <w:rFonts w:eastAsia="Verdana"/>
                <w:b w:val="0"/>
              </w:rPr>
              <w:t xml:space="preserve"> items</w:t>
            </w:r>
          </w:p>
        </w:tc>
        <w:tc>
          <w:tcPr>
            <w:tcW w:w="2528" w:type="dxa"/>
            <w:hideMark/>
          </w:tcPr>
          <w:p w14:paraId="05E01AE8" w14:textId="77777777" w:rsidR="00C5145E" w:rsidRPr="009258E5" w:rsidRDefault="003935F8" w:rsidP="005D3585">
            <w:pPr>
              <w:spacing w:before="120" w:after="120"/>
              <w:cnfStyle w:val="000000000000" w:firstRow="0" w:lastRow="0" w:firstColumn="0" w:lastColumn="0" w:oddVBand="0" w:evenVBand="0" w:oddHBand="0" w:evenHBand="0" w:firstRowFirstColumn="0" w:firstRowLastColumn="0" w:lastRowFirstColumn="0" w:lastRowLastColumn="0"/>
              <w:rPr>
                <w:b w:val="0"/>
              </w:rPr>
            </w:pPr>
            <w:r w:rsidRPr="009258E5">
              <w:rPr>
                <w:rFonts w:eastAsia="Verdana"/>
                <w:b w:val="0"/>
              </w:rPr>
              <w:t>Two performance t</w:t>
            </w:r>
            <w:r w:rsidR="00C5145E" w:rsidRPr="009258E5">
              <w:rPr>
                <w:rFonts w:eastAsia="Verdana"/>
                <w:b w:val="0"/>
              </w:rPr>
              <w:t>asks (PTs) (</w:t>
            </w:r>
            <w:r w:rsidR="00C5145E" w:rsidRPr="009258E5">
              <w:rPr>
                <w:b w:val="0"/>
              </w:rPr>
              <w:t xml:space="preserve">with </w:t>
            </w:r>
            <w:r w:rsidR="00C5145E" w:rsidRPr="009258E5">
              <w:rPr>
                <w:rFonts w:eastAsia="Verdana"/>
                <w:b w:val="0"/>
              </w:rPr>
              <w:t>4–6 item sets)</w:t>
            </w:r>
          </w:p>
        </w:tc>
        <w:tc>
          <w:tcPr>
            <w:tcW w:w="2535" w:type="dxa"/>
            <w:hideMark/>
          </w:tcPr>
          <w:p w14:paraId="0174DE72" w14:textId="02093350" w:rsidR="00C5145E" w:rsidRPr="009258E5" w:rsidRDefault="00C5145E" w:rsidP="005D3585">
            <w:pPr>
              <w:spacing w:before="120" w:after="120"/>
              <w:cnfStyle w:val="000000000000" w:firstRow="0" w:lastRow="0" w:firstColumn="0" w:lastColumn="0" w:oddVBand="0" w:evenVBand="0" w:oddHBand="0" w:evenHBand="0" w:firstRowFirstColumn="0" w:firstRowLastColumn="0" w:lastRowFirstColumn="0" w:lastRowLastColumn="0"/>
              <w:rPr>
                <w:b w:val="0"/>
              </w:rPr>
            </w:pPr>
            <w:r w:rsidRPr="009258E5">
              <w:rPr>
                <w:b w:val="0"/>
              </w:rPr>
              <w:t>Six or seven discrete items that i</w:t>
            </w:r>
            <w:r w:rsidRPr="009258E5">
              <w:rPr>
                <w:rFonts w:eastAsia="Verdana"/>
                <w:b w:val="0"/>
              </w:rPr>
              <w:t xml:space="preserve">ncludes selected-response, technology enhanced items (like </w:t>
            </w:r>
            <w:r w:rsidR="004C21F5" w:rsidRPr="009258E5">
              <w:rPr>
                <w:rFonts w:eastAsia="Verdana"/>
                <w:b w:val="0"/>
              </w:rPr>
              <w:t>S</w:t>
            </w:r>
            <w:r w:rsidRPr="009258E5">
              <w:rPr>
                <w:rFonts w:eastAsia="Verdana"/>
                <w:b w:val="0"/>
              </w:rPr>
              <w:t xml:space="preserve">egment A) OR </w:t>
            </w:r>
            <w:r w:rsidRPr="009258E5">
              <w:rPr>
                <w:b w:val="0"/>
              </w:rPr>
              <w:t xml:space="preserve">one </w:t>
            </w:r>
            <w:r w:rsidRPr="009258E5">
              <w:rPr>
                <w:rFonts w:eastAsia="Verdana"/>
                <w:b w:val="0"/>
              </w:rPr>
              <w:t xml:space="preserve">PT (like </w:t>
            </w:r>
            <w:r w:rsidR="004C21F5" w:rsidRPr="009258E5">
              <w:rPr>
                <w:rFonts w:eastAsia="Verdana"/>
                <w:b w:val="0"/>
              </w:rPr>
              <w:t>S</w:t>
            </w:r>
            <w:r w:rsidRPr="009258E5">
              <w:rPr>
                <w:rFonts w:eastAsia="Verdana"/>
                <w:b w:val="0"/>
              </w:rPr>
              <w:t>egment B</w:t>
            </w:r>
            <w:r w:rsidR="003935F8" w:rsidRPr="009258E5">
              <w:rPr>
                <w:rFonts w:eastAsia="Verdana"/>
                <w:b w:val="0"/>
              </w:rPr>
              <w:t>,</w:t>
            </w:r>
            <w:r w:rsidRPr="009258E5">
              <w:rPr>
                <w:b w:val="0"/>
              </w:rPr>
              <w:t xml:space="preserve"> with 4–7 item sets)</w:t>
            </w:r>
          </w:p>
        </w:tc>
      </w:tr>
      <w:tr w:rsidR="00C5145E" w:rsidRPr="009258E5" w14:paraId="2620B3A0" w14:textId="77777777" w:rsidTr="005D3585">
        <w:trPr>
          <w:trHeight w:val="1412"/>
        </w:trPr>
        <w:tc>
          <w:tcPr>
            <w:cnfStyle w:val="001000000000" w:firstRow="0" w:lastRow="0" w:firstColumn="1" w:lastColumn="0" w:oddVBand="0" w:evenVBand="0" w:oddHBand="0" w:evenHBand="0" w:firstRowFirstColumn="0" w:firstRowLastColumn="0" w:lastRowFirstColumn="0" w:lastRowLastColumn="0"/>
            <w:tcW w:w="2046" w:type="dxa"/>
            <w:hideMark/>
          </w:tcPr>
          <w:p w14:paraId="7169DAB4" w14:textId="77777777" w:rsidR="00C5145E" w:rsidRPr="009258E5" w:rsidRDefault="00C5145E" w:rsidP="005D3585">
            <w:pPr>
              <w:spacing w:before="120" w:after="120"/>
            </w:pPr>
            <w:r w:rsidRPr="009258E5">
              <w:rPr>
                <w:rFonts w:eastAsia="Verdana"/>
              </w:rPr>
              <w:t>PEs Measured by</w:t>
            </w:r>
            <w:r w:rsidR="006F295C" w:rsidRPr="009258E5">
              <w:rPr>
                <w:rFonts w:eastAsia="Verdana"/>
              </w:rPr>
              <w:t xml:space="preserve"> </w:t>
            </w:r>
            <w:r w:rsidRPr="009258E5">
              <w:rPr>
                <w:rFonts w:eastAsia="Verdana"/>
              </w:rPr>
              <w:t>Grade Span</w:t>
            </w:r>
          </w:p>
        </w:tc>
        <w:tc>
          <w:tcPr>
            <w:tcW w:w="2516" w:type="dxa"/>
            <w:hideMark/>
          </w:tcPr>
          <w:p w14:paraId="04F81950" w14:textId="77777777" w:rsidR="00C5145E" w:rsidRPr="009258E5" w:rsidRDefault="00AE2B40" w:rsidP="005D3585">
            <w:pPr>
              <w:spacing w:before="120" w:after="120"/>
              <w:cnfStyle w:val="000000000000" w:firstRow="0" w:lastRow="0" w:firstColumn="0" w:lastColumn="0" w:oddVBand="0" w:evenVBand="0" w:oddHBand="0" w:evenHBand="0" w:firstRowFirstColumn="0" w:firstRowLastColumn="0" w:lastRowFirstColumn="0" w:lastRowLastColumn="0"/>
              <w:rPr>
                <w:b w:val="0"/>
              </w:rPr>
            </w:pPr>
            <w:r w:rsidRPr="009258E5">
              <w:rPr>
                <w:rFonts w:eastAsia="Verdana"/>
                <w:b w:val="0"/>
              </w:rPr>
              <w:t>Grades 3</w:t>
            </w:r>
            <w:r w:rsidR="00C5145E" w:rsidRPr="009258E5">
              <w:rPr>
                <w:rFonts w:eastAsia="Verdana"/>
                <w:b w:val="0"/>
              </w:rPr>
              <w:t>–5 PEs*</w:t>
            </w:r>
          </w:p>
          <w:p w14:paraId="3CEFD786" w14:textId="77777777" w:rsidR="00C5145E" w:rsidRPr="009258E5" w:rsidRDefault="00C5145E" w:rsidP="005D3585">
            <w:pPr>
              <w:spacing w:before="120" w:after="120"/>
              <w:cnfStyle w:val="000000000000" w:firstRow="0" w:lastRow="0" w:firstColumn="0" w:lastColumn="0" w:oddVBand="0" w:evenVBand="0" w:oddHBand="0" w:evenHBand="0" w:firstRowFirstColumn="0" w:firstRowLastColumn="0" w:lastRowFirstColumn="0" w:lastRowLastColumn="0"/>
              <w:rPr>
                <w:b w:val="0"/>
              </w:rPr>
            </w:pPr>
            <w:r w:rsidRPr="009258E5">
              <w:rPr>
                <w:rFonts w:eastAsia="Verdana"/>
                <w:b w:val="0"/>
              </w:rPr>
              <w:t>Grade</w:t>
            </w:r>
            <w:r w:rsidR="00AE2B40" w:rsidRPr="009258E5">
              <w:rPr>
                <w:rFonts w:eastAsia="Verdana"/>
                <w:b w:val="0"/>
              </w:rPr>
              <w:t xml:space="preserve">s </w:t>
            </w:r>
            <w:r w:rsidRPr="009258E5">
              <w:rPr>
                <w:rFonts w:eastAsia="Verdana"/>
                <w:b w:val="0"/>
              </w:rPr>
              <w:t>6–8 PEs</w:t>
            </w:r>
          </w:p>
          <w:p w14:paraId="582BF1C4" w14:textId="77777777" w:rsidR="00C5145E" w:rsidRPr="009258E5" w:rsidRDefault="00C5145E" w:rsidP="005D3585">
            <w:pPr>
              <w:spacing w:before="120" w:after="120"/>
              <w:cnfStyle w:val="000000000000" w:firstRow="0" w:lastRow="0" w:firstColumn="0" w:lastColumn="0" w:oddVBand="0" w:evenVBand="0" w:oddHBand="0" w:evenHBand="0" w:firstRowFirstColumn="0" w:firstRowLastColumn="0" w:lastRowFirstColumn="0" w:lastRowLastColumn="0"/>
              <w:rPr>
                <w:b w:val="0"/>
              </w:rPr>
            </w:pPr>
            <w:r w:rsidRPr="009258E5">
              <w:rPr>
                <w:rFonts w:eastAsia="Verdana"/>
                <w:b w:val="0"/>
              </w:rPr>
              <w:t>Grades 9–12 PEs</w:t>
            </w:r>
          </w:p>
        </w:tc>
        <w:tc>
          <w:tcPr>
            <w:tcW w:w="2528" w:type="dxa"/>
            <w:hideMark/>
          </w:tcPr>
          <w:p w14:paraId="28E6CDFC" w14:textId="77777777" w:rsidR="00034C75" w:rsidRPr="009258E5" w:rsidRDefault="00034C75" w:rsidP="005D3585">
            <w:pPr>
              <w:spacing w:before="120" w:after="120"/>
              <w:cnfStyle w:val="000000000000" w:firstRow="0" w:lastRow="0" w:firstColumn="0" w:lastColumn="0" w:oddVBand="0" w:evenVBand="0" w:oddHBand="0" w:evenHBand="0" w:firstRowFirstColumn="0" w:firstRowLastColumn="0" w:lastRowFirstColumn="0" w:lastRowLastColumn="0"/>
              <w:rPr>
                <w:rFonts w:eastAsia="Verdana"/>
                <w:b w:val="0"/>
              </w:rPr>
            </w:pPr>
            <w:r w:rsidRPr="009258E5">
              <w:rPr>
                <w:rFonts w:eastAsia="Verdana"/>
                <w:b w:val="0"/>
              </w:rPr>
              <w:t>Grades 3–5 PEs*</w:t>
            </w:r>
          </w:p>
          <w:p w14:paraId="397917F6" w14:textId="77777777" w:rsidR="00034C75" w:rsidRPr="009258E5" w:rsidRDefault="00034C75" w:rsidP="005D3585">
            <w:pPr>
              <w:spacing w:before="120" w:after="120"/>
              <w:cnfStyle w:val="000000000000" w:firstRow="0" w:lastRow="0" w:firstColumn="0" w:lastColumn="0" w:oddVBand="0" w:evenVBand="0" w:oddHBand="0" w:evenHBand="0" w:firstRowFirstColumn="0" w:firstRowLastColumn="0" w:lastRowFirstColumn="0" w:lastRowLastColumn="0"/>
              <w:rPr>
                <w:b w:val="0"/>
              </w:rPr>
            </w:pPr>
            <w:r w:rsidRPr="009258E5">
              <w:rPr>
                <w:rFonts w:eastAsia="Verdana"/>
                <w:b w:val="0"/>
              </w:rPr>
              <w:t>Grades 6–8 PEs</w:t>
            </w:r>
          </w:p>
          <w:p w14:paraId="759902EB" w14:textId="77777777" w:rsidR="00C5145E" w:rsidRPr="009258E5" w:rsidRDefault="00034C75" w:rsidP="005D3585">
            <w:pPr>
              <w:spacing w:before="120" w:after="120"/>
              <w:cnfStyle w:val="000000000000" w:firstRow="0" w:lastRow="0" w:firstColumn="0" w:lastColumn="0" w:oddVBand="0" w:evenVBand="0" w:oddHBand="0" w:evenHBand="0" w:firstRowFirstColumn="0" w:firstRowLastColumn="0" w:lastRowFirstColumn="0" w:lastRowLastColumn="0"/>
              <w:rPr>
                <w:b w:val="0"/>
              </w:rPr>
            </w:pPr>
            <w:r w:rsidRPr="009258E5">
              <w:rPr>
                <w:rFonts w:eastAsia="Verdana"/>
                <w:b w:val="0"/>
              </w:rPr>
              <w:t>Grades 9–12 PEs</w:t>
            </w:r>
          </w:p>
        </w:tc>
        <w:tc>
          <w:tcPr>
            <w:tcW w:w="2535" w:type="dxa"/>
            <w:hideMark/>
          </w:tcPr>
          <w:p w14:paraId="0A11E750" w14:textId="77777777" w:rsidR="00034C75" w:rsidRPr="009258E5" w:rsidRDefault="00034C75" w:rsidP="005D3585">
            <w:pPr>
              <w:spacing w:before="120" w:after="120"/>
              <w:cnfStyle w:val="000000000000" w:firstRow="0" w:lastRow="0" w:firstColumn="0" w:lastColumn="0" w:oddVBand="0" w:evenVBand="0" w:oddHBand="0" w:evenHBand="0" w:firstRowFirstColumn="0" w:firstRowLastColumn="0" w:lastRowFirstColumn="0" w:lastRowLastColumn="0"/>
              <w:rPr>
                <w:rFonts w:eastAsia="Verdana"/>
                <w:b w:val="0"/>
              </w:rPr>
            </w:pPr>
            <w:r w:rsidRPr="009258E5">
              <w:rPr>
                <w:rFonts w:eastAsia="Verdana"/>
                <w:b w:val="0"/>
              </w:rPr>
              <w:t>Grades 3–5 PEs*</w:t>
            </w:r>
          </w:p>
          <w:p w14:paraId="6BE397F0" w14:textId="77777777" w:rsidR="00034C75" w:rsidRPr="009258E5" w:rsidRDefault="00034C75" w:rsidP="005D3585">
            <w:pPr>
              <w:spacing w:before="120" w:after="120"/>
              <w:cnfStyle w:val="000000000000" w:firstRow="0" w:lastRow="0" w:firstColumn="0" w:lastColumn="0" w:oddVBand="0" w:evenVBand="0" w:oddHBand="0" w:evenHBand="0" w:firstRowFirstColumn="0" w:firstRowLastColumn="0" w:lastRowFirstColumn="0" w:lastRowLastColumn="0"/>
              <w:rPr>
                <w:b w:val="0"/>
              </w:rPr>
            </w:pPr>
            <w:r w:rsidRPr="009258E5">
              <w:rPr>
                <w:rFonts w:eastAsia="Verdana"/>
                <w:b w:val="0"/>
              </w:rPr>
              <w:t>Grades 6–8 PEs</w:t>
            </w:r>
          </w:p>
          <w:p w14:paraId="1548D504" w14:textId="77777777" w:rsidR="00C5145E" w:rsidRPr="009258E5" w:rsidRDefault="00034C75" w:rsidP="005D3585">
            <w:pPr>
              <w:spacing w:before="120" w:after="120"/>
              <w:cnfStyle w:val="000000000000" w:firstRow="0" w:lastRow="0" w:firstColumn="0" w:lastColumn="0" w:oddVBand="0" w:evenVBand="0" w:oddHBand="0" w:evenHBand="0" w:firstRowFirstColumn="0" w:firstRowLastColumn="0" w:lastRowFirstColumn="0" w:lastRowLastColumn="0"/>
              <w:rPr>
                <w:b w:val="0"/>
              </w:rPr>
            </w:pPr>
            <w:r w:rsidRPr="009258E5">
              <w:rPr>
                <w:rFonts w:eastAsia="Verdana"/>
                <w:b w:val="0"/>
              </w:rPr>
              <w:t>Grades 9–12 PEs</w:t>
            </w:r>
          </w:p>
        </w:tc>
      </w:tr>
    </w:tbl>
    <w:p w14:paraId="4F97CB4E" w14:textId="77777777" w:rsidR="00C5145E" w:rsidRPr="009258E5" w:rsidRDefault="00944DDC" w:rsidP="00C716E3">
      <w:pPr>
        <w:spacing w:after="240"/>
        <w:rPr>
          <w:rFonts w:eastAsiaTheme="minorEastAsia"/>
        </w:rPr>
      </w:pPr>
      <w:r w:rsidRPr="009258E5">
        <w:rPr>
          <w:rFonts w:eastAsiaTheme="minorEastAsia"/>
        </w:rPr>
        <w:t>*A</w:t>
      </w:r>
      <w:r w:rsidR="00C5145E" w:rsidRPr="009258E5">
        <w:rPr>
          <w:rFonts w:eastAsiaTheme="minorEastAsia"/>
        </w:rPr>
        <w:t>lso includes the found</w:t>
      </w:r>
      <w:r w:rsidR="00AE2B40" w:rsidRPr="009258E5">
        <w:rPr>
          <w:rFonts w:eastAsiaTheme="minorEastAsia"/>
        </w:rPr>
        <w:t>ational concepts introduced in kindergarten through g</w:t>
      </w:r>
      <w:r w:rsidRPr="009258E5">
        <w:rPr>
          <w:rFonts w:eastAsiaTheme="minorEastAsia"/>
        </w:rPr>
        <w:t>rade</w:t>
      </w:r>
      <w:r w:rsidR="00AE2B40" w:rsidRPr="009258E5">
        <w:rPr>
          <w:rFonts w:eastAsiaTheme="minorEastAsia"/>
        </w:rPr>
        <w:t xml:space="preserve"> t</w:t>
      </w:r>
      <w:r w:rsidRPr="009258E5">
        <w:rPr>
          <w:rFonts w:eastAsiaTheme="minorEastAsia"/>
        </w:rPr>
        <w:t>wo</w:t>
      </w:r>
      <w:r w:rsidR="00AE2B40" w:rsidRPr="009258E5">
        <w:rPr>
          <w:rFonts w:eastAsiaTheme="minorEastAsia"/>
        </w:rPr>
        <w:t>.</w:t>
      </w:r>
    </w:p>
    <w:p w14:paraId="0D5F426F" w14:textId="2E6BD531" w:rsidR="00C5145E" w:rsidRPr="009258E5" w:rsidRDefault="00C5145E" w:rsidP="00C5145E">
      <w:pPr>
        <w:spacing w:after="240"/>
        <w:rPr>
          <w:bCs/>
        </w:rPr>
      </w:pPr>
      <w:r w:rsidRPr="009258E5">
        <w:rPr>
          <w:bCs/>
        </w:rPr>
        <w:t>A</w:t>
      </w:r>
      <w:r w:rsidR="00944DDC" w:rsidRPr="009258E5">
        <w:rPr>
          <w:bCs/>
        </w:rPr>
        <w:t>n</w:t>
      </w:r>
      <w:r w:rsidRPr="009258E5">
        <w:rPr>
          <w:bCs/>
        </w:rPr>
        <w:t xml:space="preserve"> MST is a compromise between a traditional </w:t>
      </w:r>
      <w:r w:rsidR="004C21F5" w:rsidRPr="009258E5">
        <w:rPr>
          <w:bCs/>
        </w:rPr>
        <w:t>fixed-form</w:t>
      </w:r>
      <w:r w:rsidRPr="009258E5">
        <w:rPr>
          <w:bCs/>
        </w:rPr>
        <w:t xml:space="preserve"> test and a computer adaptive test (CAT). Rather than administering a single </w:t>
      </w:r>
      <w:r w:rsidR="004C21F5" w:rsidRPr="009258E5">
        <w:rPr>
          <w:bCs/>
        </w:rPr>
        <w:t>fixed-form test</w:t>
      </w:r>
      <w:r w:rsidRPr="009258E5">
        <w:rPr>
          <w:bCs/>
        </w:rPr>
        <w:t xml:space="preserve"> or adapting the test to individual students item by item</w:t>
      </w:r>
      <w:r w:rsidR="00944DDC" w:rsidRPr="009258E5">
        <w:rPr>
          <w:bCs/>
        </w:rPr>
        <w:t>,</w:t>
      </w:r>
      <w:r w:rsidRPr="009258E5">
        <w:rPr>
          <w:bCs/>
        </w:rPr>
        <w:t xml:space="preserve"> as in a CAT, an MST adapts to students in stages. Before transitioning to a</w:t>
      </w:r>
      <w:r w:rsidR="00944DDC" w:rsidRPr="009258E5">
        <w:rPr>
          <w:bCs/>
        </w:rPr>
        <w:t>n</w:t>
      </w:r>
      <w:r w:rsidRPr="009258E5">
        <w:rPr>
          <w:bCs/>
        </w:rPr>
        <w:t xml:space="preserve"> MST design</w:t>
      </w:r>
      <w:r w:rsidR="00F40EAB" w:rsidRPr="009258E5">
        <w:rPr>
          <w:bCs/>
        </w:rPr>
        <w:t xml:space="preserve"> in the second operational year</w:t>
      </w:r>
      <w:r w:rsidRPr="009258E5">
        <w:rPr>
          <w:bCs/>
        </w:rPr>
        <w:t xml:space="preserve">, the CAASPP contractor will investigate and report </w:t>
      </w:r>
      <w:r w:rsidR="00944DDC" w:rsidRPr="009258E5">
        <w:rPr>
          <w:bCs/>
        </w:rPr>
        <w:t>on the utility of using a multi</w:t>
      </w:r>
      <w:r w:rsidRPr="009258E5">
        <w:rPr>
          <w:bCs/>
        </w:rPr>
        <w:t xml:space="preserve">stage design over a </w:t>
      </w:r>
      <w:r w:rsidR="004C21F5" w:rsidRPr="009258E5">
        <w:rPr>
          <w:bCs/>
        </w:rPr>
        <w:t>fixed form</w:t>
      </w:r>
      <w:r w:rsidRPr="009258E5">
        <w:rPr>
          <w:bCs/>
        </w:rPr>
        <w:t>. This research study will result in a final report and provide recommendations on the effectiveness of the MST to the CDE after the first operational administration.</w:t>
      </w:r>
      <w:r w:rsidR="006078D7" w:rsidRPr="009258E5">
        <w:rPr>
          <w:bCs/>
        </w:rPr>
        <w:t xml:space="preserve"> </w:t>
      </w:r>
    </w:p>
    <w:p w14:paraId="1A8460A9" w14:textId="34986016" w:rsidR="00C5145E" w:rsidRPr="009258E5" w:rsidRDefault="00C5145E" w:rsidP="00C5145E">
      <w:pPr>
        <w:spacing w:after="240"/>
        <w:rPr>
          <w:bCs/>
        </w:rPr>
      </w:pPr>
      <w:r w:rsidRPr="009258E5">
        <w:rPr>
          <w:bCs/>
        </w:rPr>
        <w:t xml:space="preserve">The screener is used as the student transitions from Segment A to Segment B. The student’s performance </w:t>
      </w:r>
      <w:r w:rsidR="00944DDC" w:rsidRPr="009258E5">
        <w:rPr>
          <w:bCs/>
        </w:rPr>
        <w:t>during</w:t>
      </w:r>
      <w:r w:rsidRPr="009258E5">
        <w:rPr>
          <w:bCs/>
        </w:rPr>
        <w:t xml:space="preserve"> Segment A may determine the science domains (i.e., Physical Science</w:t>
      </w:r>
      <w:r w:rsidR="005B4F7E" w:rsidRPr="009258E5">
        <w:rPr>
          <w:bCs/>
        </w:rPr>
        <w:t>s</w:t>
      </w:r>
      <w:r w:rsidRPr="009258E5">
        <w:rPr>
          <w:bCs/>
        </w:rPr>
        <w:t>, Life Science</w:t>
      </w:r>
      <w:r w:rsidR="005B4F7E" w:rsidRPr="009258E5">
        <w:rPr>
          <w:bCs/>
        </w:rPr>
        <w:t>s</w:t>
      </w:r>
      <w:r w:rsidRPr="009258E5">
        <w:rPr>
          <w:bCs/>
        </w:rPr>
        <w:t>, and Earth and Space Science</w:t>
      </w:r>
      <w:r w:rsidR="005B4F7E" w:rsidRPr="009258E5">
        <w:rPr>
          <w:bCs/>
        </w:rPr>
        <w:t>s</w:t>
      </w:r>
      <w:r w:rsidRPr="009258E5">
        <w:rPr>
          <w:bCs/>
        </w:rPr>
        <w:t>) the student will be presented in S</w:t>
      </w:r>
      <w:r w:rsidR="005202B9" w:rsidRPr="009258E5">
        <w:rPr>
          <w:bCs/>
        </w:rPr>
        <w:t>egment B. For example</w:t>
      </w:r>
      <w:r w:rsidRPr="009258E5">
        <w:rPr>
          <w:bCs/>
        </w:rPr>
        <w:t>, if a student performs significantly lower in a particular science domain, the screener would eliminate that related science domain PT when the student t</w:t>
      </w:r>
      <w:r w:rsidR="003965FA" w:rsidRPr="009258E5">
        <w:rPr>
          <w:bCs/>
        </w:rPr>
        <w:t xml:space="preserve">ransitions </w:t>
      </w:r>
      <w:r w:rsidR="005202B9" w:rsidRPr="009258E5">
        <w:rPr>
          <w:bCs/>
        </w:rPr>
        <w:t xml:space="preserve">to </w:t>
      </w:r>
      <w:r w:rsidR="004C21F5" w:rsidRPr="009258E5">
        <w:rPr>
          <w:bCs/>
        </w:rPr>
        <w:t>S</w:t>
      </w:r>
      <w:r w:rsidR="005202B9" w:rsidRPr="009258E5">
        <w:rPr>
          <w:bCs/>
        </w:rPr>
        <w:t>egment B. When</w:t>
      </w:r>
      <w:r w:rsidRPr="009258E5">
        <w:rPr>
          <w:bCs/>
        </w:rPr>
        <w:t xml:space="preserve"> a student performs relatively equally in all three science domains in Segment A, the assignment of the two PTs presented in </w:t>
      </w:r>
      <w:r w:rsidRPr="009258E5">
        <w:rPr>
          <w:bCs/>
        </w:rPr>
        <w:lastRenderedPageBreak/>
        <w:t>Segment B will be random. Before the second operational administration, the CAASPP contractor will investigate and report on the utility of using a screener. This research study w</w:t>
      </w:r>
      <w:r w:rsidR="0075737B" w:rsidRPr="009258E5">
        <w:rPr>
          <w:bCs/>
        </w:rPr>
        <w:t>ill result in a final report that will</w:t>
      </w:r>
      <w:r w:rsidRPr="009258E5">
        <w:rPr>
          <w:bCs/>
        </w:rPr>
        <w:t xml:space="preserve"> provide recommendations to the CDE about the effectiveness of the screener</w:t>
      </w:r>
      <w:r w:rsidR="00E67EA1" w:rsidRPr="009258E5">
        <w:rPr>
          <w:bCs/>
        </w:rPr>
        <w:t xml:space="preserve">; </w:t>
      </w:r>
      <w:r w:rsidR="003965FA" w:rsidRPr="009258E5">
        <w:rPr>
          <w:bCs/>
        </w:rPr>
        <w:t xml:space="preserve">tentatively </w:t>
      </w:r>
      <w:r w:rsidR="0075737B" w:rsidRPr="009258E5">
        <w:rPr>
          <w:bCs/>
        </w:rPr>
        <w:t>in September 2019</w:t>
      </w:r>
      <w:r w:rsidR="00314EF5" w:rsidRPr="009258E5">
        <w:rPr>
          <w:bCs/>
        </w:rPr>
        <w:t>, these recommendations will be presented to the SBE</w:t>
      </w:r>
      <w:r w:rsidRPr="009258E5">
        <w:rPr>
          <w:bCs/>
        </w:rPr>
        <w:t>.</w:t>
      </w:r>
      <w:r w:rsidRPr="009258E5" w:rsidDel="00C40DDC">
        <w:rPr>
          <w:bCs/>
        </w:rPr>
        <w:t xml:space="preserve"> </w:t>
      </w:r>
    </w:p>
    <w:p w14:paraId="637D000B" w14:textId="77777777" w:rsidR="00C5145E" w:rsidRPr="009258E5" w:rsidRDefault="00C5145E" w:rsidP="0069091A">
      <w:pPr>
        <w:pStyle w:val="Heading4"/>
        <w:spacing w:before="240" w:after="240"/>
        <w:rPr>
          <w:rFonts w:ascii="Arial" w:hAnsi="Arial" w:cs="Arial"/>
          <w:b/>
          <w:i w:val="0"/>
          <w:color w:val="auto"/>
          <w:sz w:val="28"/>
          <w:szCs w:val="28"/>
        </w:rPr>
      </w:pPr>
      <w:r w:rsidRPr="009258E5">
        <w:rPr>
          <w:rFonts w:ascii="Arial" w:hAnsi="Arial" w:cs="Arial"/>
          <w:b/>
          <w:i w:val="0"/>
          <w:color w:val="auto"/>
          <w:sz w:val="28"/>
          <w:szCs w:val="28"/>
        </w:rPr>
        <w:t>2018–19 CAST Administration Format</w:t>
      </w:r>
    </w:p>
    <w:p w14:paraId="0124703B" w14:textId="63B9FCF0" w:rsidR="00C5145E" w:rsidRPr="009258E5" w:rsidRDefault="004B0187" w:rsidP="005D3585">
      <w:pPr>
        <w:spacing w:after="240"/>
      </w:pPr>
      <w:r w:rsidRPr="009258E5">
        <w:t>For the first operational year of the CAST</w:t>
      </w:r>
      <w:r w:rsidRPr="009258E5">
        <w:rPr>
          <w:bCs/>
        </w:rPr>
        <w:t xml:space="preserve">, </w:t>
      </w:r>
      <w:r w:rsidR="00145C4B" w:rsidRPr="009258E5">
        <w:rPr>
          <w:bCs/>
        </w:rPr>
        <w:t xml:space="preserve">in </w:t>
      </w:r>
      <w:r w:rsidR="00C5145E" w:rsidRPr="009258E5">
        <w:rPr>
          <w:bCs/>
        </w:rPr>
        <w:t>Segment A</w:t>
      </w:r>
      <w:r w:rsidR="007C0598" w:rsidRPr="009258E5">
        <w:rPr>
          <w:bCs/>
        </w:rPr>
        <w:t>,</w:t>
      </w:r>
      <w:r w:rsidR="00C5145E" w:rsidRPr="009258E5">
        <w:t xml:space="preserve"> </w:t>
      </w:r>
      <w:r w:rsidR="00145C4B" w:rsidRPr="009258E5">
        <w:t xml:space="preserve">students will be randomly assigned a </w:t>
      </w:r>
      <w:r w:rsidR="006078D7" w:rsidRPr="009258E5">
        <w:t>fixed</w:t>
      </w:r>
      <w:r w:rsidR="007C0598" w:rsidRPr="009258E5">
        <w:t xml:space="preserve"> </w:t>
      </w:r>
      <w:r w:rsidR="006078D7" w:rsidRPr="009258E5">
        <w:t>form</w:t>
      </w:r>
      <w:r w:rsidR="00145C4B" w:rsidRPr="009258E5">
        <w:t>.</w:t>
      </w:r>
      <w:bookmarkEnd w:id="1"/>
      <w:r w:rsidR="00C5145E" w:rsidRPr="009258E5">
        <w:t xml:space="preserve"> </w:t>
      </w:r>
      <w:r w:rsidR="006026F9" w:rsidRPr="009258E5">
        <w:t xml:space="preserve">In </w:t>
      </w:r>
      <w:r w:rsidR="00C5145E" w:rsidRPr="009258E5">
        <w:rPr>
          <w:bCs/>
        </w:rPr>
        <w:t>Segment B</w:t>
      </w:r>
      <w:r w:rsidR="00145C4B" w:rsidRPr="009258E5">
        <w:rPr>
          <w:bCs/>
        </w:rPr>
        <w:t>,</w:t>
      </w:r>
      <w:r w:rsidR="00C5145E" w:rsidRPr="009258E5">
        <w:rPr>
          <w:b/>
          <w:bCs/>
        </w:rPr>
        <w:t xml:space="preserve"> </w:t>
      </w:r>
      <w:r w:rsidR="006026F9" w:rsidRPr="009258E5">
        <w:rPr>
          <w:bCs/>
        </w:rPr>
        <w:t xml:space="preserve">students </w:t>
      </w:r>
      <w:r w:rsidR="00C5145E" w:rsidRPr="009258E5">
        <w:rPr>
          <w:bCs/>
        </w:rPr>
        <w:t xml:space="preserve">will </w:t>
      </w:r>
      <w:r w:rsidR="00C5145E" w:rsidRPr="009258E5">
        <w:t xml:space="preserve">be randomly assigned two </w:t>
      </w:r>
      <w:proofErr w:type="spellStart"/>
      <w:r w:rsidR="00C5145E" w:rsidRPr="009258E5">
        <w:rPr>
          <w:rFonts w:cs="Arial"/>
        </w:rPr>
        <w:t>PTs</w:t>
      </w:r>
      <w:r w:rsidR="00C5145E" w:rsidRPr="009258E5">
        <w:t>.</w:t>
      </w:r>
      <w:proofErr w:type="spellEnd"/>
      <w:r w:rsidR="00C5145E" w:rsidRPr="009258E5">
        <w:t xml:space="preserve"> Each PT </w:t>
      </w:r>
      <w:r w:rsidR="003F0E72" w:rsidRPr="009258E5">
        <w:t>will be</w:t>
      </w:r>
      <w:r w:rsidR="00C5145E" w:rsidRPr="009258E5">
        <w:t xml:space="preserve"> primarily focused on one of three science domains—Life Science, Physical Science, and Earth and Space Science. A student will be administered two PTs in two different domains.</w:t>
      </w:r>
      <w:r w:rsidR="00C5145E" w:rsidRPr="009258E5">
        <w:rPr>
          <w:bCs/>
        </w:rPr>
        <w:t xml:space="preserve"> Segment C</w:t>
      </w:r>
      <w:r w:rsidR="00C5145E" w:rsidRPr="009258E5">
        <w:t xml:space="preserve"> </w:t>
      </w:r>
      <w:r w:rsidR="003F0E72" w:rsidRPr="009258E5">
        <w:t>will be</w:t>
      </w:r>
      <w:r w:rsidR="00950C57" w:rsidRPr="009258E5">
        <w:t xml:space="preserve"> </w:t>
      </w:r>
      <w:r w:rsidR="00C5145E" w:rsidRPr="009258E5">
        <w:t>randomly assigned to students. For example, a student may rec</w:t>
      </w:r>
      <w:r w:rsidR="00734B1A" w:rsidRPr="009258E5">
        <w:t xml:space="preserve">eive a block of </w:t>
      </w:r>
      <w:r w:rsidR="00C5145E" w:rsidRPr="009258E5">
        <w:t>discrete items</w:t>
      </w:r>
      <w:r w:rsidR="00734B1A" w:rsidRPr="009258E5">
        <w:t xml:space="preserve"> </w:t>
      </w:r>
      <w:r w:rsidR="00C5145E" w:rsidRPr="009258E5">
        <w:t xml:space="preserve">or a PT that the student did not receive in Segment B. This random assignment allows for </w:t>
      </w:r>
      <w:r w:rsidR="003F0E72" w:rsidRPr="009258E5">
        <w:t xml:space="preserve">the </w:t>
      </w:r>
      <w:r w:rsidR="00C5145E" w:rsidRPr="009258E5">
        <w:t xml:space="preserve">assessment of a broader range of </w:t>
      </w:r>
      <w:r w:rsidR="003F0E72" w:rsidRPr="009258E5">
        <w:t>PEs</w:t>
      </w:r>
      <w:r w:rsidR="00C5145E" w:rsidRPr="009258E5">
        <w:t xml:space="preserve"> that will be used for group reporting. </w:t>
      </w:r>
    </w:p>
    <w:p w14:paraId="3EB571F2" w14:textId="21982360" w:rsidR="000B01F5" w:rsidRPr="009258E5" w:rsidRDefault="007C0598" w:rsidP="005D3585">
      <w:pPr>
        <w:spacing w:after="240"/>
      </w:pPr>
      <w:r w:rsidRPr="009258E5">
        <w:t>Because of</w:t>
      </w:r>
      <w:r w:rsidR="000B01F5" w:rsidRPr="009258E5">
        <w:t xml:space="preserve"> the adaptive nature of the MST</w:t>
      </w:r>
      <w:r w:rsidR="00145C4B" w:rsidRPr="009258E5">
        <w:t>,</w:t>
      </w:r>
      <w:r w:rsidR="000B01F5" w:rsidRPr="009258E5">
        <w:t xml:space="preserve"> </w:t>
      </w:r>
      <w:r w:rsidR="003E2821" w:rsidRPr="009258E5">
        <w:t xml:space="preserve">more </w:t>
      </w:r>
      <w:r w:rsidR="000B01F5" w:rsidRPr="009258E5">
        <w:t xml:space="preserve">items </w:t>
      </w:r>
      <w:r w:rsidR="003E2821" w:rsidRPr="009258E5">
        <w:t xml:space="preserve">of various levels of difficulty </w:t>
      </w:r>
      <w:r w:rsidRPr="009258E5">
        <w:t>must</w:t>
      </w:r>
      <w:r w:rsidR="000B01F5" w:rsidRPr="009258E5">
        <w:t xml:space="preserve"> be developed</w:t>
      </w:r>
      <w:r w:rsidR="008C1F9A" w:rsidRPr="009258E5">
        <w:t xml:space="preserve"> and </w:t>
      </w:r>
      <w:r w:rsidRPr="009258E5">
        <w:t>calibrated (i.e., field-</w:t>
      </w:r>
      <w:r w:rsidR="00480493" w:rsidRPr="009258E5">
        <w:t>tested) before the</w:t>
      </w:r>
      <w:r w:rsidR="00D42835" w:rsidRPr="009258E5">
        <w:t xml:space="preserve">y </w:t>
      </w:r>
      <w:r w:rsidR="00480493" w:rsidRPr="009258E5">
        <w:t xml:space="preserve">can be placed on the </w:t>
      </w:r>
      <w:r w:rsidR="000B01F5" w:rsidRPr="009258E5">
        <w:t xml:space="preserve">operational </w:t>
      </w:r>
      <w:r w:rsidR="003965FA" w:rsidRPr="009258E5">
        <w:t xml:space="preserve">form as </w:t>
      </w:r>
      <w:proofErr w:type="spellStart"/>
      <w:r w:rsidR="00480493" w:rsidRPr="009258E5">
        <w:t>scorable</w:t>
      </w:r>
      <w:proofErr w:type="spellEnd"/>
      <w:r w:rsidR="00480493" w:rsidRPr="009258E5">
        <w:t xml:space="preserve"> item</w:t>
      </w:r>
      <w:r w:rsidR="003965FA" w:rsidRPr="009258E5">
        <w:t>s</w:t>
      </w:r>
      <w:r w:rsidR="00480493" w:rsidRPr="009258E5">
        <w:t xml:space="preserve">. The CDE and the CAASPP contractor need </w:t>
      </w:r>
      <w:r w:rsidR="008C1F9A" w:rsidRPr="009258E5">
        <w:t xml:space="preserve">more time </w:t>
      </w:r>
      <w:r w:rsidR="00480493" w:rsidRPr="009258E5">
        <w:t>to review the data from</w:t>
      </w:r>
      <w:r w:rsidR="008C1F9A" w:rsidRPr="009258E5">
        <w:t xml:space="preserve"> the</w:t>
      </w:r>
      <w:r w:rsidR="00480493" w:rsidRPr="009258E5">
        <w:t xml:space="preserve"> first operational </w:t>
      </w:r>
      <w:r w:rsidR="00D42835" w:rsidRPr="009258E5">
        <w:t xml:space="preserve">administration </w:t>
      </w:r>
      <w:r w:rsidR="00480493" w:rsidRPr="009258E5">
        <w:t xml:space="preserve">to </w:t>
      </w:r>
      <w:r w:rsidR="00D42835" w:rsidRPr="009258E5">
        <w:t>conduct a thoughtful review of the data and build the</w:t>
      </w:r>
      <w:r w:rsidR="009F64B2" w:rsidRPr="009258E5">
        <w:t xml:space="preserve"> MST</w:t>
      </w:r>
      <w:r w:rsidR="00D42835" w:rsidRPr="009258E5">
        <w:t xml:space="preserve"> algorithm</w:t>
      </w:r>
      <w:r w:rsidRPr="009258E5">
        <w:t>,</w:t>
      </w:r>
      <w:r w:rsidR="00D42835" w:rsidRPr="009258E5">
        <w:t xml:space="preserve"> </w:t>
      </w:r>
      <w:r w:rsidR="004702D3" w:rsidRPr="009258E5">
        <w:t xml:space="preserve">which is </w:t>
      </w:r>
      <w:r w:rsidRPr="009258E5">
        <w:t>used to route the students</w:t>
      </w:r>
      <w:r w:rsidR="00D42835" w:rsidRPr="009258E5">
        <w:t xml:space="preserve"> to </w:t>
      </w:r>
      <w:r w:rsidRPr="009258E5">
        <w:t xml:space="preserve">the second stage of </w:t>
      </w:r>
      <w:r w:rsidR="008C1F9A" w:rsidRPr="009258E5">
        <w:t>Segment A</w:t>
      </w:r>
      <w:r w:rsidR="003E2821" w:rsidRPr="009258E5">
        <w:t>.</w:t>
      </w:r>
      <w:r w:rsidR="008C1F9A" w:rsidRPr="009258E5">
        <w:t xml:space="preserve"> In addition</w:t>
      </w:r>
      <w:r w:rsidR="004702D3" w:rsidRPr="009258E5">
        <w:t xml:space="preserve">, the CDE and </w:t>
      </w:r>
      <w:r w:rsidR="00576535" w:rsidRPr="009258E5">
        <w:t xml:space="preserve">the </w:t>
      </w:r>
      <w:r w:rsidR="004702D3" w:rsidRPr="009258E5">
        <w:t xml:space="preserve">CAASPP contractor will need the </w:t>
      </w:r>
      <w:r w:rsidRPr="009258E5">
        <w:t xml:space="preserve">data from the first operational test </w:t>
      </w:r>
      <w:r w:rsidR="004702D3" w:rsidRPr="009258E5">
        <w:t>to develop</w:t>
      </w:r>
      <w:r w:rsidR="008C1F9A" w:rsidRPr="009258E5">
        <w:t xml:space="preserve"> the </w:t>
      </w:r>
      <w:r w:rsidR="009F64B2" w:rsidRPr="009258E5">
        <w:t>screener</w:t>
      </w:r>
      <w:r w:rsidR="004C21F5" w:rsidRPr="009258E5">
        <w:t xml:space="preserve"> </w:t>
      </w:r>
      <w:r w:rsidRPr="009258E5">
        <w:t xml:space="preserve">in order </w:t>
      </w:r>
      <w:r w:rsidR="004C21F5" w:rsidRPr="009258E5">
        <w:t xml:space="preserve">to transition students </w:t>
      </w:r>
      <w:r w:rsidR="004702D3" w:rsidRPr="009258E5">
        <w:t xml:space="preserve">from Segment A </w:t>
      </w:r>
      <w:r w:rsidR="004C21F5" w:rsidRPr="009258E5">
        <w:t>to Segment B</w:t>
      </w:r>
      <w:r w:rsidR="004702D3" w:rsidRPr="009258E5">
        <w:t>.</w:t>
      </w:r>
      <w:r w:rsidR="008C1F9A" w:rsidRPr="009258E5">
        <w:t xml:space="preserve"> </w:t>
      </w:r>
      <w:r w:rsidR="004C21F5" w:rsidRPr="009258E5">
        <w:t xml:space="preserve">After the operational administration in </w:t>
      </w:r>
      <w:r w:rsidR="00576535" w:rsidRPr="009258E5">
        <w:br/>
      </w:r>
      <w:r w:rsidR="004C21F5" w:rsidRPr="009258E5">
        <w:t>2018</w:t>
      </w:r>
      <w:r w:rsidR="004C21F5" w:rsidRPr="009258E5">
        <w:rPr>
          <w:rFonts w:cs="Arial"/>
        </w:rPr>
        <w:t>–</w:t>
      </w:r>
      <w:r w:rsidR="004C21F5" w:rsidRPr="009258E5">
        <w:t>19, t</w:t>
      </w:r>
      <w:r w:rsidR="009F64B2" w:rsidRPr="009258E5">
        <w:t xml:space="preserve">he CDE and the CAASPP contractor </w:t>
      </w:r>
      <w:r w:rsidR="00D42835" w:rsidRPr="009258E5">
        <w:t xml:space="preserve">will analyze the data </w:t>
      </w:r>
      <w:r w:rsidR="009F64B2" w:rsidRPr="009258E5">
        <w:t>and provide an update to the SBE about the efficacy of the MST and screener.</w:t>
      </w:r>
      <w:r w:rsidR="000B01F5" w:rsidRPr="009258E5">
        <w:t xml:space="preserve"> </w:t>
      </w:r>
    </w:p>
    <w:p w14:paraId="6DF23A15" w14:textId="796308D4" w:rsidR="00C5145E" w:rsidRPr="009258E5" w:rsidRDefault="00C5145E" w:rsidP="0069091A">
      <w:pPr>
        <w:pStyle w:val="Heading3"/>
        <w:spacing w:before="240" w:after="240"/>
        <w:rPr>
          <w:rFonts w:ascii="Arial" w:hAnsi="Arial" w:cs="Arial"/>
          <w:b/>
          <w:color w:val="auto"/>
          <w:sz w:val="32"/>
          <w:szCs w:val="32"/>
        </w:rPr>
      </w:pPr>
      <w:r w:rsidRPr="009258E5">
        <w:rPr>
          <w:rFonts w:ascii="Arial" w:hAnsi="Arial" w:cs="Arial"/>
          <w:b/>
          <w:color w:val="auto"/>
          <w:sz w:val="32"/>
          <w:szCs w:val="32"/>
        </w:rPr>
        <w:t>California A</w:t>
      </w:r>
      <w:r w:rsidR="00200A3C" w:rsidRPr="009258E5">
        <w:rPr>
          <w:rFonts w:ascii="Arial" w:hAnsi="Arial" w:cs="Arial"/>
          <w:b/>
          <w:color w:val="auto"/>
          <w:sz w:val="32"/>
          <w:szCs w:val="32"/>
        </w:rPr>
        <w:t>lternate Assessment for Science</w:t>
      </w:r>
      <w:r w:rsidR="000932BD" w:rsidRPr="009258E5">
        <w:rPr>
          <w:rFonts w:ascii="Arial" w:hAnsi="Arial" w:cs="Arial"/>
          <w:b/>
          <w:color w:val="auto"/>
          <w:sz w:val="32"/>
          <w:szCs w:val="32"/>
        </w:rPr>
        <w:t>—</w:t>
      </w:r>
      <w:r w:rsidRPr="009258E5">
        <w:rPr>
          <w:rFonts w:ascii="Arial" w:hAnsi="Arial" w:cs="Arial"/>
          <w:b/>
          <w:color w:val="auto"/>
          <w:sz w:val="32"/>
          <w:szCs w:val="32"/>
        </w:rPr>
        <w:t>Preparation for Field Testing</w:t>
      </w:r>
    </w:p>
    <w:p w14:paraId="00AB2FBF" w14:textId="77777777" w:rsidR="00C5145E" w:rsidRPr="009258E5" w:rsidRDefault="00C5145E" w:rsidP="00C5145E">
      <w:pPr>
        <w:spacing w:after="240"/>
        <w:rPr>
          <w:rFonts w:cs="Arial"/>
        </w:rPr>
      </w:pPr>
      <w:r w:rsidRPr="009258E5">
        <w:rPr>
          <w:rFonts w:cs="Arial"/>
        </w:rPr>
        <w:t xml:space="preserve">The CAA for Science is administered one on one to students who have the most significant cognitive disabilities and whose individualized education program indicates the use of an alternate assessment. The CAA for Science is administered to all </w:t>
      </w:r>
      <w:r w:rsidR="00950C57" w:rsidRPr="009258E5">
        <w:rPr>
          <w:rFonts w:cs="Arial"/>
        </w:rPr>
        <w:t xml:space="preserve">eligible </w:t>
      </w:r>
      <w:r w:rsidRPr="009258E5">
        <w:rPr>
          <w:rFonts w:cs="Arial"/>
        </w:rPr>
        <w:t>students in grades five and eight and once in high school (i.e., grade ten, eleven, or twelve). The CAA for Science is aligned with the Core Content Connectors</w:t>
      </w:r>
      <w:r w:rsidR="00950C57" w:rsidRPr="009258E5">
        <w:rPr>
          <w:rFonts w:cs="Arial"/>
        </w:rPr>
        <w:t>, which</w:t>
      </w:r>
      <w:r w:rsidRPr="009258E5">
        <w:rPr>
          <w:rFonts w:cs="Arial"/>
        </w:rPr>
        <w:t xml:space="preserve"> are derived from the CA NGSS.</w:t>
      </w:r>
    </w:p>
    <w:p w14:paraId="425351A2" w14:textId="242D0FBB" w:rsidR="00C5145E" w:rsidRPr="009258E5" w:rsidRDefault="00C5145E" w:rsidP="0037209E">
      <w:pPr>
        <w:spacing w:after="480"/>
        <w:rPr>
          <w:rFonts w:cs="Arial"/>
        </w:rPr>
      </w:pPr>
      <w:r w:rsidRPr="009258E5">
        <w:rPr>
          <w:rFonts w:cs="Arial"/>
        </w:rPr>
        <w:t>The CDE, in collaboration with the CAASPP testing contractor, has been deliberate in the development of the CAA for Science. It began with two years of pilot testing and will</w:t>
      </w:r>
      <w:r w:rsidR="00950C57" w:rsidRPr="009258E5">
        <w:rPr>
          <w:rFonts w:cs="Arial"/>
        </w:rPr>
        <w:t xml:space="preserve"> culminate with an online field </w:t>
      </w:r>
      <w:r w:rsidRPr="009258E5">
        <w:rPr>
          <w:rFonts w:cs="Arial"/>
        </w:rPr>
        <w:t xml:space="preserve">test in 2018–19 and an operational </w:t>
      </w:r>
      <w:r w:rsidR="005B6D2B" w:rsidRPr="009258E5">
        <w:rPr>
          <w:rFonts w:cs="Arial"/>
        </w:rPr>
        <w:t>test</w:t>
      </w:r>
      <w:r w:rsidRPr="009258E5">
        <w:rPr>
          <w:rFonts w:cs="Arial"/>
        </w:rPr>
        <w:t xml:space="preserve"> in 2019–20. The fir</w:t>
      </w:r>
      <w:r w:rsidR="00950C57" w:rsidRPr="009258E5">
        <w:rPr>
          <w:rFonts w:cs="Arial"/>
        </w:rPr>
        <w:t>st-</w:t>
      </w:r>
      <w:r w:rsidRPr="009258E5">
        <w:rPr>
          <w:rFonts w:cs="Arial"/>
        </w:rPr>
        <w:t>year pilot test was intended to try</w:t>
      </w:r>
      <w:r w:rsidR="00950C57" w:rsidRPr="009258E5">
        <w:rPr>
          <w:rFonts w:cs="Arial"/>
        </w:rPr>
        <w:t xml:space="preserve"> </w:t>
      </w:r>
      <w:r w:rsidRPr="009258E5">
        <w:rPr>
          <w:rFonts w:cs="Arial"/>
        </w:rPr>
        <w:t>out the PT format and to allow educators and students to become f</w:t>
      </w:r>
      <w:r w:rsidR="00950C57" w:rsidRPr="009258E5">
        <w:rPr>
          <w:rFonts w:cs="Arial"/>
        </w:rPr>
        <w:t xml:space="preserve">amiliar with the embedded </w:t>
      </w:r>
      <w:proofErr w:type="spellStart"/>
      <w:r w:rsidR="00950C57" w:rsidRPr="009258E5">
        <w:rPr>
          <w:rFonts w:cs="Arial"/>
        </w:rPr>
        <w:t>PTs.</w:t>
      </w:r>
      <w:proofErr w:type="spellEnd"/>
      <w:r w:rsidR="00950C57" w:rsidRPr="009258E5">
        <w:rPr>
          <w:rFonts w:cs="Arial"/>
        </w:rPr>
        <w:t xml:space="preserve"> In addition</w:t>
      </w:r>
      <w:r w:rsidRPr="009258E5">
        <w:rPr>
          <w:rFonts w:cs="Arial"/>
        </w:rPr>
        <w:t xml:space="preserve">, the CDE and ETS will continue to work in collaboration with California educators, national science experts, and </w:t>
      </w:r>
      <w:r w:rsidR="00950C57" w:rsidRPr="009258E5">
        <w:rPr>
          <w:rFonts w:cs="Arial"/>
        </w:rPr>
        <w:t xml:space="preserve">other </w:t>
      </w:r>
      <w:r w:rsidRPr="009258E5">
        <w:rPr>
          <w:rFonts w:cs="Arial"/>
        </w:rPr>
        <w:t xml:space="preserve">stakeholders as the development of the CAA for Science moves into </w:t>
      </w:r>
      <w:r w:rsidR="00950C57" w:rsidRPr="009258E5">
        <w:rPr>
          <w:rFonts w:cs="Arial"/>
        </w:rPr>
        <w:t>its</w:t>
      </w:r>
      <w:r w:rsidRPr="009258E5">
        <w:rPr>
          <w:rFonts w:cs="Arial"/>
        </w:rPr>
        <w:t xml:space="preserve"> </w:t>
      </w:r>
      <w:r w:rsidRPr="009258E5">
        <w:rPr>
          <w:rFonts w:cs="Arial"/>
        </w:rPr>
        <w:lastRenderedPageBreak/>
        <w:t>operational phase.</w:t>
      </w:r>
      <w:r w:rsidR="006078D7" w:rsidRPr="009258E5">
        <w:rPr>
          <w:rFonts w:cs="Arial"/>
        </w:rPr>
        <w:t xml:space="preserve"> The CDE and the CAASPP contractor will use</w:t>
      </w:r>
      <w:r w:rsidR="006026F9" w:rsidRPr="009258E5">
        <w:rPr>
          <w:rFonts w:cs="Arial"/>
        </w:rPr>
        <w:t xml:space="preserve"> the</w:t>
      </w:r>
      <w:r w:rsidR="006078D7" w:rsidRPr="009258E5">
        <w:rPr>
          <w:rFonts w:cs="Arial"/>
        </w:rPr>
        <w:t xml:space="preserve"> information </w:t>
      </w:r>
      <w:r w:rsidR="006026F9" w:rsidRPr="009258E5">
        <w:rPr>
          <w:rFonts w:cs="Arial"/>
        </w:rPr>
        <w:t xml:space="preserve">collected </w:t>
      </w:r>
      <w:r w:rsidR="006078D7" w:rsidRPr="009258E5">
        <w:rPr>
          <w:rFonts w:cs="Arial"/>
        </w:rPr>
        <w:t xml:space="preserve">from </w:t>
      </w:r>
      <w:r w:rsidR="006026F9" w:rsidRPr="009258E5">
        <w:rPr>
          <w:rFonts w:cs="Arial"/>
        </w:rPr>
        <w:t xml:space="preserve">the field test (e.g., </w:t>
      </w:r>
      <w:r w:rsidR="006078D7" w:rsidRPr="009258E5">
        <w:rPr>
          <w:rFonts w:cs="Arial"/>
        </w:rPr>
        <w:t>item and test statistics and test examiner feedback</w:t>
      </w:r>
      <w:r w:rsidR="006026F9" w:rsidRPr="009258E5">
        <w:rPr>
          <w:rFonts w:cs="Arial"/>
        </w:rPr>
        <w:t>)</w:t>
      </w:r>
      <w:r w:rsidR="006078D7" w:rsidRPr="009258E5">
        <w:rPr>
          <w:rFonts w:cs="Arial"/>
        </w:rPr>
        <w:t xml:space="preserve"> to </w:t>
      </w:r>
      <w:r w:rsidR="006026F9" w:rsidRPr="009258E5">
        <w:rPr>
          <w:rFonts w:cs="Arial"/>
        </w:rPr>
        <w:t>guide future development of the CAA for Science</w:t>
      </w:r>
      <w:r w:rsidR="000B01F5" w:rsidRPr="009258E5">
        <w:rPr>
          <w:rFonts w:cs="Arial"/>
        </w:rPr>
        <w:t xml:space="preserve"> embedded</w:t>
      </w:r>
      <w:r w:rsidR="006026F9" w:rsidRPr="009258E5">
        <w:rPr>
          <w:rFonts w:cs="Arial"/>
        </w:rPr>
        <w:t xml:space="preserve"> </w:t>
      </w:r>
      <w:proofErr w:type="spellStart"/>
      <w:r w:rsidR="006026F9" w:rsidRPr="009258E5">
        <w:rPr>
          <w:rFonts w:cs="Arial"/>
        </w:rPr>
        <w:t>PTs.</w:t>
      </w:r>
      <w:proofErr w:type="spellEnd"/>
      <w:r w:rsidR="006026F9" w:rsidRPr="009258E5">
        <w:rPr>
          <w:rFonts w:cs="Arial"/>
        </w:rPr>
        <w:t xml:space="preserve"> </w:t>
      </w:r>
    </w:p>
    <w:p w14:paraId="116F83E1" w14:textId="77777777" w:rsidR="00C5145E" w:rsidRPr="009258E5" w:rsidRDefault="00C5145E" w:rsidP="00B41250">
      <w:pPr>
        <w:pStyle w:val="Heading2"/>
        <w:spacing w:before="240" w:after="240"/>
        <w:rPr>
          <w:sz w:val="36"/>
          <w:szCs w:val="36"/>
        </w:rPr>
      </w:pPr>
      <w:r w:rsidRPr="009258E5">
        <w:rPr>
          <w:sz w:val="36"/>
          <w:szCs w:val="36"/>
        </w:rPr>
        <w:t>Attachment(s)</w:t>
      </w:r>
    </w:p>
    <w:p w14:paraId="21C51663" w14:textId="355D2102" w:rsidR="00057A96" w:rsidRPr="009258E5" w:rsidRDefault="00C5145E" w:rsidP="00B44A71">
      <w:r w:rsidRPr="009258E5">
        <w:t>None</w:t>
      </w:r>
      <w:r w:rsidR="00B46D78" w:rsidRPr="009258E5">
        <w:t>.</w:t>
      </w:r>
    </w:p>
    <w:sectPr w:rsidR="00057A96" w:rsidRPr="009258E5" w:rsidSect="00057A96">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0DF43" w14:textId="77777777" w:rsidR="00491F9F" w:rsidRDefault="00491F9F" w:rsidP="00C5145E">
      <w:r>
        <w:separator/>
      </w:r>
    </w:p>
  </w:endnote>
  <w:endnote w:type="continuationSeparator" w:id="0">
    <w:p w14:paraId="2A034743" w14:textId="77777777" w:rsidR="00491F9F" w:rsidRDefault="00491F9F" w:rsidP="00C5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8BBC6" w14:textId="77777777" w:rsidR="00491F9F" w:rsidRDefault="00491F9F" w:rsidP="00C5145E">
      <w:r>
        <w:separator/>
      </w:r>
    </w:p>
  </w:footnote>
  <w:footnote w:type="continuationSeparator" w:id="0">
    <w:p w14:paraId="3A94ED37" w14:textId="77777777" w:rsidR="00491F9F" w:rsidRDefault="00491F9F" w:rsidP="00C51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D0C51" w14:textId="77777777" w:rsidR="00ED70B4" w:rsidRDefault="00C5145E" w:rsidP="00ED70B4">
    <w:pPr>
      <w:jc w:val="right"/>
    </w:pPr>
    <w:proofErr w:type="gramStart"/>
    <w:r>
      <w:t>memo-pptb-adad-aug18item01</w:t>
    </w:r>
    <w:proofErr w:type="gramEnd"/>
  </w:p>
  <w:p w14:paraId="079E5E4A" w14:textId="77777777" w:rsidR="00ED70B4" w:rsidRPr="00483B3D" w:rsidRDefault="00F401B1" w:rsidP="00ED70B4">
    <w:pPr>
      <w:pStyle w:val="Header"/>
      <w:spacing w:after="480"/>
      <w:jc w:val="right"/>
      <w:rPr>
        <w:rFonts w:cs="Arial"/>
      </w:rPr>
    </w:pPr>
    <w:r w:rsidRPr="00483B3D">
      <w:rPr>
        <w:rFonts w:eastAsiaTheme="majorEastAsia" w:cs="Arial"/>
        <w:noProof/>
      </w:rPr>
      <w:t xml:space="preserve">Page </w:t>
    </w:r>
    <w:r w:rsidRPr="00483B3D">
      <w:rPr>
        <w:rFonts w:eastAsiaTheme="majorEastAsia" w:cs="Arial"/>
        <w:bCs/>
        <w:noProof/>
      </w:rPr>
      <w:fldChar w:fldCharType="begin"/>
    </w:r>
    <w:r w:rsidRPr="00483B3D">
      <w:rPr>
        <w:rFonts w:eastAsiaTheme="majorEastAsia" w:cs="Arial"/>
        <w:bCs/>
        <w:noProof/>
      </w:rPr>
      <w:instrText xml:space="preserve"> PAGE  \* Arabic  \* MERGEFORMAT </w:instrText>
    </w:r>
    <w:r w:rsidRPr="00483B3D">
      <w:rPr>
        <w:rFonts w:eastAsiaTheme="majorEastAsia" w:cs="Arial"/>
        <w:bCs/>
        <w:noProof/>
      </w:rPr>
      <w:fldChar w:fldCharType="separate"/>
    </w:r>
    <w:r w:rsidR="00874D91">
      <w:rPr>
        <w:rFonts w:eastAsiaTheme="majorEastAsia" w:cs="Arial"/>
        <w:bCs/>
        <w:noProof/>
      </w:rPr>
      <w:t>4</w:t>
    </w:r>
    <w:r w:rsidRPr="00483B3D">
      <w:rPr>
        <w:rFonts w:eastAsiaTheme="majorEastAsia" w:cs="Arial"/>
        <w:bCs/>
        <w:noProof/>
      </w:rPr>
      <w:fldChar w:fldCharType="end"/>
    </w:r>
    <w:r w:rsidRPr="00483B3D">
      <w:rPr>
        <w:rFonts w:eastAsiaTheme="majorEastAsia" w:cs="Arial"/>
        <w:noProof/>
      </w:rPr>
      <w:t xml:space="preserve"> of </w:t>
    </w:r>
    <w:r>
      <w:rPr>
        <w:rFonts w:eastAsiaTheme="majorEastAsia" w:cs="Arial"/>
        <w:bCs/>
        <w:noProof/>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4672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27A39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B0E7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1882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0248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D2B0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5C9F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F63D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6EB4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FE5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7815BD"/>
    <w:multiLevelType w:val="hybridMultilevel"/>
    <w:tmpl w:val="AF668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34C75"/>
    <w:rsid w:val="00053B2A"/>
    <w:rsid w:val="00057A96"/>
    <w:rsid w:val="00077927"/>
    <w:rsid w:val="000869C7"/>
    <w:rsid w:val="000932BD"/>
    <w:rsid w:val="00094A6D"/>
    <w:rsid w:val="000B01F5"/>
    <w:rsid w:val="000C139F"/>
    <w:rsid w:val="00145C4B"/>
    <w:rsid w:val="0016173B"/>
    <w:rsid w:val="001648E9"/>
    <w:rsid w:val="00184DEF"/>
    <w:rsid w:val="001C22E5"/>
    <w:rsid w:val="001D4060"/>
    <w:rsid w:val="001E1E2A"/>
    <w:rsid w:val="001F63DC"/>
    <w:rsid w:val="00200A3C"/>
    <w:rsid w:val="002408E4"/>
    <w:rsid w:val="0029286A"/>
    <w:rsid w:val="00314EF5"/>
    <w:rsid w:val="00321D49"/>
    <w:rsid w:val="00322C00"/>
    <w:rsid w:val="00325EAA"/>
    <w:rsid w:val="0033616F"/>
    <w:rsid w:val="00364C1F"/>
    <w:rsid w:val="0037209E"/>
    <w:rsid w:val="00375E65"/>
    <w:rsid w:val="003935F8"/>
    <w:rsid w:val="0039550C"/>
    <w:rsid w:val="003965FA"/>
    <w:rsid w:val="003D5109"/>
    <w:rsid w:val="003E2821"/>
    <w:rsid w:val="003E3B94"/>
    <w:rsid w:val="003E7B27"/>
    <w:rsid w:val="003F0E72"/>
    <w:rsid w:val="004702D3"/>
    <w:rsid w:val="00474A2F"/>
    <w:rsid w:val="00480493"/>
    <w:rsid w:val="00491F9F"/>
    <w:rsid w:val="004A56E5"/>
    <w:rsid w:val="004B0187"/>
    <w:rsid w:val="004C21F5"/>
    <w:rsid w:val="004E121C"/>
    <w:rsid w:val="0051479B"/>
    <w:rsid w:val="005202B9"/>
    <w:rsid w:val="0054334A"/>
    <w:rsid w:val="00576535"/>
    <w:rsid w:val="005B1325"/>
    <w:rsid w:val="005B4F7E"/>
    <w:rsid w:val="005B6D2B"/>
    <w:rsid w:val="005D3585"/>
    <w:rsid w:val="005D600A"/>
    <w:rsid w:val="006026F9"/>
    <w:rsid w:val="006078D7"/>
    <w:rsid w:val="006332BB"/>
    <w:rsid w:val="00654E3F"/>
    <w:rsid w:val="00681207"/>
    <w:rsid w:val="0069091A"/>
    <w:rsid w:val="00695226"/>
    <w:rsid w:val="006F295C"/>
    <w:rsid w:val="00734B1A"/>
    <w:rsid w:val="0075737B"/>
    <w:rsid w:val="00776047"/>
    <w:rsid w:val="007A2653"/>
    <w:rsid w:val="007C0598"/>
    <w:rsid w:val="008213F2"/>
    <w:rsid w:val="00843FA9"/>
    <w:rsid w:val="00874D91"/>
    <w:rsid w:val="008B1135"/>
    <w:rsid w:val="008C1F9A"/>
    <w:rsid w:val="008D2B05"/>
    <w:rsid w:val="008D70AE"/>
    <w:rsid w:val="008F6CA0"/>
    <w:rsid w:val="00905AE5"/>
    <w:rsid w:val="009258E5"/>
    <w:rsid w:val="0093723A"/>
    <w:rsid w:val="00944DDC"/>
    <w:rsid w:val="00950C57"/>
    <w:rsid w:val="00963290"/>
    <w:rsid w:val="00982A10"/>
    <w:rsid w:val="009B64D5"/>
    <w:rsid w:val="009C455A"/>
    <w:rsid w:val="009F5120"/>
    <w:rsid w:val="009F64B2"/>
    <w:rsid w:val="00A11875"/>
    <w:rsid w:val="00A35C73"/>
    <w:rsid w:val="00AB4C92"/>
    <w:rsid w:val="00AE2B40"/>
    <w:rsid w:val="00B41250"/>
    <w:rsid w:val="00B44A71"/>
    <w:rsid w:val="00B46D78"/>
    <w:rsid w:val="00BC3667"/>
    <w:rsid w:val="00BC376B"/>
    <w:rsid w:val="00BF7F32"/>
    <w:rsid w:val="00C420BB"/>
    <w:rsid w:val="00C5145E"/>
    <w:rsid w:val="00C61F78"/>
    <w:rsid w:val="00C716E3"/>
    <w:rsid w:val="00CC3256"/>
    <w:rsid w:val="00CC5474"/>
    <w:rsid w:val="00CD03E3"/>
    <w:rsid w:val="00D021BA"/>
    <w:rsid w:val="00D42835"/>
    <w:rsid w:val="00D569B3"/>
    <w:rsid w:val="00D71D01"/>
    <w:rsid w:val="00D81E7D"/>
    <w:rsid w:val="00DC5FAA"/>
    <w:rsid w:val="00E14DA5"/>
    <w:rsid w:val="00E20AC9"/>
    <w:rsid w:val="00E32FDC"/>
    <w:rsid w:val="00E67EA1"/>
    <w:rsid w:val="00EA22F8"/>
    <w:rsid w:val="00EB1690"/>
    <w:rsid w:val="00EC3FF1"/>
    <w:rsid w:val="00F06887"/>
    <w:rsid w:val="00F151F1"/>
    <w:rsid w:val="00F37CA7"/>
    <w:rsid w:val="00F401B1"/>
    <w:rsid w:val="00F4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DE8F0"/>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D9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874D91"/>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C5145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514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74D91"/>
    <w:rPr>
      <w:rFonts w:ascii="Arial" w:eastAsiaTheme="majorEastAsia" w:hAnsi="Arial" w:cstheme="majorBidi"/>
      <w:b/>
      <w:sz w:val="40"/>
      <w:szCs w:val="32"/>
    </w:rPr>
  </w:style>
  <w:style w:type="character" w:customStyle="1" w:styleId="Heading3Char">
    <w:name w:val="Heading 3 Char"/>
    <w:basedOn w:val="DefaultParagraphFont"/>
    <w:link w:val="Heading3"/>
    <w:uiPriority w:val="9"/>
    <w:rsid w:val="00C5145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5145E"/>
    <w:rPr>
      <w:rFonts w:asciiTheme="majorHAnsi" w:eastAsiaTheme="majorEastAsia" w:hAnsiTheme="majorHAnsi" w:cstheme="majorBidi"/>
      <w:i/>
      <w:iCs/>
      <w:color w:val="2E74B5" w:themeColor="accent1" w:themeShade="BF"/>
      <w:sz w:val="24"/>
      <w:szCs w:val="24"/>
    </w:rPr>
  </w:style>
  <w:style w:type="table" w:styleId="GridTable1Light">
    <w:name w:val="Grid Table 1 Light"/>
    <w:basedOn w:val="TableNormal"/>
    <w:uiPriority w:val="46"/>
    <w:rsid w:val="00C5145E"/>
    <w:pPr>
      <w:spacing w:after="0" w:line="240" w:lineRule="auto"/>
    </w:pPr>
    <w:rPr>
      <w:rFonts w:ascii="Arial" w:hAnsi="Arial" w:cs="Arial"/>
      <w:b/>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C5145E"/>
    <w:pPr>
      <w:tabs>
        <w:tab w:val="center" w:pos="4680"/>
        <w:tab w:val="right" w:pos="9360"/>
      </w:tabs>
    </w:pPr>
  </w:style>
  <w:style w:type="character" w:customStyle="1" w:styleId="HeaderChar">
    <w:name w:val="Header Char"/>
    <w:basedOn w:val="DefaultParagraphFont"/>
    <w:link w:val="Header"/>
    <w:uiPriority w:val="99"/>
    <w:rsid w:val="00C5145E"/>
    <w:rPr>
      <w:rFonts w:ascii="Arial" w:eastAsia="Times New Roman" w:hAnsi="Arial" w:cs="Times New Roman"/>
      <w:sz w:val="24"/>
      <w:szCs w:val="24"/>
    </w:rPr>
  </w:style>
  <w:style w:type="paragraph" w:styleId="Footer">
    <w:name w:val="footer"/>
    <w:basedOn w:val="Normal"/>
    <w:link w:val="FooterChar"/>
    <w:uiPriority w:val="99"/>
    <w:unhideWhenUsed/>
    <w:rsid w:val="00C5145E"/>
    <w:pPr>
      <w:tabs>
        <w:tab w:val="center" w:pos="4680"/>
        <w:tab w:val="right" w:pos="9360"/>
      </w:tabs>
    </w:pPr>
  </w:style>
  <w:style w:type="character" w:customStyle="1" w:styleId="FooterChar">
    <w:name w:val="Footer Char"/>
    <w:basedOn w:val="DefaultParagraphFont"/>
    <w:link w:val="Footer"/>
    <w:uiPriority w:val="99"/>
    <w:rsid w:val="00C5145E"/>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B64D5"/>
    <w:rPr>
      <w:sz w:val="16"/>
      <w:szCs w:val="16"/>
    </w:rPr>
  </w:style>
  <w:style w:type="paragraph" w:styleId="CommentText">
    <w:name w:val="annotation text"/>
    <w:basedOn w:val="Normal"/>
    <w:link w:val="CommentTextChar"/>
    <w:uiPriority w:val="99"/>
    <w:semiHidden/>
    <w:unhideWhenUsed/>
    <w:rsid w:val="009B64D5"/>
    <w:rPr>
      <w:sz w:val="20"/>
      <w:szCs w:val="20"/>
    </w:rPr>
  </w:style>
  <w:style w:type="character" w:customStyle="1" w:styleId="CommentTextChar">
    <w:name w:val="Comment Text Char"/>
    <w:basedOn w:val="DefaultParagraphFont"/>
    <w:link w:val="CommentText"/>
    <w:uiPriority w:val="99"/>
    <w:semiHidden/>
    <w:rsid w:val="009B64D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B64D5"/>
    <w:rPr>
      <w:b/>
      <w:bCs/>
    </w:rPr>
  </w:style>
  <w:style w:type="character" w:customStyle="1" w:styleId="CommentSubjectChar">
    <w:name w:val="Comment Subject Char"/>
    <w:basedOn w:val="CommentTextChar"/>
    <w:link w:val="CommentSubject"/>
    <w:uiPriority w:val="99"/>
    <w:semiHidden/>
    <w:rsid w:val="009B64D5"/>
    <w:rPr>
      <w:rFonts w:ascii="Arial" w:eastAsia="Times New Roman" w:hAnsi="Arial" w:cs="Times New Roman"/>
      <w:b/>
      <w:bCs/>
      <w:sz w:val="20"/>
      <w:szCs w:val="20"/>
    </w:rPr>
  </w:style>
  <w:style w:type="paragraph" w:styleId="MessageHeader">
    <w:name w:val="Message Header"/>
    <w:basedOn w:val="Normal"/>
    <w:link w:val="MessageHeaderChar"/>
    <w:uiPriority w:val="99"/>
    <w:unhideWhenUsed/>
    <w:rsid w:val="00874D91"/>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74D91"/>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98748-EEAD-423B-A23B-F323802D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4</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August 2018 Memo PPTB ADAD Item 01 - Information Memorandum (CA State Board of Education)</vt:lpstr>
    </vt:vector>
  </TitlesOfParts>
  <Company>California State Board of Education</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2018 Memo PPTB ADAD Item 01 - Information Memorandum (CA State Board of Education)</dc:title>
  <dc:subject>Update on the 2018-19 Administration of the California Science Test and the California Alternate Assessment for Science.</dc:subject>
  <dc:creator>Kathleen Souza</dc:creator>
  <cp:keywords/>
  <dc:description/>
  <cp:revision>60</cp:revision>
  <cp:lastPrinted>2018-08-06T23:30:00Z</cp:lastPrinted>
  <dcterms:created xsi:type="dcterms:W3CDTF">2018-07-18T22:52:00Z</dcterms:created>
  <dcterms:modified xsi:type="dcterms:W3CDTF">2018-08-22T20:14:00Z</dcterms:modified>
  <cp:category/>
</cp:coreProperties>
</file>