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3A1C5" w14:textId="77777777" w:rsidR="00844EBF" w:rsidRPr="005C50E9" w:rsidRDefault="003E06F5" w:rsidP="00607835">
      <w:pPr>
        <w:tabs>
          <w:tab w:val="left" w:pos="5760"/>
        </w:tabs>
        <w:ind w:right="90"/>
        <w:rPr>
          <w:rFonts w:cs="Arial"/>
        </w:rPr>
      </w:pPr>
      <w:r w:rsidRPr="005C50E9">
        <w:rPr>
          <w:rFonts w:cs="Arial"/>
        </w:rPr>
        <w:t>California Department of Education</w:t>
      </w:r>
      <w:r w:rsidR="00844EBF" w:rsidRPr="005C50E9">
        <w:rPr>
          <w:rFonts w:cs="Arial"/>
        </w:rPr>
        <w:br/>
      </w:r>
      <w:r w:rsidRPr="005C50E9">
        <w:rPr>
          <w:rFonts w:cs="Arial"/>
        </w:rPr>
        <w:t>Executive Office</w:t>
      </w:r>
      <w:r w:rsidR="00844EBF" w:rsidRPr="005C50E9">
        <w:rPr>
          <w:rFonts w:cs="Arial"/>
        </w:rPr>
        <w:br/>
      </w:r>
      <w:r w:rsidRPr="005C50E9">
        <w:rPr>
          <w:rFonts w:cs="Arial"/>
        </w:rPr>
        <w:t>SBE-002 (REV. 11/2017)</w:t>
      </w:r>
    </w:p>
    <w:p w14:paraId="3F91A76E" w14:textId="77777777" w:rsidR="00844EBF" w:rsidRPr="005C50E9" w:rsidRDefault="00844EBF">
      <w:pPr>
        <w:tabs>
          <w:tab w:val="left" w:pos="5760"/>
        </w:tabs>
        <w:ind w:right="90"/>
        <w:rPr>
          <w:rFonts w:cs="Arial"/>
        </w:rPr>
      </w:pPr>
      <w:proofErr w:type="gramStart"/>
      <w:r w:rsidRPr="005C50E9">
        <w:rPr>
          <w:rFonts w:cs="Arial"/>
        </w:rPr>
        <w:t>memo-pptb-amard-</w:t>
      </w:r>
      <w:r w:rsidR="007C4A99" w:rsidRPr="005C50E9">
        <w:rPr>
          <w:rFonts w:cs="Arial"/>
        </w:rPr>
        <w:t>feb19</w:t>
      </w:r>
      <w:r w:rsidRPr="005C50E9">
        <w:rPr>
          <w:rFonts w:cs="Arial"/>
        </w:rPr>
        <w:t>item0</w:t>
      </w:r>
      <w:r w:rsidR="005D195E" w:rsidRPr="005C50E9">
        <w:rPr>
          <w:rFonts w:cs="Arial"/>
        </w:rPr>
        <w:t>2</w:t>
      </w:r>
      <w:proofErr w:type="gramEnd"/>
    </w:p>
    <w:p w14:paraId="51D10EE3" w14:textId="77777777" w:rsidR="00823888" w:rsidRPr="005C50E9" w:rsidRDefault="00823888" w:rsidP="0071775B">
      <w:pPr>
        <w:pStyle w:val="Heading1"/>
        <w:rPr>
          <w:rFonts w:ascii="Arial" w:hAnsi="Arial" w:cs="Arial"/>
          <w:b/>
          <w:color w:val="auto"/>
          <w:sz w:val="40"/>
          <w:szCs w:val="52"/>
        </w:rPr>
        <w:sectPr w:rsidR="00823888" w:rsidRPr="005C50E9" w:rsidSect="0071775B">
          <w:headerReference w:type="default" r:id="rId11"/>
          <w:pgSz w:w="12240" w:h="15840"/>
          <w:pgMar w:top="720" w:right="1440" w:bottom="1440" w:left="1440" w:header="720" w:footer="720" w:gutter="0"/>
          <w:pgNumType w:start="1"/>
          <w:cols w:num="2" w:space="0" w:equalWidth="0">
            <w:col w:w="5328" w:space="0"/>
            <w:col w:w="4032"/>
          </w:cols>
          <w:titlePg/>
          <w:docGrid w:linePitch="360"/>
        </w:sectPr>
      </w:pPr>
    </w:p>
    <w:p w14:paraId="5C34F1D4" w14:textId="77777777" w:rsidR="00057A96" w:rsidRPr="005C50E9" w:rsidRDefault="00C91054">
      <w:pPr>
        <w:pStyle w:val="Heading1"/>
        <w:spacing w:line="360" w:lineRule="auto"/>
        <w:rPr>
          <w:rFonts w:ascii="Arial" w:hAnsi="Arial" w:cs="Arial"/>
          <w:b/>
          <w:color w:val="auto"/>
          <w:sz w:val="40"/>
          <w:szCs w:val="52"/>
        </w:rPr>
      </w:pPr>
      <w:r w:rsidRPr="005C50E9">
        <w:rPr>
          <w:rFonts w:ascii="Arial" w:hAnsi="Arial" w:cs="Arial"/>
          <w:b/>
          <w:color w:val="auto"/>
          <w:sz w:val="40"/>
          <w:szCs w:val="52"/>
        </w:rPr>
        <w:t>MEM</w:t>
      </w:r>
      <w:r w:rsidR="00BC376B" w:rsidRPr="005C50E9">
        <w:rPr>
          <w:rFonts w:ascii="Arial" w:hAnsi="Arial" w:cs="Arial"/>
          <w:b/>
          <w:color w:val="auto"/>
          <w:sz w:val="40"/>
          <w:szCs w:val="52"/>
        </w:rPr>
        <w:t>ORANDUM</w:t>
      </w:r>
    </w:p>
    <w:p w14:paraId="762E4A46" w14:textId="6315F8B0" w:rsidR="00057A96" w:rsidRPr="005C50E9" w:rsidRDefault="008F6CA0">
      <w:pPr>
        <w:pStyle w:val="MessageHeader"/>
        <w:rPr>
          <w:rFonts w:cs="Arial"/>
        </w:rPr>
      </w:pPr>
      <w:r w:rsidRPr="005C50E9">
        <w:rPr>
          <w:rFonts w:cs="Arial"/>
          <w:b/>
        </w:rPr>
        <w:t>DATE:</w:t>
      </w:r>
      <w:r w:rsidRPr="005C50E9">
        <w:rPr>
          <w:rFonts w:cs="Arial"/>
        </w:rPr>
        <w:tab/>
      </w:r>
      <w:r w:rsidR="000B4680">
        <w:rPr>
          <w:rFonts w:cs="Arial"/>
        </w:rPr>
        <w:t>February 14</w:t>
      </w:r>
      <w:r w:rsidR="00AA2964" w:rsidRPr="005C50E9">
        <w:rPr>
          <w:rFonts w:cs="Arial"/>
        </w:rPr>
        <w:t>, 2019</w:t>
      </w:r>
      <w:r w:rsidR="00057A96" w:rsidRPr="005C50E9">
        <w:rPr>
          <w:rFonts w:cs="Arial"/>
        </w:rPr>
        <w:t xml:space="preserve"> </w:t>
      </w:r>
    </w:p>
    <w:p w14:paraId="68E44DB9" w14:textId="77777777" w:rsidR="00057A96" w:rsidRPr="005C50E9" w:rsidRDefault="00057A96">
      <w:pPr>
        <w:pStyle w:val="MessageHeader"/>
        <w:rPr>
          <w:rFonts w:cs="Arial"/>
        </w:rPr>
      </w:pPr>
      <w:r w:rsidRPr="005C50E9">
        <w:rPr>
          <w:rFonts w:cs="Arial"/>
          <w:b/>
        </w:rPr>
        <w:t>TO:</w:t>
      </w:r>
      <w:r w:rsidRPr="005C50E9">
        <w:rPr>
          <w:rFonts w:cs="Arial"/>
          <w:b/>
        </w:rPr>
        <w:tab/>
      </w:r>
      <w:r w:rsidRPr="005C50E9">
        <w:rPr>
          <w:rFonts w:cs="Arial"/>
        </w:rPr>
        <w:t>ME</w:t>
      </w:r>
      <w:r w:rsidR="00171FE9" w:rsidRPr="005C50E9">
        <w:rPr>
          <w:rFonts w:cs="Arial"/>
        </w:rPr>
        <w:t>MBERS, State Board of Education</w:t>
      </w:r>
      <w:bookmarkStart w:id="0" w:name="_GoBack"/>
      <w:bookmarkEnd w:id="0"/>
    </w:p>
    <w:p w14:paraId="19869A6F" w14:textId="77777777" w:rsidR="00057A96" w:rsidRPr="005C50E9" w:rsidRDefault="00057A96">
      <w:pPr>
        <w:pStyle w:val="MessageHeader"/>
        <w:rPr>
          <w:rFonts w:cs="Arial"/>
        </w:rPr>
      </w:pPr>
      <w:r w:rsidRPr="005C50E9">
        <w:rPr>
          <w:rFonts w:cs="Arial"/>
          <w:b/>
        </w:rPr>
        <w:t>FROM:</w:t>
      </w:r>
      <w:r w:rsidR="00C61F78" w:rsidRPr="005C50E9">
        <w:rPr>
          <w:rFonts w:cs="Arial"/>
        </w:rPr>
        <w:tab/>
      </w:r>
      <w:r w:rsidR="00D368A9" w:rsidRPr="005C50E9">
        <w:rPr>
          <w:rFonts w:cs="Arial"/>
        </w:rPr>
        <w:t>TONY THURMOND</w:t>
      </w:r>
      <w:r w:rsidR="00C61F78" w:rsidRPr="005C50E9">
        <w:rPr>
          <w:rFonts w:cs="Arial"/>
        </w:rPr>
        <w:t xml:space="preserve">, </w:t>
      </w:r>
      <w:r w:rsidRPr="005C50E9">
        <w:rPr>
          <w:rFonts w:cs="Arial"/>
        </w:rPr>
        <w:t>State Superintendent of Public Instruction</w:t>
      </w:r>
    </w:p>
    <w:p w14:paraId="5BDF6133" w14:textId="61F2B7A9" w:rsidR="00057A96" w:rsidRPr="005C50E9" w:rsidRDefault="00057A96">
      <w:pPr>
        <w:pStyle w:val="MessageHeader"/>
        <w:rPr>
          <w:rFonts w:cs="Arial"/>
        </w:rPr>
      </w:pPr>
      <w:r w:rsidRPr="005C50E9">
        <w:rPr>
          <w:rFonts w:cs="Arial"/>
          <w:b/>
        </w:rPr>
        <w:t>SUBJECT:</w:t>
      </w:r>
      <w:r w:rsidRPr="005C50E9">
        <w:rPr>
          <w:rFonts w:cs="Arial"/>
          <w:b/>
        </w:rPr>
        <w:tab/>
      </w:r>
      <w:r w:rsidR="00671408" w:rsidRPr="005C50E9">
        <w:rPr>
          <w:rFonts w:cs="Arial"/>
          <w:color w:val="000000"/>
        </w:rPr>
        <w:t xml:space="preserve">Update on </w:t>
      </w:r>
      <w:r w:rsidR="008F5E77" w:rsidRPr="005C50E9">
        <w:rPr>
          <w:rFonts w:cs="Arial"/>
          <w:color w:val="000000"/>
        </w:rPr>
        <w:t>the Implementation of the Integrated Local, State, and Federal Acc</w:t>
      </w:r>
      <w:r w:rsidR="00671408" w:rsidRPr="005C50E9">
        <w:rPr>
          <w:rFonts w:cs="Arial"/>
          <w:color w:val="000000"/>
        </w:rPr>
        <w:t xml:space="preserve">ountability System: </w:t>
      </w:r>
      <w:r w:rsidR="008F5E77" w:rsidRPr="005C50E9">
        <w:rPr>
          <w:rFonts w:cs="Arial"/>
          <w:color w:val="000000"/>
        </w:rPr>
        <w:t xml:space="preserve">Schools </w:t>
      </w:r>
      <w:r w:rsidR="001A386E" w:rsidRPr="005C50E9">
        <w:rPr>
          <w:rFonts w:cs="Arial"/>
          <w:color w:val="000000"/>
        </w:rPr>
        <w:t>Eligib</w:t>
      </w:r>
      <w:r w:rsidR="001273B5" w:rsidRPr="005C50E9">
        <w:rPr>
          <w:rFonts w:cs="Arial"/>
          <w:color w:val="000000"/>
        </w:rPr>
        <w:t xml:space="preserve">le </w:t>
      </w:r>
      <w:r w:rsidR="008F5E77" w:rsidRPr="005C50E9">
        <w:rPr>
          <w:rFonts w:cs="Arial"/>
          <w:color w:val="000000"/>
        </w:rPr>
        <w:t xml:space="preserve">for </w:t>
      </w:r>
      <w:r w:rsidR="0078748E" w:rsidRPr="005C50E9">
        <w:rPr>
          <w:rFonts w:cs="Arial"/>
          <w:color w:val="000000"/>
        </w:rPr>
        <w:t>Support Under the Every Student Suc</w:t>
      </w:r>
      <w:r w:rsidR="00E536CF" w:rsidRPr="005C50E9">
        <w:rPr>
          <w:rFonts w:cs="Arial"/>
          <w:color w:val="000000"/>
        </w:rPr>
        <w:t>c</w:t>
      </w:r>
      <w:r w:rsidR="0078748E" w:rsidRPr="005C50E9">
        <w:rPr>
          <w:rFonts w:cs="Arial"/>
          <w:color w:val="000000"/>
        </w:rPr>
        <w:t>eeds Act</w:t>
      </w:r>
      <w:r w:rsidR="00E93E41" w:rsidRPr="005C50E9">
        <w:rPr>
          <w:rFonts w:cs="Arial"/>
          <w:color w:val="000000"/>
        </w:rPr>
        <w:t>.</w:t>
      </w:r>
    </w:p>
    <w:p w14:paraId="23A0C94E" w14:textId="77777777" w:rsidR="00057A96" w:rsidRPr="005C50E9" w:rsidRDefault="00474A2F" w:rsidP="0071775B">
      <w:pPr>
        <w:pStyle w:val="Heading2"/>
        <w:spacing w:before="0" w:after="240"/>
        <w:rPr>
          <w:rFonts w:cs="Arial"/>
          <w:sz w:val="36"/>
        </w:rPr>
      </w:pPr>
      <w:r w:rsidRPr="005C50E9">
        <w:rPr>
          <w:rFonts w:cs="Arial"/>
          <w:sz w:val="36"/>
        </w:rPr>
        <w:t>Summary o</w:t>
      </w:r>
      <w:r w:rsidR="00057A96" w:rsidRPr="005C50E9">
        <w:rPr>
          <w:rFonts w:cs="Arial"/>
          <w:sz w:val="36"/>
        </w:rPr>
        <w:t>f Key Issues</w:t>
      </w:r>
    </w:p>
    <w:p w14:paraId="6A577EC3" w14:textId="77777777" w:rsidR="00150057" w:rsidRPr="005C50E9" w:rsidRDefault="001273B5">
      <w:pPr>
        <w:spacing w:after="240"/>
        <w:rPr>
          <w:rFonts w:cs="Arial"/>
        </w:rPr>
      </w:pPr>
      <w:r w:rsidRPr="005C50E9">
        <w:rPr>
          <w:rFonts w:cs="Arial"/>
        </w:rPr>
        <w:t>T</w:t>
      </w:r>
      <w:r w:rsidR="00AF086D" w:rsidRPr="005C50E9">
        <w:rPr>
          <w:rFonts w:cs="Arial"/>
        </w:rPr>
        <w:t>he 2018–19 school year</w:t>
      </w:r>
      <w:r w:rsidRPr="005C50E9">
        <w:rPr>
          <w:rFonts w:cs="Arial"/>
        </w:rPr>
        <w:t xml:space="preserve"> is the first time that states are required</w:t>
      </w:r>
      <w:r w:rsidR="00AF086D" w:rsidRPr="005C50E9">
        <w:rPr>
          <w:rFonts w:cs="Arial"/>
        </w:rPr>
        <w:t xml:space="preserve"> under the Every </w:t>
      </w:r>
      <w:r w:rsidRPr="005C50E9">
        <w:rPr>
          <w:rFonts w:cs="Arial"/>
        </w:rPr>
        <w:t xml:space="preserve">Student </w:t>
      </w:r>
      <w:r w:rsidR="00AF086D" w:rsidRPr="005C50E9">
        <w:rPr>
          <w:rFonts w:cs="Arial"/>
        </w:rPr>
        <w:t xml:space="preserve">Succeeds Act (ESSA) </w:t>
      </w:r>
      <w:r w:rsidRPr="005C50E9">
        <w:rPr>
          <w:rFonts w:cs="Arial"/>
        </w:rPr>
        <w:t xml:space="preserve">to determine which </w:t>
      </w:r>
      <w:r w:rsidR="00AF086D" w:rsidRPr="005C50E9">
        <w:rPr>
          <w:rFonts w:cs="Arial"/>
        </w:rPr>
        <w:t xml:space="preserve">schools </w:t>
      </w:r>
      <w:r w:rsidRPr="005C50E9">
        <w:rPr>
          <w:rFonts w:cs="Arial"/>
        </w:rPr>
        <w:t xml:space="preserve">are eligible </w:t>
      </w:r>
      <w:r w:rsidR="00AF086D" w:rsidRPr="005C50E9">
        <w:rPr>
          <w:rFonts w:cs="Arial"/>
        </w:rPr>
        <w:t>for Comprehensive Support and Improvement (CSI)</w:t>
      </w:r>
      <w:r w:rsidRPr="005C50E9">
        <w:rPr>
          <w:rFonts w:cs="Arial"/>
        </w:rPr>
        <w:t xml:space="preserve"> based on the criteria in the State Plan</w:t>
      </w:r>
      <w:r w:rsidR="00AF086D" w:rsidRPr="005C50E9">
        <w:rPr>
          <w:rFonts w:cs="Arial"/>
        </w:rPr>
        <w:t>. Such identification must occur at least once every thr</w:t>
      </w:r>
      <w:r w:rsidR="00EF48DF" w:rsidRPr="005C50E9">
        <w:rPr>
          <w:rFonts w:cs="Arial"/>
        </w:rPr>
        <w:t xml:space="preserve">ee years and include </w:t>
      </w:r>
      <w:r w:rsidR="0078748E" w:rsidRPr="005C50E9">
        <w:rPr>
          <w:rFonts w:cs="Arial"/>
        </w:rPr>
        <w:t xml:space="preserve">at least </w:t>
      </w:r>
      <w:r w:rsidR="00EF48DF" w:rsidRPr="005C50E9">
        <w:rPr>
          <w:rFonts w:cs="Arial"/>
        </w:rPr>
        <w:t xml:space="preserve">the lowest </w:t>
      </w:r>
      <w:r w:rsidR="00AF086D" w:rsidRPr="005C50E9">
        <w:rPr>
          <w:rFonts w:cs="Arial"/>
        </w:rPr>
        <w:t xml:space="preserve">performing five percent of all schools receiving Title I funds. In addition, any public high school whose graduation rate has fallen below 67 percent for three consecutive years will be automatically </w:t>
      </w:r>
      <w:r w:rsidRPr="005C50E9">
        <w:rPr>
          <w:rFonts w:cs="Arial"/>
        </w:rPr>
        <w:t xml:space="preserve">eligible </w:t>
      </w:r>
      <w:r w:rsidR="00AF086D" w:rsidRPr="005C50E9">
        <w:rPr>
          <w:rFonts w:cs="Arial"/>
        </w:rPr>
        <w:t>for CSI, regardless of its Title I status.</w:t>
      </w:r>
      <w:r w:rsidR="00C75773" w:rsidRPr="005C50E9">
        <w:rPr>
          <w:rFonts w:cs="Arial"/>
        </w:rPr>
        <w:t xml:space="preserve"> (</w:t>
      </w:r>
      <w:r w:rsidR="00E65726" w:rsidRPr="005C50E9">
        <w:rPr>
          <w:rFonts w:cs="Arial"/>
        </w:rPr>
        <w:t>Note: Due to business rule changes to calculating the four-year graduation rate, schools were identified for CSI in 2018 using an average of two years of data, as detailed in Attachment 1.)</w:t>
      </w:r>
    </w:p>
    <w:p w14:paraId="39A6FF58" w14:textId="77777777" w:rsidR="00F77EB0" w:rsidRPr="005C50E9" w:rsidRDefault="00F77EB0">
      <w:pPr>
        <w:spacing w:after="240"/>
        <w:rPr>
          <w:rFonts w:eastAsiaTheme="minorHAnsi" w:cs="Arial"/>
        </w:rPr>
      </w:pPr>
      <w:r w:rsidRPr="005C50E9">
        <w:rPr>
          <w:rFonts w:cs="Arial"/>
        </w:rPr>
        <w:t xml:space="preserve">ESSA also requires that states </w:t>
      </w:r>
      <w:r w:rsidR="001273B5" w:rsidRPr="005C50E9">
        <w:rPr>
          <w:rFonts w:cs="Arial"/>
        </w:rPr>
        <w:t xml:space="preserve">determine which </w:t>
      </w:r>
      <w:r w:rsidRPr="005C50E9">
        <w:rPr>
          <w:rFonts w:cs="Arial"/>
        </w:rPr>
        <w:t xml:space="preserve">schools </w:t>
      </w:r>
      <w:r w:rsidR="001273B5" w:rsidRPr="005C50E9">
        <w:rPr>
          <w:rFonts w:cs="Arial"/>
        </w:rPr>
        <w:t xml:space="preserve">are eligible </w:t>
      </w:r>
      <w:r w:rsidRPr="005C50E9">
        <w:rPr>
          <w:rFonts w:cs="Arial"/>
        </w:rPr>
        <w:t xml:space="preserve">for Targeted Support and Improvement (TSI), based on student group performance. </w:t>
      </w:r>
      <w:r w:rsidRPr="005C50E9">
        <w:rPr>
          <w:rFonts w:cs="Arial"/>
          <w:color w:val="000000"/>
          <w:lang w:val="en"/>
        </w:rPr>
        <w:t xml:space="preserve">Under California’s ESSA Plan, schools that are not </w:t>
      </w:r>
      <w:r w:rsidR="001273B5" w:rsidRPr="005C50E9">
        <w:rPr>
          <w:rFonts w:cs="Arial"/>
          <w:color w:val="000000"/>
          <w:lang w:val="en"/>
        </w:rPr>
        <w:t xml:space="preserve">eligible </w:t>
      </w:r>
      <w:r w:rsidRPr="005C50E9">
        <w:rPr>
          <w:rFonts w:cs="Arial"/>
          <w:color w:val="000000"/>
          <w:lang w:val="en"/>
        </w:rPr>
        <w:t xml:space="preserve">for CSI will be </w:t>
      </w:r>
      <w:r w:rsidR="001273B5" w:rsidRPr="005C50E9">
        <w:rPr>
          <w:rFonts w:cs="Arial"/>
          <w:color w:val="000000"/>
          <w:lang w:val="en"/>
        </w:rPr>
        <w:t>eligible</w:t>
      </w:r>
      <w:r w:rsidRPr="005C50E9">
        <w:rPr>
          <w:rFonts w:cs="Arial"/>
          <w:color w:val="000000"/>
          <w:lang w:val="en"/>
        </w:rPr>
        <w:t xml:space="preserve"> for TSI regardless of their Title I funding status if they have one or more student groups(s) that, for two consecutive </w:t>
      </w:r>
      <w:r w:rsidRPr="005C50E9">
        <w:rPr>
          <w:rFonts w:cs="Arial"/>
          <w:lang w:val="en"/>
        </w:rPr>
        <w:t xml:space="preserve">years, meet the criteria applied to identify </w:t>
      </w:r>
      <w:r w:rsidR="00EF48DF" w:rsidRPr="005C50E9">
        <w:rPr>
          <w:rFonts w:eastAsiaTheme="minorHAnsi" w:cs="Arial"/>
        </w:rPr>
        <w:t xml:space="preserve">the lowest </w:t>
      </w:r>
      <w:r w:rsidRPr="005C50E9">
        <w:rPr>
          <w:rFonts w:eastAsiaTheme="minorHAnsi" w:cs="Arial"/>
        </w:rPr>
        <w:t>performing f</w:t>
      </w:r>
      <w:r w:rsidR="00FF550B" w:rsidRPr="005C50E9">
        <w:rPr>
          <w:rFonts w:eastAsiaTheme="minorHAnsi" w:cs="Arial"/>
        </w:rPr>
        <w:t>ive percent of Title I schools.</w:t>
      </w:r>
      <w:r w:rsidR="00C8479D" w:rsidRPr="005C50E9">
        <w:rPr>
          <w:rFonts w:eastAsiaTheme="minorHAnsi" w:cs="Arial"/>
        </w:rPr>
        <w:t xml:space="preserve"> Normally, TSI eligibility will be determined annually.</w:t>
      </w:r>
    </w:p>
    <w:p w14:paraId="569E9A26" w14:textId="77777777" w:rsidR="00EB5CBB" w:rsidRPr="005C50E9" w:rsidRDefault="00F77EB0">
      <w:pPr>
        <w:spacing w:after="240"/>
        <w:rPr>
          <w:rFonts w:eastAsiaTheme="minorHAnsi" w:cs="Arial"/>
          <w:color w:val="000000"/>
        </w:rPr>
      </w:pPr>
      <w:r w:rsidRPr="005C50E9">
        <w:rPr>
          <w:rFonts w:eastAsiaTheme="minorHAnsi" w:cs="Arial"/>
          <w:color w:val="000000"/>
        </w:rPr>
        <w:t>School identification for Additional Targeted Support and Improvement (A</w:t>
      </w:r>
      <w:r w:rsidR="00EF48DF" w:rsidRPr="005C50E9">
        <w:rPr>
          <w:rFonts w:eastAsiaTheme="minorHAnsi" w:cs="Arial"/>
          <w:color w:val="000000"/>
        </w:rPr>
        <w:t>TSI) occurs on a three-</w:t>
      </w:r>
      <w:r w:rsidRPr="005C50E9">
        <w:rPr>
          <w:rFonts w:eastAsiaTheme="minorHAnsi" w:cs="Arial"/>
          <w:color w:val="000000"/>
        </w:rPr>
        <w:t xml:space="preserve">year cycle. </w:t>
      </w:r>
      <w:r w:rsidR="002D351A" w:rsidRPr="005C50E9">
        <w:rPr>
          <w:rFonts w:eastAsiaTheme="minorHAnsi" w:cs="Arial"/>
          <w:color w:val="000000"/>
        </w:rPr>
        <w:t xml:space="preserve">The criteria used to identify schools for TSI and ATSI are </w:t>
      </w:r>
      <w:r w:rsidR="00570C01" w:rsidRPr="005C50E9">
        <w:rPr>
          <w:rFonts w:eastAsiaTheme="minorHAnsi" w:cs="Arial"/>
          <w:color w:val="000000"/>
        </w:rPr>
        <w:t xml:space="preserve">essentially </w:t>
      </w:r>
      <w:r w:rsidR="002D351A" w:rsidRPr="005C50E9">
        <w:rPr>
          <w:rFonts w:eastAsiaTheme="minorHAnsi" w:cs="Arial"/>
          <w:color w:val="000000"/>
        </w:rPr>
        <w:t xml:space="preserve">identical. Since </w:t>
      </w:r>
      <w:r w:rsidRPr="005C50E9">
        <w:rPr>
          <w:rFonts w:eastAsiaTheme="minorHAnsi" w:cs="Arial"/>
          <w:color w:val="000000"/>
        </w:rPr>
        <w:t xml:space="preserve">California’s ESSA </w:t>
      </w:r>
      <w:r w:rsidR="00570C01" w:rsidRPr="005C50E9">
        <w:rPr>
          <w:rFonts w:eastAsiaTheme="minorHAnsi" w:cs="Arial"/>
          <w:color w:val="000000"/>
        </w:rPr>
        <w:t xml:space="preserve">State </w:t>
      </w:r>
      <w:r w:rsidRPr="005C50E9">
        <w:rPr>
          <w:rFonts w:eastAsiaTheme="minorHAnsi" w:cs="Arial"/>
          <w:color w:val="000000"/>
        </w:rPr>
        <w:t xml:space="preserve">Plan also states that schools will be identified </w:t>
      </w:r>
      <w:proofErr w:type="gramStart"/>
      <w:r w:rsidRPr="005C50E9">
        <w:rPr>
          <w:rFonts w:eastAsiaTheme="minorHAnsi" w:cs="Arial"/>
          <w:color w:val="000000"/>
        </w:rPr>
        <w:t>for</w:t>
      </w:r>
      <w:proofErr w:type="gramEnd"/>
      <w:r w:rsidRPr="005C50E9">
        <w:rPr>
          <w:rFonts w:eastAsiaTheme="minorHAnsi" w:cs="Arial"/>
          <w:color w:val="000000"/>
        </w:rPr>
        <w:t xml:space="preserve"> </w:t>
      </w:r>
      <w:r w:rsidR="002D351A" w:rsidRPr="005C50E9">
        <w:rPr>
          <w:rFonts w:eastAsiaTheme="minorHAnsi" w:cs="Arial"/>
          <w:color w:val="000000"/>
        </w:rPr>
        <w:t>ATSI</w:t>
      </w:r>
      <w:r w:rsidRPr="005C50E9">
        <w:rPr>
          <w:rFonts w:eastAsiaTheme="minorHAnsi" w:cs="Arial"/>
          <w:color w:val="000000"/>
        </w:rPr>
        <w:t xml:space="preserve"> in the 2018–19 school year</w:t>
      </w:r>
      <w:r w:rsidR="002D351A" w:rsidRPr="005C50E9">
        <w:rPr>
          <w:rFonts w:eastAsiaTheme="minorHAnsi" w:cs="Arial"/>
          <w:color w:val="000000"/>
        </w:rPr>
        <w:t>,</w:t>
      </w:r>
      <w:r w:rsidRPr="005C50E9">
        <w:rPr>
          <w:rFonts w:eastAsiaTheme="minorHAnsi" w:cs="Arial"/>
          <w:b/>
          <w:color w:val="000000"/>
        </w:rPr>
        <w:t xml:space="preserve"> </w:t>
      </w:r>
      <w:r w:rsidRPr="005C50E9">
        <w:rPr>
          <w:rFonts w:eastAsiaTheme="minorHAnsi" w:cs="Arial"/>
          <w:color w:val="000000"/>
        </w:rPr>
        <w:t xml:space="preserve">all schools that met the criteria for TSI </w:t>
      </w:r>
      <w:r w:rsidR="00D62F71" w:rsidRPr="005C50E9">
        <w:rPr>
          <w:rFonts w:eastAsiaTheme="minorHAnsi" w:cs="Arial"/>
          <w:color w:val="000000"/>
        </w:rPr>
        <w:t xml:space="preserve">in 2018 have been </w:t>
      </w:r>
      <w:r w:rsidRPr="005C50E9">
        <w:rPr>
          <w:rFonts w:eastAsiaTheme="minorHAnsi" w:cs="Arial"/>
          <w:color w:val="000000"/>
        </w:rPr>
        <w:t xml:space="preserve">moved into the ATSI category. </w:t>
      </w:r>
    </w:p>
    <w:p w14:paraId="1D8C9313" w14:textId="106AB74A" w:rsidR="00EB5CBB" w:rsidRPr="005C50E9" w:rsidRDefault="00EB5CBB">
      <w:pPr>
        <w:spacing w:after="240"/>
        <w:rPr>
          <w:rFonts w:eastAsiaTheme="minorHAnsi" w:cs="Arial"/>
          <w:color w:val="000000"/>
        </w:rPr>
      </w:pPr>
      <w:r w:rsidRPr="005C50E9">
        <w:rPr>
          <w:rFonts w:eastAsiaTheme="minorHAnsi" w:cs="Arial"/>
          <w:b/>
          <w:color w:val="000000"/>
        </w:rPr>
        <w:t xml:space="preserve">A school can only be </w:t>
      </w:r>
      <w:r w:rsidR="001273B5" w:rsidRPr="005C50E9">
        <w:rPr>
          <w:rFonts w:eastAsiaTheme="minorHAnsi" w:cs="Arial"/>
          <w:b/>
          <w:color w:val="000000"/>
        </w:rPr>
        <w:t xml:space="preserve">eligible </w:t>
      </w:r>
      <w:r w:rsidRPr="005C50E9">
        <w:rPr>
          <w:rFonts w:eastAsiaTheme="minorHAnsi" w:cs="Arial"/>
          <w:b/>
          <w:color w:val="000000"/>
        </w:rPr>
        <w:t xml:space="preserve">for one category of assistance. In other words, a school cannot be </w:t>
      </w:r>
      <w:r w:rsidR="001273B5" w:rsidRPr="005C50E9">
        <w:rPr>
          <w:rFonts w:eastAsiaTheme="minorHAnsi" w:cs="Arial"/>
          <w:b/>
          <w:color w:val="000000"/>
        </w:rPr>
        <w:t>eligible</w:t>
      </w:r>
      <w:r w:rsidRPr="005C50E9">
        <w:rPr>
          <w:rFonts w:eastAsiaTheme="minorHAnsi" w:cs="Arial"/>
          <w:b/>
          <w:color w:val="000000"/>
        </w:rPr>
        <w:t xml:space="preserve"> for CSI and </w:t>
      </w:r>
      <w:r w:rsidR="00805405" w:rsidRPr="005C50E9">
        <w:rPr>
          <w:rFonts w:eastAsiaTheme="minorHAnsi" w:cs="Arial"/>
          <w:b/>
          <w:color w:val="000000"/>
        </w:rPr>
        <w:t xml:space="preserve">TSI (or </w:t>
      </w:r>
      <w:r w:rsidRPr="005C50E9">
        <w:rPr>
          <w:rFonts w:eastAsiaTheme="minorHAnsi" w:cs="Arial"/>
          <w:b/>
          <w:color w:val="000000"/>
        </w:rPr>
        <w:t>ATSI</w:t>
      </w:r>
      <w:r w:rsidR="00805405" w:rsidRPr="005C50E9">
        <w:rPr>
          <w:rFonts w:eastAsiaTheme="minorHAnsi" w:cs="Arial"/>
          <w:b/>
          <w:color w:val="000000"/>
        </w:rPr>
        <w:t>)</w:t>
      </w:r>
      <w:r w:rsidRPr="005C50E9">
        <w:rPr>
          <w:rFonts w:eastAsiaTheme="minorHAnsi" w:cs="Arial"/>
          <w:b/>
          <w:color w:val="000000"/>
        </w:rPr>
        <w:t xml:space="preserve"> at the same time</w:t>
      </w:r>
      <w:r w:rsidRPr="005C50E9">
        <w:rPr>
          <w:rFonts w:eastAsiaTheme="minorHAnsi" w:cs="Arial"/>
          <w:color w:val="000000"/>
        </w:rPr>
        <w:t xml:space="preserve">. </w:t>
      </w:r>
      <w:r w:rsidR="007153E9" w:rsidRPr="005C50E9">
        <w:rPr>
          <w:rFonts w:eastAsiaTheme="minorHAnsi" w:cs="Arial"/>
          <w:color w:val="000000"/>
        </w:rPr>
        <w:t>In addition, schools in all three categories have the opportunity</w:t>
      </w:r>
      <w:r w:rsidR="00570C01" w:rsidRPr="005C50E9">
        <w:rPr>
          <w:rFonts w:eastAsiaTheme="minorHAnsi" w:cs="Arial"/>
          <w:color w:val="000000"/>
        </w:rPr>
        <w:t xml:space="preserve"> each year after their initial identification</w:t>
      </w:r>
      <w:r w:rsidR="007153E9" w:rsidRPr="005C50E9">
        <w:rPr>
          <w:rFonts w:eastAsiaTheme="minorHAnsi" w:cs="Arial"/>
          <w:color w:val="000000"/>
        </w:rPr>
        <w:t xml:space="preserve"> to exit support and improvement</w:t>
      </w:r>
      <w:r w:rsidR="00570C01" w:rsidRPr="005C50E9">
        <w:rPr>
          <w:rFonts w:eastAsiaTheme="minorHAnsi" w:cs="Arial"/>
          <w:color w:val="000000"/>
        </w:rPr>
        <w:t xml:space="preserve"> by meeting the exit criteria included in the ESSA State Plan</w:t>
      </w:r>
      <w:r w:rsidR="0030550F" w:rsidRPr="005C50E9">
        <w:rPr>
          <w:rFonts w:eastAsiaTheme="minorHAnsi" w:cs="Arial"/>
          <w:color w:val="000000"/>
        </w:rPr>
        <w:t>.</w:t>
      </w:r>
      <w:r w:rsidR="00570C01" w:rsidRPr="005C50E9">
        <w:rPr>
          <w:rFonts w:eastAsiaTheme="minorHAnsi" w:cs="Arial"/>
          <w:color w:val="000000"/>
        </w:rPr>
        <w:t xml:space="preserve"> </w:t>
      </w:r>
    </w:p>
    <w:p w14:paraId="34F30FA1" w14:textId="690646C8" w:rsidR="005032BA" w:rsidRPr="005C50E9" w:rsidRDefault="00EB5CBB">
      <w:pPr>
        <w:spacing w:after="240"/>
        <w:rPr>
          <w:rFonts w:cs="Arial"/>
          <w:color w:val="000000"/>
          <w:lang w:val="en"/>
        </w:rPr>
      </w:pPr>
      <w:r w:rsidRPr="005C50E9">
        <w:rPr>
          <w:rFonts w:cs="Arial"/>
          <w:color w:val="000000"/>
          <w:lang w:val="en"/>
        </w:rPr>
        <w:lastRenderedPageBreak/>
        <w:t xml:space="preserve">Table </w:t>
      </w:r>
      <w:r w:rsidR="00FE51B8" w:rsidRPr="005C50E9">
        <w:rPr>
          <w:rFonts w:cs="Arial"/>
          <w:color w:val="000000"/>
          <w:lang w:val="en"/>
        </w:rPr>
        <w:t>1</w:t>
      </w:r>
      <w:r w:rsidRPr="005C50E9">
        <w:rPr>
          <w:rFonts w:cs="Arial"/>
          <w:color w:val="000000"/>
          <w:lang w:val="en"/>
        </w:rPr>
        <w:t xml:space="preserve"> </w:t>
      </w:r>
      <w:r w:rsidR="00805405" w:rsidRPr="005C50E9">
        <w:rPr>
          <w:rFonts w:cs="Arial"/>
          <w:color w:val="000000"/>
          <w:lang w:val="en"/>
        </w:rPr>
        <w:t xml:space="preserve">provides a breakdown of schools </w:t>
      </w:r>
      <w:r w:rsidR="001273B5" w:rsidRPr="005C50E9">
        <w:rPr>
          <w:rFonts w:cs="Arial"/>
          <w:color w:val="000000"/>
          <w:lang w:val="en"/>
        </w:rPr>
        <w:t xml:space="preserve">eligible </w:t>
      </w:r>
      <w:r w:rsidR="00805405" w:rsidRPr="005C50E9">
        <w:rPr>
          <w:rFonts w:cs="Arial"/>
          <w:color w:val="000000"/>
          <w:lang w:val="en"/>
        </w:rPr>
        <w:t>for CSI (based on graduation rate only and on color combinations for state indicators)</w:t>
      </w:r>
      <w:r w:rsidR="00570C01" w:rsidRPr="005C50E9">
        <w:rPr>
          <w:rFonts w:cs="Arial"/>
          <w:color w:val="000000"/>
          <w:lang w:val="en"/>
        </w:rPr>
        <w:t>,</w:t>
      </w:r>
      <w:r w:rsidR="00805405" w:rsidRPr="005C50E9">
        <w:rPr>
          <w:rFonts w:cs="Arial"/>
          <w:color w:val="000000"/>
          <w:lang w:val="en"/>
        </w:rPr>
        <w:t xml:space="preserve"> </w:t>
      </w:r>
      <w:r w:rsidRPr="005C50E9">
        <w:rPr>
          <w:rFonts w:cs="Arial"/>
          <w:color w:val="000000"/>
          <w:lang w:val="en"/>
        </w:rPr>
        <w:t>ATSI</w:t>
      </w:r>
      <w:r w:rsidR="00805405" w:rsidRPr="005C50E9">
        <w:rPr>
          <w:rFonts w:cs="Arial"/>
          <w:color w:val="000000"/>
          <w:lang w:val="en"/>
        </w:rPr>
        <w:t xml:space="preserve">, and general assistance. </w:t>
      </w:r>
    </w:p>
    <w:p w14:paraId="6BAB5127" w14:textId="77777777" w:rsidR="00EB5CBB" w:rsidRPr="005C50E9" w:rsidRDefault="00EB5CBB">
      <w:pPr>
        <w:spacing w:after="240"/>
        <w:rPr>
          <w:rFonts w:cs="Arial"/>
          <w:color w:val="000000"/>
          <w:lang w:val="en"/>
        </w:rPr>
      </w:pPr>
      <w:r w:rsidRPr="005C50E9">
        <w:rPr>
          <w:rFonts w:cs="Arial"/>
          <w:color w:val="000000"/>
          <w:lang w:val="en"/>
        </w:rPr>
        <w:t xml:space="preserve">(Please note that those schools not </w:t>
      </w:r>
      <w:r w:rsidR="001273B5" w:rsidRPr="005C50E9">
        <w:rPr>
          <w:rFonts w:cs="Arial"/>
          <w:color w:val="000000"/>
          <w:lang w:val="en"/>
        </w:rPr>
        <w:t xml:space="preserve">eligible </w:t>
      </w:r>
      <w:r w:rsidRPr="005C50E9">
        <w:rPr>
          <w:rFonts w:cs="Arial"/>
          <w:color w:val="000000"/>
          <w:lang w:val="en"/>
        </w:rPr>
        <w:t xml:space="preserve">for CSI or ATSI are eligible for general assistance, as shown in the table.) </w:t>
      </w:r>
    </w:p>
    <w:p w14:paraId="265531D1" w14:textId="77777777" w:rsidR="007153E9" w:rsidRPr="005C50E9" w:rsidRDefault="007153E9">
      <w:pPr>
        <w:autoSpaceDE w:val="0"/>
        <w:autoSpaceDN w:val="0"/>
        <w:rPr>
          <w:rFonts w:cs="Arial"/>
          <w:b/>
        </w:rPr>
      </w:pPr>
      <w:r w:rsidRPr="005C50E9">
        <w:rPr>
          <w:rFonts w:cs="Arial"/>
          <w:b/>
        </w:rPr>
        <w:t xml:space="preserve">Table 1: Summary Results of Schools </w:t>
      </w:r>
      <w:r w:rsidR="001273B5" w:rsidRPr="005C50E9">
        <w:rPr>
          <w:rFonts w:cs="Arial"/>
          <w:b/>
        </w:rPr>
        <w:t xml:space="preserve">Eligible </w:t>
      </w:r>
      <w:r w:rsidRPr="005C50E9">
        <w:rPr>
          <w:rFonts w:cs="Arial"/>
          <w:b/>
        </w:rPr>
        <w:t>for CSI, ATSI, and General</w:t>
      </w:r>
    </w:p>
    <w:p w14:paraId="2D64E117" w14:textId="77777777" w:rsidR="00EB5CBB" w:rsidRPr="005C50E9" w:rsidRDefault="007153E9" w:rsidP="0071775B">
      <w:pPr>
        <w:autoSpaceDE w:val="0"/>
        <w:autoSpaceDN w:val="0"/>
        <w:spacing w:after="240"/>
        <w:rPr>
          <w:rFonts w:cs="Arial"/>
        </w:rPr>
      </w:pPr>
      <w:r w:rsidRPr="005C50E9">
        <w:rPr>
          <w:rFonts w:cs="Arial"/>
          <w:b/>
        </w:rPr>
        <w:t>Assistance</w:t>
      </w:r>
    </w:p>
    <w:tbl>
      <w:tblPr>
        <w:tblStyle w:val="TableGrid"/>
        <w:tblW w:w="5000" w:type="pct"/>
        <w:tblLook w:val="04A0" w:firstRow="1" w:lastRow="0" w:firstColumn="1" w:lastColumn="0" w:noHBand="0" w:noVBand="1"/>
        <w:tblDescription w:val="Table 1: Summary Results of Schools Eligible for CSI, ATSI, and General&#10;Assistance"/>
      </w:tblPr>
      <w:tblGrid>
        <w:gridCol w:w="4151"/>
        <w:gridCol w:w="2306"/>
        <w:gridCol w:w="2076"/>
        <w:gridCol w:w="817"/>
      </w:tblGrid>
      <w:tr w:rsidR="002A5757" w:rsidRPr="005C50E9" w14:paraId="05839C07" w14:textId="77777777" w:rsidTr="0071775B">
        <w:trPr>
          <w:tblHeader/>
        </w:trPr>
        <w:tc>
          <w:tcPr>
            <w:tcW w:w="2220" w:type="pct"/>
            <w:shd w:val="clear" w:color="auto" w:fill="D9D9D9" w:themeFill="background1" w:themeFillShade="D9"/>
            <w:vAlign w:val="center"/>
          </w:tcPr>
          <w:p w14:paraId="121BF1BF" w14:textId="77777777" w:rsidR="002A5757" w:rsidRPr="005C50E9" w:rsidRDefault="002A5757">
            <w:pPr>
              <w:jc w:val="center"/>
              <w:rPr>
                <w:rFonts w:cs="Arial"/>
                <w:b/>
              </w:rPr>
            </w:pPr>
            <w:r w:rsidRPr="005C50E9">
              <w:rPr>
                <w:rFonts w:cs="Arial"/>
                <w:b/>
              </w:rPr>
              <w:t>Identification Status</w:t>
            </w:r>
          </w:p>
        </w:tc>
        <w:tc>
          <w:tcPr>
            <w:tcW w:w="1233" w:type="pct"/>
            <w:shd w:val="clear" w:color="auto" w:fill="D9D9D9" w:themeFill="background1" w:themeFillShade="D9"/>
            <w:vAlign w:val="center"/>
          </w:tcPr>
          <w:p w14:paraId="5515DD50" w14:textId="77777777" w:rsidR="002A5757" w:rsidRPr="005C50E9" w:rsidRDefault="002A5757">
            <w:pPr>
              <w:jc w:val="center"/>
              <w:rPr>
                <w:rFonts w:cs="Arial"/>
                <w:b/>
              </w:rPr>
            </w:pPr>
            <w:r w:rsidRPr="005C50E9">
              <w:rPr>
                <w:rFonts w:cs="Arial"/>
                <w:b/>
              </w:rPr>
              <w:t>Number of Non-Charter Schools</w:t>
            </w:r>
          </w:p>
        </w:tc>
        <w:tc>
          <w:tcPr>
            <w:tcW w:w="1110" w:type="pct"/>
            <w:shd w:val="clear" w:color="auto" w:fill="D9D9D9" w:themeFill="background1" w:themeFillShade="D9"/>
            <w:vAlign w:val="center"/>
          </w:tcPr>
          <w:p w14:paraId="42D8375B" w14:textId="77777777" w:rsidR="002A5757" w:rsidRPr="005C50E9" w:rsidRDefault="002A5757">
            <w:pPr>
              <w:jc w:val="center"/>
              <w:rPr>
                <w:rFonts w:cs="Arial"/>
                <w:b/>
              </w:rPr>
            </w:pPr>
            <w:r w:rsidRPr="005C50E9">
              <w:rPr>
                <w:rFonts w:cs="Arial"/>
                <w:b/>
              </w:rPr>
              <w:t>Number of Charter Schools</w:t>
            </w:r>
          </w:p>
        </w:tc>
        <w:tc>
          <w:tcPr>
            <w:tcW w:w="437" w:type="pct"/>
            <w:shd w:val="clear" w:color="auto" w:fill="D9D9D9" w:themeFill="background1" w:themeFillShade="D9"/>
            <w:vAlign w:val="center"/>
          </w:tcPr>
          <w:p w14:paraId="7BD06A1C" w14:textId="77777777" w:rsidR="002A5757" w:rsidRPr="005C50E9" w:rsidRDefault="002A5757">
            <w:pPr>
              <w:jc w:val="center"/>
              <w:rPr>
                <w:rFonts w:cs="Arial"/>
                <w:b/>
              </w:rPr>
            </w:pPr>
            <w:r w:rsidRPr="005C50E9">
              <w:rPr>
                <w:rFonts w:cs="Arial"/>
                <w:b/>
              </w:rPr>
              <w:t>Total</w:t>
            </w:r>
          </w:p>
        </w:tc>
      </w:tr>
      <w:tr w:rsidR="00607835" w:rsidRPr="005C50E9" w14:paraId="4D6F3006" w14:textId="77777777" w:rsidTr="0071775B">
        <w:tc>
          <w:tcPr>
            <w:tcW w:w="2220" w:type="pct"/>
            <w:vAlign w:val="center"/>
          </w:tcPr>
          <w:p w14:paraId="250562BB" w14:textId="77777777" w:rsidR="002A5757" w:rsidRPr="005C50E9" w:rsidRDefault="002A5757">
            <w:pPr>
              <w:rPr>
                <w:rFonts w:cs="Arial"/>
              </w:rPr>
            </w:pPr>
            <w:r w:rsidRPr="005C50E9">
              <w:rPr>
                <w:rFonts w:cs="Arial"/>
                <w:b/>
              </w:rPr>
              <w:t>CSI</w:t>
            </w:r>
            <w:r w:rsidRPr="005C50E9">
              <w:rPr>
                <w:rFonts w:cs="Arial"/>
              </w:rPr>
              <w:t xml:space="preserve"> (Based on Graduation Rate Only; Title I and non-Title I Schools)</w:t>
            </w:r>
          </w:p>
        </w:tc>
        <w:tc>
          <w:tcPr>
            <w:tcW w:w="1233" w:type="pct"/>
            <w:vAlign w:val="center"/>
          </w:tcPr>
          <w:p w14:paraId="5AA95D86" w14:textId="77777777" w:rsidR="002A5757" w:rsidRPr="005C50E9" w:rsidRDefault="002A5757">
            <w:pPr>
              <w:jc w:val="center"/>
              <w:rPr>
                <w:rFonts w:cs="Arial"/>
              </w:rPr>
            </w:pPr>
            <w:r w:rsidRPr="005C50E9">
              <w:rPr>
                <w:rFonts w:cs="Arial"/>
              </w:rPr>
              <w:t>206</w:t>
            </w:r>
          </w:p>
        </w:tc>
        <w:tc>
          <w:tcPr>
            <w:tcW w:w="1110" w:type="pct"/>
            <w:vAlign w:val="center"/>
          </w:tcPr>
          <w:p w14:paraId="2E75C35C" w14:textId="77777777" w:rsidR="002A5757" w:rsidRPr="005C50E9" w:rsidRDefault="002A5757">
            <w:pPr>
              <w:jc w:val="center"/>
              <w:rPr>
                <w:rFonts w:cs="Arial"/>
              </w:rPr>
            </w:pPr>
            <w:r w:rsidRPr="005C50E9">
              <w:rPr>
                <w:rFonts w:cs="Arial"/>
              </w:rPr>
              <w:t>94</w:t>
            </w:r>
          </w:p>
        </w:tc>
        <w:tc>
          <w:tcPr>
            <w:tcW w:w="437" w:type="pct"/>
            <w:vAlign w:val="center"/>
          </w:tcPr>
          <w:p w14:paraId="76D4668D" w14:textId="77777777" w:rsidR="002A5757" w:rsidRPr="005C50E9" w:rsidRDefault="002A5757">
            <w:pPr>
              <w:jc w:val="center"/>
              <w:rPr>
                <w:rFonts w:cs="Arial"/>
              </w:rPr>
            </w:pPr>
            <w:r w:rsidRPr="005C50E9">
              <w:rPr>
                <w:rFonts w:cs="Arial"/>
              </w:rPr>
              <w:t>300</w:t>
            </w:r>
          </w:p>
        </w:tc>
      </w:tr>
      <w:tr w:rsidR="00607835" w:rsidRPr="005C50E9" w14:paraId="6707D789" w14:textId="77777777" w:rsidTr="0071775B">
        <w:tc>
          <w:tcPr>
            <w:tcW w:w="2220" w:type="pct"/>
            <w:vAlign w:val="center"/>
          </w:tcPr>
          <w:p w14:paraId="3D92394F" w14:textId="77777777" w:rsidR="002A5757" w:rsidRPr="005C50E9" w:rsidRDefault="002A5757">
            <w:pPr>
              <w:rPr>
                <w:rFonts w:cs="Arial"/>
              </w:rPr>
            </w:pPr>
            <w:r w:rsidRPr="005C50E9">
              <w:rPr>
                <w:rFonts w:cs="Arial"/>
                <w:b/>
              </w:rPr>
              <w:t>CSI</w:t>
            </w:r>
            <w:r w:rsidRPr="005C50E9">
              <w:rPr>
                <w:rFonts w:cs="Arial"/>
              </w:rPr>
              <w:t xml:space="preserve"> (Based on State Indicator Results; Title I Schools Only)</w:t>
            </w:r>
          </w:p>
        </w:tc>
        <w:tc>
          <w:tcPr>
            <w:tcW w:w="1233" w:type="pct"/>
            <w:vAlign w:val="center"/>
          </w:tcPr>
          <w:p w14:paraId="2DAD7174" w14:textId="77777777" w:rsidR="002A5757" w:rsidRPr="005C50E9" w:rsidRDefault="002A5757">
            <w:pPr>
              <w:jc w:val="center"/>
              <w:rPr>
                <w:rFonts w:cs="Arial"/>
              </w:rPr>
            </w:pPr>
            <w:r w:rsidRPr="005C50E9">
              <w:rPr>
                <w:rFonts w:cs="Arial"/>
              </w:rPr>
              <w:t>447</w:t>
            </w:r>
          </w:p>
        </w:tc>
        <w:tc>
          <w:tcPr>
            <w:tcW w:w="1110" w:type="pct"/>
            <w:vAlign w:val="center"/>
          </w:tcPr>
          <w:p w14:paraId="71E63C3D" w14:textId="77777777" w:rsidR="002A5757" w:rsidRPr="005C50E9" w:rsidRDefault="002A5757">
            <w:pPr>
              <w:jc w:val="center"/>
              <w:rPr>
                <w:rFonts w:cs="Arial"/>
              </w:rPr>
            </w:pPr>
            <w:r w:rsidRPr="005C50E9">
              <w:rPr>
                <w:rFonts w:cs="Arial"/>
              </w:rPr>
              <w:t>34</w:t>
            </w:r>
          </w:p>
        </w:tc>
        <w:tc>
          <w:tcPr>
            <w:tcW w:w="437" w:type="pct"/>
            <w:vAlign w:val="center"/>
          </w:tcPr>
          <w:p w14:paraId="28A1ECD8" w14:textId="77777777" w:rsidR="002A5757" w:rsidRPr="005C50E9" w:rsidRDefault="002A5757">
            <w:pPr>
              <w:jc w:val="center"/>
              <w:rPr>
                <w:rFonts w:cs="Arial"/>
              </w:rPr>
            </w:pPr>
            <w:r w:rsidRPr="005C50E9">
              <w:rPr>
                <w:rFonts w:cs="Arial"/>
              </w:rPr>
              <w:t>481</w:t>
            </w:r>
          </w:p>
        </w:tc>
      </w:tr>
      <w:tr w:rsidR="00607835" w:rsidRPr="005C50E9" w14:paraId="1A70E113" w14:textId="77777777" w:rsidTr="0071775B">
        <w:tc>
          <w:tcPr>
            <w:tcW w:w="2220" w:type="pct"/>
            <w:vAlign w:val="center"/>
          </w:tcPr>
          <w:p w14:paraId="32E47E09" w14:textId="77777777" w:rsidR="002A5757" w:rsidRPr="005C50E9" w:rsidRDefault="002A5757">
            <w:pPr>
              <w:rPr>
                <w:rFonts w:cs="Arial"/>
              </w:rPr>
            </w:pPr>
            <w:r w:rsidRPr="005C50E9">
              <w:rPr>
                <w:rFonts w:cs="Arial"/>
                <w:b/>
              </w:rPr>
              <w:t>ATSI</w:t>
            </w:r>
            <w:r w:rsidRPr="005C50E9">
              <w:rPr>
                <w:rFonts w:cs="Arial"/>
              </w:rPr>
              <w:t xml:space="preserve"> (Title I and non-Title I Schools)</w:t>
            </w:r>
          </w:p>
        </w:tc>
        <w:tc>
          <w:tcPr>
            <w:tcW w:w="1233" w:type="pct"/>
            <w:vAlign w:val="center"/>
          </w:tcPr>
          <w:p w14:paraId="02C3DBE4" w14:textId="77777777" w:rsidR="002A5757" w:rsidRPr="005C50E9" w:rsidRDefault="002A5757">
            <w:pPr>
              <w:jc w:val="center"/>
              <w:rPr>
                <w:rFonts w:cs="Arial"/>
              </w:rPr>
            </w:pPr>
            <w:r w:rsidRPr="005C50E9">
              <w:rPr>
                <w:rFonts w:cs="Arial"/>
              </w:rPr>
              <w:t>818</w:t>
            </w:r>
          </w:p>
        </w:tc>
        <w:tc>
          <w:tcPr>
            <w:tcW w:w="1110" w:type="pct"/>
            <w:vAlign w:val="center"/>
          </w:tcPr>
          <w:p w14:paraId="2ED76B48" w14:textId="77777777" w:rsidR="002A5757" w:rsidRPr="005C50E9" w:rsidRDefault="002A5757">
            <w:pPr>
              <w:jc w:val="center"/>
              <w:rPr>
                <w:rFonts w:cs="Arial"/>
              </w:rPr>
            </w:pPr>
            <w:r w:rsidRPr="005C50E9">
              <w:rPr>
                <w:rFonts w:cs="Arial"/>
              </w:rPr>
              <w:t>41</w:t>
            </w:r>
          </w:p>
        </w:tc>
        <w:tc>
          <w:tcPr>
            <w:tcW w:w="437" w:type="pct"/>
            <w:vAlign w:val="center"/>
          </w:tcPr>
          <w:p w14:paraId="193B7E81" w14:textId="77777777" w:rsidR="002A5757" w:rsidRPr="005C50E9" w:rsidRDefault="002A5757">
            <w:pPr>
              <w:jc w:val="center"/>
              <w:rPr>
                <w:rFonts w:cs="Arial"/>
              </w:rPr>
            </w:pPr>
            <w:r w:rsidRPr="005C50E9">
              <w:rPr>
                <w:rFonts w:cs="Arial"/>
              </w:rPr>
              <w:t>859</w:t>
            </w:r>
          </w:p>
        </w:tc>
      </w:tr>
      <w:tr w:rsidR="00607835" w:rsidRPr="005C50E9" w14:paraId="2798A00D" w14:textId="77777777" w:rsidTr="0071775B">
        <w:tc>
          <w:tcPr>
            <w:tcW w:w="2220" w:type="pct"/>
            <w:vAlign w:val="center"/>
          </w:tcPr>
          <w:p w14:paraId="777750F1" w14:textId="77777777" w:rsidR="002A5757" w:rsidRPr="005C50E9" w:rsidRDefault="002A5757">
            <w:pPr>
              <w:rPr>
                <w:rFonts w:cs="Arial"/>
              </w:rPr>
            </w:pPr>
            <w:r w:rsidRPr="005C50E9">
              <w:rPr>
                <w:rFonts w:cs="Arial"/>
                <w:b/>
              </w:rPr>
              <w:t>General Assistance</w:t>
            </w:r>
            <w:r w:rsidRPr="005C50E9">
              <w:rPr>
                <w:rFonts w:cs="Arial"/>
              </w:rPr>
              <w:t xml:space="preserve"> (Title I and non-Title I Schools)</w:t>
            </w:r>
          </w:p>
        </w:tc>
        <w:tc>
          <w:tcPr>
            <w:tcW w:w="1233" w:type="pct"/>
            <w:vAlign w:val="center"/>
          </w:tcPr>
          <w:p w14:paraId="376932D9" w14:textId="77777777" w:rsidR="002A5757" w:rsidRPr="005C50E9" w:rsidRDefault="002A5757">
            <w:pPr>
              <w:jc w:val="center"/>
              <w:rPr>
                <w:rFonts w:cs="Arial"/>
              </w:rPr>
            </w:pPr>
            <w:r w:rsidRPr="005C50E9">
              <w:rPr>
                <w:rFonts w:cs="Arial"/>
              </w:rPr>
              <w:t>7,230</w:t>
            </w:r>
          </w:p>
        </w:tc>
        <w:tc>
          <w:tcPr>
            <w:tcW w:w="1110" w:type="pct"/>
            <w:vAlign w:val="center"/>
          </w:tcPr>
          <w:p w14:paraId="59D08E11" w14:textId="77777777" w:rsidR="002A5757" w:rsidRPr="005C50E9" w:rsidRDefault="002A5757">
            <w:pPr>
              <w:jc w:val="center"/>
              <w:rPr>
                <w:rFonts w:cs="Arial"/>
              </w:rPr>
            </w:pPr>
            <w:r w:rsidRPr="005C50E9">
              <w:rPr>
                <w:rFonts w:cs="Arial"/>
              </w:rPr>
              <w:t>1,040</w:t>
            </w:r>
          </w:p>
        </w:tc>
        <w:tc>
          <w:tcPr>
            <w:tcW w:w="437" w:type="pct"/>
            <w:vAlign w:val="center"/>
          </w:tcPr>
          <w:p w14:paraId="30E6F6D9" w14:textId="77777777" w:rsidR="002A5757" w:rsidRPr="005C50E9" w:rsidRDefault="002A5757">
            <w:pPr>
              <w:jc w:val="center"/>
              <w:rPr>
                <w:rFonts w:cs="Arial"/>
              </w:rPr>
            </w:pPr>
            <w:r w:rsidRPr="005C50E9">
              <w:rPr>
                <w:rFonts w:cs="Arial"/>
              </w:rPr>
              <w:t>8,270</w:t>
            </w:r>
          </w:p>
        </w:tc>
      </w:tr>
      <w:tr w:rsidR="00607835" w:rsidRPr="005C50E9" w14:paraId="10A119FB" w14:textId="77777777" w:rsidTr="0071775B">
        <w:tc>
          <w:tcPr>
            <w:tcW w:w="2220" w:type="pct"/>
            <w:vAlign w:val="center"/>
          </w:tcPr>
          <w:p w14:paraId="2540D590" w14:textId="77777777" w:rsidR="002A5757" w:rsidRPr="005C50E9" w:rsidRDefault="002A5757">
            <w:pPr>
              <w:rPr>
                <w:rFonts w:cs="Arial"/>
                <w:b/>
              </w:rPr>
            </w:pPr>
            <w:r w:rsidRPr="005C50E9">
              <w:rPr>
                <w:rFonts w:cs="Arial"/>
                <w:b/>
              </w:rPr>
              <w:t>Total</w:t>
            </w:r>
          </w:p>
        </w:tc>
        <w:tc>
          <w:tcPr>
            <w:tcW w:w="1233" w:type="pct"/>
            <w:vAlign w:val="center"/>
          </w:tcPr>
          <w:p w14:paraId="434DA9B0" w14:textId="77777777" w:rsidR="002A5757" w:rsidRPr="005C50E9" w:rsidRDefault="002A5757">
            <w:pPr>
              <w:jc w:val="center"/>
              <w:rPr>
                <w:rFonts w:cs="Arial"/>
              </w:rPr>
            </w:pPr>
            <w:r w:rsidRPr="005C50E9">
              <w:rPr>
                <w:rFonts w:cs="Arial"/>
              </w:rPr>
              <w:t>8,701</w:t>
            </w:r>
          </w:p>
        </w:tc>
        <w:tc>
          <w:tcPr>
            <w:tcW w:w="1110" w:type="pct"/>
            <w:vAlign w:val="center"/>
          </w:tcPr>
          <w:p w14:paraId="15739D81" w14:textId="77777777" w:rsidR="002A5757" w:rsidRPr="005C50E9" w:rsidRDefault="002A5757">
            <w:pPr>
              <w:jc w:val="center"/>
              <w:rPr>
                <w:rFonts w:cs="Arial"/>
              </w:rPr>
            </w:pPr>
            <w:r w:rsidRPr="005C50E9">
              <w:rPr>
                <w:rFonts w:cs="Arial"/>
              </w:rPr>
              <w:t>1,209</w:t>
            </w:r>
          </w:p>
        </w:tc>
        <w:tc>
          <w:tcPr>
            <w:tcW w:w="437" w:type="pct"/>
            <w:vAlign w:val="center"/>
          </w:tcPr>
          <w:p w14:paraId="0F6E2C2B" w14:textId="77777777" w:rsidR="002A5757" w:rsidRPr="005C50E9" w:rsidRDefault="002A5757">
            <w:pPr>
              <w:jc w:val="center"/>
              <w:rPr>
                <w:rFonts w:cs="Arial"/>
              </w:rPr>
            </w:pPr>
            <w:r w:rsidRPr="005C50E9">
              <w:rPr>
                <w:rFonts w:cs="Arial"/>
              </w:rPr>
              <w:t>9,910</w:t>
            </w:r>
          </w:p>
        </w:tc>
      </w:tr>
    </w:tbl>
    <w:p w14:paraId="0F6E7A0B" w14:textId="77777777" w:rsidR="00607835" w:rsidRPr="005C50E9" w:rsidRDefault="00BF20EA" w:rsidP="0071775B">
      <w:pPr>
        <w:autoSpaceDE w:val="0"/>
        <w:autoSpaceDN w:val="0"/>
        <w:spacing w:before="240" w:after="240"/>
        <w:rPr>
          <w:rFonts w:cs="Arial"/>
          <w:b/>
        </w:rPr>
      </w:pPr>
      <w:r w:rsidRPr="005C50E9">
        <w:rPr>
          <w:rFonts w:cs="Arial"/>
        </w:rPr>
        <w:t>Table 2 shows the number of</w:t>
      </w:r>
      <w:r w:rsidR="00EF48DF" w:rsidRPr="005C50E9">
        <w:rPr>
          <w:rFonts w:cs="Arial"/>
        </w:rPr>
        <w:t xml:space="preserve"> local educational agencies</w:t>
      </w:r>
      <w:r w:rsidRPr="005C50E9">
        <w:rPr>
          <w:rFonts w:cs="Arial"/>
        </w:rPr>
        <w:t xml:space="preserve"> </w:t>
      </w:r>
      <w:r w:rsidR="00EF48DF" w:rsidRPr="005C50E9">
        <w:rPr>
          <w:rFonts w:cs="Arial"/>
        </w:rPr>
        <w:t>(</w:t>
      </w:r>
      <w:r w:rsidRPr="005C50E9">
        <w:rPr>
          <w:rFonts w:cs="Arial"/>
        </w:rPr>
        <w:t>LEAs</w:t>
      </w:r>
      <w:r w:rsidR="00EF48DF" w:rsidRPr="005C50E9">
        <w:rPr>
          <w:rFonts w:cs="Arial"/>
        </w:rPr>
        <w:t>)</w:t>
      </w:r>
      <w:r w:rsidRPr="005C50E9">
        <w:rPr>
          <w:rFonts w:cs="Arial"/>
        </w:rPr>
        <w:t xml:space="preserve"> eligible for differentiated assistance under the Local Control Funding Formula </w:t>
      </w:r>
      <w:r w:rsidR="004D7B9D" w:rsidRPr="005C50E9">
        <w:rPr>
          <w:rFonts w:cs="Arial"/>
        </w:rPr>
        <w:t xml:space="preserve">with the number </w:t>
      </w:r>
      <w:proofErr w:type="gramStart"/>
      <w:r w:rsidR="004D7B9D" w:rsidRPr="005C50E9">
        <w:rPr>
          <w:rFonts w:cs="Arial"/>
        </w:rPr>
        <w:t xml:space="preserve">of </w:t>
      </w:r>
      <w:r w:rsidRPr="005C50E9">
        <w:rPr>
          <w:rFonts w:cs="Arial"/>
        </w:rPr>
        <w:t xml:space="preserve"> school</w:t>
      </w:r>
      <w:r w:rsidR="004D7B9D" w:rsidRPr="005C50E9">
        <w:rPr>
          <w:rFonts w:cs="Arial"/>
        </w:rPr>
        <w:t>s</w:t>
      </w:r>
      <w:proofErr w:type="gramEnd"/>
      <w:r w:rsidRPr="005C50E9">
        <w:rPr>
          <w:rFonts w:cs="Arial"/>
        </w:rPr>
        <w:t xml:space="preserve"> identifi</w:t>
      </w:r>
      <w:r w:rsidR="004D7B9D" w:rsidRPr="005C50E9">
        <w:rPr>
          <w:rFonts w:cs="Arial"/>
        </w:rPr>
        <w:t xml:space="preserve">ed </w:t>
      </w:r>
      <w:r w:rsidRPr="005C50E9">
        <w:rPr>
          <w:rFonts w:cs="Arial"/>
        </w:rPr>
        <w:t>for CSI and ATSI.</w:t>
      </w:r>
    </w:p>
    <w:p w14:paraId="4064DE5F" w14:textId="76AE1389" w:rsidR="00961F67" w:rsidRPr="005C50E9" w:rsidRDefault="00A92C5C" w:rsidP="0071775B">
      <w:pPr>
        <w:autoSpaceDE w:val="0"/>
        <w:autoSpaceDN w:val="0"/>
        <w:spacing w:after="240"/>
        <w:rPr>
          <w:rFonts w:cs="Arial"/>
          <w:b/>
        </w:rPr>
      </w:pPr>
      <w:r w:rsidRPr="005C50E9">
        <w:rPr>
          <w:rFonts w:cs="Arial"/>
          <w:b/>
        </w:rPr>
        <w:t>Table 2</w:t>
      </w:r>
      <w:r w:rsidR="0071775B" w:rsidRPr="005C50E9">
        <w:rPr>
          <w:rFonts w:cs="Arial"/>
          <w:b/>
        </w:rPr>
        <w:t xml:space="preserve">: </w:t>
      </w:r>
      <w:r w:rsidR="00961F67" w:rsidRPr="005C50E9">
        <w:rPr>
          <w:rFonts w:cs="Arial"/>
          <w:b/>
        </w:rPr>
        <w:t xml:space="preserve">Number of Non-Charter Schools Located in </w:t>
      </w:r>
      <w:r w:rsidR="0071775B" w:rsidRPr="005C50E9">
        <w:rPr>
          <w:rFonts w:cs="Arial"/>
          <w:b/>
        </w:rPr>
        <w:t>LEAs Eligibl</w:t>
      </w:r>
      <w:r w:rsidR="00531319" w:rsidRPr="005C50E9">
        <w:rPr>
          <w:rFonts w:cs="Arial"/>
          <w:b/>
        </w:rPr>
        <w:t>e for Differentiated Assistance</w:t>
      </w:r>
    </w:p>
    <w:tbl>
      <w:tblPr>
        <w:tblStyle w:val="TableGrid"/>
        <w:tblW w:w="5000" w:type="pct"/>
        <w:tblLook w:val="04A0" w:firstRow="1" w:lastRow="0" w:firstColumn="1" w:lastColumn="0" w:noHBand="0" w:noVBand="1"/>
        <w:tblDescription w:val="Table 2: Number of Non-Charter Schools Located in LEAs Eligible for Differentiated Assistance"/>
      </w:tblPr>
      <w:tblGrid>
        <w:gridCol w:w="1687"/>
        <w:gridCol w:w="2195"/>
        <w:gridCol w:w="2736"/>
        <w:gridCol w:w="2732"/>
      </w:tblGrid>
      <w:tr w:rsidR="00E93E41" w:rsidRPr="005C50E9" w14:paraId="0F8DEEAC" w14:textId="77777777" w:rsidTr="00E93E41">
        <w:trPr>
          <w:tblHeader/>
        </w:trPr>
        <w:tc>
          <w:tcPr>
            <w:tcW w:w="902" w:type="pct"/>
            <w:shd w:val="clear" w:color="auto" w:fill="D9D9D9" w:themeFill="background1" w:themeFillShade="D9"/>
            <w:vAlign w:val="center"/>
          </w:tcPr>
          <w:p w14:paraId="5E06784B" w14:textId="20FA47B3" w:rsidR="00E93E41" w:rsidRPr="005C50E9" w:rsidRDefault="00E93E41" w:rsidP="00E93E41">
            <w:pPr>
              <w:autoSpaceDE w:val="0"/>
              <w:autoSpaceDN w:val="0"/>
              <w:jc w:val="center"/>
              <w:rPr>
                <w:rFonts w:cs="Arial"/>
                <w:b/>
              </w:rPr>
            </w:pPr>
            <w:r w:rsidRPr="005C50E9">
              <w:rPr>
                <w:rFonts w:cs="Arial"/>
                <w:b/>
              </w:rPr>
              <w:t>Assistance Type</w:t>
            </w:r>
          </w:p>
        </w:tc>
        <w:tc>
          <w:tcPr>
            <w:tcW w:w="1174" w:type="pct"/>
            <w:shd w:val="clear" w:color="auto" w:fill="D9D9D9" w:themeFill="background1" w:themeFillShade="D9"/>
            <w:vAlign w:val="center"/>
          </w:tcPr>
          <w:p w14:paraId="10973E90" w14:textId="033331B4" w:rsidR="00E93E41" w:rsidRPr="005C50E9" w:rsidRDefault="00E93E41" w:rsidP="00E93E41">
            <w:pPr>
              <w:autoSpaceDE w:val="0"/>
              <w:autoSpaceDN w:val="0"/>
              <w:jc w:val="center"/>
              <w:rPr>
                <w:rFonts w:cs="Arial"/>
                <w:b/>
              </w:rPr>
            </w:pPr>
            <w:r w:rsidRPr="005C50E9">
              <w:rPr>
                <w:rFonts w:cs="Arial"/>
                <w:b/>
              </w:rPr>
              <w:t>Number of Schools Eligible for ESSA Assistance</w:t>
            </w:r>
          </w:p>
        </w:tc>
        <w:tc>
          <w:tcPr>
            <w:tcW w:w="1463" w:type="pct"/>
            <w:shd w:val="clear" w:color="auto" w:fill="D9D9D9" w:themeFill="background1" w:themeFillShade="D9"/>
            <w:vAlign w:val="center"/>
          </w:tcPr>
          <w:p w14:paraId="1547D5E2" w14:textId="7C70B453" w:rsidR="00E93E41" w:rsidRPr="005C50E9" w:rsidRDefault="00E93E41" w:rsidP="00E93E41">
            <w:pPr>
              <w:autoSpaceDE w:val="0"/>
              <w:autoSpaceDN w:val="0"/>
              <w:jc w:val="center"/>
              <w:rPr>
                <w:rFonts w:cs="Arial"/>
                <w:b/>
              </w:rPr>
            </w:pPr>
            <w:r w:rsidRPr="005C50E9">
              <w:rPr>
                <w:rFonts w:cs="Arial"/>
                <w:b/>
              </w:rPr>
              <w:t>Number of Schools in LEAs Eligible for Differentiated Assistance</w:t>
            </w:r>
          </w:p>
        </w:tc>
        <w:tc>
          <w:tcPr>
            <w:tcW w:w="1461" w:type="pct"/>
            <w:shd w:val="clear" w:color="auto" w:fill="D9D9D9" w:themeFill="background1" w:themeFillShade="D9"/>
            <w:vAlign w:val="center"/>
          </w:tcPr>
          <w:p w14:paraId="7FE50215" w14:textId="19B6E47C" w:rsidR="00E93E41" w:rsidRPr="005C50E9" w:rsidRDefault="00E93E41" w:rsidP="00E93E41">
            <w:pPr>
              <w:autoSpaceDE w:val="0"/>
              <w:autoSpaceDN w:val="0"/>
              <w:jc w:val="center"/>
              <w:rPr>
                <w:rFonts w:cs="Arial"/>
                <w:b/>
              </w:rPr>
            </w:pPr>
            <w:r w:rsidRPr="005C50E9">
              <w:rPr>
                <w:rFonts w:cs="Arial"/>
                <w:b/>
              </w:rPr>
              <w:t>Percent of Schools in LEAs Eligible for Differentiated Assistance</w:t>
            </w:r>
          </w:p>
        </w:tc>
      </w:tr>
      <w:tr w:rsidR="00E93E41" w:rsidRPr="005C50E9" w14:paraId="6909A1DB" w14:textId="77777777" w:rsidTr="00E93E41">
        <w:tc>
          <w:tcPr>
            <w:tcW w:w="902" w:type="pct"/>
            <w:vAlign w:val="center"/>
          </w:tcPr>
          <w:p w14:paraId="27BE897B" w14:textId="7AC82DF9" w:rsidR="00E93E41" w:rsidRPr="005C50E9" w:rsidRDefault="00E93E41" w:rsidP="00E93E41">
            <w:pPr>
              <w:autoSpaceDE w:val="0"/>
              <w:autoSpaceDN w:val="0"/>
              <w:jc w:val="center"/>
              <w:rPr>
                <w:rFonts w:cs="Arial"/>
                <w:b/>
              </w:rPr>
            </w:pPr>
            <w:r w:rsidRPr="005C50E9">
              <w:rPr>
                <w:rFonts w:cs="Arial"/>
                <w:b/>
              </w:rPr>
              <w:t>CSI: Lowest 5%</w:t>
            </w:r>
          </w:p>
        </w:tc>
        <w:tc>
          <w:tcPr>
            <w:tcW w:w="1174" w:type="pct"/>
            <w:vAlign w:val="center"/>
          </w:tcPr>
          <w:p w14:paraId="5309E685" w14:textId="28307E61" w:rsidR="00E93E41" w:rsidRPr="005C50E9" w:rsidRDefault="00E93E41" w:rsidP="00E93E41">
            <w:pPr>
              <w:autoSpaceDE w:val="0"/>
              <w:autoSpaceDN w:val="0"/>
              <w:jc w:val="center"/>
              <w:rPr>
                <w:rFonts w:cs="Arial"/>
              </w:rPr>
            </w:pPr>
            <w:r w:rsidRPr="005C50E9">
              <w:rPr>
                <w:rFonts w:cs="Arial"/>
              </w:rPr>
              <w:t>447</w:t>
            </w:r>
          </w:p>
        </w:tc>
        <w:tc>
          <w:tcPr>
            <w:tcW w:w="1463" w:type="pct"/>
            <w:vAlign w:val="center"/>
          </w:tcPr>
          <w:p w14:paraId="3DDD5256" w14:textId="0F6199E5" w:rsidR="00E93E41" w:rsidRPr="005C50E9" w:rsidRDefault="00E93E41" w:rsidP="00E93E41">
            <w:pPr>
              <w:autoSpaceDE w:val="0"/>
              <w:autoSpaceDN w:val="0"/>
              <w:jc w:val="center"/>
              <w:rPr>
                <w:rFonts w:cs="Arial"/>
              </w:rPr>
            </w:pPr>
            <w:r w:rsidRPr="005C50E9">
              <w:rPr>
                <w:rFonts w:cs="Arial"/>
              </w:rPr>
              <w:t>363</w:t>
            </w:r>
          </w:p>
        </w:tc>
        <w:tc>
          <w:tcPr>
            <w:tcW w:w="1461" w:type="pct"/>
            <w:vAlign w:val="center"/>
          </w:tcPr>
          <w:p w14:paraId="6EAC74CC" w14:textId="453665C9" w:rsidR="00E93E41" w:rsidRPr="005C50E9" w:rsidRDefault="00E93E41" w:rsidP="00E93E41">
            <w:pPr>
              <w:autoSpaceDE w:val="0"/>
              <w:autoSpaceDN w:val="0"/>
              <w:jc w:val="center"/>
              <w:rPr>
                <w:rFonts w:cs="Arial"/>
              </w:rPr>
            </w:pPr>
            <w:r w:rsidRPr="005C50E9">
              <w:rPr>
                <w:rFonts w:cs="Arial"/>
              </w:rPr>
              <w:t>82.1%</w:t>
            </w:r>
          </w:p>
        </w:tc>
      </w:tr>
      <w:tr w:rsidR="00E93E41" w:rsidRPr="005C50E9" w14:paraId="30AF4AC2" w14:textId="77777777" w:rsidTr="00E93E41">
        <w:tc>
          <w:tcPr>
            <w:tcW w:w="902" w:type="pct"/>
            <w:vAlign w:val="center"/>
          </w:tcPr>
          <w:p w14:paraId="2CA570A0" w14:textId="341113D7" w:rsidR="00E93E41" w:rsidRPr="005C50E9" w:rsidRDefault="00E93E41" w:rsidP="00E93E41">
            <w:pPr>
              <w:autoSpaceDE w:val="0"/>
              <w:autoSpaceDN w:val="0"/>
              <w:jc w:val="center"/>
              <w:rPr>
                <w:rFonts w:cs="Arial"/>
                <w:b/>
              </w:rPr>
            </w:pPr>
            <w:r w:rsidRPr="005C50E9">
              <w:rPr>
                <w:rFonts w:cs="Arial"/>
                <w:b/>
              </w:rPr>
              <w:t>CSI: Graduation Rate</w:t>
            </w:r>
          </w:p>
        </w:tc>
        <w:tc>
          <w:tcPr>
            <w:tcW w:w="1174" w:type="pct"/>
            <w:vAlign w:val="center"/>
          </w:tcPr>
          <w:p w14:paraId="31933031" w14:textId="676D07E2" w:rsidR="00E93E41" w:rsidRPr="005C50E9" w:rsidRDefault="00E93E41" w:rsidP="00E93E41">
            <w:pPr>
              <w:autoSpaceDE w:val="0"/>
              <w:autoSpaceDN w:val="0"/>
              <w:jc w:val="center"/>
              <w:rPr>
                <w:rFonts w:cs="Arial"/>
              </w:rPr>
            </w:pPr>
            <w:r w:rsidRPr="005C50E9">
              <w:rPr>
                <w:rFonts w:cs="Arial"/>
              </w:rPr>
              <w:t>206</w:t>
            </w:r>
          </w:p>
        </w:tc>
        <w:tc>
          <w:tcPr>
            <w:tcW w:w="1463" w:type="pct"/>
            <w:vAlign w:val="center"/>
          </w:tcPr>
          <w:p w14:paraId="76AC9546" w14:textId="56ED634B" w:rsidR="00E93E41" w:rsidRPr="005C50E9" w:rsidRDefault="00E93E41" w:rsidP="00E93E41">
            <w:pPr>
              <w:autoSpaceDE w:val="0"/>
              <w:autoSpaceDN w:val="0"/>
              <w:jc w:val="center"/>
              <w:rPr>
                <w:rFonts w:cs="Arial"/>
              </w:rPr>
            </w:pPr>
            <w:r w:rsidRPr="005C50E9">
              <w:rPr>
                <w:rFonts w:cs="Arial"/>
              </w:rPr>
              <w:t>159</w:t>
            </w:r>
          </w:p>
        </w:tc>
        <w:tc>
          <w:tcPr>
            <w:tcW w:w="1461" w:type="pct"/>
            <w:vAlign w:val="center"/>
          </w:tcPr>
          <w:p w14:paraId="55E79796" w14:textId="53D2BB84" w:rsidR="00E93E41" w:rsidRPr="005C50E9" w:rsidRDefault="00E93E41" w:rsidP="00E93E41">
            <w:pPr>
              <w:autoSpaceDE w:val="0"/>
              <w:autoSpaceDN w:val="0"/>
              <w:jc w:val="center"/>
              <w:rPr>
                <w:rFonts w:cs="Arial"/>
              </w:rPr>
            </w:pPr>
            <w:r w:rsidRPr="005C50E9">
              <w:rPr>
                <w:rFonts w:cs="Arial"/>
              </w:rPr>
              <w:t>77.2%</w:t>
            </w:r>
          </w:p>
        </w:tc>
      </w:tr>
      <w:tr w:rsidR="00E93E41" w:rsidRPr="005C50E9" w14:paraId="62790F25" w14:textId="77777777" w:rsidTr="00E93E41">
        <w:tc>
          <w:tcPr>
            <w:tcW w:w="902" w:type="pct"/>
            <w:vAlign w:val="center"/>
          </w:tcPr>
          <w:p w14:paraId="2FFDD1F7" w14:textId="0E32ECF6" w:rsidR="00E93E41" w:rsidRPr="005C50E9" w:rsidRDefault="00E93E41" w:rsidP="00E93E41">
            <w:pPr>
              <w:autoSpaceDE w:val="0"/>
              <w:autoSpaceDN w:val="0"/>
              <w:jc w:val="center"/>
              <w:rPr>
                <w:rFonts w:cs="Arial"/>
                <w:b/>
              </w:rPr>
            </w:pPr>
            <w:r w:rsidRPr="005C50E9">
              <w:rPr>
                <w:rFonts w:cs="Arial"/>
                <w:b/>
              </w:rPr>
              <w:t>ATSI</w:t>
            </w:r>
          </w:p>
        </w:tc>
        <w:tc>
          <w:tcPr>
            <w:tcW w:w="1174" w:type="pct"/>
            <w:vAlign w:val="center"/>
          </w:tcPr>
          <w:p w14:paraId="4FD3B238" w14:textId="5CD44F3A" w:rsidR="00E93E41" w:rsidRPr="005C50E9" w:rsidRDefault="00E93E41" w:rsidP="00E93E41">
            <w:pPr>
              <w:autoSpaceDE w:val="0"/>
              <w:autoSpaceDN w:val="0"/>
              <w:jc w:val="center"/>
              <w:rPr>
                <w:rFonts w:cs="Arial"/>
              </w:rPr>
            </w:pPr>
            <w:r w:rsidRPr="005C50E9">
              <w:rPr>
                <w:rFonts w:cs="Arial"/>
              </w:rPr>
              <w:t>818</w:t>
            </w:r>
          </w:p>
        </w:tc>
        <w:tc>
          <w:tcPr>
            <w:tcW w:w="1463" w:type="pct"/>
            <w:vAlign w:val="center"/>
          </w:tcPr>
          <w:p w14:paraId="0768DB99" w14:textId="515CACAF" w:rsidR="00E93E41" w:rsidRPr="005C50E9" w:rsidRDefault="00E93E41" w:rsidP="00E93E41">
            <w:pPr>
              <w:autoSpaceDE w:val="0"/>
              <w:autoSpaceDN w:val="0"/>
              <w:jc w:val="center"/>
              <w:rPr>
                <w:rFonts w:cs="Arial"/>
              </w:rPr>
            </w:pPr>
            <w:r w:rsidRPr="005C50E9">
              <w:rPr>
                <w:rFonts w:cs="Arial"/>
              </w:rPr>
              <w:t>675</w:t>
            </w:r>
          </w:p>
        </w:tc>
        <w:tc>
          <w:tcPr>
            <w:tcW w:w="1461" w:type="pct"/>
            <w:vAlign w:val="center"/>
          </w:tcPr>
          <w:p w14:paraId="5CBD3A79" w14:textId="58C54940" w:rsidR="00E93E41" w:rsidRPr="005C50E9" w:rsidRDefault="00E93E41" w:rsidP="00E93E41">
            <w:pPr>
              <w:autoSpaceDE w:val="0"/>
              <w:autoSpaceDN w:val="0"/>
              <w:jc w:val="center"/>
              <w:rPr>
                <w:rFonts w:cs="Arial"/>
              </w:rPr>
            </w:pPr>
            <w:r w:rsidRPr="005C50E9">
              <w:rPr>
                <w:rFonts w:cs="Arial"/>
              </w:rPr>
              <w:t>82.5%</w:t>
            </w:r>
          </w:p>
        </w:tc>
      </w:tr>
      <w:tr w:rsidR="00E93E41" w:rsidRPr="005C50E9" w14:paraId="1CB3B7D5" w14:textId="77777777" w:rsidTr="00E93E41">
        <w:tc>
          <w:tcPr>
            <w:tcW w:w="902" w:type="pct"/>
            <w:vAlign w:val="center"/>
          </w:tcPr>
          <w:p w14:paraId="61624EB4" w14:textId="52B94247" w:rsidR="00E93E41" w:rsidRPr="005C50E9" w:rsidRDefault="00E93E41" w:rsidP="00E93E41">
            <w:pPr>
              <w:autoSpaceDE w:val="0"/>
              <w:autoSpaceDN w:val="0"/>
              <w:jc w:val="center"/>
              <w:rPr>
                <w:rFonts w:cs="Arial"/>
                <w:b/>
              </w:rPr>
            </w:pPr>
            <w:r w:rsidRPr="005C50E9">
              <w:rPr>
                <w:rFonts w:cs="Arial"/>
                <w:b/>
              </w:rPr>
              <w:t>Total</w:t>
            </w:r>
          </w:p>
        </w:tc>
        <w:tc>
          <w:tcPr>
            <w:tcW w:w="1174" w:type="pct"/>
            <w:vAlign w:val="center"/>
          </w:tcPr>
          <w:p w14:paraId="33995C4F" w14:textId="57F05403" w:rsidR="00E93E41" w:rsidRPr="005C50E9" w:rsidRDefault="00E93E41" w:rsidP="00E93E41">
            <w:pPr>
              <w:autoSpaceDE w:val="0"/>
              <w:autoSpaceDN w:val="0"/>
              <w:jc w:val="center"/>
              <w:rPr>
                <w:rFonts w:cs="Arial"/>
              </w:rPr>
            </w:pPr>
            <w:r w:rsidRPr="005C50E9">
              <w:rPr>
                <w:rFonts w:cs="Arial"/>
              </w:rPr>
              <w:t>1,471</w:t>
            </w:r>
          </w:p>
        </w:tc>
        <w:tc>
          <w:tcPr>
            <w:tcW w:w="1463" w:type="pct"/>
            <w:vAlign w:val="center"/>
          </w:tcPr>
          <w:p w14:paraId="1D771546" w14:textId="6B599568" w:rsidR="00E93E41" w:rsidRPr="005C50E9" w:rsidRDefault="00E93E41" w:rsidP="00E93E41">
            <w:pPr>
              <w:autoSpaceDE w:val="0"/>
              <w:autoSpaceDN w:val="0"/>
              <w:jc w:val="center"/>
              <w:rPr>
                <w:rFonts w:cs="Arial"/>
              </w:rPr>
            </w:pPr>
            <w:r w:rsidRPr="005C50E9">
              <w:rPr>
                <w:rFonts w:cs="Arial"/>
              </w:rPr>
              <w:t>1,197</w:t>
            </w:r>
          </w:p>
        </w:tc>
        <w:tc>
          <w:tcPr>
            <w:tcW w:w="1461" w:type="pct"/>
            <w:vAlign w:val="center"/>
          </w:tcPr>
          <w:p w14:paraId="7C77D859" w14:textId="3D148F2B" w:rsidR="00E93E41" w:rsidRPr="005C50E9" w:rsidRDefault="00E93E41" w:rsidP="00E93E41">
            <w:pPr>
              <w:autoSpaceDE w:val="0"/>
              <w:autoSpaceDN w:val="0"/>
              <w:jc w:val="center"/>
              <w:rPr>
                <w:rFonts w:cs="Arial"/>
              </w:rPr>
            </w:pPr>
            <w:r w:rsidRPr="005C50E9">
              <w:rPr>
                <w:rFonts w:cs="Arial"/>
              </w:rPr>
              <w:t>81.4%</w:t>
            </w:r>
          </w:p>
        </w:tc>
      </w:tr>
    </w:tbl>
    <w:p w14:paraId="5C8368E2" w14:textId="5BC7CD17" w:rsidR="00531319" w:rsidRPr="005C50E9" w:rsidRDefault="0012516C" w:rsidP="00531319">
      <w:pPr>
        <w:autoSpaceDE w:val="0"/>
        <w:autoSpaceDN w:val="0"/>
        <w:spacing w:before="240" w:after="240"/>
        <w:rPr>
          <w:rFonts w:cs="Arial"/>
          <w:color w:val="000000"/>
          <w:lang w:val="en"/>
        </w:rPr>
      </w:pPr>
      <w:r w:rsidRPr="005C50E9">
        <w:rPr>
          <w:rFonts w:cs="Arial"/>
          <w:color w:val="000000"/>
          <w:lang w:val="en"/>
        </w:rPr>
        <w:t>This Information Memorandum details the eligibility criteria for CSI and ATSI, as well as key data on the schools ident</w:t>
      </w:r>
      <w:r w:rsidR="00531319" w:rsidRPr="005C50E9">
        <w:rPr>
          <w:rFonts w:cs="Arial"/>
          <w:color w:val="000000"/>
          <w:lang w:val="en"/>
        </w:rPr>
        <w:t>ified for CSI and ATSI in 2018.</w:t>
      </w:r>
      <w:r w:rsidR="00531319" w:rsidRPr="005C50E9">
        <w:rPr>
          <w:rFonts w:cs="Arial"/>
          <w:color w:val="000000"/>
          <w:lang w:val="en"/>
        </w:rPr>
        <w:br w:type="page"/>
      </w:r>
    </w:p>
    <w:p w14:paraId="385B8A5B" w14:textId="77777777" w:rsidR="002D351A" w:rsidRPr="005C50E9" w:rsidRDefault="002D351A" w:rsidP="00531319">
      <w:pPr>
        <w:pStyle w:val="Heading2"/>
        <w:spacing w:before="240" w:after="240"/>
        <w:rPr>
          <w:rFonts w:cs="Arial"/>
          <w:sz w:val="36"/>
          <w:szCs w:val="36"/>
        </w:rPr>
      </w:pPr>
      <w:r w:rsidRPr="005C50E9">
        <w:rPr>
          <w:rFonts w:cs="Arial"/>
          <w:sz w:val="36"/>
          <w:szCs w:val="36"/>
        </w:rPr>
        <w:lastRenderedPageBreak/>
        <w:t>Attachment(s)</w:t>
      </w:r>
    </w:p>
    <w:p w14:paraId="2AD7A03F" w14:textId="77777777" w:rsidR="002D351A" w:rsidRPr="005C50E9" w:rsidRDefault="002D351A">
      <w:pPr>
        <w:spacing w:after="240"/>
        <w:rPr>
          <w:rFonts w:cs="Arial"/>
        </w:rPr>
      </w:pPr>
      <w:r w:rsidRPr="005C50E9">
        <w:rPr>
          <w:rFonts w:cs="Arial"/>
        </w:rPr>
        <w:t xml:space="preserve">Attachment 1: Identification of Schools for Comprehensive Support and </w:t>
      </w:r>
      <w:proofErr w:type="gramStart"/>
      <w:r w:rsidRPr="005C50E9">
        <w:rPr>
          <w:rFonts w:cs="Arial"/>
        </w:rPr>
        <w:t>Improvement</w:t>
      </w:r>
      <w:proofErr w:type="gramEnd"/>
      <w:r w:rsidR="00D655E2" w:rsidRPr="005C50E9">
        <w:rPr>
          <w:rFonts w:cs="Arial"/>
        </w:rPr>
        <w:br/>
      </w:r>
      <w:r w:rsidRPr="005C50E9">
        <w:rPr>
          <w:rFonts w:cs="Arial"/>
        </w:rPr>
        <w:t>(</w:t>
      </w:r>
      <w:r w:rsidR="00DF3393" w:rsidRPr="005C50E9">
        <w:rPr>
          <w:rFonts w:cs="Arial"/>
        </w:rPr>
        <w:t>3</w:t>
      </w:r>
      <w:r w:rsidRPr="005C50E9">
        <w:rPr>
          <w:rFonts w:cs="Arial"/>
        </w:rPr>
        <w:t xml:space="preserve"> Pages)</w:t>
      </w:r>
    </w:p>
    <w:p w14:paraId="2D2B6CE6" w14:textId="77777777" w:rsidR="002D351A" w:rsidRPr="005C50E9" w:rsidRDefault="002D351A">
      <w:pPr>
        <w:spacing w:after="240"/>
        <w:rPr>
          <w:rFonts w:cs="Arial"/>
        </w:rPr>
      </w:pPr>
      <w:r w:rsidRPr="005C50E9">
        <w:rPr>
          <w:rFonts w:cs="Arial"/>
        </w:rPr>
        <w:t xml:space="preserve">Attachment 2: Identification of Schools for Additional Targeted Support and </w:t>
      </w:r>
      <w:r w:rsidR="00472B1E" w:rsidRPr="005C50E9">
        <w:rPr>
          <w:rFonts w:cs="Arial"/>
        </w:rPr>
        <w:t>Improvement (</w:t>
      </w:r>
      <w:r w:rsidR="005032BA" w:rsidRPr="005C50E9">
        <w:rPr>
          <w:rFonts w:cs="Arial"/>
        </w:rPr>
        <w:t>2</w:t>
      </w:r>
      <w:r w:rsidR="00472B1E" w:rsidRPr="005C50E9">
        <w:rPr>
          <w:rFonts w:cs="Arial"/>
        </w:rPr>
        <w:t xml:space="preserve"> Pages)</w:t>
      </w:r>
    </w:p>
    <w:p w14:paraId="75FD8F7D" w14:textId="77777777" w:rsidR="00823888" w:rsidRPr="005C50E9" w:rsidRDefault="00823888">
      <w:pPr>
        <w:spacing w:after="240"/>
        <w:rPr>
          <w:rFonts w:cs="Arial"/>
          <w:color w:val="000000"/>
          <w:lang w:val="en"/>
        </w:rPr>
        <w:sectPr w:rsidR="00823888" w:rsidRPr="005C50E9" w:rsidSect="005B7828">
          <w:headerReference w:type="default" r:id="rId12"/>
          <w:headerReference w:type="first" r:id="rId13"/>
          <w:type w:val="continuous"/>
          <w:pgSz w:w="12240" w:h="15840"/>
          <w:pgMar w:top="1440" w:right="1440" w:bottom="1440" w:left="1440" w:header="720" w:footer="720" w:gutter="0"/>
          <w:pgNumType w:start="1"/>
          <w:cols w:space="720"/>
          <w:titlePg/>
          <w:docGrid w:linePitch="360"/>
        </w:sectPr>
      </w:pPr>
    </w:p>
    <w:p w14:paraId="1B76A9BF" w14:textId="77777777" w:rsidR="00607835" w:rsidRPr="005C50E9" w:rsidRDefault="00472B1E" w:rsidP="0071775B">
      <w:pPr>
        <w:pStyle w:val="Heading1"/>
        <w:spacing w:before="0" w:after="240"/>
        <w:rPr>
          <w:rFonts w:ascii="Arial" w:hAnsi="Arial" w:cs="Arial"/>
          <w:sz w:val="40"/>
          <w:szCs w:val="52"/>
        </w:rPr>
      </w:pPr>
      <w:r w:rsidRPr="005C50E9">
        <w:rPr>
          <w:rFonts w:ascii="Arial" w:hAnsi="Arial" w:cs="Arial"/>
          <w:b/>
          <w:color w:val="auto"/>
          <w:sz w:val="40"/>
          <w:szCs w:val="52"/>
        </w:rPr>
        <w:lastRenderedPageBreak/>
        <w:t>Attachment 1</w:t>
      </w:r>
    </w:p>
    <w:p w14:paraId="325AB744" w14:textId="77777777" w:rsidR="002D351A" w:rsidRPr="005C50E9" w:rsidRDefault="002D351A" w:rsidP="0071775B">
      <w:pPr>
        <w:pStyle w:val="Heading2"/>
        <w:spacing w:before="0" w:after="240"/>
        <w:rPr>
          <w:rFonts w:cs="Arial"/>
          <w:sz w:val="36"/>
          <w:szCs w:val="36"/>
        </w:rPr>
      </w:pPr>
      <w:r w:rsidRPr="005C50E9">
        <w:rPr>
          <w:rFonts w:cs="Arial"/>
          <w:sz w:val="36"/>
          <w:szCs w:val="36"/>
        </w:rPr>
        <w:t>Identification of Schools for Comprehensive Support and Improvement</w:t>
      </w:r>
    </w:p>
    <w:p w14:paraId="5D356BFD" w14:textId="77777777" w:rsidR="0024223A" w:rsidRPr="005C50E9" w:rsidRDefault="008F5E77">
      <w:pPr>
        <w:pStyle w:val="Heading3"/>
        <w:contextualSpacing/>
        <w:rPr>
          <w:rFonts w:cs="Arial"/>
        </w:rPr>
      </w:pPr>
      <w:r w:rsidRPr="005C50E9">
        <w:rPr>
          <w:rFonts w:cs="Arial"/>
        </w:rPr>
        <w:t xml:space="preserve">Eligibility Criteria </w:t>
      </w:r>
    </w:p>
    <w:p w14:paraId="657CC344" w14:textId="77777777" w:rsidR="00294351" w:rsidRPr="005C50E9" w:rsidRDefault="00C6708D" w:rsidP="0071775B">
      <w:pPr>
        <w:spacing w:after="240"/>
        <w:rPr>
          <w:rFonts w:cs="Arial"/>
        </w:rPr>
      </w:pPr>
      <w:r w:rsidRPr="005C50E9">
        <w:rPr>
          <w:rFonts w:cs="Arial"/>
        </w:rPr>
        <w:t>The Every Student Succeeds Act (</w:t>
      </w:r>
      <w:r w:rsidR="00294351" w:rsidRPr="005C50E9">
        <w:rPr>
          <w:rFonts w:cs="Arial"/>
        </w:rPr>
        <w:t>ESSA</w:t>
      </w:r>
      <w:r w:rsidRPr="005C50E9">
        <w:rPr>
          <w:rFonts w:cs="Arial"/>
        </w:rPr>
        <w:t>)</w:t>
      </w:r>
      <w:r w:rsidR="00294351" w:rsidRPr="005C50E9">
        <w:rPr>
          <w:rFonts w:cs="Arial"/>
        </w:rPr>
        <w:t xml:space="preserve"> requires states to identify </w:t>
      </w:r>
      <w:r w:rsidR="00C8479D" w:rsidRPr="005C50E9">
        <w:rPr>
          <w:rFonts w:cs="Arial"/>
        </w:rPr>
        <w:t xml:space="preserve">schools </w:t>
      </w:r>
      <w:r w:rsidR="00294351" w:rsidRPr="005C50E9">
        <w:rPr>
          <w:rFonts w:cs="Arial"/>
        </w:rPr>
        <w:t>for C</w:t>
      </w:r>
      <w:r w:rsidRPr="005C50E9">
        <w:rPr>
          <w:rFonts w:cs="Arial"/>
        </w:rPr>
        <w:t>omprehensive Support and Improvement (C</w:t>
      </w:r>
      <w:r w:rsidR="00294351" w:rsidRPr="005C50E9">
        <w:rPr>
          <w:rFonts w:cs="Arial"/>
        </w:rPr>
        <w:t>SI</w:t>
      </w:r>
      <w:r w:rsidRPr="005C50E9">
        <w:rPr>
          <w:rFonts w:cs="Arial"/>
        </w:rPr>
        <w:t>)</w:t>
      </w:r>
      <w:r w:rsidR="00E65726" w:rsidRPr="005C50E9">
        <w:rPr>
          <w:rFonts w:cs="Arial"/>
        </w:rPr>
        <w:t xml:space="preserve"> in two ways</w:t>
      </w:r>
      <w:r w:rsidR="00294351" w:rsidRPr="005C50E9">
        <w:rPr>
          <w:rFonts w:cs="Arial"/>
        </w:rPr>
        <w:t>:</w:t>
      </w:r>
    </w:p>
    <w:p w14:paraId="7E5BF94A" w14:textId="77777777" w:rsidR="00E65726" w:rsidRPr="005C50E9" w:rsidRDefault="00AF086D" w:rsidP="0071775B">
      <w:pPr>
        <w:pStyle w:val="ListParagraph"/>
        <w:numPr>
          <w:ilvl w:val="0"/>
          <w:numId w:val="35"/>
        </w:numPr>
        <w:spacing w:after="240" w:line="240" w:lineRule="auto"/>
        <w:ind w:left="720"/>
        <w:contextualSpacing w:val="0"/>
        <w:rPr>
          <w:rFonts w:ascii="Arial" w:hAnsi="Arial" w:cs="Arial"/>
          <w:sz w:val="24"/>
          <w:szCs w:val="24"/>
        </w:rPr>
      </w:pPr>
      <w:r w:rsidRPr="005C50E9">
        <w:rPr>
          <w:rFonts w:ascii="Arial" w:hAnsi="Arial" w:cs="Arial"/>
          <w:sz w:val="24"/>
          <w:szCs w:val="24"/>
        </w:rPr>
        <w:t>All high schools (regardless of whether they received Title I funding) that have a t</w:t>
      </w:r>
      <w:r w:rsidR="00E65726" w:rsidRPr="005C50E9">
        <w:rPr>
          <w:rFonts w:ascii="Arial" w:hAnsi="Arial" w:cs="Arial"/>
          <w:sz w:val="24"/>
          <w:szCs w:val="24"/>
        </w:rPr>
        <w:t>hree</w:t>
      </w:r>
      <w:r w:rsidRPr="005C50E9">
        <w:rPr>
          <w:rFonts w:ascii="Arial" w:hAnsi="Arial" w:cs="Arial"/>
          <w:sz w:val="24"/>
          <w:szCs w:val="24"/>
        </w:rPr>
        <w:t>-year average graduati</w:t>
      </w:r>
      <w:r w:rsidR="00472B1E" w:rsidRPr="005C50E9">
        <w:rPr>
          <w:rFonts w:ascii="Arial" w:hAnsi="Arial" w:cs="Arial"/>
          <w:sz w:val="24"/>
          <w:szCs w:val="24"/>
        </w:rPr>
        <w:t xml:space="preserve">on rate of less </w:t>
      </w:r>
      <w:r w:rsidR="00E65726" w:rsidRPr="005C50E9">
        <w:rPr>
          <w:rFonts w:ascii="Arial" w:hAnsi="Arial" w:cs="Arial"/>
          <w:sz w:val="24"/>
          <w:szCs w:val="24"/>
        </w:rPr>
        <w:t>than 67 percent</w:t>
      </w:r>
      <w:r w:rsidR="002A5757" w:rsidRPr="005C50E9">
        <w:rPr>
          <w:rFonts w:ascii="Arial" w:hAnsi="Arial" w:cs="Arial"/>
          <w:sz w:val="24"/>
          <w:szCs w:val="24"/>
        </w:rPr>
        <w:t>.</w:t>
      </w:r>
    </w:p>
    <w:p w14:paraId="29779A2C" w14:textId="30D649A3" w:rsidR="00EB5CBB" w:rsidRPr="005C50E9" w:rsidRDefault="00E65726" w:rsidP="0071775B">
      <w:pPr>
        <w:pStyle w:val="ListParagraph"/>
        <w:numPr>
          <w:ilvl w:val="0"/>
          <w:numId w:val="36"/>
        </w:numPr>
        <w:spacing w:after="240" w:line="240" w:lineRule="auto"/>
        <w:contextualSpacing w:val="0"/>
        <w:rPr>
          <w:rFonts w:ascii="Arial" w:hAnsi="Arial" w:cs="Arial"/>
          <w:sz w:val="24"/>
          <w:szCs w:val="24"/>
        </w:rPr>
      </w:pPr>
      <w:r w:rsidRPr="005C50E9">
        <w:rPr>
          <w:rFonts w:ascii="Arial" w:hAnsi="Arial" w:cs="Arial"/>
          <w:sz w:val="24"/>
          <w:szCs w:val="24"/>
        </w:rPr>
        <w:t xml:space="preserve">Under the graduation rate criteria, </w:t>
      </w:r>
      <w:r w:rsidR="004D7B9D" w:rsidRPr="005C50E9">
        <w:rPr>
          <w:rFonts w:ascii="Arial" w:hAnsi="Arial" w:cs="Arial"/>
          <w:sz w:val="24"/>
          <w:szCs w:val="24"/>
        </w:rPr>
        <w:t xml:space="preserve">California’s Consolidated </w:t>
      </w:r>
      <w:r w:rsidRPr="005C50E9">
        <w:rPr>
          <w:rFonts w:ascii="Arial" w:hAnsi="Arial" w:cs="Arial"/>
          <w:sz w:val="24"/>
          <w:szCs w:val="24"/>
        </w:rPr>
        <w:t xml:space="preserve">ESSA </w:t>
      </w:r>
      <w:r w:rsidR="004D7B9D" w:rsidRPr="005C50E9">
        <w:rPr>
          <w:rFonts w:ascii="Arial" w:hAnsi="Arial" w:cs="Arial"/>
          <w:sz w:val="24"/>
          <w:szCs w:val="24"/>
        </w:rPr>
        <w:t>Stat</w:t>
      </w:r>
      <w:r w:rsidR="00F9712B" w:rsidRPr="005C50E9">
        <w:rPr>
          <w:rFonts w:ascii="Arial" w:hAnsi="Arial" w:cs="Arial"/>
          <w:sz w:val="24"/>
          <w:szCs w:val="24"/>
        </w:rPr>
        <w:t>e</w:t>
      </w:r>
      <w:r w:rsidR="004D7B9D" w:rsidRPr="005C50E9">
        <w:rPr>
          <w:rFonts w:ascii="Arial" w:hAnsi="Arial" w:cs="Arial"/>
          <w:sz w:val="24"/>
          <w:szCs w:val="24"/>
        </w:rPr>
        <w:t xml:space="preserve"> Plan </w:t>
      </w:r>
      <w:r w:rsidRPr="005C50E9">
        <w:rPr>
          <w:rFonts w:ascii="Arial" w:hAnsi="Arial" w:cs="Arial"/>
          <w:sz w:val="24"/>
          <w:szCs w:val="24"/>
        </w:rPr>
        <w:t>requires any public high school whose graduation rate has fallen below 67 percent for three consecutive years to be automatically identified for CSI. However, for this year only, a two-year average graduation rate was used. This is due to the business rule changes to calculating the four-year graduation cohort in response to an audit by the U.S. Department of Education Office of Inspector General which was shared with State Board of Education (SBE) in June 2018 (</w:t>
      </w:r>
      <w:hyperlink r:id="rId14" w:tooltip="June 2018 CDE Info Memo 02" w:history="1">
        <w:r w:rsidRPr="005C50E9">
          <w:rPr>
            <w:rStyle w:val="Hyperlink"/>
            <w:rFonts w:ascii="Arial" w:hAnsi="Arial" w:cs="Arial"/>
            <w:sz w:val="24"/>
            <w:szCs w:val="24"/>
          </w:rPr>
          <w:t>https://www.cde.ca.gov/be/pn/im/documents/memo-pptb-amard-jun18item02.docx</w:t>
        </w:r>
      </w:hyperlink>
      <w:r w:rsidRPr="005C50E9">
        <w:rPr>
          <w:rFonts w:ascii="Arial" w:hAnsi="Arial" w:cs="Arial"/>
          <w:sz w:val="24"/>
          <w:szCs w:val="24"/>
        </w:rPr>
        <w:t>). The California Department of Education applied these new business rules to the graduating classes of 2017 and 2018. Therefore, these two cohort</w:t>
      </w:r>
      <w:r w:rsidR="0047543F" w:rsidRPr="005C50E9">
        <w:rPr>
          <w:rFonts w:ascii="Arial" w:hAnsi="Arial" w:cs="Arial"/>
          <w:sz w:val="24"/>
          <w:szCs w:val="24"/>
        </w:rPr>
        <w:t>s</w:t>
      </w:r>
      <w:r w:rsidRPr="005C50E9">
        <w:rPr>
          <w:rFonts w:ascii="Arial" w:hAnsi="Arial" w:cs="Arial"/>
          <w:sz w:val="24"/>
          <w:szCs w:val="24"/>
        </w:rPr>
        <w:t xml:space="preserve"> were used to calculate the two-year average.</w:t>
      </w:r>
      <w:r w:rsidR="0078748E" w:rsidRPr="005C50E9">
        <w:rPr>
          <w:rFonts w:ascii="Arial" w:hAnsi="Arial" w:cs="Arial"/>
          <w:sz w:val="24"/>
          <w:szCs w:val="24"/>
        </w:rPr>
        <w:t xml:space="preserve"> Moving forward, the three</w:t>
      </w:r>
      <w:r w:rsidR="00570C01" w:rsidRPr="005C50E9">
        <w:rPr>
          <w:rFonts w:ascii="Arial" w:hAnsi="Arial" w:cs="Arial"/>
          <w:sz w:val="24"/>
          <w:szCs w:val="24"/>
        </w:rPr>
        <w:t>-</w:t>
      </w:r>
      <w:r w:rsidR="0078748E" w:rsidRPr="005C50E9">
        <w:rPr>
          <w:rFonts w:ascii="Arial" w:hAnsi="Arial" w:cs="Arial"/>
          <w:sz w:val="24"/>
          <w:szCs w:val="24"/>
        </w:rPr>
        <w:t xml:space="preserve">year average will be used. </w:t>
      </w:r>
    </w:p>
    <w:p w14:paraId="6C62616C" w14:textId="5BCAEED1" w:rsidR="00AF086D" w:rsidRPr="005C50E9" w:rsidRDefault="00EB5CBB" w:rsidP="0071775B">
      <w:pPr>
        <w:pStyle w:val="ListParagraph"/>
        <w:numPr>
          <w:ilvl w:val="0"/>
          <w:numId w:val="35"/>
        </w:numPr>
        <w:spacing w:after="240" w:line="240" w:lineRule="auto"/>
        <w:ind w:left="720"/>
        <w:contextualSpacing w:val="0"/>
        <w:rPr>
          <w:rFonts w:ascii="Arial" w:hAnsi="Arial" w:cs="Arial"/>
          <w:sz w:val="24"/>
          <w:szCs w:val="24"/>
        </w:rPr>
      </w:pPr>
      <w:r w:rsidRPr="005C50E9">
        <w:rPr>
          <w:rFonts w:ascii="Arial" w:hAnsi="Arial" w:cs="Arial"/>
          <w:sz w:val="24"/>
          <w:szCs w:val="24"/>
        </w:rPr>
        <w:t>At least</w:t>
      </w:r>
      <w:r w:rsidR="0078748E" w:rsidRPr="005C50E9">
        <w:rPr>
          <w:rFonts w:ascii="Arial" w:hAnsi="Arial" w:cs="Arial"/>
          <w:sz w:val="24"/>
          <w:szCs w:val="24"/>
        </w:rPr>
        <w:t xml:space="preserve"> the lowest performing</w:t>
      </w:r>
      <w:r w:rsidRPr="005C50E9">
        <w:rPr>
          <w:rFonts w:ascii="Arial" w:hAnsi="Arial" w:cs="Arial"/>
          <w:sz w:val="24"/>
          <w:szCs w:val="24"/>
        </w:rPr>
        <w:t xml:space="preserve"> five percent of the Title I</w:t>
      </w:r>
      <w:r w:rsidR="0078748E" w:rsidRPr="005C50E9">
        <w:rPr>
          <w:rFonts w:ascii="Arial" w:hAnsi="Arial" w:cs="Arial"/>
          <w:sz w:val="24"/>
          <w:szCs w:val="24"/>
        </w:rPr>
        <w:t xml:space="preserve"> schools</w:t>
      </w:r>
      <w:r w:rsidRPr="005C50E9">
        <w:rPr>
          <w:rFonts w:ascii="Arial" w:hAnsi="Arial" w:cs="Arial"/>
          <w:sz w:val="24"/>
          <w:szCs w:val="24"/>
        </w:rPr>
        <w:t>,</w:t>
      </w:r>
      <w:r w:rsidR="00147A65" w:rsidRPr="005C50E9">
        <w:rPr>
          <w:rFonts w:ascii="Arial" w:hAnsi="Arial" w:cs="Arial"/>
          <w:sz w:val="24"/>
          <w:szCs w:val="24"/>
        </w:rPr>
        <w:t xml:space="preserve"> which includes </w:t>
      </w:r>
      <w:r w:rsidRPr="005C50E9">
        <w:rPr>
          <w:rFonts w:ascii="Arial" w:hAnsi="Arial" w:cs="Arial"/>
          <w:sz w:val="24"/>
          <w:szCs w:val="24"/>
        </w:rPr>
        <w:t>schools with Dashboard Alternative School Stat</w:t>
      </w:r>
      <w:r w:rsidR="00472B1E" w:rsidRPr="005C50E9">
        <w:rPr>
          <w:rFonts w:ascii="Arial" w:hAnsi="Arial" w:cs="Arial"/>
          <w:sz w:val="24"/>
          <w:szCs w:val="24"/>
        </w:rPr>
        <w:t>u</w:t>
      </w:r>
      <w:r w:rsidR="000D1D15" w:rsidRPr="005C50E9">
        <w:rPr>
          <w:rFonts w:ascii="Arial" w:hAnsi="Arial" w:cs="Arial"/>
          <w:sz w:val="24"/>
          <w:szCs w:val="24"/>
        </w:rPr>
        <w:t>s (DASS).</w:t>
      </w:r>
    </w:p>
    <w:p w14:paraId="15406B77" w14:textId="77777777" w:rsidR="00C6708D" w:rsidRPr="005C50E9" w:rsidRDefault="00C6708D" w:rsidP="0071775B">
      <w:pPr>
        <w:pStyle w:val="ListParagraph"/>
        <w:numPr>
          <w:ilvl w:val="0"/>
          <w:numId w:val="36"/>
        </w:numPr>
        <w:spacing w:after="240" w:line="240" w:lineRule="auto"/>
        <w:contextualSpacing w:val="0"/>
        <w:rPr>
          <w:rFonts w:ascii="Arial" w:hAnsi="Arial" w:cs="Arial"/>
          <w:sz w:val="24"/>
          <w:szCs w:val="24"/>
        </w:rPr>
      </w:pPr>
      <w:r w:rsidRPr="005C50E9">
        <w:rPr>
          <w:rFonts w:ascii="Arial" w:hAnsi="Arial" w:cs="Arial"/>
          <w:sz w:val="24"/>
          <w:szCs w:val="24"/>
        </w:rPr>
        <w:t xml:space="preserve">Under California’s ESSA State Plan, the lowest performing five percent of Title I–funded schools are identified based on the </w:t>
      </w:r>
      <w:r w:rsidR="00EB5CBB" w:rsidRPr="005C50E9">
        <w:rPr>
          <w:rFonts w:ascii="Arial" w:hAnsi="Arial" w:cs="Arial"/>
          <w:sz w:val="24"/>
          <w:szCs w:val="24"/>
        </w:rPr>
        <w:t xml:space="preserve">state indicator </w:t>
      </w:r>
      <w:r w:rsidRPr="005C50E9">
        <w:rPr>
          <w:rFonts w:ascii="Arial" w:hAnsi="Arial" w:cs="Arial"/>
          <w:sz w:val="24"/>
          <w:szCs w:val="24"/>
        </w:rPr>
        <w:t xml:space="preserve">data </w:t>
      </w:r>
      <w:r w:rsidR="00EB5CBB" w:rsidRPr="005C50E9">
        <w:rPr>
          <w:rFonts w:ascii="Arial" w:hAnsi="Arial" w:cs="Arial"/>
          <w:sz w:val="24"/>
          <w:szCs w:val="24"/>
        </w:rPr>
        <w:t xml:space="preserve">reported </w:t>
      </w:r>
      <w:r w:rsidRPr="005C50E9">
        <w:rPr>
          <w:rFonts w:ascii="Arial" w:hAnsi="Arial" w:cs="Arial"/>
          <w:sz w:val="24"/>
          <w:szCs w:val="24"/>
        </w:rPr>
        <w:t>in the Dashboard, using the color combinations that schools receive at the school level (i.e., not student group level). These color combinations were approved by the SBE at its July 2018 meeting</w:t>
      </w:r>
      <w:r w:rsidR="0047543F" w:rsidRPr="005C50E9">
        <w:rPr>
          <w:rFonts w:ascii="Arial" w:hAnsi="Arial" w:cs="Arial"/>
          <w:sz w:val="24"/>
          <w:szCs w:val="24"/>
        </w:rPr>
        <w:t xml:space="preserve"> </w:t>
      </w:r>
      <w:r w:rsidRPr="005C50E9">
        <w:rPr>
          <w:rFonts w:ascii="Arial" w:hAnsi="Arial" w:cs="Arial"/>
          <w:sz w:val="24"/>
          <w:szCs w:val="24"/>
        </w:rPr>
        <w:t>(</w:t>
      </w:r>
      <w:hyperlink r:id="rId15" w:tooltip="July 2018 SBE Meeting Item 02 Attachment 1" w:history="1">
        <w:r w:rsidRPr="005C50E9">
          <w:rPr>
            <w:rStyle w:val="Hyperlink"/>
            <w:rFonts w:ascii="Arial" w:hAnsi="Arial" w:cs="Arial"/>
            <w:sz w:val="24"/>
            <w:szCs w:val="24"/>
          </w:rPr>
          <w:t>https://www.cde.ca.gov/be/ag/ag/yr18/documents/jul18item02a1.docx</w:t>
        </w:r>
      </w:hyperlink>
      <w:r w:rsidR="0047543F" w:rsidRPr="005C50E9">
        <w:rPr>
          <w:rFonts w:ascii="Arial" w:hAnsi="Arial" w:cs="Arial"/>
          <w:sz w:val="24"/>
          <w:szCs w:val="24"/>
        </w:rPr>
        <w:t>):</w:t>
      </w:r>
      <w:r w:rsidR="00D62F71" w:rsidRPr="005C50E9">
        <w:rPr>
          <w:rFonts w:ascii="Arial" w:hAnsi="Arial" w:cs="Arial"/>
          <w:sz w:val="24"/>
          <w:szCs w:val="24"/>
        </w:rPr>
        <w:t xml:space="preserve"> </w:t>
      </w:r>
    </w:p>
    <w:p w14:paraId="63677830" w14:textId="77777777" w:rsidR="00F31D86" w:rsidRPr="005C50E9" w:rsidRDefault="00F31D86" w:rsidP="0071775B">
      <w:pPr>
        <w:pStyle w:val="ListParagraph"/>
        <w:numPr>
          <w:ilvl w:val="0"/>
          <w:numId w:val="37"/>
        </w:numPr>
        <w:spacing w:after="240" w:line="240" w:lineRule="auto"/>
        <w:rPr>
          <w:rFonts w:ascii="Arial" w:hAnsi="Arial" w:cs="Arial"/>
          <w:sz w:val="24"/>
          <w:szCs w:val="24"/>
        </w:rPr>
      </w:pPr>
      <w:r w:rsidRPr="005C50E9">
        <w:rPr>
          <w:rFonts w:ascii="Arial" w:hAnsi="Arial" w:cs="Arial"/>
          <w:sz w:val="24"/>
          <w:szCs w:val="24"/>
        </w:rPr>
        <w:t>Schools with all red indicators;</w:t>
      </w:r>
    </w:p>
    <w:p w14:paraId="137ABFFA" w14:textId="77777777" w:rsidR="0047543F" w:rsidRPr="005C50E9" w:rsidRDefault="00F31D86" w:rsidP="0071775B">
      <w:pPr>
        <w:pStyle w:val="ListParagraph"/>
        <w:numPr>
          <w:ilvl w:val="0"/>
          <w:numId w:val="37"/>
        </w:numPr>
        <w:spacing w:after="240" w:line="240" w:lineRule="auto"/>
        <w:rPr>
          <w:rFonts w:ascii="Arial" w:hAnsi="Arial" w:cs="Arial"/>
          <w:sz w:val="24"/>
          <w:szCs w:val="24"/>
        </w:rPr>
      </w:pPr>
      <w:r w:rsidRPr="005C50E9">
        <w:rPr>
          <w:rFonts w:ascii="Arial" w:hAnsi="Arial" w:cs="Arial"/>
          <w:sz w:val="24"/>
          <w:szCs w:val="24"/>
        </w:rPr>
        <w:t xml:space="preserve">Schools with all red but one </w:t>
      </w:r>
      <w:r w:rsidR="0047543F" w:rsidRPr="005C50E9">
        <w:rPr>
          <w:rFonts w:ascii="Arial" w:hAnsi="Arial" w:cs="Arial"/>
          <w:sz w:val="24"/>
          <w:szCs w:val="24"/>
        </w:rPr>
        <w:t>indicator of any other color;</w:t>
      </w:r>
    </w:p>
    <w:p w14:paraId="67239AEE" w14:textId="77777777" w:rsidR="0047543F" w:rsidRPr="005C50E9" w:rsidRDefault="00F31D86" w:rsidP="0071775B">
      <w:pPr>
        <w:pStyle w:val="ListParagraph"/>
        <w:numPr>
          <w:ilvl w:val="0"/>
          <w:numId w:val="37"/>
        </w:numPr>
        <w:spacing w:after="240" w:line="240" w:lineRule="auto"/>
        <w:rPr>
          <w:rFonts w:ascii="Arial" w:hAnsi="Arial" w:cs="Arial"/>
          <w:sz w:val="24"/>
          <w:szCs w:val="24"/>
        </w:rPr>
      </w:pPr>
      <w:r w:rsidRPr="005C50E9">
        <w:rPr>
          <w:rFonts w:ascii="Arial" w:hAnsi="Arial" w:cs="Arial"/>
          <w:sz w:val="24"/>
          <w:szCs w:val="24"/>
        </w:rPr>
        <w:t>Schools with five or more indicators where the majority are red</w:t>
      </w:r>
      <w:r w:rsidR="005B6CE6" w:rsidRPr="005C50E9">
        <w:rPr>
          <w:rFonts w:ascii="Arial" w:hAnsi="Arial" w:cs="Arial"/>
          <w:sz w:val="24"/>
          <w:szCs w:val="24"/>
        </w:rPr>
        <w:t>; and</w:t>
      </w:r>
    </w:p>
    <w:p w14:paraId="5BFB96BE" w14:textId="77777777" w:rsidR="0047543F" w:rsidRPr="005C50E9" w:rsidRDefault="005B6CE6" w:rsidP="0071775B">
      <w:pPr>
        <w:pStyle w:val="ListParagraph"/>
        <w:numPr>
          <w:ilvl w:val="0"/>
          <w:numId w:val="37"/>
        </w:numPr>
        <w:spacing w:after="240" w:line="240" w:lineRule="auto"/>
        <w:rPr>
          <w:rFonts w:ascii="Arial" w:hAnsi="Arial" w:cs="Arial"/>
          <w:sz w:val="24"/>
          <w:szCs w:val="24"/>
        </w:rPr>
      </w:pPr>
      <w:r w:rsidRPr="005C50E9">
        <w:rPr>
          <w:rFonts w:ascii="Arial" w:hAnsi="Arial" w:cs="Arial"/>
          <w:sz w:val="24"/>
          <w:szCs w:val="24"/>
        </w:rPr>
        <w:t>Schools with all red and orange indicators</w:t>
      </w:r>
      <w:r w:rsidR="00F31D86" w:rsidRPr="005C50E9">
        <w:rPr>
          <w:rFonts w:ascii="Arial" w:hAnsi="Arial" w:cs="Arial"/>
          <w:sz w:val="24"/>
          <w:szCs w:val="24"/>
        </w:rPr>
        <w:t>.</w:t>
      </w:r>
    </w:p>
    <w:p w14:paraId="5DD2E1A5" w14:textId="0AAD29BA" w:rsidR="0012516C" w:rsidRPr="005C50E9" w:rsidRDefault="009C4051" w:rsidP="0071775B">
      <w:pPr>
        <w:spacing w:after="240"/>
        <w:ind w:left="1440"/>
        <w:rPr>
          <w:rFonts w:cs="Arial"/>
        </w:rPr>
      </w:pPr>
      <w:r w:rsidRPr="005C50E9">
        <w:rPr>
          <w:rFonts w:cs="Arial"/>
        </w:rPr>
        <w:t>All four criteria are applied, and a school that meets any of the four criteria is identified</w:t>
      </w:r>
      <w:r w:rsidR="0099311E" w:rsidRPr="005C50E9">
        <w:rPr>
          <w:rFonts w:cs="Arial"/>
        </w:rPr>
        <w:t>.</w:t>
      </w:r>
      <w:r w:rsidR="00AF6A57" w:rsidRPr="005C50E9">
        <w:rPr>
          <w:rFonts w:cs="Arial"/>
        </w:rPr>
        <w:t xml:space="preserve"> </w:t>
      </w:r>
    </w:p>
    <w:p w14:paraId="7E2762FC" w14:textId="624EFFE9" w:rsidR="0012516C" w:rsidRPr="005C50E9" w:rsidRDefault="0012516C" w:rsidP="0071775B">
      <w:pPr>
        <w:spacing w:after="240"/>
        <w:rPr>
          <w:rFonts w:cs="Arial"/>
          <w:b/>
        </w:rPr>
      </w:pPr>
      <w:r w:rsidRPr="005C50E9">
        <w:rPr>
          <w:rFonts w:cs="Arial"/>
        </w:rPr>
        <w:lastRenderedPageBreak/>
        <w:t>Table 1 shows the number of schools identified for CSI based on colors received on state indicators</w:t>
      </w:r>
      <w:r w:rsidR="002E5358" w:rsidRPr="005C50E9">
        <w:rPr>
          <w:rFonts w:cs="Arial"/>
        </w:rPr>
        <w:t xml:space="preserve"> (i.e., criteria used to identify the lowest performing five percent of </w:t>
      </w:r>
      <w:r w:rsidR="00DB6C9A" w:rsidRPr="005C50E9">
        <w:rPr>
          <w:rFonts w:cs="Arial"/>
        </w:rPr>
        <w:t xml:space="preserve">Title I </w:t>
      </w:r>
      <w:r w:rsidR="002E5358" w:rsidRPr="005C50E9">
        <w:rPr>
          <w:rFonts w:cs="Arial"/>
        </w:rPr>
        <w:t>schools)</w:t>
      </w:r>
      <w:r w:rsidRPr="005C50E9">
        <w:rPr>
          <w:rFonts w:cs="Arial"/>
        </w:rPr>
        <w:t xml:space="preserve">. </w:t>
      </w:r>
    </w:p>
    <w:p w14:paraId="480D5AE7" w14:textId="77777777" w:rsidR="0012516C" w:rsidRPr="005C50E9" w:rsidRDefault="0012516C" w:rsidP="0071775B">
      <w:pPr>
        <w:spacing w:after="240"/>
        <w:rPr>
          <w:rFonts w:cs="Arial"/>
        </w:rPr>
      </w:pPr>
      <w:r w:rsidRPr="005C50E9">
        <w:rPr>
          <w:rFonts w:cs="Arial"/>
          <w:b/>
        </w:rPr>
        <w:t>Table 1: Number of Schools Identified for CSI by State Indicator Results: Breakdown by Color Performance</w:t>
      </w:r>
    </w:p>
    <w:tbl>
      <w:tblPr>
        <w:tblStyle w:val="TableGrid"/>
        <w:tblW w:w="5000" w:type="pct"/>
        <w:tblLook w:val="04A0" w:firstRow="1" w:lastRow="0" w:firstColumn="1" w:lastColumn="0" w:noHBand="0" w:noVBand="1"/>
        <w:tblDescription w:val="Table 1: Number of Schools Identified for CSI by State Indicator Results: Breakdown by Color Performance"/>
      </w:tblPr>
      <w:tblGrid>
        <w:gridCol w:w="6425"/>
        <w:gridCol w:w="2925"/>
      </w:tblGrid>
      <w:tr w:rsidR="0012516C" w:rsidRPr="005C50E9" w14:paraId="65E09289" w14:textId="77777777" w:rsidTr="0071775B">
        <w:trPr>
          <w:tblHeader/>
        </w:trPr>
        <w:tc>
          <w:tcPr>
            <w:tcW w:w="3436" w:type="pct"/>
            <w:shd w:val="clear" w:color="auto" w:fill="D9D9D9" w:themeFill="background1" w:themeFillShade="D9"/>
            <w:vAlign w:val="center"/>
          </w:tcPr>
          <w:p w14:paraId="43652569" w14:textId="77777777" w:rsidR="0012516C" w:rsidRPr="005C50E9" w:rsidRDefault="0012516C">
            <w:pPr>
              <w:jc w:val="center"/>
              <w:rPr>
                <w:rFonts w:cs="Arial"/>
                <w:b/>
              </w:rPr>
            </w:pPr>
            <w:r w:rsidRPr="005C50E9">
              <w:rPr>
                <w:rFonts w:cs="Arial"/>
                <w:b/>
              </w:rPr>
              <w:t xml:space="preserve">Color Criteria </w:t>
            </w:r>
          </w:p>
        </w:tc>
        <w:tc>
          <w:tcPr>
            <w:tcW w:w="1564" w:type="pct"/>
            <w:shd w:val="clear" w:color="auto" w:fill="D9D9D9" w:themeFill="background1" w:themeFillShade="D9"/>
            <w:vAlign w:val="center"/>
          </w:tcPr>
          <w:p w14:paraId="1A5910A7" w14:textId="77777777" w:rsidR="0012516C" w:rsidRPr="005C50E9" w:rsidRDefault="0012516C">
            <w:pPr>
              <w:jc w:val="center"/>
              <w:rPr>
                <w:rFonts w:cs="Arial"/>
                <w:b/>
              </w:rPr>
            </w:pPr>
            <w:r w:rsidRPr="005C50E9">
              <w:rPr>
                <w:rFonts w:cs="Arial"/>
                <w:b/>
              </w:rPr>
              <w:t>Number of Schools</w:t>
            </w:r>
          </w:p>
        </w:tc>
      </w:tr>
      <w:tr w:rsidR="0012516C" w:rsidRPr="005C50E9" w14:paraId="495EED1B" w14:textId="77777777" w:rsidTr="0071775B">
        <w:tc>
          <w:tcPr>
            <w:tcW w:w="3436" w:type="pct"/>
            <w:vAlign w:val="center"/>
          </w:tcPr>
          <w:p w14:paraId="736270A0" w14:textId="77777777" w:rsidR="0012516C" w:rsidRPr="005C50E9" w:rsidRDefault="0012516C">
            <w:pPr>
              <w:rPr>
                <w:rFonts w:cs="Arial"/>
              </w:rPr>
            </w:pPr>
            <w:r w:rsidRPr="005C50E9">
              <w:rPr>
                <w:rFonts w:cs="Arial"/>
              </w:rPr>
              <w:t>All Indicators Are Red</w:t>
            </w:r>
          </w:p>
        </w:tc>
        <w:tc>
          <w:tcPr>
            <w:tcW w:w="1564" w:type="pct"/>
            <w:vAlign w:val="center"/>
          </w:tcPr>
          <w:p w14:paraId="2287A8AE" w14:textId="77777777" w:rsidR="0012516C" w:rsidRPr="005C50E9" w:rsidRDefault="0012516C">
            <w:pPr>
              <w:jc w:val="center"/>
              <w:rPr>
                <w:rFonts w:cs="Arial"/>
              </w:rPr>
            </w:pPr>
            <w:r w:rsidRPr="005C50E9">
              <w:rPr>
                <w:rFonts w:cs="Arial"/>
              </w:rPr>
              <w:t>88</w:t>
            </w:r>
          </w:p>
        </w:tc>
      </w:tr>
      <w:tr w:rsidR="0012516C" w:rsidRPr="005C50E9" w14:paraId="2C97F75D" w14:textId="77777777" w:rsidTr="0071775B">
        <w:tc>
          <w:tcPr>
            <w:tcW w:w="3436" w:type="pct"/>
            <w:vAlign w:val="center"/>
          </w:tcPr>
          <w:p w14:paraId="59BB131A" w14:textId="77777777" w:rsidR="0012516C" w:rsidRPr="005C50E9" w:rsidRDefault="0012516C">
            <w:pPr>
              <w:rPr>
                <w:rFonts w:cs="Arial"/>
              </w:rPr>
            </w:pPr>
            <w:r w:rsidRPr="005C50E9">
              <w:rPr>
                <w:rFonts w:cs="Arial"/>
              </w:rPr>
              <w:t>All Indicators Are Red, Except One of Any Color</w:t>
            </w:r>
          </w:p>
        </w:tc>
        <w:tc>
          <w:tcPr>
            <w:tcW w:w="1564" w:type="pct"/>
            <w:vAlign w:val="center"/>
          </w:tcPr>
          <w:p w14:paraId="78D8B4AB" w14:textId="77777777" w:rsidR="0012516C" w:rsidRPr="005C50E9" w:rsidRDefault="0012516C">
            <w:pPr>
              <w:jc w:val="center"/>
              <w:rPr>
                <w:rFonts w:cs="Arial"/>
              </w:rPr>
            </w:pPr>
            <w:r w:rsidRPr="005C50E9">
              <w:rPr>
                <w:rFonts w:cs="Arial"/>
              </w:rPr>
              <w:t>134</w:t>
            </w:r>
          </w:p>
        </w:tc>
      </w:tr>
      <w:tr w:rsidR="0012516C" w:rsidRPr="005C50E9" w14:paraId="0EE9C9ED" w14:textId="77777777" w:rsidTr="0071775B">
        <w:tc>
          <w:tcPr>
            <w:tcW w:w="3436" w:type="pct"/>
            <w:vAlign w:val="center"/>
          </w:tcPr>
          <w:p w14:paraId="5CF96C59" w14:textId="77777777" w:rsidR="0012516C" w:rsidRPr="005C50E9" w:rsidRDefault="0012516C">
            <w:pPr>
              <w:rPr>
                <w:rFonts w:cs="Arial"/>
              </w:rPr>
            </w:pPr>
            <w:r w:rsidRPr="005C50E9">
              <w:rPr>
                <w:rFonts w:cs="Arial"/>
              </w:rPr>
              <w:t>Majority of Five or More Indicators Are Red</w:t>
            </w:r>
          </w:p>
        </w:tc>
        <w:tc>
          <w:tcPr>
            <w:tcW w:w="1564" w:type="pct"/>
            <w:vAlign w:val="center"/>
          </w:tcPr>
          <w:p w14:paraId="67BE69B2" w14:textId="77777777" w:rsidR="0012516C" w:rsidRPr="005C50E9" w:rsidRDefault="0012516C">
            <w:pPr>
              <w:jc w:val="center"/>
              <w:rPr>
                <w:rFonts w:cs="Arial"/>
              </w:rPr>
            </w:pPr>
            <w:r w:rsidRPr="005C50E9">
              <w:rPr>
                <w:rFonts w:cs="Arial"/>
              </w:rPr>
              <w:t>43</w:t>
            </w:r>
          </w:p>
        </w:tc>
      </w:tr>
      <w:tr w:rsidR="0012516C" w:rsidRPr="005C50E9" w14:paraId="51148F71" w14:textId="77777777" w:rsidTr="0071775B">
        <w:tc>
          <w:tcPr>
            <w:tcW w:w="3436" w:type="pct"/>
            <w:vAlign w:val="center"/>
          </w:tcPr>
          <w:p w14:paraId="39F45108" w14:textId="77777777" w:rsidR="0012516C" w:rsidRPr="005C50E9" w:rsidRDefault="0012516C">
            <w:pPr>
              <w:rPr>
                <w:rFonts w:cs="Arial"/>
              </w:rPr>
            </w:pPr>
            <w:r w:rsidRPr="005C50E9">
              <w:rPr>
                <w:rFonts w:cs="Arial"/>
              </w:rPr>
              <w:t xml:space="preserve">All Indicators Are Red </w:t>
            </w:r>
            <w:r w:rsidR="00DB6C9A" w:rsidRPr="005C50E9">
              <w:rPr>
                <w:rFonts w:cs="Arial"/>
              </w:rPr>
              <w:t xml:space="preserve">and </w:t>
            </w:r>
            <w:r w:rsidR="005203DF" w:rsidRPr="005C50E9">
              <w:rPr>
                <w:rFonts w:cs="Arial"/>
              </w:rPr>
              <w:t>O</w:t>
            </w:r>
            <w:r w:rsidRPr="005C50E9">
              <w:rPr>
                <w:rFonts w:cs="Arial"/>
              </w:rPr>
              <w:t>range</w:t>
            </w:r>
          </w:p>
        </w:tc>
        <w:tc>
          <w:tcPr>
            <w:tcW w:w="1564" w:type="pct"/>
            <w:vAlign w:val="center"/>
          </w:tcPr>
          <w:p w14:paraId="6CD561C4" w14:textId="77777777" w:rsidR="0012516C" w:rsidRPr="005C50E9" w:rsidRDefault="0012516C">
            <w:pPr>
              <w:jc w:val="center"/>
              <w:rPr>
                <w:rFonts w:cs="Arial"/>
              </w:rPr>
            </w:pPr>
            <w:r w:rsidRPr="005C50E9">
              <w:rPr>
                <w:rFonts w:cs="Arial"/>
              </w:rPr>
              <w:t>215</w:t>
            </w:r>
          </w:p>
        </w:tc>
      </w:tr>
      <w:tr w:rsidR="0012516C" w:rsidRPr="005C50E9" w14:paraId="71782A55" w14:textId="77777777" w:rsidTr="0071775B">
        <w:tc>
          <w:tcPr>
            <w:tcW w:w="3436" w:type="pct"/>
            <w:vAlign w:val="center"/>
          </w:tcPr>
          <w:p w14:paraId="1CCFC9FB" w14:textId="77777777" w:rsidR="0012516C" w:rsidRPr="005C50E9" w:rsidRDefault="0012516C">
            <w:pPr>
              <w:rPr>
                <w:rFonts w:cs="Arial"/>
              </w:rPr>
            </w:pPr>
            <w:r w:rsidRPr="005C50E9">
              <w:rPr>
                <w:rFonts w:cs="Arial"/>
              </w:rPr>
              <w:t xml:space="preserve">Total </w:t>
            </w:r>
          </w:p>
        </w:tc>
        <w:tc>
          <w:tcPr>
            <w:tcW w:w="1564" w:type="pct"/>
            <w:vAlign w:val="center"/>
          </w:tcPr>
          <w:p w14:paraId="6A84532F" w14:textId="77777777" w:rsidR="0012516C" w:rsidRPr="005C50E9" w:rsidRDefault="0012516C">
            <w:pPr>
              <w:jc w:val="center"/>
              <w:rPr>
                <w:rFonts w:cs="Arial"/>
              </w:rPr>
            </w:pPr>
            <w:r w:rsidRPr="005C50E9">
              <w:rPr>
                <w:rFonts w:cs="Arial"/>
              </w:rPr>
              <w:t>480</w:t>
            </w:r>
          </w:p>
        </w:tc>
      </w:tr>
    </w:tbl>
    <w:p w14:paraId="29FCED2D" w14:textId="77777777" w:rsidR="005255C2" w:rsidRPr="005C50E9" w:rsidRDefault="0012516C" w:rsidP="0071775B">
      <w:pPr>
        <w:spacing w:before="240" w:after="240"/>
        <w:rPr>
          <w:rFonts w:cs="Arial"/>
        </w:rPr>
      </w:pPr>
      <w:r w:rsidRPr="005C50E9">
        <w:rPr>
          <w:rFonts w:cs="Arial"/>
        </w:rPr>
        <w:t>Tables 2 and 3 p</w:t>
      </w:r>
      <w:r w:rsidR="00F517FA" w:rsidRPr="005C50E9">
        <w:rPr>
          <w:rFonts w:cs="Arial"/>
        </w:rPr>
        <w:t xml:space="preserve">rovide a breakdown of CSI-identified schools by </w:t>
      </w:r>
      <w:r w:rsidRPr="005C50E9">
        <w:rPr>
          <w:rFonts w:cs="Arial"/>
        </w:rPr>
        <w:t xml:space="preserve">DASS and </w:t>
      </w:r>
      <w:r w:rsidR="00C32BD4" w:rsidRPr="005C50E9">
        <w:rPr>
          <w:rFonts w:cs="Arial"/>
        </w:rPr>
        <w:t xml:space="preserve">non-DASS </w:t>
      </w:r>
      <w:r w:rsidRPr="005C50E9">
        <w:rPr>
          <w:rFonts w:cs="Arial"/>
        </w:rPr>
        <w:t>status.</w:t>
      </w:r>
    </w:p>
    <w:p w14:paraId="67239935" w14:textId="77777777" w:rsidR="0012516C" w:rsidRPr="005C50E9" w:rsidRDefault="0012516C" w:rsidP="0071775B">
      <w:pPr>
        <w:spacing w:after="240"/>
        <w:rPr>
          <w:rFonts w:cs="Arial"/>
          <w:b/>
        </w:rPr>
      </w:pPr>
      <w:r w:rsidRPr="005C50E9">
        <w:rPr>
          <w:rFonts w:cs="Arial"/>
          <w:b/>
        </w:rPr>
        <w:t>Table 2: Number of Schools Identified for CSI by State Indicator Results: Breakdown by DASS and Non-DASS Schools</w:t>
      </w:r>
    </w:p>
    <w:tbl>
      <w:tblPr>
        <w:tblStyle w:val="TableGrid"/>
        <w:tblW w:w="5000" w:type="pct"/>
        <w:tblLook w:val="04A0" w:firstRow="1" w:lastRow="0" w:firstColumn="1" w:lastColumn="0" w:noHBand="0" w:noVBand="1"/>
        <w:tblDescription w:val="Table 2: Number of Schools Identified for CSI by State Indicator Results: Breakdown by DASS and Non-DASS Schools"/>
      </w:tblPr>
      <w:tblGrid>
        <w:gridCol w:w="3989"/>
        <w:gridCol w:w="2496"/>
        <w:gridCol w:w="2865"/>
      </w:tblGrid>
      <w:tr w:rsidR="0012516C" w:rsidRPr="005C50E9" w14:paraId="25B510CF" w14:textId="77777777" w:rsidTr="0071775B">
        <w:trPr>
          <w:tblHeader/>
        </w:trPr>
        <w:tc>
          <w:tcPr>
            <w:tcW w:w="2133" w:type="pct"/>
            <w:shd w:val="clear" w:color="auto" w:fill="D9D9D9" w:themeFill="background1" w:themeFillShade="D9"/>
            <w:vAlign w:val="center"/>
          </w:tcPr>
          <w:p w14:paraId="5BB9797E" w14:textId="77777777" w:rsidR="0012516C" w:rsidRPr="005C50E9" w:rsidRDefault="0012516C">
            <w:pPr>
              <w:jc w:val="center"/>
              <w:rPr>
                <w:rFonts w:cs="Arial"/>
                <w:b/>
              </w:rPr>
            </w:pPr>
            <w:r w:rsidRPr="005C50E9">
              <w:rPr>
                <w:rFonts w:cs="Arial"/>
                <w:b/>
              </w:rPr>
              <w:t xml:space="preserve">Color Criteria </w:t>
            </w:r>
          </w:p>
        </w:tc>
        <w:tc>
          <w:tcPr>
            <w:tcW w:w="1335" w:type="pct"/>
            <w:shd w:val="clear" w:color="auto" w:fill="D9D9D9" w:themeFill="background1" w:themeFillShade="D9"/>
            <w:vAlign w:val="center"/>
          </w:tcPr>
          <w:p w14:paraId="7576BE8C" w14:textId="77777777" w:rsidR="0012516C" w:rsidRPr="005C50E9" w:rsidRDefault="0012516C">
            <w:pPr>
              <w:jc w:val="center"/>
              <w:rPr>
                <w:rFonts w:cs="Arial"/>
                <w:b/>
              </w:rPr>
            </w:pPr>
            <w:r w:rsidRPr="005C50E9">
              <w:rPr>
                <w:rFonts w:cs="Arial"/>
                <w:b/>
              </w:rPr>
              <w:t>Number of DASS Schools</w:t>
            </w:r>
          </w:p>
        </w:tc>
        <w:tc>
          <w:tcPr>
            <w:tcW w:w="1532" w:type="pct"/>
            <w:shd w:val="clear" w:color="auto" w:fill="D9D9D9" w:themeFill="background1" w:themeFillShade="D9"/>
          </w:tcPr>
          <w:p w14:paraId="6778F0A6" w14:textId="77777777" w:rsidR="0012516C" w:rsidRPr="005C50E9" w:rsidRDefault="0012516C">
            <w:pPr>
              <w:jc w:val="center"/>
              <w:rPr>
                <w:rFonts w:cs="Arial"/>
                <w:b/>
              </w:rPr>
            </w:pPr>
            <w:r w:rsidRPr="005C50E9">
              <w:rPr>
                <w:rFonts w:cs="Arial"/>
                <w:b/>
              </w:rPr>
              <w:t>Number of Non-DASS Schools</w:t>
            </w:r>
          </w:p>
        </w:tc>
      </w:tr>
      <w:tr w:rsidR="0012516C" w:rsidRPr="005C50E9" w14:paraId="5E8E744E" w14:textId="77777777" w:rsidTr="0071775B">
        <w:tc>
          <w:tcPr>
            <w:tcW w:w="2133" w:type="pct"/>
            <w:vAlign w:val="center"/>
          </w:tcPr>
          <w:p w14:paraId="2E529C62" w14:textId="77777777" w:rsidR="0012516C" w:rsidRPr="005C50E9" w:rsidRDefault="0012516C">
            <w:pPr>
              <w:rPr>
                <w:rFonts w:cs="Arial"/>
              </w:rPr>
            </w:pPr>
            <w:r w:rsidRPr="005C50E9">
              <w:rPr>
                <w:rFonts w:cs="Arial"/>
              </w:rPr>
              <w:t>All Indicators Are Red</w:t>
            </w:r>
          </w:p>
        </w:tc>
        <w:tc>
          <w:tcPr>
            <w:tcW w:w="1335" w:type="pct"/>
            <w:vAlign w:val="center"/>
          </w:tcPr>
          <w:p w14:paraId="32462482" w14:textId="77777777" w:rsidR="0012516C" w:rsidRPr="005C50E9" w:rsidRDefault="0012516C">
            <w:pPr>
              <w:jc w:val="center"/>
              <w:rPr>
                <w:rFonts w:cs="Arial"/>
              </w:rPr>
            </w:pPr>
            <w:r w:rsidRPr="005C50E9">
              <w:rPr>
                <w:rFonts w:cs="Arial"/>
              </w:rPr>
              <w:t>67</w:t>
            </w:r>
          </w:p>
        </w:tc>
        <w:tc>
          <w:tcPr>
            <w:tcW w:w="1532" w:type="pct"/>
            <w:vAlign w:val="center"/>
          </w:tcPr>
          <w:p w14:paraId="47F35EF3" w14:textId="77777777" w:rsidR="0012516C" w:rsidRPr="005C50E9" w:rsidRDefault="0012516C">
            <w:pPr>
              <w:jc w:val="center"/>
              <w:rPr>
                <w:rFonts w:cs="Arial"/>
              </w:rPr>
            </w:pPr>
            <w:r w:rsidRPr="005C50E9">
              <w:rPr>
                <w:rFonts w:cs="Arial"/>
              </w:rPr>
              <w:t>21</w:t>
            </w:r>
          </w:p>
        </w:tc>
      </w:tr>
      <w:tr w:rsidR="0012516C" w:rsidRPr="005C50E9" w14:paraId="477D6D60" w14:textId="77777777" w:rsidTr="0071775B">
        <w:tc>
          <w:tcPr>
            <w:tcW w:w="2133" w:type="pct"/>
            <w:vAlign w:val="center"/>
          </w:tcPr>
          <w:p w14:paraId="1A10C0FC" w14:textId="77777777" w:rsidR="0012516C" w:rsidRPr="005C50E9" w:rsidRDefault="0012516C">
            <w:pPr>
              <w:rPr>
                <w:rFonts w:cs="Arial"/>
              </w:rPr>
            </w:pPr>
            <w:r w:rsidRPr="005C50E9">
              <w:rPr>
                <w:rFonts w:cs="Arial"/>
              </w:rPr>
              <w:t>All Indicators Are Red, Except One of Any Color</w:t>
            </w:r>
          </w:p>
        </w:tc>
        <w:tc>
          <w:tcPr>
            <w:tcW w:w="1335" w:type="pct"/>
            <w:vAlign w:val="center"/>
          </w:tcPr>
          <w:p w14:paraId="0FC84590" w14:textId="77777777" w:rsidR="0012516C" w:rsidRPr="005C50E9" w:rsidRDefault="0012516C">
            <w:pPr>
              <w:jc w:val="center"/>
              <w:rPr>
                <w:rFonts w:cs="Arial"/>
              </w:rPr>
            </w:pPr>
            <w:r w:rsidRPr="005C50E9">
              <w:rPr>
                <w:rFonts w:cs="Arial"/>
              </w:rPr>
              <w:t>38</w:t>
            </w:r>
          </w:p>
        </w:tc>
        <w:tc>
          <w:tcPr>
            <w:tcW w:w="1532" w:type="pct"/>
            <w:vAlign w:val="center"/>
          </w:tcPr>
          <w:p w14:paraId="112159C4" w14:textId="77777777" w:rsidR="0012516C" w:rsidRPr="005C50E9" w:rsidRDefault="0012516C">
            <w:pPr>
              <w:jc w:val="center"/>
              <w:rPr>
                <w:rFonts w:cs="Arial"/>
              </w:rPr>
            </w:pPr>
            <w:r w:rsidRPr="005C50E9">
              <w:rPr>
                <w:rFonts w:cs="Arial"/>
              </w:rPr>
              <w:t>96</w:t>
            </w:r>
          </w:p>
        </w:tc>
      </w:tr>
      <w:tr w:rsidR="0012516C" w:rsidRPr="005C50E9" w14:paraId="06ECE5CD" w14:textId="77777777" w:rsidTr="0071775B">
        <w:tc>
          <w:tcPr>
            <w:tcW w:w="2133" w:type="pct"/>
            <w:vAlign w:val="center"/>
          </w:tcPr>
          <w:p w14:paraId="31D9C60E" w14:textId="77777777" w:rsidR="0012516C" w:rsidRPr="005C50E9" w:rsidRDefault="0012516C">
            <w:pPr>
              <w:rPr>
                <w:rFonts w:cs="Arial"/>
              </w:rPr>
            </w:pPr>
            <w:r w:rsidRPr="005C50E9">
              <w:rPr>
                <w:rFonts w:cs="Arial"/>
              </w:rPr>
              <w:t>Majority of Five or More Indicators Are Red</w:t>
            </w:r>
          </w:p>
        </w:tc>
        <w:tc>
          <w:tcPr>
            <w:tcW w:w="1335" w:type="pct"/>
            <w:vAlign w:val="center"/>
          </w:tcPr>
          <w:p w14:paraId="0A8FDA2F" w14:textId="77777777" w:rsidR="0012516C" w:rsidRPr="005C50E9" w:rsidRDefault="0012516C">
            <w:pPr>
              <w:jc w:val="center"/>
              <w:rPr>
                <w:rFonts w:cs="Arial"/>
              </w:rPr>
            </w:pPr>
            <w:r w:rsidRPr="005C50E9">
              <w:rPr>
                <w:rFonts w:cs="Arial"/>
              </w:rPr>
              <w:t>23</w:t>
            </w:r>
          </w:p>
        </w:tc>
        <w:tc>
          <w:tcPr>
            <w:tcW w:w="1532" w:type="pct"/>
            <w:vAlign w:val="center"/>
          </w:tcPr>
          <w:p w14:paraId="4BB20169" w14:textId="77777777" w:rsidR="0012516C" w:rsidRPr="005C50E9" w:rsidRDefault="0012516C">
            <w:pPr>
              <w:jc w:val="center"/>
              <w:rPr>
                <w:rFonts w:cs="Arial"/>
              </w:rPr>
            </w:pPr>
            <w:r w:rsidRPr="005C50E9">
              <w:rPr>
                <w:rFonts w:cs="Arial"/>
              </w:rPr>
              <w:t>20</w:t>
            </w:r>
          </w:p>
        </w:tc>
      </w:tr>
      <w:tr w:rsidR="0012516C" w:rsidRPr="005C50E9" w14:paraId="0C76017E" w14:textId="77777777" w:rsidTr="0071775B">
        <w:tc>
          <w:tcPr>
            <w:tcW w:w="2133" w:type="pct"/>
            <w:vAlign w:val="center"/>
          </w:tcPr>
          <w:p w14:paraId="493895FB" w14:textId="77777777" w:rsidR="0012516C" w:rsidRPr="005C50E9" w:rsidRDefault="0012516C">
            <w:pPr>
              <w:rPr>
                <w:rFonts w:cs="Arial"/>
              </w:rPr>
            </w:pPr>
            <w:r w:rsidRPr="005C50E9">
              <w:rPr>
                <w:rFonts w:cs="Arial"/>
              </w:rPr>
              <w:t xml:space="preserve">All Indicators Are Red </w:t>
            </w:r>
            <w:r w:rsidR="00762A8F" w:rsidRPr="005C50E9">
              <w:rPr>
                <w:rFonts w:cs="Arial"/>
              </w:rPr>
              <w:t xml:space="preserve">and </w:t>
            </w:r>
            <w:r w:rsidRPr="005C50E9">
              <w:rPr>
                <w:rFonts w:cs="Arial"/>
              </w:rPr>
              <w:t>Orange</w:t>
            </w:r>
          </w:p>
        </w:tc>
        <w:tc>
          <w:tcPr>
            <w:tcW w:w="1335" w:type="pct"/>
            <w:vAlign w:val="center"/>
          </w:tcPr>
          <w:p w14:paraId="1ADE93FB" w14:textId="77777777" w:rsidR="0012516C" w:rsidRPr="005C50E9" w:rsidRDefault="0012516C">
            <w:pPr>
              <w:jc w:val="center"/>
              <w:rPr>
                <w:rFonts w:cs="Arial"/>
              </w:rPr>
            </w:pPr>
            <w:r w:rsidRPr="005C50E9">
              <w:rPr>
                <w:rFonts w:cs="Arial"/>
              </w:rPr>
              <w:t>4</w:t>
            </w:r>
          </w:p>
        </w:tc>
        <w:tc>
          <w:tcPr>
            <w:tcW w:w="1532" w:type="pct"/>
            <w:vAlign w:val="center"/>
          </w:tcPr>
          <w:p w14:paraId="67DFB6D5" w14:textId="77777777" w:rsidR="0012516C" w:rsidRPr="005C50E9" w:rsidRDefault="0012516C">
            <w:pPr>
              <w:jc w:val="center"/>
              <w:rPr>
                <w:rFonts w:cs="Arial"/>
              </w:rPr>
            </w:pPr>
            <w:r w:rsidRPr="005C50E9">
              <w:rPr>
                <w:rFonts w:cs="Arial"/>
              </w:rPr>
              <w:t>211</w:t>
            </w:r>
          </w:p>
        </w:tc>
      </w:tr>
      <w:tr w:rsidR="0012516C" w:rsidRPr="005C50E9" w14:paraId="73D2387D" w14:textId="77777777" w:rsidTr="0071775B">
        <w:tc>
          <w:tcPr>
            <w:tcW w:w="2133" w:type="pct"/>
            <w:vAlign w:val="center"/>
          </w:tcPr>
          <w:p w14:paraId="2623F8C5" w14:textId="77777777" w:rsidR="0012516C" w:rsidRPr="005C50E9" w:rsidRDefault="0012516C">
            <w:pPr>
              <w:rPr>
                <w:rFonts w:cs="Arial"/>
              </w:rPr>
            </w:pPr>
            <w:r w:rsidRPr="005C50E9">
              <w:rPr>
                <w:rFonts w:cs="Arial"/>
              </w:rPr>
              <w:t xml:space="preserve">Total </w:t>
            </w:r>
          </w:p>
        </w:tc>
        <w:tc>
          <w:tcPr>
            <w:tcW w:w="1335" w:type="pct"/>
            <w:vAlign w:val="center"/>
          </w:tcPr>
          <w:p w14:paraId="4D0B67AC" w14:textId="77777777" w:rsidR="0012516C" w:rsidRPr="005C50E9" w:rsidRDefault="0012516C">
            <w:pPr>
              <w:jc w:val="center"/>
              <w:rPr>
                <w:rFonts w:cs="Arial"/>
              </w:rPr>
            </w:pPr>
            <w:r w:rsidRPr="005C50E9">
              <w:rPr>
                <w:rFonts w:cs="Arial"/>
              </w:rPr>
              <w:t>132</w:t>
            </w:r>
          </w:p>
        </w:tc>
        <w:tc>
          <w:tcPr>
            <w:tcW w:w="1532" w:type="pct"/>
            <w:vAlign w:val="center"/>
          </w:tcPr>
          <w:p w14:paraId="4994FD9C" w14:textId="77777777" w:rsidR="0012516C" w:rsidRPr="005C50E9" w:rsidRDefault="0012516C">
            <w:pPr>
              <w:jc w:val="center"/>
              <w:rPr>
                <w:rFonts w:cs="Arial"/>
              </w:rPr>
            </w:pPr>
            <w:r w:rsidRPr="005C50E9">
              <w:rPr>
                <w:rFonts w:cs="Arial"/>
              </w:rPr>
              <w:t>348</w:t>
            </w:r>
          </w:p>
        </w:tc>
      </w:tr>
    </w:tbl>
    <w:p w14:paraId="62CE060C" w14:textId="77777777" w:rsidR="0012516C" w:rsidRPr="005C50E9" w:rsidRDefault="0012516C" w:rsidP="0071775B">
      <w:pPr>
        <w:spacing w:before="240" w:after="240"/>
        <w:rPr>
          <w:rFonts w:cs="Arial"/>
        </w:rPr>
      </w:pPr>
      <w:r w:rsidRPr="005C50E9">
        <w:rPr>
          <w:rFonts w:cs="Arial"/>
          <w:b/>
        </w:rPr>
        <w:t>Table 3: Number of Schools Identified for CSI by State Indicator Results: Breakdown by Charter and Non-Charter Schools</w:t>
      </w:r>
    </w:p>
    <w:tbl>
      <w:tblPr>
        <w:tblStyle w:val="TableGrid"/>
        <w:tblW w:w="5000" w:type="pct"/>
        <w:tblLook w:val="04A0" w:firstRow="1" w:lastRow="0" w:firstColumn="1" w:lastColumn="0" w:noHBand="0" w:noVBand="1"/>
        <w:tblDescription w:val="Table 3: Number of Schools Identified for CSI by State Indicator Results: Breakdown by Charter and Non-Charter Schools"/>
      </w:tblPr>
      <w:tblGrid>
        <w:gridCol w:w="3875"/>
        <w:gridCol w:w="2562"/>
        <w:gridCol w:w="2913"/>
      </w:tblGrid>
      <w:tr w:rsidR="0012516C" w:rsidRPr="005C50E9" w14:paraId="0576D77F" w14:textId="77777777" w:rsidTr="0071775B">
        <w:trPr>
          <w:tblHeader/>
        </w:trPr>
        <w:tc>
          <w:tcPr>
            <w:tcW w:w="2072" w:type="pct"/>
            <w:shd w:val="clear" w:color="auto" w:fill="D9D9D9" w:themeFill="background1" w:themeFillShade="D9"/>
            <w:vAlign w:val="center"/>
          </w:tcPr>
          <w:p w14:paraId="14CAF745" w14:textId="77777777" w:rsidR="0012516C" w:rsidRPr="005C50E9" w:rsidRDefault="0012516C">
            <w:pPr>
              <w:jc w:val="center"/>
              <w:rPr>
                <w:rFonts w:cs="Arial"/>
                <w:b/>
              </w:rPr>
            </w:pPr>
            <w:r w:rsidRPr="005C50E9">
              <w:rPr>
                <w:rFonts w:cs="Arial"/>
                <w:b/>
              </w:rPr>
              <w:t xml:space="preserve">Color Criteria </w:t>
            </w:r>
          </w:p>
        </w:tc>
        <w:tc>
          <w:tcPr>
            <w:tcW w:w="1370" w:type="pct"/>
            <w:shd w:val="clear" w:color="auto" w:fill="D9D9D9" w:themeFill="background1" w:themeFillShade="D9"/>
            <w:vAlign w:val="center"/>
          </w:tcPr>
          <w:p w14:paraId="497CBDAD" w14:textId="77777777" w:rsidR="0012516C" w:rsidRPr="005C50E9" w:rsidRDefault="0012516C">
            <w:pPr>
              <w:jc w:val="center"/>
              <w:rPr>
                <w:rFonts w:cs="Arial"/>
                <w:b/>
              </w:rPr>
            </w:pPr>
            <w:r w:rsidRPr="005C50E9">
              <w:rPr>
                <w:rFonts w:cs="Arial"/>
                <w:b/>
              </w:rPr>
              <w:t>Number of Charter Schools</w:t>
            </w:r>
          </w:p>
        </w:tc>
        <w:tc>
          <w:tcPr>
            <w:tcW w:w="1558" w:type="pct"/>
            <w:shd w:val="clear" w:color="auto" w:fill="D9D9D9" w:themeFill="background1" w:themeFillShade="D9"/>
          </w:tcPr>
          <w:p w14:paraId="518564BF" w14:textId="77777777" w:rsidR="0012516C" w:rsidRPr="005C50E9" w:rsidRDefault="0012516C">
            <w:pPr>
              <w:jc w:val="center"/>
              <w:rPr>
                <w:rFonts w:cs="Arial"/>
                <w:b/>
              </w:rPr>
            </w:pPr>
            <w:r w:rsidRPr="005C50E9">
              <w:rPr>
                <w:rFonts w:cs="Arial"/>
                <w:b/>
              </w:rPr>
              <w:t>Number of Non-Charter Schools</w:t>
            </w:r>
          </w:p>
        </w:tc>
      </w:tr>
      <w:tr w:rsidR="0012516C" w:rsidRPr="005C50E9" w14:paraId="2337729B" w14:textId="77777777" w:rsidTr="0071775B">
        <w:tc>
          <w:tcPr>
            <w:tcW w:w="2072" w:type="pct"/>
            <w:vAlign w:val="center"/>
          </w:tcPr>
          <w:p w14:paraId="3B35CA06" w14:textId="77777777" w:rsidR="0012516C" w:rsidRPr="005C50E9" w:rsidRDefault="0012516C">
            <w:pPr>
              <w:rPr>
                <w:rFonts w:cs="Arial"/>
              </w:rPr>
            </w:pPr>
            <w:r w:rsidRPr="005C50E9">
              <w:rPr>
                <w:rFonts w:cs="Arial"/>
              </w:rPr>
              <w:t>All Indicators Are Red</w:t>
            </w:r>
          </w:p>
        </w:tc>
        <w:tc>
          <w:tcPr>
            <w:tcW w:w="1370" w:type="pct"/>
            <w:vAlign w:val="center"/>
          </w:tcPr>
          <w:p w14:paraId="19942C70" w14:textId="77777777" w:rsidR="0012516C" w:rsidRPr="005C50E9" w:rsidRDefault="0012516C">
            <w:pPr>
              <w:jc w:val="center"/>
              <w:rPr>
                <w:rFonts w:cs="Arial"/>
              </w:rPr>
            </w:pPr>
            <w:r w:rsidRPr="005C50E9">
              <w:rPr>
                <w:rFonts w:cs="Arial"/>
              </w:rPr>
              <w:t>5</w:t>
            </w:r>
          </w:p>
        </w:tc>
        <w:tc>
          <w:tcPr>
            <w:tcW w:w="1558" w:type="pct"/>
            <w:vAlign w:val="center"/>
          </w:tcPr>
          <w:p w14:paraId="64797983" w14:textId="77777777" w:rsidR="0012516C" w:rsidRPr="005C50E9" w:rsidRDefault="0012516C">
            <w:pPr>
              <w:jc w:val="center"/>
              <w:rPr>
                <w:rFonts w:cs="Arial"/>
              </w:rPr>
            </w:pPr>
            <w:r w:rsidRPr="005C50E9">
              <w:rPr>
                <w:rFonts w:cs="Arial"/>
              </w:rPr>
              <w:t>83</w:t>
            </w:r>
          </w:p>
        </w:tc>
      </w:tr>
      <w:tr w:rsidR="0012516C" w:rsidRPr="005C50E9" w14:paraId="03CBC048" w14:textId="77777777" w:rsidTr="0071775B">
        <w:tc>
          <w:tcPr>
            <w:tcW w:w="2072" w:type="pct"/>
            <w:vAlign w:val="center"/>
          </w:tcPr>
          <w:p w14:paraId="213459E2" w14:textId="77777777" w:rsidR="0012516C" w:rsidRPr="005C50E9" w:rsidRDefault="0012516C">
            <w:pPr>
              <w:rPr>
                <w:rFonts w:cs="Arial"/>
              </w:rPr>
            </w:pPr>
            <w:r w:rsidRPr="005C50E9">
              <w:rPr>
                <w:rFonts w:cs="Arial"/>
              </w:rPr>
              <w:t>All Indicators Are Red, Except One of Any Color</w:t>
            </w:r>
          </w:p>
        </w:tc>
        <w:tc>
          <w:tcPr>
            <w:tcW w:w="1370" w:type="pct"/>
            <w:vAlign w:val="center"/>
          </w:tcPr>
          <w:p w14:paraId="70690811" w14:textId="77777777" w:rsidR="0012516C" w:rsidRPr="005C50E9" w:rsidRDefault="0012516C">
            <w:pPr>
              <w:jc w:val="center"/>
              <w:rPr>
                <w:rFonts w:cs="Arial"/>
              </w:rPr>
            </w:pPr>
            <w:r w:rsidRPr="005C50E9">
              <w:rPr>
                <w:rFonts w:cs="Arial"/>
              </w:rPr>
              <w:t>11</w:t>
            </w:r>
          </w:p>
        </w:tc>
        <w:tc>
          <w:tcPr>
            <w:tcW w:w="1558" w:type="pct"/>
            <w:vAlign w:val="center"/>
          </w:tcPr>
          <w:p w14:paraId="086773A2" w14:textId="77777777" w:rsidR="0012516C" w:rsidRPr="005C50E9" w:rsidRDefault="0012516C">
            <w:pPr>
              <w:jc w:val="center"/>
              <w:rPr>
                <w:rFonts w:cs="Arial"/>
              </w:rPr>
            </w:pPr>
            <w:r w:rsidRPr="005C50E9">
              <w:rPr>
                <w:rFonts w:cs="Arial"/>
              </w:rPr>
              <w:t>123</w:t>
            </w:r>
          </w:p>
        </w:tc>
      </w:tr>
      <w:tr w:rsidR="0012516C" w:rsidRPr="005C50E9" w14:paraId="0C2A291D" w14:textId="77777777" w:rsidTr="0071775B">
        <w:tc>
          <w:tcPr>
            <w:tcW w:w="2072" w:type="pct"/>
            <w:vAlign w:val="center"/>
          </w:tcPr>
          <w:p w14:paraId="3A9C4700" w14:textId="77777777" w:rsidR="0012516C" w:rsidRPr="005C50E9" w:rsidRDefault="0012516C">
            <w:pPr>
              <w:rPr>
                <w:rFonts w:cs="Arial"/>
              </w:rPr>
            </w:pPr>
            <w:r w:rsidRPr="005C50E9">
              <w:rPr>
                <w:rFonts w:cs="Arial"/>
              </w:rPr>
              <w:t>Majority of Five or More Indicators Are Red</w:t>
            </w:r>
          </w:p>
        </w:tc>
        <w:tc>
          <w:tcPr>
            <w:tcW w:w="1370" w:type="pct"/>
            <w:vAlign w:val="center"/>
          </w:tcPr>
          <w:p w14:paraId="185C915C" w14:textId="77777777" w:rsidR="0012516C" w:rsidRPr="005C50E9" w:rsidRDefault="0012516C">
            <w:pPr>
              <w:jc w:val="center"/>
              <w:rPr>
                <w:rFonts w:cs="Arial"/>
              </w:rPr>
            </w:pPr>
            <w:r w:rsidRPr="005C50E9">
              <w:rPr>
                <w:rFonts w:cs="Arial"/>
              </w:rPr>
              <w:t>4</w:t>
            </w:r>
          </w:p>
        </w:tc>
        <w:tc>
          <w:tcPr>
            <w:tcW w:w="1558" w:type="pct"/>
            <w:vAlign w:val="center"/>
          </w:tcPr>
          <w:p w14:paraId="32413F67" w14:textId="77777777" w:rsidR="0012516C" w:rsidRPr="005C50E9" w:rsidRDefault="0012516C">
            <w:pPr>
              <w:jc w:val="center"/>
              <w:rPr>
                <w:rFonts w:cs="Arial"/>
              </w:rPr>
            </w:pPr>
            <w:r w:rsidRPr="005C50E9">
              <w:rPr>
                <w:rFonts w:cs="Arial"/>
              </w:rPr>
              <w:t>39</w:t>
            </w:r>
          </w:p>
        </w:tc>
      </w:tr>
      <w:tr w:rsidR="0012516C" w:rsidRPr="005C50E9" w14:paraId="496DA915" w14:textId="77777777" w:rsidTr="0071775B">
        <w:tc>
          <w:tcPr>
            <w:tcW w:w="2072" w:type="pct"/>
            <w:vAlign w:val="center"/>
          </w:tcPr>
          <w:p w14:paraId="4877F714" w14:textId="77777777" w:rsidR="0012516C" w:rsidRPr="005C50E9" w:rsidRDefault="0012516C">
            <w:pPr>
              <w:rPr>
                <w:rFonts w:cs="Arial"/>
              </w:rPr>
            </w:pPr>
            <w:r w:rsidRPr="005C50E9">
              <w:rPr>
                <w:rFonts w:cs="Arial"/>
              </w:rPr>
              <w:t xml:space="preserve">All Indicators Are Red </w:t>
            </w:r>
            <w:r w:rsidR="00762A8F" w:rsidRPr="005C50E9">
              <w:rPr>
                <w:rFonts w:cs="Arial"/>
              </w:rPr>
              <w:t>and</w:t>
            </w:r>
            <w:r w:rsidRPr="005C50E9">
              <w:rPr>
                <w:rFonts w:cs="Arial"/>
              </w:rPr>
              <w:t xml:space="preserve"> Orange</w:t>
            </w:r>
          </w:p>
        </w:tc>
        <w:tc>
          <w:tcPr>
            <w:tcW w:w="1370" w:type="pct"/>
            <w:vAlign w:val="center"/>
          </w:tcPr>
          <w:p w14:paraId="3D4EA749" w14:textId="77777777" w:rsidR="0012516C" w:rsidRPr="005C50E9" w:rsidRDefault="0012516C">
            <w:pPr>
              <w:jc w:val="center"/>
              <w:rPr>
                <w:rFonts w:cs="Arial"/>
              </w:rPr>
            </w:pPr>
            <w:r w:rsidRPr="005C50E9">
              <w:rPr>
                <w:rFonts w:cs="Arial"/>
              </w:rPr>
              <w:t>14</w:t>
            </w:r>
          </w:p>
        </w:tc>
        <w:tc>
          <w:tcPr>
            <w:tcW w:w="1558" w:type="pct"/>
            <w:vAlign w:val="center"/>
          </w:tcPr>
          <w:p w14:paraId="0D748060" w14:textId="77777777" w:rsidR="0012516C" w:rsidRPr="005C50E9" w:rsidRDefault="0012516C">
            <w:pPr>
              <w:jc w:val="center"/>
              <w:rPr>
                <w:rFonts w:cs="Arial"/>
              </w:rPr>
            </w:pPr>
            <w:r w:rsidRPr="005C50E9">
              <w:rPr>
                <w:rFonts w:cs="Arial"/>
              </w:rPr>
              <w:t>201</w:t>
            </w:r>
          </w:p>
        </w:tc>
      </w:tr>
      <w:tr w:rsidR="0012516C" w:rsidRPr="005C50E9" w14:paraId="0B9C966D" w14:textId="77777777" w:rsidTr="0071775B">
        <w:tc>
          <w:tcPr>
            <w:tcW w:w="2072" w:type="pct"/>
            <w:vAlign w:val="center"/>
          </w:tcPr>
          <w:p w14:paraId="0EFC6C0A" w14:textId="77777777" w:rsidR="0012516C" w:rsidRPr="005C50E9" w:rsidRDefault="0012516C">
            <w:pPr>
              <w:rPr>
                <w:rFonts w:cs="Arial"/>
              </w:rPr>
            </w:pPr>
            <w:r w:rsidRPr="005C50E9">
              <w:rPr>
                <w:rFonts w:cs="Arial"/>
              </w:rPr>
              <w:t xml:space="preserve">Total </w:t>
            </w:r>
          </w:p>
        </w:tc>
        <w:tc>
          <w:tcPr>
            <w:tcW w:w="1370" w:type="pct"/>
            <w:vAlign w:val="center"/>
          </w:tcPr>
          <w:p w14:paraId="04C97435" w14:textId="77777777" w:rsidR="0012516C" w:rsidRPr="005C50E9" w:rsidRDefault="0012516C">
            <w:pPr>
              <w:jc w:val="center"/>
              <w:rPr>
                <w:rFonts w:cs="Arial"/>
              </w:rPr>
            </w:pPr>
            <w:r w:rsidRPr="005C50E9">
              <w:rPr>
                <w:rFonts w:cs="Arial"/>
              </w:rPr>
              <w:t>34</w:t>
            </w:r>
          </w:p>
        </w:tc>
        <w:tc>
          <w:tcPr>
            <w:tcW w:w="1558" w:type="pct"/>
            <w:vAlign w:val="center"/>
          </w:tcPr>
          <w:p w14:paraId="3F7BCE0D" w14:textId="77777777" w:rsidR="0012516C" w:rsidRPr="005C50E9" w:rsidRDefault="0012516C">
            <w:pPr>
              <w:jc w:val="center"/>
              <w:rPr>
                <w:rFonts w:cs="Arial"/>
              </w:rPr>
            </w:pPr>
            <w:r w:rsidRPr="005C50E9">
              <w:rPr>
                <w:rFonts w:cs="Arial"/>
              </w:rPr>
              <w:t>446</w:t>
            </w:r>
          </w:p>
        </w:tc>
      </w:tr>
    </w:tbl>
    <w:p w14:paraId="114394F0" w14:textId="2E10D6EB" w:rsidR="00F9712B" w:rsidRPr="005C50E9" w:rsidRDefault="002E5358" w:rsidP="0071775B">
      <w:pPr>
        <w:spacing w:before="240" w:after="240"/>
        <w:rPr>
          <w:rFonts w:cs="Arial"/>
        </w:rPr>
      </w:pPr>
      <w:r w:rsidRPr="005C50E9">
        <w:rPr>
          <w:rFonts w:cs="Arial"/>
        </w:rPr>
        <w:t xml:space="preserve">Please note that one CSI school is not included in Tables 1 through </w:t>
      </w:r>
      <w:r w:rsidR="00742F6B" w:rsidRPr="005C50E9">
        <w:rPr>
          <w:rFonts w:cs="Arial"/>
        </w:rPr>
        <w:t>3</w:t>
      </w:r>
      <w:r w:rsidRPr="005C50E9">
        <w:rPr>
          <w:rFonts w:cs="Arial"/>
        </w:rPr>
        <w:t xml:space="preserve"> because of its small </w:t>
      </w:r>
      <w:proofErr w:type="spellStart"/>
      <w:r w:rsidRPr="005C50E9">
        <w:rPr>
          <w:rFonts w:cs="Arial"/>
          <w:i/>
        </w:rPr>
        <w:t>n</w:t>
      </w:r>
      <w:proofErr w:type="spellEnd"/>
      <w:r w:rsidR="00742F6B" w:rsidRPr="005C50E9">
        <w:rPr>
          <w:rFonts w:cs="Arial"/>
        </w:rPr>
        <w:t xml:space="preserve"> size (less than 30 students);</w:t>
      </w:r>
      <w:r w:rsidRPr="005C50E9">
        <w:rPr>
          <w:rFonts w:cs="Arial"/>
        </w:rPr>
        <w:t xml:space="preserve"> it did not receive a performance color. However, </w:t>
      </w:r>
      <w:r w:rsidR="00F9712B" w:rsidRPr="005C50E9">
        <w:rPr>
          <w:rFonts w:cs="Arial"/>
        </w:rPr>
        <w:lastRenderedPageBreak/>
        <w:t xml:space="preserve">the U.S. Department of Education </w:t>
      </w:r>
      <w:r w:rsidRPr="005C50E9">
        <w:rPr>
          <w:rFonts w:cs="Arial"/>
        </w:rPr>
        <w:t xml:space="preserve">requires </w:t>
      </w:r>
      <w:r w:rsidR="00B9403E" w:rsidRPr="005C50E9">
        <w:rPr>
          <w:rFonts w:cs="Arial"/>
        </w:rPr>
        <w:t xml:space="preserve">states to establish a methodology for </w:t>
      </w:r>
      <w:proofErr w:type="spellStart"/>
      <w:r w:rsidR="00B9403E" w:rsidRPr="005C50E9">
        <w:rPr>
          <w:rFonts w:cs="Arial"/>
        </w:rPr>
        <w:t>determing</w:t>
      </w:r>
      <w:proofErr w:type="spellEnd"/>
      <w:r w:rsidR="00B9403E" w:rsidRPr="005C50E9">
        <w:rPr>
          <w:rFonts w:cs="Arial"/>
        </w:rPr>
        <w:t xml:space="preserve"> whether schools are identified </w:t>
      </w:r>
      <w:r w:rsidRPr="005C50E9">
        <w:rPr>
          <w:rFonts w:cs="Arial"/>
        </w:rPr>
        <w:t>for CSI regardless of whether they receive a performance color.</w:t>
      </w:r>
      <w:r w:rsidR="00F9712B" w:rsidRPr="005C50E9">
        <w:rPr>
          <w:rFonts w:cs="Arial"/>
        </w:rPr>
        <w:t xml:space="preserve"> As a result, criteria were developed to identify schools without any performance colors due to their </w:t>
      </w:r>
      <w:r w:rsidR="00BA2E54" w:rsidRPr="005C50E9">
        <w:rPr>
          <w:rFonts w:cs="Arial"/>
        </w:rPr>
        <w:t xml:space="preserve">small </w:t>
      </w:r>
      <w:proofErr w:type="spellStart"/>
      <w:r w:rsidR="00EF48DF" w:rsidRPr="005C50E9">
        <w:rPr>
          <w:rFonts w:cs="Arial"/>
          <w:i/>
        </w:rPr>
        <w:t>n</w:t>
      </w:r>
      <w:proofErr w:type="spellEnd"/>
      <w:r w:rsidR="00EF48DF" w:rsidRPr="005C50E9">
        <w:rPr>
          <w:rFonts w:cs="Arial"/>
        </w:rPr>
        <w:t xml:space="preserve"> </w:t>
      </w:r>
      <w:r w:rsidR="00F9712B" w:rsidRPr="005C50E9">
        <w:rPr>
          <w:rFonts w:cs="Arial"/>
        </w:rPr>
        <w:t>s</w:t>
      </w:r>
      <w:r w:rsidR="005203DF" w:rsidRPr="005C50E9">
        <w:rPr>
          <w:rFonts w:cs="Arial"/>
        </w:rPr>
        <w:t>i</w:t>
      </w:r>
      <w:r w:rsidR="00F9712B" w:rsidRPr="005C50E9">
        <w:rPr>
          <w:rFonts w:cs="Arial"/>
        </w:rPr>
        <w:t>ze</w:t>
      </w:r>
      <w:r w:rsidR="00BA2E54" w:rsidRPr="005C50E9">
        <w:rPr>
          <w:rFonts w:cs="Arial"/>
        </w:rPr>
        <w:t xml:space="preserve"> (see below)</w:t>
      </w:r>
      <w:r w:rsidR="00F9712B" w:rsidRPr="005C50E9">
        <w:rPr>
          <w:rFonts w:cs="Arial"/>
        </w:rPr>
        <w:t xml:space="preserve">. </w:t>
      </w:r>
      <w:r w:rsidR="00BA2E54" w:rsidRPr="005C50E9">
        <w:rPr>
          <w:rFonts w:cs="Arial"/>
        </w:rPr>
        <w:t xml:space="preserve">Only one middle school met the small school </w:t>
      </w:r>
      <w:proofErr w:type="spellStart"/>
      <w:r w:rsidR="00BA2E54" w:rsidRPr="005C50E9">
        <w:rPr>
          <w:rFonts w:cs="Arial"/>
        </w:rPr>
        <w:t>criteiria</w:t>
      </w:r>
      <w:proofErr w:type="spellEnd"/>
      <w:r w:rsidR="00BA2E54" w:rsidRPr="005C50E9">
        <w:rPr>
          <w:rFonts w:cs="Arial"/>
        </w:rPr>
        <w:t>.</w:t>
      </w:r>
    </w:p>
    <w:p w14:paraId="68B57DA6" w14:textId="04A3EEC5" w:rsidR="00A0001C" w:rsidRPr="005C50E9" w:rsidRDefault="00EF48DF" w:rsidP="0071775B">
      <w:pPr>
        <w:pStyle w:val="ListParagraph"/>
        <w:numPr>
          <w:ilvl w:val="0"/>
          <w:numId w:val="36"/>
        </w:numPr>
        <w:spacing w:after="240" w:line="240" w:lineRule="auto"/>
        <w:ind w:left="720"/>
        <w:contextualSpacing w:val="0"/>
        <w:rPr>
          <w:rFonts w:ascii="Arial" w:hAnsi="Arial" w:cs="Arial"/>
          <w:sz w:val="24"/>
          <w:szCs w:val="24"/>
        </w:rPr>
      </w:pPr>
      <w:r w:rsidRPr="005C50E9">
        <w:rPr>
          <w:rFonts w:ascii="Arial" w:hAnsi="Arial" w:cs="Arial"/>
          <w:sz w:val="24"/>
          <w:szCs w:val="24"/>
        </w:rPr>
        <w:t>For K–</w:t>
      </w:r>
      <w:r w:rsidR="00F9712B" w:rsidRPr="005C50E9">
        <w:rPr>
          <w:rFonts w:ascii="Arial" w:hAnsi="Arial" w:cs="Arial"/>
          <w:sz w:val="24"/>
          <w:szCs w:val="24"/>
        </w:rPr>
        <w:t xml:space="preserve">8 schools: </w:t>
      </w:r>
      <w:r w:rsidR="00BA2E54" w:rsidRPr="005C50E9">
        <w:rPr>
          <w:rFonts w:ascii="Arial" w:hAnsi="Arial" w:cs="Arial"/>
          <w:sz w:val="24"/>
          <w:szCs w:val="24"/>
        </w:rPr>
        <w:t>Very L</w:t>
      </w:r>
      <w:r w:rsidR="00A0001C" w:rsidRPr="005C50E9">
        <w:rPr>
          <w:rFonts w:ascii="Arial" w:hAnsi="Arial" w:cs="Arial"/>
          <w:sz w:val="24"/>
          <w:szCs w:val="24"/>
        </w:rPr>
        <w:t>ow</w:t>
      </w:r>
      <w:r w:rsidR="00B9403E" w:rsidRPr="005C50E9">
        <w:rPr>
          <w:rFonts w:ascii="Arial" w:hAnsi="Arial" w:cs="Arial"/>
          <w:sz w:val="24"/>
          <w:szCs w:val="24"/>
        </w:rPr>
        <w:t xml:space="preserve"> Status</w:t>
      </w:r>
      <w:r w:rsidR="00F9712B" w:rsidRPr="005C50E9">
        <w:rPr>
          <w:rFonts w:ascii="Arial" w:hAnsi="Arial" w:cs="Arial"/>
          <w:sz w:val="24"/>
          <w:szCs w:val="24"/>
        </w:rPr>
        <w:t xml:space="preserve"> for both English language arts (ELA) and mathematics and </w:t>
      </w:r>
      <w:r w:rsidR="00B9403E" w:rsidRPr="005C50E9">
        <w:rPr>
          <w:rFonts w:ascii="Arial" w:hAnsi="Arial" w:cs="Arial"/>
          <w:sz w:val="24"/>
          <w:szCs w:val="24"/>
        </w:rPr>
        <w:t xml:space="preserve">Very High </w:t>
      </w:r>
      <w:r w:rsidR="007153E9" w:rsidRPr="005C50E9">
        <w:rPr>
          <w:rFonts w:ascii="Arial" w:hAnsi="Arial" w:cs="Arial"/>
          <w:sz w:val="24"/>
          <w:szCs w:val="24"/>
        </w:rPr>
        <w:t xml:space="preserve">Status </w:t>
      </w:r>
      <w:r w:rsidR="00A0001C" w:rsidRPr="005C50E9">
        <w:rPr>
          <w:rFonts w:ascii="Arial" w:hAnsi="Arial" w:cs="Arial"/>
          <w:sz w:val="24"/>
          <w:szCs w:val="24"/>
        </w:rPr>
        <w:t xml:space="preserve">(20.1 percent of more) </w:t>
      </w:r>
      <w:r w:rsidR="00F9712B" w:rsidRPr="005C50E9">
        <w:rPr>
          <w:rFonts w:ascii="Arial" w:hAnsi="Arial" w:cs="Arial"/>
          <w:sz w:val="24"/>
          <w:szCs w:val="24"/>
        </w:rPr>
        <w:t>for Chronic Absenteeism</w:t>
      </w:r>
      <w:r w:rsidR="007153E9" w:rsidRPr="005C50E9">
        <w:rPr>
          <w:rFonts w:ascii="Arial" w:hAnsi="Arial" w:cs="Arial"/>
          <w:sz w:val="24"/>
          <w:szCs w:val="24"/>
        </w:rPr>
        <w:t>.</w:t>
      </w:r>
    </w:p>
    <w:p w14:paraId="15A22791" w14:textId="45D87129" w:rsidR="00BA2E54" w:rsidRPr="005C50E9" w:rsidRDefault="00BA2E54" w:rsidP="0071775B">
      <w:pPr>
        <w:pStyle w:val="ListParagraph"/>
        <w:numPr>
          <w:ilvl w:val="0"/>
          <w:numId w:val="36"/>
        </w:numPr>
        <w:spacing w:after="240" w:line="240" w:lineRule="auto"/>
        <w:ind w:left="720"/>
        <w:contextualSpacing w:val="0"/>
        <w:rPr>
          <w:rFonts w:ascii="Arial" w:hAnsi="Arial" w:cs="Arial"/>
          <w:sz w:val="24"/>
          <w:szCs w:val="24"/>
        </w:rPr>
      </w:pPr>
      <w:r w:rsidRPr="005C50E9">
        <w:rPr>
          <w:rFonts w:ascii="Arial" w:hAnsi="Arial" w:cs="Arial"/>
          <w:sz w:val="24"/>
          <w:szCs w:val="24"/>
        </w:rPr>
        <w:t>For high school</w:t>
      </w:r>
      <w:r w:rsidR="00DF3393" w:rsidRPr="005C50E9">
        <w:rPr>
          <w:rFonts w:ascii="Arial" w:hAnsi="Arial" w:cs="Arial"/>
          <w:sz w:val="24"/>
          <w:szCs w:val="24"/>
        </w:rPr>
        <w:t>s</w:t>
      </w:r>
      <w:r w:rsidRPr="005C50E9">
        <w:rPr>
          <w:rFonts w:ascii="Arial" w:hAnsi="Arial" w:cs="Arial"/>
          <w:sz w:val="24"/>
          <w:szCs w:val="24"/>
        </w:rPr>
        <w:t>: Very Low</w:t>
      </w:r>
      <w:r w:rsidR="00B9403E" w:rsidRPr="005C50E9">
        <w:rPr>
          <w:rFonts w:ascii="Arial" w:hAnsi="Arial" w:cs="Arial"/>
          <w:sz w:val="24"/>
          <w:szCs w:val="24"/>
        </w:rPr>
        <w:t xml:space="preserve"> Status</w:t>
      </w:r>
      <w:r w:rsidRPr="005C50E9">
        <w:rPr>
          <w:rFonts w:ascii="Arial" w:hAnsi="Arial" w:cs="Arial"/>
          <w:sz w:val="24"/>
          <w:szCs w:val="24"/>
        </w:rPr>
        <w:t xml:space="preserve"> for both ELA and mathematics and a graduation rate below 67 percent</w:t>
      </w:r>
      <w:r w:rsidR="00B9403E" w:rsidRPr="005C50E9">
        <w:rPr>
          <w:rFonts w:ascii="Arial" w:hAnsi="Arial" w:cs="Arial"/>
          <w:sz w:val="24"/>
          <w:szCs w:val="24"/>
        </w:rPr>
        <w:t xml:space="preserve"> (Very Low Status)</w:t>
      </w:r>
      <w:r w:rsidRPr="005C50E9">
        <w:rPr>
          <w:rFonts w:ascii="Arial" w:hAnsi="Arial" w:cs="Arial"/>
          <w:sz w:val="24"/>
          <w:szCs w:val="24"/>
        </w:rPr>
        <w:t xml:space="preserve">. </w:t>
      </w:r>
    </w:p>
    <w:p w14:paraId="08D4AC7D" w14:textId="77777777" w:rsidR="00823888" w:rsidRPr="005C50E9" w:rsidRDefault="00823888" w:rsidP="0071775B">
      <w:pPr>
        <w:spacing w:after="160"/>
        <w:rPr>
          <w:rFonts w:cs="Arial"/>
        </w:rPr>
        <w:sectPr w:rsidR="00823888" w:rsidRPr="005C50E9" w:rsidSect="002D351A">
          <w:headerReference w:type="default" r:id="rId16"/>
          <w:footerReference w:type="default" r:id="rId17"/>
          <w:headerReference w:type="first" r:id="rId18"/>
          <w:pgSz w:w="12240" w:h="15840"/>
          <w:pgMar w:top="1440" w:right="1440" w:bottom="1440" w:left="1440" w:header="720" w:footer="720" w:gutter="0"/>
          <w:pgNumType w:start="1"/>
          <w:cols w:space="720"/>
          <w:titlePg/>
          <w:docGrid w:linePitch="360"/>
        </w:sectPr>
      </w:pPr>
    </w:p>
    <w:p w14:paraId="61E9DD79" w14:textId="77777777" w:rsidR="00607835" w:rsidRPr="005C50E9" w:rsidRDefault="0006721D" w:rsidP="0071775B">
      <w:pPr>
        <w:pStyle w:val="Heading1"/>
        <w:spacing w:before="0" w:after="240"/>
        <w:rPr>
          <w:rFonts w:ascii="Arial" w:hAnsi="Arial" w:cs="Arial"/>
          <w:sz w:val="40"/>
          <w:szCs w:val="52"/>
        </w:rPr>
      </w:pPr>
      <w:r w:rsidRPr="005C50E9">
        <w:rPr>
          <w:rFonts w:ascii="Arial" w:hAnsi="Arial" w:cs="Arial"/>
          <w:b/>
          <w:color w:val="auto"/>
          <w:sz w:val="40"/>
          <w:szCs w:val="52"/>
        </w:rPr>
        <w:lastRenderedPageBreak/>
        <w:t>Attachment 2</w:t>
      </w:r>
    </w:p>
    <w:p w14:paraId="63E24F49" w14:textId="77777777" w:rsidR="0006721D" w:rsidRPr="005C50E9" w:rsidRDefault="0006721D" w:rsidP="0071775B">
      <w:pPr>
        <w:pStyle w:val="Heading2"/>
        <w:spacing w:before="0" w:after="240"/>
        <w:rPr>
          <w:rFonts w:cs="Arial"/>
          <w:sz w:val="36"/>
          <w:szCs w:val="36"/>
        </w:rPr>
      </w:pPr>
      <w:r w:rsidRPr="005C50E9">
        <w:rPr>
          <w:rFonts w:cs="Arial"/>
          <w:sz w:val="36"/>
          <w:szCs w:val="36"/>
        </w:rPr>
        <w:t xml:space="preserve">Identification of Schools for Additional Targeted Support and Improvement </w:t>
      </w:r>
    </w:p>
    <w:p w14:paraId="7C0885AC" w14:textId="77777777" w:rsidR="0006721D" w:rsidRPr="005C50E9" w:rsidRDefault="0006721D">
      <w:pPr>
        <w:pStyle w:val="Heading3"/>
        <w:contextualSpacing/>
        <w:rPr>
          <w:rFonts w:cs="Arial"/>
        </w:rPr>
      </w:pPr>
      <w:r w:rsidRPr="005C50E9">
        <w:rPr>
          <w:rFonts w:cs="Arial"/>
        </w:rPr>
        <w:t xml:space="preserve">Eligibility Criteria </w:t>
      </w:r>
    </w:p>
    <w:p w14:paraId="6DFD15BC" w14:textId="77777777" w:rsidR="0006721D" w:rsidRPr="005C50E9" w:rsidRDefault="0006721D" w:rsidP="0071775B">
      <w:pPr>
        <w:autoSpaceDE w:val="0"/>
        <w:autoSpaceDN w:val="0"/>
        <w:adjustRightInd w:val="0"/>
        <w:spacing w:after="240"/>
        <w:rPr>
          <w:rFonts w:eastAsiaTheme="minorHAnsi" w:cs="Arial"/>
          <w:color w:val="000000"/>
        </w:rPr>
      </w:pPr>
      <w:r w:rsidRPr="005C50E9">
        <w:rPr>
          <w:rFonts w:eastAsiaTheme="minorHAnsi" w:cs="Arial"/>
        </w:rPr>
        <w:t xml:space="preserve">In accordance with California’s </w:t>
      </w:r>
      <w:r w:rsidR="00472B1E" w:rsidRPr="005C50E9">
        <w:rPr>
          <w:rFonts w:cs="Arial"/>
        </w:rPr>
        <w:t xml:space="preserve">Every Student Succeeds Act (ESSA) </w:t>
      </w:r>
      <w:r w:rsidRPr="005C50E9">
        <w:rPr>
          <w:rFonts w:eastAsiaTheme="minorHAnsi" w:cs="Arial"/>
        </w:rPr>
        <w:t xml:space="preserve">State Plan, schools </w:t>
      </w:r>
      <w:r w:rsidRPr="005C50E9">
        <w:rPr>
          <w:rFonts w:eastAsiaTheme="minorHAnsi" w:cs="Arial"/>
          <w:color w:val="000000"/>
        </w:rPr>
        <w:t xml:space="preserve">that are not identified for Comprehensive Support and Improvement (CSI) are eligible for Targeted Support and Improvement (TSI) if they have </w:t>
      </w:r>
      <w:r w:rsidRPr="005C50E9">
        <w:rPr>
          <w:rFonts w:eastAsiaTheme="minorHAnsi" w:cs="Arial"/>
          <w:b/>
          <w:color w:val="000000"/>
        </w:rPr>
        <w:t>one or more student group(s) that, for two consecutive years</w:t>
      </w:r>
      <w:r w:rsidRPr="005C50E9">
        <w:rPr>
          <w:rFonts w:eastAsiaTheme="minorHAnsi" w:cs="Arial"/>
          <w:color w:val="000000"/>
        </w:rPr>
        <w:t xml:space="preserve"> (based on the 2017 Dashboard and 2018 Dashboard), meet the same criteria used to identify the lowest performing five percent of Title I schools. </w:t>
      </w:r>
    </w:p>
    <w:p w14:paraId="2137D00D" w14:textId="77777777" w:rsidR="0006721D" w:rsidRPr="005C50E9" w:rsidRDefault="0006721D" w:rsidP="0071775B">
      <w:pPr>
        <w:pStyle w:val="ListParagraph"/>
        <w:numPr>
          <w:ilvl w:val="0"/>
          <w:numId w:val="33"/>
        </w:numPr>
        <w:autoSpaceDE w:val="0"/>
        <w:autoSpaceDN w:val="0"/>
        <w:adjustRightInd w:val="0"/>
        <w:spacing w:after="240" w:line="240" w:lineRule="auto"/>
        <w:rPr>
          <w:rFonts w:ascii="Arial" w:hAnsi="Arial" w:cs="Arial"/>
          <w:color w:val="000000"/>
          <w:sz w:val="24"/>
          <w:szCs w:val="24"/>
        </w:rPr>
      </w:pPr>
      <w:r w:rsidRPr="005C50E9">
        <w:rPr>
          <w:rFonts w:ascii="Arial" w:hAnsi="Arial" w:cs="Arial"/>
          <w:color w:val="000000"/>
          <w:sz w:val="24"/>
          <w:szCs w:val="24"/>
        </w:rPr>
        <w:t>All red indicators (student group must have at least two indicators);</w:t>
      </w:r>
    </w:p>
    <w:p w14:paraId="753534D9" w14:textId="77777777" w:rsidR="0006721D" w:rsidRPr="005C50E9" w:rsidRDefault="0006721D" w:rsidP="0071775B">
      <w:pPr>
        <w:pStyle w:val="ListParagraph"/>
        <w:numPr>
          <w:ilvl w:val="0"/>
          <w:numId w:val="33"/>
        </w:numPr>
        <w:autoSpaceDE w:val="0"/>
        <w:autoSpaceDN w:val="0"/>
        <w:adjustRightInd w:val="0"/>
        <w:spacing w:after="240" w:line="240" w:lineRule="auto"/>
        <w:rPr>
          <w:rFonts w:ascii="Arial" w:hAnsi="Arial" w:cs="Arial"/>
          <w:color w:val="000000"/>
          <w:sz w:val="24"/>
          <w:szCs w:val="24"/>
        </w:rPr>
      </w:pPr>
      <w:r w:rsidRPr="005C50E9">
        <w:rPr>
          <w:rFonts w:ascii="Arial" w:hAnsi="Arial" w:cs="Arial"/>
          <w:color w:val="000000"/>
          <w:sz w:val="24"/>
          <w:szCs w:val="24"/>
        </w:rPr>
        <w:t>All red but one indicator of any other color;</w:t>
      </w:r>
    </w:p>
    <w:p w14:paraId="15395688" w14:textId="77777777" w:rsidR="0083221A" w:rsidRPr="005C50E9" w:rsidRDefault="0006721D" w:rsidP="0071775B">
      <w:pPr>
        <w:pStyle w:val="ListParagraph"/>
        <w:numPr>
          <w:ilvl w:val="0"/>
          <w:numId w:val="33"/>
        </w:numPr>
        <w:autoSpaceDE w:val="0"/>
        <w:autoSpaceDN w:val="0"/>
        <w:adjustRightInd w:val="0"/>
        <w:spacing w:after="240" w:line="240" w:lineRule="auto"/>
        <w:rPr>
          <w:rFonts w:ascii="Arial" w:hAnsi="Arial" w:cs="Arial"/>
          <w:color w:val="000000"/>
          <w:sz w:val="24"/>
          <w:szCs w:val="24"/>
        </w:rPr>
      </w:pPr>
      <w:r w:rsidRPr="005C50E9">
        <w:rPr>
          <w:rFonts w:ascii="Arial" w:hAnsi="Arial" w:cs="Arial"/>
          <w:color w:val="000000"/>
          <w:sz w:val="24"/>
          <w:szCs w:val="24"/>
        </w:rPr>
        <w:t>Five or more indicators where the majority are red</w:t>
      </w:r>
      <w:r w:rsidR="0083221A" w:rsidRPr="005C50E9">
        <w:rPr>
          <w:rFonts w:ascii="Arial" w:hAnsi="Arial" w:cs="Arial"/>
          <w:color w:val="000000"/>
          <w:sz w:val="24"/>
          <w:szCs w:val="24"/>
        </w:rPr>
        <w:t>; and</w:t>
      </w:r>
    </w:p>
    <w:p w14:paraId="53B94FE2" w14:textId="77777777" w:rsidR="0006721D" w:rsidRPr="005C50E9" w:rsidRDefault="0083221A" w:rsidP="0071775B">
      <w:pPr>
        <w:pStyle w:val="ListParagraph"/>
        <w:numPr>
          <w:ilvl w:val="0"/>
          <w:numId w:val="33"/>
        </w:numPr>
        <w:autoSpaceDE w:val="0"/>
        <w:autoSpaceDN w:val="0"/>
        <w:adjustRightInd w:val="0"/>
        <w:spacing w:after="240" w:line="240" w:lineRule="auto"/>
        <w:rPr>
          <w:rFonts w:ascii="Arial" w:hAnsi="Arial" w:cs="Arial"/>
          <w:color w:val="000000"/>
          <w:sz w:val="24"/>
          <w:szCs w:val="24"/>
        </w:rPr>
      </w:pPr>
      <w:r w:rsidRPr="005C50E9">
        <w:rPr>
          <w:rFonts w:ascii="Arial" w:hAnsi="Arial" w:cs="Arial"/>
          <w:color w:val="000000"/>
          <w:sz w:val="24"/>
          <w:szCs w:val="24"/>
        </w:rPr>
        <w:t>All red and orange indicators</w:t>
      </w:r>
      <w:r w:rsidR="0006721D" w:rsidRPr="005C50E9">
        <w:rPr>
          <w:rFonts w:ascii="Arial" w:hAnsi="Arial" w:cs="Arial"/>
          <w:color w:val="000000"/>
          <w:sz w:val="24"/>
          <w:szCs w:val="24"/>
        </w:rPr>
        <w:t>.</w:t>
      </w:r>
    </w:p>
    <w:p w14:paraId="073A7EF3" w14:textId="77777777" w:rsidR="0006721D" w:rsidRPr="005C50E9" w:rsidRDefault="0006721D" w:rsidP="0071775B">
      <w:pPr>
        <w:spacing w:after="240"/>
        <w:rPr>
          <w:rFonts w:cs="Arial"/>
        </w:rPr>
      </w:pPr>
      <w:r w:rsidRPr="005C50E9">
        <w:rPr>
          <w:rFonts w:eastAsiaTheme="minorHAnsi" w:cs="Arial"/>
        </w:rPr>
        <w:t xml:space="preserve">Please note that a student group may meet the criteria based on a different color combination from one year to the next, but the </w:t>
      </w:r>
      <w:r w:rsidRPr="005C50E9">
        <w:rPr>
          <w:rFonts w:eastAsiaTheme="minorHAnsi" w:cs="Arial"/>
          <w:b/>
        </w:rPr>
        <w:t xml:space="preserve">same student group must meet </w:t>
      </w:r>
      <w:r w:rsidR="00C32BD4" w:rsidRPr="005C50E9">
        <w:rPr>
          <w:rFonts w:eastAsiaTheme="minorHAnsi" w:cs="Arial"/>
          <w:b/>
        </w:rPr>
        <w:t xml:space="preserve">one of </w:t>
      </w:r>
      <w:r w:rsidRPr="005C50E9">
        <w:rPr>
          <w:rFonts w:eastAsiaTheme="minorHAnsi" w:cs="Arial"/>
          <w:b/>
        </w:rPr>
        <w:t xml:space="preserve">the </w:t>
      </w:r>
      <w:r w:rsidR="00C32BD4" w:rsidRPr="005C50E9">
        <w:rPr>
          <w:rFonts w:eastAsiaTheme="minorHAnsi" w:cs="Arial"/>
          <w:b/>
        </w:rPr>
        <w:t xml:space="preserve">color combinations </w:t>
      </w:r>
      <w:r w:rsidRPr="005C50E9">
        <w:rPr>
          <w:rFonts w:eastAsiaTheme="minorHAnsi" w:cs="Arial"/>
          <w:b/>
        </w:rPr>
        <w:t>in both years</w:t>
      </w:r>
      <w:r w:rsidRPr="005C50E9">
        <w:rPr>
          <w:rFonts w:eastAsiaTheme="minorHAnsi" w:cs="Arial"/>
        </w:rPr>
        <w:t xml:space="preserve">. </w:t>
      </w:r>
    </w:p>
    <w:p w14:paraId="6A24EEB1" w14:textId="77777777" w:rsidR="0006721D" w:rsidRPr="005C50E9" w:rsidRDefault="0006721D" w:rsidP="0071775B">
      <w:pPr>
        <w:autoSpaceDE w:val="0"/>
        <w:autoSpaceDN w:val="0"/>
        <w:adjustRightInd w:val="0"/>
        <w:spacing w:after="240"/>
        <w:rPr>
          <w:rFonts w:eastAsiaTheme="minorHAnsi" w:cs="Arial"/>
          <w:color w:val="000000"/>
        </w:rPr>
      </w:pPr>
      <w:r w:rsidRPr="005C50E9">
        <w:rPr>
          <w:rFonts w:eastAsiaTheme="minorHAnsi" w:cs="Arial"/>
          <w:color w:val="000000"/>
        </w:rPr>
        <w:t xml:space="preserve">TSI identification occurs annually, whereas Additional Targeted Support and Improvement (ATSI) </w:t>
      </w:r>
      <w:r w:rsidR="00A53673" w:rsidRPr="005C50E9">
        <w:rPr>
          <w:rFonts w:eastAsiaTheme="minorHAnsi" w:cs="Arial"/>
          <w:color w:val="000000"/>
        </w:rPr>
        <w:t xml:space="preserve">identification </w:t>
      </w:r>
      <w:r w:rsidRPr="005C50E9">
        <w:rPr>
          <w:rFonts w:eastAsiaTheme="minorHAnsi" w:cs="Arial"/>
          <w:color w:val="000000"/>
        </w:rPr>
        <w:t>occurs every three years. (The criteria used to identify schools for TSI and ATSI are identical</w:t>
      </w:r>
      <w:r w:rsidR="00C32BD4" w:rsidRPr="005C50E9">
        <w:rPr>
          <w:rFonts w:eastAsiaTheme="minorHAnsi" w:cs="Arial"/>
          <w:color w:val="000000"/>
        </w:rPr>
        <w:t xml:space="preserve"> in 2018-19</w:t>
      </w:r>
      <w:r w:rsidRPr="005C50E9">
        <w:rPr>
          <w:rFonts w:eastAsiaTheme="minorHAnsi" w:cs="Arial"/>
          <w:color w:val="000000"/>
        </w:rPr>
        <w:t xml:space="preserve">.) </w:t>
      </w:r>
      <w:r w:rsidRPr="005C50E9">
        <w:rPr>
          <w:rFonts w:eastAsiaTheme="minorHAnsi" w:cs="Arial"/>
          <w:b/>
          <w:color w:val="000000"/>
        </w:rPr>
        <w:t xml:space="preserve">Because California’s ESSA State Plan requires schools to be identified in the ATSI category for the 2018–19 school year, all schools that met the criteria for TSI </w:t>
      </w:r>
      <w:r w:rsidR="00C32BD4" w:rsidRPr="005C50E9">
        <w:rPr>
          <w:rFonts w:eastAsiaTheme="minorHAnsi" w:cs="Arial"/>
          <w:b/>
          <w:color w:val="000000"/>
        </w:rPr>
        <w:t xml:space="preserve">were </w:t>
      </w:r>
      <w:r w:rsidRPr="005C50E9">
        <w:rPr>
          <w:rFonts w:eastAsiaTheme="minorHAnsi" w:cs="Arial"/>
          <w:b/>
          <w:color w:val="000000"/>
        </w:rPr>
        <w:t>moved into the ATSI category</w:t>
      </w:r>
      <w:r w:rsidRPr="005C50E9">
        <w:rPr>
          <w:rFonts w:eastAsiaTheme="minorHAnsi" w:cs="Arial"/>
          <w:color w:val="000000"/>
        </w:rPr>
        <w:t xml:space="preserve">. </w:t>
      </w:r>
    </w:p>
    <w:p w14:paraId="25E5E1E8" w14:textId="77777777" w:rsidR="0006721D" w:rsidRPr="005C50E9" w:rsidRDefault="0006721D" w:rsidP="0071775B">
      <w:pPr>
        <w:autoSpaceDE w:val="0"/>
        <w:autoSpaceDN w:val="0"/>
        <w:adjustRightInd w:val="0"/>
        <w:spacing w:after="240"/>
        <w:rPr>
          <w:rFonts w:eastAsiaTheme="minorHAnsi" w:cs="Arial"/>
          <w:color w:val="000000"/>
        </w:rPr>
      </w:pPr>
      <w:r w:rsidRPr="005C50E9">
        <w:rPr>
          <w:rFonts w:eastAsiaTheme="minorHAnsi" w:cs="Arial"/>
          <w:color w:val="000000"/>
        </w:rPr>
        <w:t>Schools that received Title I funds and schools that did not receive Title I funds are both eligible for TSI</w:t>
      </w:r>
      <w:r w:rsidR="0078748E" w:rsidRPr="005C50E9">
        <w:rPr>
          <w:rFonts w:eastAsiaTheme="minorHAnsi" w:cs="Arial"/>
          <w:color w:val="000000"/>
        </w:rPr>
        <w:t xml:space="preserve"> and ATSI</w:t>
      </w:r>
      <w:r w:rsidRPr="005C50E9">
        <w:rPr>
          <w:rFonts w:eastAsiaTheme="minorHAnsi" w:cs="Arial"/>
          <w:color w:val="000000"/>
        </w:rPr>
        <w:t xml:space="preserve">. </w:t>
      </w:r>
    </w:p>
    <w:p w14:paraId="7F184071" w14:textId="77777777" w:rsidR="005255C2" w:rsidRPr="005C50E9" w:rsidRDefault="005255C2" w:rsidP="0071775B">
      <w:pPr>
        <w:spacing w:after="240"/>
        <w:rPr>
          <w:rFonts w:cs="Arial"/>
        </w:rPr>
      </w:pPr>
      <w:r w:rsidRPr="005C50E9">
        <w:rPr>
          <w:rFonts w:cs="Arial"/>
        </w:rPr>
        <w:t xml:space="preserve">A total of 859 schools were identified for ATSI for the 2018–19 school year. Two student groups that most prevalently met the ATSI criteria were students with disabilities (676 schools) and African American students (164 schools). </w:t>
      </w:r>
    </w:p>
    <w:p w14:paraId="606D33F9" w14:textId="77777777" w:rsidR="005255C2" w:rsidRPr="005C50E9" w:rsidRDefault="005255C2" w:rsidP="0071775B">
      <w:pPr>
        <w:spacing w:after="240"/>
        <w:rPr>
          <w:rFonts w:cs="Arial"/>
        </w:rPr>
      </w:pPr>
      <w:r w:rsidRPr="005C50E9">
        <w:rPr>
          <w:rFonts w:cs="Arial"/>
        </w:rPr>
        <w:t>Table 1 provides a breakdown of ATSI-identified schools, showing how many schools met the criteria based on:</w:t>
      </w:r>
    </w:p>
    <w:p w14:paraId="586FBA49" w14:textId="77777777" w:rsidR="005255C2" w:rsidRPr="005C50E9" w:rsidRDefault="005255C2" w:rsidP="0071775B">
      <w:pPr>
        <w:pStyle w:val="ListParagraph"/>
        <w:numPr>
          <w:ilvl w:val="0"/>
          <w:numId w:val="34"/>
        </w:numPr>
        <w:spacing w:after="240" w:line="240" w:lineRule="auto"/>
        <w:ind w:left="778"/>
        <w:rPr>
          <w:rFonts w:ascii="Arial" w:hAnsi="Arial" w:cs="Arial"/>
          <w:sz w:val="24"/>
          <w:szCs w:val="24"/>
        </w:rPr>
      </w:pPr>
      <w:r w:rsidRPr="005C50E9">
        <w:rPr>
          <w:rFonts w:ascii="Arial" w:hAnsi="Arial" w:cs="Arial"/>
          <w:sz w:val="24"/>
          <w:szCs w:val="24"/>
        </w:rPr>
        <w:t xml:space="preserve">One student group, </w:t>
      </w:r>
    </w:p>
    <w:p w14:paraId="514A72C3" w14:textId="77777777" w:rsidR="005255C2" w:rsidRPr="005C50E9" w:rsidRDefault="005255C2" w:rsidP="0071775B">
      <w:pPr>
        <w:pStyle w:val="ListParagraph"/>
        <w:numPr>
          <w:ilvl w:val="0"/>
          <w:numId w:val="34"/>
        </w:numPr>
        <w:spacing w:after="240" w:line="240" w:lineRule="auto"/>
        <w:ind w:left="778"/>
        <w:rPr>
          <w:rFonts w:ascii="Arial" w:hAnsi="Arial" w:cs="Arial"/>
          <w:sz w:val="24"/>
          <w:szCs w:val="24"/>
        </w:rPr>
      </w:pPr>
      <w:r w:rsidRPr="005C50E9">
        <w:rPr>
          <w:rFonts w:ascii="Arial" w:hAnsi="Arial" w:cs="Arial"/>
          <w:sz w:val="24"/>
          <w:szCs w:val="24"/>
        </w:rPr>
        <w:t xml:space="preserve">Two student groups, </w:t>
      </w:r>
    </w:p>
    <w:p w14:paraId="3021806D" w14:textId="77777777" w:rsidR="005255C2" w:rsidRPr="005C50E9" w:rsidRDefault="005255C2" w:rsidP="0071775B">
      <w:pPr>
        <w:pStyle w:val="ListParagraph"/>
        <w:numPr>
          <w:ilvl w:val="0"/>
          <w:numId w:val="34"/>
        </w:numPr>
        <w:spacing w:after="240" w:line="240" w:lineRule="auto"/>
        <w:ind w:left="778"/>
        <w:rPr>
          <w:rFonts w:ascii="Arial" w:hAnsi="Arial" w:cs="Arial"/>
          <w:sz w:val="24"/>
          <w:szCs w:val="24"/>
        </w:rPr>
      </w:pPr>
      <w:r w:rsidRPr="005C50E9">
        <w:rPr>
          <w:rFonts w:ascii="Arial" w:hAnsi="Arial" w:cs="Arial"/>
          <w:sz w:val="24"/>
          <w:szCs w:val="24"/>
        </w:rPr>
        <w:t xml:space="preserve">Three student groups, and </w:t>
      </w:r>
    </w:p>
    <w:p w14:paraId="1048AA6B" w14:textId="77777777" w:rsidR="005255C2" w:rsidRPr="005C50E9" w:rsidRDefault="005255C2" w:rsidP="0071775B">
      <w:pPr>
        <w:pStyle w:val="ListParagraph"/>
        <w:numPr>
          <w:ilvl w:val="0"/>
          <w:numId w:val="34"/>
        </w:numPr>
        <w:spacing w:after="240" w:line="240" w:lineRule="auto"/>
        <w:ind w:left="778"/>
        <w:contextualSpacing w:val="0"/>
        <w:rPr>
          <w:rFonts w:ascii="Arial" w:hAnsi="Arial" w:cs="Arial"/>
          <w:sz w:val="24"/>
          <w:szCs w:val="24"/>
        </w:rPr>
      </w:pPr>
      <w:r w:rsidRPr="005C50E9">
        <w:rPr>
          <w:rFonts w:ascii="Arial" w:hAnsi="Arial" w:cs="Arial"/>
          <w:sz w:val="24"/>
          <w:szCs w:val="24"/>
        </w:rPr>
        <w:t>Four student groups.</w:t>
      </w:r>
    </w:p>
    <w:p w14:paraId="4EBE9606" w14:textId="77777777" w:rsidR="005255C2" w:rsidRPr="005C50E9" w:rsidRDefault="005255C2" w:rsidP="0071775B">
      <w:pPr>
        <w:spacing w:after="240"/>
        <w:rPr>
          <w:rFonts w:cs="Arial"/>
          <w:b/>
        </w:rPr>
      </w:pPr>
      <w:r w:rsidRPr="005C50E9">
        <w:rPr>
          <w:rFonts w:cs="Arial"/>
          <w:b/>
        </w:rPr>
        <w:lastRenderedPageBreak/>
        <w:t>Table 1: Schools Identified for ATSI Based on the Number of Student Groups Meeting the Criteria</w:t>
      </w:r>
    </w:p>
    <w:tbl>
      <w:tblPr>
        <w:tblStyle w:val="TableGrid"/>
        <w:tblW w:w="5000" w:type="pct"/>
        <w:tblLook w:val="04A0" w:firstRow="1" w:lastRow="0" w:firstColumn="1" w:lastColumn="0" w:noHBand="0" w:noVBand="1"/>
        <w:tblDescription w:val="Table 1: Schools Identified for ATSI Based on the Number of Student Groups Meeting the Criteria"/>
      </w:tblPr>
      <w:tblGrid>
        <w:gridCol w:w="5395"/>
        <w:gridCol w:w="3955"/>
      </w:tblGrid>
      <w:tr w:rsidR="005255C2" w:rsidRPr="005C50E9" w14:paraId="14293B6B" w14:textId="77777777" w:rsidTr="0071775B">
        <w:trPr>
          <w:tblHeader/>
        </w:trPr>
        <w:tc>
          <w:tcPr>
            <w:tcW w:w="2885" w:type="pct"/>
            <w:shd w:val="clear" w:color="auto" w:fill="D9D9D9" w:themeFill="background1" w:themeFillShade="D9"/>
            <w:vAlign w:val="center"/>
          </w:tcPr>
          <w:p w14:paraId="008E4524" w14:textId="77777777" w:rsidR="005255C2" w:rsidRPr="005C50E9" w:rsidRDefault="005255C2">
            <w:pPr>
              <w:jc w:val="center"/>
              <w:rPr>
                <w:rFonts w:cs="Arial"/>
                <w:b/>
              </w:rPr>
            </w:pPr>
            <w:r w:rsidRPr="005C50E9">
              <w:rPr>
                <w:rFonts w:cs="Arial"/>
                <w:b/>
              </w:rPr>
              <w:t>Number of Student Groups</w:t>
            </w:r>
          </w:p>
        </w:tc>
        <w:tc>
          <w:tcPr>
            <w:tcW w:w="2115" w:type="pct"/>
            <w:shd w:val="clear" w:color="auto" w:fill="D9D9D9" w:themeFill="background1" w:themeFillShade="D9"/>
            <w:vAlign w:val="center"/>
          </w:tcPr>
          <w:p w14:paraId="6CFF2B33" w14:textId="77777777" w:rsidR="005255C2" w:rsidRPr="005C50E9" w:rsidRDefault="005255C2">
            <w:pPr>
              <w:jc w:val="center"/>
              <w:rPr>
                <w:rFonts w:cs="Arial"/>
                <w:b/>
              </w:rPr>
            </w:pPr>
            <w:r w:rsidRPr="005C50E9">
              <w:rPr>
                <w:rFonts w:cs="Arial"/>
                <w:b/>
              </w:rPr>
              <w:t>Number of Schools</w:t>
            </w:r>
          </w:p>
        </w:tc>
      </w:tr>
      <w:tr w:rsidR="005255C2" w:rsidRPr="005C50E9" w14:paraId="774B92E8" w14:textId="77777777" w:rsidTr="0071775B">
        <w:tc>
          <w:tcPr>
            <w:tcW w:w="2885" w:type="pct"/>
            <w:vAlign w:val="center"/>
          </w:tcPr>
          <w:p w14:paraId="0CD92881" w14:textId="77777777" w:rsidR="005255C2" w:rsidRPr="005C50E9" w:rsidRDefault="005255C2">
            <w:pPr>
              <w:jc w:val="center"/>
              <w:rPr>
                <w:rFonts w:cs="Arial"/>
              </w:rPr>
            </w:pPr>
            <w:r w:rsidRPr="005C50E9">
              <w:rPr>
                <w:rFonts w:cs="Arial"/>
              </w:rPr>
              <w:t>1</w:t>
            </w:r>
          </w:p>
        </w:tc>
        <w:tc>
          <w:tcPr>
            <w:tcW w:w="2115" w:type="pct"/>
            <w:vAlign w:val="center"/>
          </w:tcPr>
          <w:p w14:paraId="01F38BEC" w14:textId="77777777" w:rsidR="005255C2" w:rsidRPr="005C50E9" w:rsidRDefault="005255C2">
            <w:pPr>
              <w:jc w:val="center"/>
              <w:rPr>
                <w:rFonts w:cs="Arial"/>
              </w:rPr>
            </w:pPr>
            <w:r w:rsidRPr="005C50E9">
              <w:rPr>
                <w:rFonts w:cs="Arial"/>
              </w:rPr>
              <w:t>717</w:t>
            </w:r>
          </w:p>
        </w:tc>
      </w:tr>
      <w:tr w:rsidR="005255C2" w:rsidRPr="005C50E9" w14:paraId="1203DC20" w14:textId="77777777" w:rsidTr="0071775B">
        <w:tc>
          <w:tcPr>
            <w:tcW w:w="2885" w:type="pct"/>
            <w:vAlign w:val="center"/>
          </w:tcPr>
          <w:p w14:paraId="294FB4A3" w14:textId="77777777" w:rsidR="005255C2" w:rsidRPr="005C50E9" w:rsidRDefault="005255C2">
            <w:pPr>
              <w:jc w:val="center"/>
              <w:rPr>
                <w:rFonts w:cs="Arial"/>
              </w:rPr>
            </w:pPr>
            <w:r w:rsidRPr="005C50E9">
              <w:rPr>
                <w:rFonts w:cs="Arial"/>
              </w:rPr>
              <w:t>2</w:t>
            </w:r>
          </w:p>
        </w:tc>
        <w:tc>
          <w:tcPr>
            <w:tcW w:w="2115" w:type="pct"/>
            <w:vAlign w:val="center"/>
          </w:tcPr>
          <w:p w14:paraId="71D1A069" w14:textId="77777777" w:rsidR="005255C2" w:rsidRPr="005C50E9" w:rsidRDefault="005255C2">
            <w:pPr>
              <w:jc w:val="center"/>
              <w:rPr>
                <w:rFonts w:cs="Arial"/>
              </w:rPr>
            </w:pPr>
            <w:r w:rsidRPr="005C50E9">
              <w:rPr>
                <w:rFonts w:cs="Arial"/>
              </w:rPr>
              <w:t>115</w:t>
            </w:r>
          </w:p>
        </w:tc>
      </w:tr>
      <w:tr w:rsidR="005255C2" w:rsidRPr="005C50E9" w14:paraId="73DC20BA" w14:textId="77777777" w:rsidTr="0071775B">
        <w:tc>
          <w:tcPr>
            <w:tcW w:w="2885" w:type="pct"/>
            <w:vAlign w:val="center"/>
          </w:tcPr>
          <w:p w14:paraId="39207465" w14:textId="77777777" w:rsidR="005255C2" w:rsidRPr="005C50E9" w:rsidRDefault="005255C2">
            <w:pPr>
              <w:jc w:val="center"/>
              <w:rPr>
                <w:rFonts w:cs="Arial"/>
              </w:rPr>
            </w:pPr>
            <w:r w:rsidRPr="005C50E9">
              <w:rPr>
                <w:rFonts w:cs="Arial"/>
              </w:rPr>
              <w:t>3</w:t>
            </w:r>
          </w:p>
        </w:tc>
        <w:tc>
          <w:tcPr>
            <w:tcW w:w="2115" w:type="pct"/>
            <w:vAlign w:val="center"/>
          </w:tcPr>
          <w:p w14:paraId="2D1E0615" w14:textId="77777777" w:rsidR="005255C2" w:rsidRPr="005C50E9" w:rsidRDefault="005255C2">
            <w:pPr>
              <w:jc w:val="center"/>
              <w:rPr>
                <w:rFonts w:cs="Arial"/>
              </w:rPr>
            </w:pPr>
            <w:r w:rsidRPr="005C50E9">
              <w:rPr>
                <w:rFonts w:cs="Arial"/>
              </w:rPr>
              <w:t>23</w:t>
            </w:r>
          </w:p>
        </w:tc>
      </w:tr>
      <w:tr w:rsidR="005255C2" w:rsidRPr="005C50E9" w14:paraId="063A9C7A" w14:textId="77777777" w:rsidTr="0071775B">
        <w:tc>
          <w:tcPr>
            <w:tcW w:w="2885" w:type="pct"/>
            <w:vAlign w:val="center"/>
          </w:tcPr>
          <w:p w14:paraId="5EE07C40" w14:textId="77777777" w:rsidR="005255C2" w:rsidRPr="005C50E9" w:rsidRDefault="005255C2">
            <w:pPr>
              <w:jc w:val="center"/>
              <w:rPr>
                <w:rFonts w:cs="Arial"/>
              </w:rPr>
            </w:pPr>
            <w:r w:rsidRPr="005C50E9">
              <w:rPr>
                <w:rFonts w:cs="Arial"/>
              </w:rPr>
              <w:t>4</w:t>
            </w:r>
          </w:p>
        </w:tc>
        <w:tc>
          <w:tcPr>
            <w:tcW w:w="2115" w:type="pct"/>
            <w:vAlign w:val="center"/>
          </w:tcPr>
          <w:p w14:paraId="650B86AE" w14:textId="77777777" w:rsidR="005255C2" w:rsidRPr="005C50E9" w:rsidRDefault="005255C2">
            <w:pPr>
              <w:jc w:val="center"/>
              <w:rPr>
                <w:rFonts w:cs="Arial"/>
              </w:rPr>
            </w:pPr>
            <w:r w:rsidRPr="005C50E9">
              <w:rPr>
                <w:rFonts w:cs="Arial"/>
              </w:rPr>
              <w:t>4</w:t>
            </w:r>
          </w:p>
        </w:tc>
      </w:tr>
      <w:tr w:rsidR="005255C2" w:rsidRPr="005C50E9" w14:paraId="64D55EB4" w14:textId="77777777" w:rsidTr="0071775B">
        <w:tc>
          <w:tcPr>
            <w:tcW w:w="2885" w:type="pct"/>
            <w:vAlign w:val="center"/>
          </w:tcPr>
          <w:p w14:paraId="1191B0F1" w14:textId="77777777" w:rsidR="005255C2" w:rsidRPr="005C50E9" w:rsidRDefault="005255C2" w:rsidP="0071775B">
            <w:pPr>
              <w:jc w:val="center"/>
              <w:rPr>
                <w:rFonts w:cs="Arial"/>
              </w:rPr>
            </w:pPr>
            <w:r w:rsidRPr="005C50E9">
              <w:rPr>
                <w:rFonts w:cs="Arial"/>
              </w:rPr>
              <w:t>Total</w:t>
            </w:r>
          </w:p>
        </w:tc>
        <w:tc>
          <w:tcPr>
            <w:tcW w:w="2115" w:type="pct"/>
            <w:vAlign w:val="center"/>
          </w:tcPr>
          <w:p w14:paraId="1D3DBF02" w14:textId="77777777" w:rsidR="005255C2" w:rsidRPr="005C50E9" w:rsidRDefault="005255C2">
            <w:pPr>
              <w:jc w:val="center"/>
              <w:rPr>
                <w:rFonts w:cs="Arial"/>
              </w:rPr>
            </w:pPr>
            <w:r w:rsidRPr="005C50E9">
              <w:rPr>
                <w:rFonts w:cs="Arial"/>
              </w:rPr>
              <w:t>859</w:t>
            </w:r>
          </w:p>
        </w:tc>
      </w:tr>
    </w:tbl>
    <w:p w14:paraId="689F1B52" w14:textId="77777777" w:rsidR="005255C2" w:rsidRPr="005C50E9" w:rsidRDefault="005255C2" w:rsidP="0071775B">
      <w:pPr>
        <w:spacing w:before="240" w:after="240"/>
        <w:rPr>
          <w:rFonts w:cs="Arial"/>
          <w:color w:val="C00000"/>
        </w:rPr>
      </w:pPr>
      <w:r w:rsidRPr="005C50E9">
        <w:rPr>
          <w:rFonts w:cs="Arial"/>
        </w:rPr>
        <w:t>Tables 2 and 3 provide a breakdown of ATSI-identified schools by Dashboard Alternative School Status (DASS) and charter status.</w:t>
      </w:r>
    </w:p>
    <w:p w14:paraId="3AE80343" w14:textId="77777777" w:rsidR="005255C2" w:rsidRPr="005C50E9" w:rsidRDefault="005255C2" w:rsidP="0071775B">
      <w:pPr>
        <w:spacing w:after="240"/>
        <w:rPr>
          <w:rFonts w:cs="Arial"/>
          <w:color w:val="000000" w:themeColor="text1"/>
        </w:rPr>
      </w:pPr>
      <w:r w:rsidRPr="005C50E9">
        <w:rPr>
          <w:rFonts w:cs="Arial"/>
          <w:b/>
        </w:rPr>
        <w:t>Table 2: Schools Identified for ATSI: Breakdown by DASS and Non-DASS Schools</w:t>
      </w:r>
    </w:p>
    <w:tbl>
      <w:tblPr>
        <w:tblStyle w:val="TableGrid"/>
        <w:tblW w:w="5000" w:type="pct"/>
        <w:tblLook w:val="04A0" w:firstRow="1" w:lastRow="0" w:firstColumn="1" w:lastColumn="0" w:noHBand="0" w:noVBand="1"/>
        <w:tblDescription w:val="Table 2: Schools Identified for ATSI: Breakdown by DASS and Non-DASS Schools"/>
      </w:tblPr>
      <w:tblGrid>
        <w:gridCol w:w="3857"/>
        <w:gridCol w:w="4526"/>
        <w:gridCol w:w="967"/>
      </w:tblGrid>
      <w:tr w:rsidR="005255C2" w:rsidRPr="005C50E9" w14:paraId="066DCEEE" w14:textId="77777777" w:rsidTr="0071775B">
        <w:trPr>
          <w:tblHeader/>
        </w:trPr>
        <w:tc>
          <w:tcPr>
            <w:tcW w:w="2062" w:type="pct"/>
            <w:shd w:val="clear" w:color="auto" w:fill="D9D9D9" w:themeFill="background1" w:themeFillShade="D9"/>
            <w:vAlign w:val="center"/>
          </w:tcPr>
          <w:p w14:paraId="71D1FF72" w14:textId="77777777" w:rsidR="005255C2" w:rsidRPr="005C50E9" w:rsidRDefault="005255C2">
            <w:pPr>
              <w:jc w:val="center"/>
              <w:rPr>
                <w:rFonts w:cs="Arial"/>
                <w:b/>
                <w:color w:val="000000" w:themeColor="text1"/>
              </w:rPr>
            </w:pPr>
            <w:r w:rsidRPr="005C50E9">
              <w:rPr>
                <w:rFonts w:cs="Arial"/>
                <w:b/>
                <w:color w:val="000000" w:themeColor="text1"/>
              </w:rPr>
              <w:t>Number of DASS Schools</w:t>
            </w:r>
          </w:p>
        </w:tc>
        <w:tc>
          <w:tcPr>
            <w:tcW w:w="2420" w:type="pct"/>
            <w:shd w:val="clear" w:color="auto" w:fill="D9D9D9" w:themeFill="background1" w:themeFillShade="D9"/>
            <w:vAlign w:val="center"/>
          </w:tcPr>
          <w:p w14:paraId="2041BE03" w14:textId="77777777" w:rsidR="005255C2" w:rsidRPr="005C50E9" w:rsidRDefault="005255C2">
            <w:pPr>
              <w:jc w:val="center"/>
              <w:rPr>
                <w:rFonts w:cs="Arial"/>
                <w:b/>
                <w:color w:val="000000" w:themeColor="text1"/>
              </w:rPr>
            </w:pPr>
            <w:r w:rsidRPr="005C50E9">
              <w:rPr>
                <w:rFonts w:cs="Arial"/>
                <w:b/>
                <w:color w:val="000000" w:themeColor="text1"/>
              </w:rPr>
              <w:t>Number of Non-DASS Schools</w:t>
            </w:r>
          </w:p>
        </w:tc>
        <w:tc>
          <w:tcPr>
            <w:tcW w:w="517" w:type="pct"/>
            <w:shd w:val="clear" w:color="auto" w:fill="D9D9D9" w:themeFill="background1" w:themeFillShade="D9"/>
            <w:vAlign w:val="center"/>
          </w:tcPr>
          <w:p w14:paraId="15234DD6" w14:textId="77777777" w:rsidR="005255C2" w:rsidRPr="005C50E9" w:rsidRDefault="005255C2">
            <w:pPr>
              <w:jc w:val="center"/>
              <w:rPr>
                <w:rFonts w:cs="Arial"/>
                <w:b/>
                <w:color w:val="000000" w:themeColor="text1"/>
              </w:rPr>
            </w:pPr>
            <w:r w:rsidRPr="005C50E9">
              <w:rPr>
                <w:rFonts w:cs="Arial"/>
                <w:b/>
                <w:color w:val="000000" w:themeColor="text1"/>
              </w:rPr>
              <w:t>Total</w:t>
            </w:r>
          </w:p>
        </w:tc>
      </w:tr>
      <w:tr w:rsidR="005255C2" w:rsidRPr="005C50E9" w14:paraId="7090BDC6" w14:textId="77777777" w:rsidTr="0071775B">
        <w:tc>
          <w:tcPr>
            <w:tcW w:w="2062" w:type="pct"/>
            <w:vAlign w:val="center"/>
          </w:tcPr>
          <w:p w14:paraId="3DA83F2D" w14:textId="77777777" w:rsidR="005255C2" w:rsidRPr="005C50E9" w:rsidRDefault="005255C2">
            <w:pPr>
              <w:jc w:val="center"/>
              <w:rPr>
                <w:rFonts w:cs="Arial"/>
                <w:color w:val="000000" w:themeColor="text1"/>
              </w:rPr>
            </w:pPr>
            <w:r w:rsidRPr="005C50E9">
              <w:rPr>
                <w:rFonts w:cs="Arial"/>
                <w:color w:val="000000" w:themeColor="text1"/>
              </w:rPr>
              <w:t>3</w:t>
            </w:r>
          </w:p>
        </w:tc>
        <w:tc>
          <w:tcPr>
            <w:tcW w:w="2420" w:type="pct"/>
            <w:vAlign w:val="center"/>
          </w:tcPr>
          <w:p w14:paraId="7A8C7C75" w14:textId="77777777" w:rsidR="005255C2" w:rsidRPr="005C50E9" w:rsidRDefault="005255C2">
            <w:pPr>
              <w:jc w:val="center"/>
              <w:rPr>
                <w:rFonts w:cs="Arial"/>
                <w:color w:val="000000" w:themeColor="text1"/>
              </w:rPr>
            </w:pPr>
            <w:r w:rsidRPr="005C50E9">
              <w:rPr>
                <w:rFonts w:cs="Arial"/>
                <w:color w:val="000000" w:themeColor="text1"/>
              </w:rPr>
              <w:t>856</w:t>
            </w:r>
          </w:p>
        </w:tc>
        <w:tc>
          <w:tcPr>
            <w:tcW w:w="517" w:type="pct"/>
            <w:vAlign w:val="center"/>
          </w:tcPr>
          <w:p w14:paraId="7A8F8FE8" w14:textId="77777777" w:rsidR="005255C2" w:rsidRPr="005C50E9" w:rsidRDefault="005255C2">
            <w:pPr>
              <w:jc w:val="center"/>
              <w:rPr>
                <w:rFonts w:cs="Arial"/>
                <w:color w:val="000000" w:themeColor="text1"/>
              </w:rPr>
            </w:pPr>
            <w:r w:rsidRPr="005C50E9">
              <w:rPr>
                <w:rFonts w:cs="Arial"/>
                <w:color w:val="000000" w:themeColor="text1"/>
              </w:rPr>
              <w:t>859</w:t>
            </w:r>
          </w:p>
        </w:tc>
      </w:tr>
    </w:tbl>
    <w:p w14:paraId="7BCD56ED" w14:textId="77777777" w:rsidR="005255C2" w:rsidRPr="005C50E9" w:rsidRDefault="005255C2" w:rsidP="0071775B">
      <w:pPr>
        <w:spacing w:before="240" w:after="240"/>
        <w:rPr>
          <w:rFonts w:cs="Arial"/>
          <w:color w:val="000000" w:themeColor="text1"/>
        </w:rPr>
      </w:pPr>
      <w:r w:rsidRPr="005C50E9">
        <w:rPr>
          <w:rFonts w:cs="Arial"/>
          <w:b/>
        </w:rPr>
        <w:t>Table 3: Schools Identified for ATSI: Breakdown by Charter and Non-Charter Schools</w:t>
      </w:r>
    </w:p>
    <w:tbl>
      <w:tblPr>
        <w:tblStyle w:val="TableGrid"/>
        <w:tblW w:w="5000" w:type="pct"/>
        <w:tblLook w:val="04A0" w:firstRow="1" w:lastRow="0" w:firstColumn="1" w:lastColumn="0" w:noHBand="0" w:noVBand="1"/>
        <w:tblDescription w:val="Table 3: Schools Identified for ATSI: Breakdown by Charter and Non-Charter Schools"/>
      </w:tblPr>
      <w:tblGrid>
        <w:gridCol w:w="3895"/>
        <w:gridCol w:w="4533"/>
        <w:gridCol w:w="922"/>
      </w:tblGrid>
      <w:tr w:rsidR="005255C2" w:rsidRPr="005C50E9" w14:paraId="461E6868" w14:textId="77777777" w:rsidTr="0071775B">
        <w:trPr>
          <w:tblHeader/>
        </w:trPr>
        <w:tc>
          <w:tcPr>
            <w:tcW w:w="2083" w:type="pct"/>
            <w:shd w:val="clear" w:color="auto" w:fill="D9D9D9" w:themeFill="background1" w:themeFillShade="D9"/>
            <w:vAlign w:val="center"/>
          </w:tcPr>
          <w:p w14:paraId="0F8CC7FF" w14:textId="77777777" w:rsidR="005255C2" w:rsidRPr="005C50E9" w:rsidRDefault="005255C2">
            <w:pPr>
              <w:jc w:val="center"/>
              <w:rPr>
                <w:rFonts w:cs="Arial"/>
                <w:b/>
                <w:color w:val="000000" w:themeColor="text1"/>
              </w:rPr>
            </w:pPr>
            <w:r w:rsidRPr="005C50E9">
              <w:rPr>
                <w:rFonts w:cs="Arial"/>
                <w:b/>
                <w:color w:val="000000" w:themeColor="text1"/>
              </w:rPr>
              <w:t>Number of Charter Schools</w:t>
            </w:r>
          </w:p>
        </w:tc>
        <w:tc>
          <w:tcPr>
            <w:tcW w:w="2424" w:type="pct"/>
            <w:shd w:val="clear" w:color="auto" w:fill="D9D9D9" w:themeFill="background1" w:themeFillShade="D9"/>
            <w:vAlign w:val="center"/>
          </w:tcPr>
          <w:p w14:paraId="26E14BE4" w14:textId="77777777" w:rsidR="005255C2" w:rsidRPr="005C50E9" w:rsidRDefault="005255C2">
            <w:pPr>
              <w:jc w:val="center"/>
              <w:rPr>
                <w:rFonts w:cs="Arial"/>
                <w:b/>
                <w:color w:val="000000" w:themeColor="text1"/>
              </w:rPr>
            </w:pPr>
            <w:r w:rsidRPr="005C50E9">
              <w:rPr>
                <w:rFonts w:cs="Arial"/>
                <w:b/>
                <w:color w:val="000000" w:themeColor="text1"/>
              </w:rPr>
              <w:t>Number of Non-Charter Schools</w:t>
            </w:r>
          </w:p>
        </w:tc>
        <w:tc>
          <w:tcPr>
            <w:tcW w:w="493" w:type="pct"/>
            <w:shd w:val="clear" w:color="auto" w:fill="D9D9D9" w:themeFill="background1" w:themeFillShade="D9"/>
            <w:vAlign w:val="center"/>
          </w:tcPr>
          <w:p w14:paraId="2C2943E5" w14:textId="77777777" w:rsidR="005255C2" w:rsidRPr="005C50E9" w:rsidRDefault="005255C2">
            <w:pPr>
              <w:jc w:val="center"/>
              <w:rPr>
                <w:rFonts w:cs="Arial"/>
                <w:b/>
                <w:color w:val="000000" w:themeColor="text1"/>
              </w:rPr>
            </w:pPr>
            <w:r w:rsidRPr="005C50E9">
              <w:rPr>
                <w:rFonts w:cs="Arial"/>
                <w:b/>
                <w:color w:val="000000" w:themeColor="text1"/>
              </w:rPr>
              <w:t>Total</w:t>
            </w:r>
          </w:p>
        </w:tc>
      </w:tr>
      <w:tr w:rsidR="005255C2" w:rsidRPr="00F27E8D" w14:paraId="4FADF708" w14:textId="77777777" w:rsidTr="0071775B">
        <w:tc>
          <w:tcPr>
            <w:tcW w:w="2083" w:type="pct"/>
            <w:vAlign w:val="center"/>
          </w:tcPr>
          <w:p w14:paraId="17982ACF" w14:textId="77777777" w:rsidR="005255C2" w:rsidRPr="005C50E9" w:rsidRDefault="005255C2">
            <w:pPr>
              <w:jc w:val="center"/>
              <w:rPr>
                <w:rFonts w:cs="Arial"/>
                <w:color w:val="000000" w:themeColor="text1"/>
              </w:rPr>
            </w:pPr>
            <w:r w:rsidRPr="005C50E9">
              <w:rPr>
                <w:rFonts w:cs="Arial"/>
                <w:color w:val="000000" w:themeColor="text1"/>
              </w:rPr>
              <w:t>41</w:t>
            </w:r>
          </w:p>
        </w:tc>
        <w:tc>
          <w:tcPr>
            <w:tcW w:w="2424" w:type="pct"/>
            <w:vAlign w:val="center"/>
          </w:tcPr>
          <w:p w14:paraId="43AF168C" w14:textId="77777777" w:rsidR="005255C2" w:rsidRPr="005C50E9" w:rsidRDefault="005255C2">
            <w:pPr>
              <w:jc w:val="center"/>
              <w:rPr>
                <w:rFonts w:cs="Arial"/>
                <w:color w:val="000000" w:themeColor="text1"/>
              </w:rPr>
            </w:pPr>
            <w:r w:rsidRPr="005C50E9">
              <w:rPr>
                <w:rFonts w:cs="Arial"/>
                <w:color w:val="000000" w:themeColor="text1"/>
              </w:rPr>
              <w:t>818</w:t>
            </w:r>
          </w:p>
        </w:tc>
        <w:tc>
          <w:tcPr>
            <w:tcW w:w="493" w:type="pct"/>
            <w:vAlign w:val="center"/>
          </w:tcPr>
          <w:p w14:paraId="2F00E069" w14:textId="77777777" w:rsidR="005255C2" w:rsidRPr="00F27E8D" w:rsidRDefault="005255C2">
            <w:pPr>
              <w:jc w:val="center"/>
              <w:rPr>
                <w:rFonts w:cs="Arial"/>
                <w:color w:val="000000" w:themeColor="text1"/>
              </w:rPr>
            </w:pPr>
            <w:r w:rsidRPr="005C50E9">
              <w:rPr>
                <w:rFonts w:cs="Arial"/>
                <w:color w:val="000000" w:themeColor="text1"/>
              </w:rPr>
              <w:t>859</w:t>
            </w:r>
          </w:p>
        </w:tc>
      </w:tr>
    </w:tbl>
    <w:p w14:paraId="5FEAD468" w14:textId="77777777" w:rsidR="005255C2" w:rsidRPr="00F27E8D" w:rsidRDefault="005255C2" w:rsidP="0071775B">
      <w:pPr>
        <w:autoSpaceDE w:val="0"/>
        <w:autoSpaceDN w:val="0"/>
        <w:adjustRightInd w:val="0"/>
        <w:spacing w:after="240"/>
        <w:rPr>
          <w:rFonts w:eastAsiaTheme="minorHAnsi" w:cs="Arial"/>
          <w:color w:val="000000"/>
        </w:rPr>
      </w:pPr>
    </w:p>
    <w:sectPr w:rsidR="005255C2" w:rsidRPr="00F27E8D" w:rsidSect="00567812">
      <w:headerReference w:type="default" r:id="rId19"/>
      <w:headerReference w:type="first" r:id="rId20"/>
      <w:pgSz w:w="12240" w:h="15840"/>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74738" w16cid:durableId="200E692F"/>
  <w16cid:commentId w16cid:paraId="12D9BF5F" w16cid:durableId="200E6930"/>
  <w16cid:commentId w16cid:paraId="468F5622" w16cid:durableId="200E6A97"/>
  <w16cid:commentId w16cid:paraId="273F7861" w16cid:durableId="200E6931"/>
  <w16cid:commentId w16cid:paraId="48F9DFBA" w16cid:durableId="200E6C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DBF57" w14:textId="77777777" w:rsidR="00061B26" w:rsidRDefault="00061B26" w:rsidP="007C0AA4">
      <w:r>
        <w:separator/>
      </w:r>
    </w:p>
  </w:endnote>
  <w:endnote w:type="continuationSeparator" w:id="0">
    <w:p w14:paraId="5DE7E416" w14:textId="77777777" w:rsidR="00061B26" w:rsidRDefault="00061B26"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C3C22" w14:textId="77777777" w:rsidR="002E5358" w:rsidRDefault="002E5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0E42C" w14:textId="77777777" w:rsidR="00061B26" w:rsidRDefault="00061B26" w:rsidP="007C0AA4">
      <w:r>
        <w:separator/>
      </w:r>
    </w:p>
  </w:footnote>
  <w:footnote w:type="continuationSeparator" w:id="0">
    <w:p w14:paraId="6A9B8DCB" w14:textId="77777777" w:rsidR="00061B26" w:rsidRDefault="00061B26" w:rsidP="007C0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A573B" w14:textId="77777777" w:rsidR="005D195E" w:rsidRDefault="005D195E" w:rsidP="00B664B2">
    <w:pPr>
      <w:tabs>
        <w:tab w:val="center" w:pos="4680"/>
        <w:tab w:val="right" w:pos="9360"/>
      </w:tabs>
      <w:jc w:val="right"/>
    </w:pPr>
    <w:proofErr w:type="gramStart"/>
    <w:r>
      <w:t>memo</w:t>
    </w:r>
    <w:r w:rsidRPr="00BC505C">
      <w:t>-pptb</w:t>
    </w:r>
    <w:r>
      <w:t>-amard</w:t>
    </w:r>
    <w:r w:rsidRPr="00BC505C">
      <w:t>-</w:t>
    </w:r>
    <w:r>
      <w:t>feb19</w:t>
    </w:r>
    <w:r w:rsidRPr="00BC505C">
      <w:t>item0</w:t>
    </w:r>
    <w:r>
      <w:t>1</w:t>
    </w:r>
    <w:proofErr w:type="gramEnd"/>
  </w:p>
  <w:p w14:paraId="121156B1" w14:textId="77777777" w:rsidR="005D195E" w:rsidRDefault="005D195E" w:rsidP="005B7828">
    <w:pPr>
      <w:tabs>
        <w:tab w:val="center" w:pos="4680"/>
        <w:tab w:val="right" w:pos="9360"/>
      </w:tabs>
      <w:spacing w:after="36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Pr>
        <w:rFonts w:cs="Arial"/>
        <w:noProof/>
      </w:rPr>
      <w:t>4</w:t>
    </w:r>
    <w:r w:rsidRPr="003E06F5">
      <w:rPr>
        <w:rFonts w:cs="Arial"/>
        <w:noProof/>
      </w:rPr>
      <w:fldChar w:fldCharType="end"/>
    </w:r>
    <w:r w:rsidRPr="003E06F5">
      <w:rPr>
        <w:rFonts w:cs="Arial"/>
      </w:rPr>
      <w:t xml:space="preserve"> of </w:t>
    </w:r>
    <w:r>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E9CA2" w14:textId="77777777" w:rsidR="005D195E" w:rsidRDefault="005D195E" w:rsidP="00EB7598">
    <w:pPr>
      <w:pStyle w:val="Header"/>
      <w:jc w:val="right"/>
      <w:rPr>
        <w:rFonts w:ascii="Arial" w:hAnsi="Arial" w:cs="Arial"/>
        <w:sz w:val="24"/>
        <w:szCs w:val="24"/>
      </w:rPr>
    </w:pPr>
    <w:proofErr w:type="gramStart"/>
    <w:r w:rsidRPr="00BB5923">
      <w:rPr>
        <w:rFonts w:ascii="Arial" w:hAnsi="Arial" w:cs="Arial"/>
        <w:sz w:val="24"/>
        <w:szCs w:val="24"/>
      </w:rPr>
      <w:t>pptb-amard-feb19item0</w:t>
    </w:r>
    <w:r w:rsidR="002D351A">
      <w:rPr>
        <w:rFonts w:ascii="Arial" w:hAnsi="Arial" w:cs="Arial"/>
        <w:sz w:val="24"/>
        <w:szCs w:val="24"/>
      </w:rPr>
      <w:t>2</w:t>
    </w:r>
    <w:proofErr w:type="gramEnd"/>
  </w:p>
  <w:p w14:paraId="243BF527" w14:textId="2D8DE1D3" w:rsidR="005D195E" w:rsidRPr="00BB5923" w:rsidRDefault="005D195E" w:rsidP="0071775B">
    <w:pPr>
      <w:pStyle w:val="Header"/>
      <w:spacing w:after="48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sidR="000B4680">
      <w:rPr>
        <w:rFonts w:ascii="Arial" w:hAnsi="Arial" w:cs="Arial"/>
        <w:noProof/>
        <w:sz w:val="24"/>
        <w:szCs w:val="24"/>
      </w:rPr>
      <w:t>3</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sidR="00531319">
      <w:rPr>
        <w:rFonts w:ascii="Arial" w:hAnsi="Arial" w:cs="Arial"/>
        <w:sz w:val="24"/>
        <w:szCs w:val="24"/>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02DAD" w14:textId="77777777" w:rsidR="005D195E" w:rsidRPr="00D844A7" w:rsidRDefault="005D195E" w:rsidP="000B50CC">
    <w:pPr>
      <w:jc w:val="right"/>
      <w:rPr>
        <w:rFonts w:cs="Arial"/>
      </w:rPr>
    </w:pPr>
    <w:proofErr w:type="gramStart"/>
    <w:r w:rsidRPr="00D844A7">
      <w:rPr>
        <w:rFonts w:cs="Arial"/>
      </w:rPr>
      <w:t>pptb-amard-</w:t>
    </w:r>
    <w:r>
      <w:rPr>
        <w:rFonts w:cs="Arial"/>
      </w:rPr>
      <w:t>feb19</w:t>
    </w:r>
    <w:r w:rsidRPr="00D844A7">
      <w:rPr>
        <w:rFonts w:cs="Arial"/>
      </w:rPr>
      <w:t>item01</w:t>
    </w:r>
    <w:proofErr w:type="gramEnd"/>
  </w:p>
  <w:p w14:paraId="28651A72" w14:textId="77777777" w:rsidR="005D195E" w:rsidRDefault="005D195E" w:rsidP="000B50CC">
    <w:pPr>
      <w:pStyle w:val="Header"/>
      <w:jc w:val="right"/>
      <w:rPr>
        <w:rFonts w:ascii="Arial" w:hAnsi="Arial" w:cs="Arial"/>
        <w:sz w:val="24"/>
        <w:szCs w:val="24"/>
      </w:rPr>
    </w:pPr>
    <w:r w:rsidRPr="00D844A7">
      <w:rPr>
        <w:rFonts w:ascii="Arial" w:hAnsi="Arial" w:cs="Arial"/>
        <w:sz w:val="24"/>
        <w:szCs w:val="24"/>
      </w:rPr>
      <w:t xml:space="preserve">Attachment </w:t>
    </w:r>
    <w:r>
      <w:rPr>
        <w:rFonts w:ascii="Arial" w:hAnsi="Arial" w:cs="Arial"/>
        <w:sz w:val="24"/>
        <w:szCs w:val="24"/>
      </w:rPr>
      <w:t>1</w:t>
    </w:r>
  </w:p>
  <w:p w14:paraId="49B43DA9" w14:textId="77777777" w:rsidR="005D195E" w:rsidRPr="00D844A7" w:rsidRDefault="005D195E" w:rsidP="000B50CC">
    <w:pPr>
      <w:pStyle w:val="Header"/>
      <w:spacing w:after="240"/>
      <w:jc w:val="right"/>
      <w:rPr>
        <w:rFonts w:ascii="Arial" w:hAnsi="Arial" w:cs="Arial"/>
        <w:sz w:val="24"/>
        <w:szCs w:val="24"/>
      </w:rPr>
    </w:pPr>
    <w:r w:rsidRPr="00D844A7">
      <w:rPr>
        <w:rFonts w:ascii="Arial" w:hAnsi="Arial" w:cs="Arial"/>
        <w:sz w:val="24"/>
        <w:szCs w:val="24"/>
      </w:rPr>
      <w:t xml:space="preserve">Page </w:t>
    </w:r>
    <w:r>
      <w:rPr>
        <w:rFonts w:ascii="Arial" w:hAnsi="Arial" w:cs="Arial"/>
        <w:sz w:val="24"/>
        <w:szCs w:val="24"/>
      </w:rPr>
      <w:t>1</w:t>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3</w:t>
    </w:r>
  </w:p>
  <w:p w14:paraId="22AE69B8" w14:textId="77777777" w:rsidR="005D195E" w:rsidRDefault="005D19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8198E" w14:textId="77777777" w:rsidR="005032BA" w:rsidRDefault="005032BA" w:rsidP="00EB7598">
    <w:pPr>
      <w:pStyle w:val="Header"/>
      <w:jc w:val="right"/>
      <w:rPr>
        <w:rFonts w:ascii="Arial" w:hAnsi="Arial" w:cs="Arial"/>
        <w:sz w:val="24"/>
        <w:szCs w:val="24"/>
      </w:rPr>
    </w:pPr>
    <w:proofErr w:type="gramStart"/>
    <w:r w:rsidRPr="00BB5923">
      <w:rPr>
        <w:rFonts w:ascii="Arial" w:hAnsi="Arial" w:cs="Arial"/>
        <w:sz w:val="24"/>
        <w:szCs w:val="24"/>
      </w:rPr>
      <w:t>pptb-amard-feb19item0</w:t>
    </w:r>
    <w:r>
      <w:rPr>
        <w:rFonts w:ascii="Arial" w:hAnsi="Arial" w:cs="Arial"/>
        <w:sz w:val="24"/>
        <w:szCs w:val="24"/>
      </w:rPr>
      <w:t>2</w:t>
    </w:r>
    <w:proofErr w:type="gramEnd"/>
  </w:p>
  <w:p w14:paraId="73E93F7D" w14:textId="77777777" w:rsidR="005032BA" w:rsidRDefault="005032BA" w:rsidP="00EB7598">
    <w:pPr>
      <w:pStyle w:val="Header"/>
      <w:jc w:val="right"/>
      <w:rPr>
        <w:rFonts w:ascii="Arial" w:hAnsi="Arial" w:cs="Arial"/>
        <w:sz w:val="24"/>
        <w:szCs w:val="24"/>
      </w:rPr>
    </w:pPr>
    <w:r>
      <w:rPr>
        <w:rFonts w:ascii="Arial" w:hAnsi="Arial" w:cs="Arial"/>
        <w:sz w:val="24"/>
        <w:szCs w:val="24"/>
      </w:rPr>
      <w:t>A</w:t>
    </w:r>
    <w:r w:rsidR="007F5F53">
      <w:rPr>
        <w:rFonts w:ascii="Arial" w:hAnsi="Arial" w:cs="Arial"/>
        <w:sz w:val="24"/>
        <w:szCs w:val="24"/>
      </w:rPr>
      <w:t>ttachment 1</w:t>
    </w:r>
  </w:p>
  <w:p w14:paraId="5635959F" w14:textId="77777777" w:rsidR="005032BA" w:rsidRPr="00BB5923" w:rsidRDefault="005032BA" w:rsidP="0047543F">
    <w:pPr>
      <w:pStyle w:val="Header"/>
      <w:spacing w:after="240"/>
      <w:jc w:val="right"/>
      <w:rPr>
        <w:rFonts w:ascii="Arial" w:hAnsi="Arial" w:cs="Arial"/>
        <w:sz w:val="24"/>
        <w:szCs w:val="24"/>
      </w:rPr>
    </w:pPr>
    <w:r w:rsidRPr="00BB5923">
      <w:rPr>
        <w:rFonts w:ascii="Arial" w:hAnsi="Arial" w:cs="Arial"/>
        <w:sz w:val="24"/>
        <w:szCs w:val="24"/>
      </w:rPr>
      <w:t xml:space="preserve">Page </w:t>
    </w:r>
    <w:r w:rsidRPr="00BB5923">
      <w:rPr>
        <w:rFonts w:ascii="Arial" w:hAnsi="Arial" w:cs="Arial"/>
        <w:sz w:val="24"/>
        <w:szCs w:val="24"/>
      </w:rPr>
      <w:fldChar w:fldCharType="begin"/>
    </w:r>
    <w:r w:rsidRPr="00BB5923">
      <w:rPr>
        <w:rFonts w:ascii="Arial" w:hAnsi="Arial" w:cs="Arial"/>
        <w:sz w:val="24"/>
        <w:szCs w:val="24"/>
      </w:rPr>
      <w:instrText xml:space="preserve"> PAGE   \* MERGEFORMAT </w:instrText>
    </w:r>
    <w:r w:rsidRPr="00BB5923">
      <w:rPr>
        <w:rFonts w:ascii="Arial" w:hAnsi="Arial" w:cs="Arial"/>
        <w:sz w:val="24"/>
        <w:szCs w:val="24"/>
      </w:rPr>
      <w:fldChar w:fldCharType="separate"/>
    </w:r>
    <w:r w:rsidR="000B4680">
      <w:rPr>
        <w:rFonts w:ascii="Arial" w:hAnsi="Arial" w:cs="Arial"/>
        <w:noProof/>
        <w:sz w:val="24"/>
        <w:szCs w:val="24"/>
      </w:rPr>
      <w:t>3</w:t>
    </w:r>
    <w:r w:rsidRPr="00BB5923">
      <w:rPr>
        <w:rFonts w:ascii="Arial" w:hAnsi="Arial" w:cs="Arial"/>
        <w:noProof/>
        <w:sz w:val="24"/>
        <w:szCs w:val="24"/>
      </w:rPr>
      <w:fldChar w:fldCharType="end"/>
    </w:r>
    <w:r w:rsidRPr="00BB5923">
      <w:rPr>
        <w:rFonts w:ascii="Arial" w:hAnsi="Arial" w:cs="Arial"/>
        <w:noProof/>
        <w:sz w:val="24"/>
        <w:szCs w:val="24"/>
      </w:rPr>
      <w:t xml:space="preserve"> </w:t>
    </w:r>
    <w:r w:rsidRPr="00BB5923">
      <w:rPr>
        <w:rFonts w:ascii="Arial" w:hAnsi="Arial" w:cs="Arial"/>
        <w:sz w:val="24"/>
        <w:szCs w:val="24"/>
      </w:rPr>
      <w:t xml:space="preserve">of </w:t>
    </w:r>
    <w:r w:rsidR="00DF3393">
      <w:rPr>
        <w:rFonts w:ascii="Arial" w:hAnsi="Arial" w:cs="Arial"/>
        <w:sz w:val="24"/>
        <w:szCs w:val="24"/>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353CC" w14:textId="0CBA124C" w:rsidR="002E5358" w:rsidRPr="00D844A7" w:rsidRDefault="002E5358" w:rsidP="000B50CC">
    <w:pPr>
      <w:jc w:val="right"/>
      <w:rPr>
        <w:rFonts w:cs="Arial"/>
      </w:rPr>
    </w:pPr>
    <w:proofErr w:type="gramStart"/>
    <w:r w:rsidRPr="00D844A7">
      <w:rPr>
        <w:rFonts w:cs="Arial"/>
      </w:rPr>
      <w:t>pptb-amard-</w:t>
    </w:r>
    <w:r>
      <w:rPr>
        <w:rFonts w:cs="Arial"/>
      </w:rPr>
      <w:t>feb19</w:t>
    </w:r>
    <w:r w:rsidRPr="00D844A7">
      <w:rPr>
        <w:rFonts w:cs="Arial"/>
      </w:rPr>
      <w:t>item0</w:t>
    </w:r>
    <w:r w:rsidR="006A233F">
      <w:rPr>
        <w:rFonts w:cs="Arial"/>
      </w:rPr>
      <w:t>2</w:t>
    </w:r>
    <w:proofErr w:type="gramEnd"/>
  </w:p>
  <w:p w14:paraId="4FE292F3" w14:textId="77777777" w:rsidR="002E5358" w:rsidRDefault="002E5358" w:rsidP="000B50CC">
    <w:pPr>
      <w:pStyle w:val="Header"/>
      <w:jc w:val="right"/>
      <w:rPr>
        <w:rFonts w:ascii="Arial" w:hAnsi="Arial" w:cs="Arial"/>
        <w:sz w:val="24"/>
        <w:szCs w:val="24"/>
      </w:rPr>
    </w:pPr>
    <w:r w:rsidRPr="00D844A7">
      <w:rPr>
        <w:rFonts w:ascii="Arial" w:hAnsi="Arial" w:cs="Arial"/>
        <w:sz w:val="24"/>
        <w:szCs w:val="24"/>
      </w:rPr>
      <w:t xml:space="preserve">Attachment </w:t>
    </w:r>
    <w:r>
      <w:rPr>
        <w:rFonts w:ascii="Arial" w:hAnsi="Arial" w:cs="Arial"/>
        <w:sz w:val="24"/>
        <w:szCs w:val="24"/>
      </w:rPr>
      <w:t>1</w:t>
    </w:r>
  </w:p>
  <w:p w14:paraId="422C45F3" w14:textId="77777777" w:rsidR="002E5358" w:rsidRDefault="002E5358" w:rsidP="0071775B">
    <w:pPr>
      <w:pStyle w:val="Header"/>
      <w:spacing w:after="240"/>
      <w:jc w:val="right"/>
    </w:pPr>
    <w:r w:rsidRPr="00D844A7">
      <w:rPr>
        <w:rFonts w:ascii="Arial" w:hAnsi="Arial" w:cs="Arial"/>
        <w:sz w:val="24"/>
        <w:szCs w:val="24"/>
      </w:rPr>
      <w:t xml:space="preserve">Page </w:t>
    </w:r>
    <w:r>
      <w:rPr>
        <w:rFonts w:ascii="Arial" w:hAnsi="Arial" w:cs="Arial"/>
        <w:sz w:val="24"/>
        <w:szCs w:val="24"/>
      </w:rPr>
      <w:t>1</w:t>
    </w:r>
    <w:r w:rsidRPr="00D844A7">
      <w:rPr>
        <w:rFonts w:ascii="Arial" w:hAnsi="Arial" w:cs="Arial"/>
        <w:noProof/>
        <w:sz w:val="24"/>
        <w:szCs w:val="24"/>
      </w:rPr>
      <w:t xml:space="preserve"> </w:t>
    </w:r>
    <w:r w:rsidRPr="00D844A7">
      <w:rPr>
        <w:rFonts w:ascii="Arial" w:hAnsi="Arial" w:cs="Arial"/>
        <w:sz w:val="24"/>
        <w:szCs w:val="24"/>
      </w:rPr>
      <w:t xml:space="preserve">of </w:t>
    </w:r>
    <w:r w:rsidR="00DF3393">
      <w:rPr>
        <w:rFonts w:ascii="Arial" w:hAnsi="Arial" w:cs="Arial"/>
        <w:sz w:val="24"/>
        <w:szCs w:val="24"/>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F258" w14:textId="1C5B44C4" w:rsidR="005D195E" w:rsidRPr="00006612" w:rsidRDefault="005D195E" w:rsidP="00CB1F6A">
    <w:pPr>
      <w:pStyle w:val="Header"/>
      <w:jc w:val="right"/>
      <w:rPr>
        <w:rFonts w:ascii="Arial" w:hAnsi="Arial" w:cs="Arial"/>
        <w:color w:val="000000"/>
        <w:sz w:val="24"/>
        <w:szCs w:val="24"/>
      </w:rPr>
    </w:pPr>
    <w:proofErr w:type="gramStart"/>
    <w:r w:rsidRPr="00006612">
      <w:rPr>
        <w:rFonts w:ascii="Arial" w:hAnsi="Arial" w:cs="Arial"/>
        <w:color w:val="000000"/>
        <w:sz w:val="24"/>
        <w:szCs w:val="24"/>
      </w:rPr>
      <w:t>memo-pptb-amard-feb1</w:t>
    </w:r>
    <w:r>
      <w:rPr>
        <w:rFonts w:ascii="Arial" w:hAnsi="Arial" w:cs="Arial"/>
        <w:color w:val="000000"/>
        <w:sz w:val="24"/>
        <w:szCs w:val="24"/>
      </w:rPr>
      <w:t>9</w:t>
    </w:r>
    <w:r w:rsidRPr="00006612">
      <w:rPr>
        <w:rFonts w:ascii="Arial" w:hAnsi="Arial" w:cs="Arial"/>
        <w:color w:val="000000"/>
        <w:sz w:val="24"/>
        <w:szCs w:val="24"/>
      </w:rPr>
      <w:t>item0</w:t>
    </w:r>
    <w:r w:rsidR="006A233F">
      <w:rPr>
        <w:rFonts w:ascii="Arial" w:hAnsi="Arial" w:cs="Arial"/>
        <w:color w:val="000000"/>
        <w:sz w:val="24"/>
        <w:szCs w:val="24"/>
      </w:rPr>
      <w:t>2</w:t>
    </w:r>
    <w:proofErr w:type="gramEnd"/>
  </w:p>
  <w:p w14:paraId="214E0C16" w14:textId="77777777" w:rsidR="005D195E" w:rsidRPr="00006612" w:rsidRDefault="005D195E" w:rsidP="00CB1F6A">
    <w:pPr>
      <w:pStyle w:val="Header"/>
      <w:jc w:val="right"/>
      <w:rPr>
        <w:rFonts w:ascii="Arial" w:hAnsi="Arial" w:cs="Arial"/>
        <w:color w:val="000000"/>
        <w:sz w:val="24"/>
        <w:szCs w:val="24"/>
      </w:rPr>
    </w:pPr>
    <w:r w:rsidRPr="00006612">
      <w:rPr>
        <w:rFonts w:ascii="Arial" w:hAnsi="Arial" w:cs="Arial"/>
        <w:color w:val="000000"/>
        <w:sz w:val="24"/>
        <w:szCs w:val="24"/>
      </w:rPr>
      <w:t>A</w:t>
    </w:r>
    <w:r w:rsidR="005255C2">
      <w:rPr>
        <w:rFonts w:ascii="Arial" w:hAnsi="Arial" w:cs="Arial"/>
        <w:color w:val="000000"/>
        <w:sz w:val="24"/>
        <w:szCs w:val="24"/>
      </w:rPr>
      <w:t>ttachment 2</w:t>
    </w:r>
  </w:p>
  <w:p w14:paraId="4A3273F8" w14:textId="77777777" w:rsidR="005D195E" w:rsidRPr="00006612" w:rsidRDefault="005D195E" w:rsidP="00CB1F6A">
    <w:pPr>
      <w:pStyle w:val="Header"/>
      <w:spacing w:after="240"/>
      <w:jc w:val="right"/>
      <w:rPr>
        <w:rFonts w:ascii="Arial" w:hAnsi="Arial" w:cs="Arial"/>
        <w:sz w:val="24"/>
        <w:szCs w:val="24"/>
      </w:rPr>
    </w:pPr>
    <w:r w:rsidRPr="00006612">
      <w:rPr>
        <w:rFonts w:ascii="Arial" w:hAnsi="Arial" w:cs="Arial"/>
        <w:sz w:val="24"/>
        <w:szCs w:val="24"/>
      </w:rPr>
      <w:t xml:space="preserve">Page </w:t>
    </w:r>
    <w:r>
      <w:rPr>
        <w:rFonts w:ascii="Arial" w:hAnsi="Arial" w:cs="Arial"/>
        <w:sz w:val="24"/>
        <w:szCs w:val="24"/>
      </w:rPr>
      <w:t>2</w:t>
    </w:r>
    <w:r w:rsidRPr="00006612">
      <w:rPr>
        <w:rFonts w:ascii="Arial" w:hAnsi="Arial" w:cs="Arial"/>
        <w:sz w:val="24"/>
        <w:szCs w:val="24"/>
      </w:rPr>
      <w:t xml:space="preserve"> of </w:t>
    </w:r>
    <w:r>
      <w:rPr>
        <w:rFonts w:ascii="Arial" w:hAnsi="Arial" w:cs="Arial"/>
        <w:sz w:val="24"/>
        <w:szCs w:val="24"/>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3857" w14:textId="77777777" w:rsidR="005D195E" w:rsidRPr="00D844A7" w:rsidRDefault="005D195E" w:rsidP="000B50CC">
    <w:pPr>
      <w:jc w:val="right"/>
      <w:rPr>
        <w:rFonts w:cs="Arial"/>
      </w:rPr>
    </w:pPr>
    <w:proofErr w:type="gramStart"/>
    <w:r w:rsidRPr="00D844A7">
      <w:rPr>
        <w:rFonts w:cs="Arial"/>
      </w:rPr>
      <w:t>pptb-amard-</w:t>
    </w:r>
    <w:r>
      <w:rPr>
        <w:rFonts w:cs="Arial"/>
      </w:rPr>
      <w:t>feb19</w:t>
    </w:r>
    <w:r w:rsidRPr="00D844A7">
      <w:rPr>
        <w:rFonts w:cs="Arial"/>
      </w:rPr>
      <w:t>item0</w:t>
    </w:r>
    <w:r w:rsidR="0006721D">
      <w:rPr>
        <w:rFonts w:cs="Arial"/>
      </w:rPr>
      <w:t>2</w:t>
    </w:r>
    <w:proofErr w:type="gramEnd"/>
  </w:p>
  <w:p w14:paraId="5B01373F" w14:textId="77777777" w:rsidR="005D195E" w:rsidRDefault="005D195E" w:rsidP="000B50CC">
    <w:pPr>
      <w:pStyle w:val="Header"/>
      <w:jc w:val="right"/>
      <w:rPr>
        <w:rFonts w:ascii="Arial" w:hAnsi="Arial" w:cs="Arial"/>
        <w:sz w:val="24"/>
        <w:szCs w:val="24"/>
      </w:rPr>
    </w:pPr>
    <w:r>
      <w:rPr>
        <w:rFonts w:ascii="Arial" w:hAnsi="Arial" w:cs="Arial"/>
        <w:sz w:val="24"/>
        <w:szCs w:val="24"/>
      </w:rPr>
      <w:t>A</w:t>
    </w:r>
    <w:r w:rsidR="0006721D">
      <w:rPr>
        <w:rFonts w:ascii="Arial" w:hAnsi="Arial" w:cs="Arial"/>
        <w:sz w:val="24"/>
        <w:szCs w:val="24"/>
      </w:rPr>
      <w:t>ttachment 2</w:t>
    </w:r>
  </w:p>
  <w:p w14:paraId="58B15D54" w14:textId="77777777" w:rsidR="005D195E" w:rsidRDefault="005D195E" w:rsidP="0071775B">
    <w:pPr>
      <w:pStyle w:val="Header"/>
      <w:spacing w:after="240"/>
      <w:jc w:val="right"/>
    </w:pPr>
    <w:r w:rsidRPr="00D844A7">
      <w:rPr>
        <w:rFonts w:ascii="Arial" w:hAnsi="Arial" w:cs="Arial"/>
        <w:sz w:val="24"/>
        <w:szCs w:val="24"/>
      </w:rPr>
      <w:t xml:space="preserve">Page </w:t>
    </w:r>
    <w:r w:rsidRPr="005B7828">
      <w:rPr>
        <w:rFonts w:cs="Arial"/>
      </w:rPr>
      <w:fldChar w:fldCharType="begin"/>
    </w:r>
    <w:r w:rsidRPr="005B7828">
      <w:rPr>
        <w:rFonts w:ascii="Arial" w:hAnsi="Arial" w:cs="Arial"/>
        <w:sz w:val="24"/>
        <w:szCs w:val="24"/>
      </w:rPr>
      <w:instrText xml:space="preserve"> PAGE   \* MERGEFORMAT </w:instrText>
    </w:r>
    <w:r w:rsidRPr="005B7828">
      <w:rPr>
        <w:rFonts w:cs="Arial"/>
      </w:rPr>
      <w:fldChar w:fldCharType="separate"/>
    </w:r>
    <w:r w:rsidR="000B4680">
      <w:rPr>
        <w:rFonts w:ascii="Arial" w:hAnsi="Arial" w:cs="Arial"/>
        <w:noProof/>
        <w:sz w:val="24"/>
        <w:szCs w:val="24"/>
      </w:rPr>
      <w:t>1</w:t>
    </w:r>
    <w:r w:rsidRPr="005B7828">
      <w:rPr>
        <w:rFonts w:cs="Arial"/>
        <w:noProof/>
      </w:rPr>
      <w:fldChar w:fldCharType="end"/>
    </w:r>
    <w:r w:rsidRPr="00D844A7">
      <w:rPr>
        <w:rFonts w:ascii="Arial" w:hAnsi="Arial" w:cs="Arial"/>
        <w:noProof/>
        <w:sz w:val="24"/>
        <w:szCs w:val="24"/>
      </w:rPr>
      <w:t xml:space="preserve"> </w:t>
    </w:r>
    <w:r w:rsidRPr="00D844A7">
      <w:rPr>
        <w:rFonts w:ascii="Arial" w:hAnsi="Arial" w:cs="Arial"/>
        <w:sz w:val="24"/>
        <w:szCs w:val="24"/>
      </w:rPr>
      <w:t xml:space="preserve">of </w:t>
    </w:r>
    <w:r>
      <w:rPr>
        <w:rFonts w:ascii="Arial" w:hAnsi="Arial" w:cs="Arial"/>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5612"/>
    <w:multiLevelType w:val="hybridMultilevel"/>
    <w:tmpl w:val="5D842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93118"/>
    <w:multiLevelType w:val="hybridMultilevel"/>
    <w:tmpl w:val="656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E98"/>
    <w:multiLevelType w:val="hybridMultilevel"/>
    <w:tmpl w:val="341699EE"/>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526AB"/>
    <w:multiLevelType w:val="hybridMultilevel"/>
    <w:tmpl w:val="3434FAB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4" w15:restartNumberingAfterBreak="0">
    <w:nsid w:val="0FFB48AD"/>
    <w:multiLevelType w:val="hybridMultilevel"/>
    <w:tmpl w:val="C38C4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F439FE"/>
    <w:multiLevelType w:val="hybridMultilevel"/>
    <w:tmpl w:val="2E6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0E167C"/>
    <w:multiLevelType w:val="hybridMultilevel"/>
    <w:tmpl w:val="1CDEBFC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A33E5"/>
    <w:multiLevelType w:val="hybridMultilevel"/>
    <w:tmpl w:val="4F1C70D2"/>
    <w:lvl w:ilvl="0" w:tplc="C0E6BA38">
      <w:start w:val="1"/>
      <w:numFmt w:val="bullet"/>
      <w:lvlText w:val="•"/>
      <w:lvlJc w:val="left"/>
      <w:pPr>
        <w:tabs>
          <w:tab w:val="num" w:pos="360"/>
        </w:tabs>
        <w:ind w:left="360" w:hanging="360"/>
      </w:pPr>
      <w:rPr>
        <w:rFonts w:ascii="Arial" w:hAnsi="Arial" w:hint="default"/>
      </w:rPr>
    </w:lvl>
    <w:lvl w:ilvl="1" w:tplc="AE22CCAA" w:tentative="1">
      <w:start w:val="1"/>
      <w:numFmt w:val="bullet"/>
      <w:lvlText w:val="•"/>
      <w:lvlJc w:val="left"/>
      <w:pPr>
        <w:tabs>
          <w:tab w:val="num" w:pos="1080"/>
        </w:tabs>
        <w:ind w:left="1080" w:hanging="360"/>
      </w:pPr>
      <w:rPr>
        <w:rFonts w:ascii="Arial" w:hAnsi="Arial" w:hint="default"/>
      </w:rPr>
    </w:lvl>
    <w:lvl w:ilvl="2" w:tplc="1F906232" w:tentative="1">
      <w:start w:val="1"/>
      <w:numFmt w:val="bullet"/>
      <w:lvlText w:val="•"/>
      <w:lvlJc w:val="left"/>
      <w:pPr>
        <w:tabs>
          <w:tab w:val="num" w:pos="1800"/>
        </w:tabs>
        <w:ind w:left="1800" w:hanging="360"/>
      </w:pPr>
      <w:rPr>
        <w:rFonts w:ascii="Arial" w:hAnsi="Arial" w:hint="default"/>
      </w:rPr>
    </w:lvl>
    <w:lvl w:ilvl="3" w:tplc="8916A9EE" w:tentative="1">
      <w:start w:val="1"/>
      <w:numFmt w:val="bullet"/>
      <w:lvlText w:val="•"/>
      <w:lvlJc w:val="left"/>
      <w:pPr>
        <w:tabs>
          <w:tab w:val="num" w:pos="2520"/>
        </w:tabs>
        <w:ind w:left="2520" w:hanging="360"/>
      </w:pPr>
      <w:rPr>
        <w:rFonts w:ascii="Arial" w:hAnsi="Arial" w:hint="default"/>
      </w:rPr>
    </w:lvl>
    <w:lvl w:ilvl="4" w:tplc="B84CF546" w:tentative="1">
      <w:start w:val="1"/>
      <w:numFmt w:val="bullet"/>
      <w:lvlText w:val="•"/>
      <w:lvlJc w:val="left"/>
      <w:pPr>
        <w:tabs>
          <w:tab w:val="num" w:pos="3240"/>
        </w:tabs>
        <w:ind w:left="3240" w:hanging="360"/>
      </w:pPr>
      <w:rPr>
        <w:rFonts w:ascii="Arial" w:hAnsi="Arial" w:hint="default"/>
      </w:rPr>
    </w:lvl>
    <w:lvl w:ilvl="5" w:tplc="2C485514" w:tentative="1">
      <w:start w:val="1"/>
      <w:numFmt w:val="bullet"/>
      <w:lvlText w:val="•"/>
      <w:lvlJc w:val="left"/>
      <w:pPr>
        <w:tabs>
          <w:tab w:val="num" w:pos="3960"/>
        </w:tabs>
        <w:ind w:left="3960" w:hanging="360"/>
      </w:pPr>
      <w:rPr>
        <w:rFonts w:ascii="Arial" w:hAnsi="Arial" w:hint="default"/>
      </w:rPr>
    </w:lvl>
    <w:lvl w:ilvl="6" w:tplc="71346C40" w:tentative="1">
      <w:start w:val="1"/>
      <w:numFmt w:val="bullet"/>
      <w:lvlText w:val="•"/>
      <w:lvlJc w:val="left"/>
      <w:pPr>
        <w:tabs>
          <w:tab w:val="num" w:pos="4680"/>
        </w:tabs>
        <w:ind w:left="4680" w:hanging="360"/>
      </w:pPr>
      <w:rPr>
        <w:rFonts w:ascii="Arial" w:hAnsi="Arial" w:hint="default"/>
      </w:rPr>
    </w:lvl>
    <w:lvl w:ilvl="7" w:tplc="2D661E9E" w:tentative="1">
      <w:start w:val="1"/>
      <w:numFmt w:val="bullet"/>
      <w:lvlText w:val="•"/>
      <w:lvlJc w:val="left"/>
      <w:pPr>
        <w:tabs>
          <w:tab w:val="num" w:pos="5400"/>
        </w:tabs>
        <w:ind w:left="5400" w:hanging="360"/>
      </w:pPr>
      <w:rPr>
        <w:rFonts w:ascii="Arial" w:hAnsi="Arial" w:hint="default"/>
      </w:rPr>
    </w:lvl>
    <w:lvl w:ilvl="8" w:tplc="D5CCA2C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4374F1"/>
    <w:multiLevelType w:val="hybridMultilevel"/>
    <w:tmpl w:val="FE6AE028"/>
    <w:lvl w:ilvl="0" w:tplc="04090001">
      <w:start w:val="1"/>
      <w:numFmt w:val="bullet"/>
      <w:lvlText w:val=""/>
      <w:lvlJc w:val="left"/>
      <w:pPr>
        <w:ind w:left="720" w:hanging="360"/>
      </w:pPr>
      <w:rPr>
        <w:rFonts w:ascii="Symbol" w:hAnsi="Symbol" w:hint="default"/>
      </w:rPr>
    </w:lvl>
    <w:lvl w:ilvl="1" w:tplc="3AE02B20">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E5B79"/>
    <w:multiLevelType w:val="hybridMultilevel"/>
    <w:tmpl w:val="D484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D6A9A"/>
    <w:multiLevelType w:val="hybridMultilevel"/>
    <w:tmpl w:val="D284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56275"/>
    <w:multiLevelType w:val="hybridMultilevel"/>
    <w:tmpl w:val="299C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713D7"/>
    <w:multiLevelType w:val="hybridMultilevel"/>
    <w:tmpl w:val="642A15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64AB0"/>
    <w:multiLevelType w:val="hybridMultilevel"/>
    <w:tmpl w:val="242858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D097B3E"/>
    <w:multiLevelType w:val="hybridMultilevel"/>
    <w:tmpl w:val="71E832A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304BC6"/>
    <w:multiLevelType w:val="hybridMultilevel"/>
    <w:tmpl w:val="4A5059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1D86D37"/>
    <w:multiLevelType w:val="hybridMultilevel"/>
    <w:tmpl w:val="5244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74CFA"/>
    <w:multiLevelType w:val="hybridMultilevel"/>
    <w:tmpl w:val="A498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F3749"/>
    <w:multiLevelType w:val="hybridMultilevel"/>
    <w:tmpl w:val="0C322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7C53FD"/>
    <w:multiLevelType w:val="hybridMultilevel"/>
    <w:tmpl w:val="E28E16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CDA33F3"/>
    <w:multiLevelType w:val="hybridMultilevel"/>
    <w:tmpl w:val="6F50E9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052A4"/>
    <w:multiLevelType w:val="hybridMultilevel"/>
    <w:tmpl w:val="ADC8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16E9B"/>
    <w:multiLevelType w:val="hybridMultilevel"/>
    <w:tmpl w:val="F65E07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C1206FC"/>
    <w:multiLevelType w:val="hybridMultilevel"/>
    <w:tmpl w:val="49E4F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D10076"/>
    <w:multiLevelType w:val="hybridMultilevel"/>
    <w:tmpl w:val="72604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5706418E"/>
    <w:multiLevelType w:val="hybridMultilevel"/>
    <w:tmpl w:val="236E7AC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898138E"/>
    <w:multiLevelType w:val="hybridMultilevel"/>
    <w:tmpl w:val="A504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602447"/>
    <w:multiLevelType w:val="hybridMultilevel"/>
    <w:tmpl w:val="BC9400CA"/>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E5CEB"/>
    <w:multiLevelType w:val="hybridMultilevel"/>
    <w:tmpl w:val="F5625F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7B014F9"/>
    <w:multiLevelType w:val="hybridMultilevel"/>
    <w:tmpl w:val="A95A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15459D"/>
    <w:multiLevelType w:val="hybridMultilevel"/>
    <w:tmpl w:val="94F6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E026C"/>
    <w:multiLevelType w:val="hybridMultilevel"/>
    <w:tmpl w:val="391EAF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E4D4B1E"/>
    <w:multiLevelType w:val="hybridMultilevel"/>
    <w:tmpl w:val="C8ACE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8218FB"/>
    <w:multiLevelType w:val="hybridMultilevel"/>
    <w:tmpl w:val="12861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74110"/>
    <w:multiLevelType w:val="hybridMultilevel"/>
    <w:tmpl w:val="B0785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D27DCD"/>
    <w:multiLevelType w:val="hybridMultilevel"/>
    <w:tmpl w:val="FE42F008"/>
    <w:lvl w:ilvl="0" w:tplc="B4DE4A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DDD6907"/>
    <w:multiLevelType w:val="hybridMultilevel"/>
    <w:tmpl w:val="8004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3"/>
  </w:num>
  <w:num w:numId="3">
    <w:abstractNumId w:val="3"/>
  </w:num>
  <w:num w:numId="4">
    <w:abstractNumId w:val="7"/>
  </w:num>
  <w:num w:numId="5">
    <w:abstractNumId w:val="20"/>
  </w:num>
  <w:num w:numId="6">
    <w:abstractNumId w:val="12"/>
  </w:num>
  <w:num w:numId="7">
    <w:abstractNumId w:val="6"/>
  </w:num>
  <w:num w:numId="8">
    <w:abstractNumId w:val="33"/>
  </w:num>
  <w:num w:numId="9">
    <w:abstractNumId w:val="0"/>
  </w:num>
  <w:num w:numId="10">
    <w:abstractNumId w:val="4"/>
  </w:num>
  <w:num w:numId="11">
    <w:abstractNumId w:val="29"/>
  </w:num>
  <w:num w:numId="12">
    <w:abstractNumId w:val="21"/>
  </w:num>
  <w:num w:numId="13">
    <w:abstractNumId w:val="15"/>
  </w:num>
  <w:num w:numId="14">
    <w:abstractNumId w:val="11"/>
  </w:num>
  <w:num w:numId="15">
    <w:abstractNumId w:val="5"/>
  </w:num>
  <w:num w:numId="16">
    <w:abstractNumId w:val="36"/>
  </w:num>
  <w:num w:numId="17">
    <w:abstractNumId w:val="22"/>
  </w:num>
  <w:num w:numId="18">
    <w:abstractNumId w:val="16"/>
  </w:num>
  <w:num w:numId="19">
    <w:abstractNumId w:val="1"/>
  </w:num>
  <w:num w:numId="20">
    <w:abstractNumId w:val="26"/>
  </w:num>
  <w:num w:numId="21">
    <w:abstractNumId w:val="25"/>
  </w:num>
  <w:num w:numId="22">
    <w:abstractNumId w:val="28"/>
  </w:num>
  <w:num w:numId="23">
    <w:abstractNumId w:val="32"/>
  </w:num>
  <w:num w:numId="24">
    <w:abstractNumId w:val="34"/>
  </w:num>
  <w:num w:numId="25">
    <w:abstractNumId w:val="2"/>
  </w:num>
  <w:num w:numId="26">
    <w:abstractNumId w:val="27"/>
  </w:num>
  <w:num w:numId="27">
    <w:abstractNumId w:val="8"/>
  </w:num>
  <w:num w:numId="28">
    <w:abstractNumId w:val="14"/>
  </w:num>
  <w:num w:numId="29">
    <w:abstractNumId w:val="10"/>
  </w:num>
  <w:num w:numId="30">
    <w:abstractNumId w:val="18"/>
  </w:num>
  <w:num w:numId="31">
    <w:abstractNumId w:val="17"/>
  </w:num>
  <w:num w:numId="32">
    <w:abstractNumId w:val="9"/>
  </w:num>
  <w:num w:numId="33">
    <w:abstractNumId w:val="30"/>
  </w:num>
  <w:num w:numId="34">
    <w:abstractNumId w:val="13"/>
  </w:num>
  <w:num w:numId="35">
    <w:abstractNumId w:val="35"/>
  </w:num>
  <w:num w:numId="36">
    <w:abstractNumId w:val="24"/>
  </w:num>
  <w:num w:numId="3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6612"/>
    <w:rsid w:val="00007946"/>
    <w:rsid w:val="00012773"/>
    <w:rsid w:val="0001445D"/>
    <w:rsid w:val="0001462C"/>
    <w:rsid w:val="000249B6"/>
    <w:rsid w:val="000254A5"/>
    <w:rsid w:val="00030FD8"/>
    <w:rsid w:val="00043450"/>
    <w:rsid w:val="00053B2A"/>
    <w:rsid w:val="00057A96"/>
    <w:rsid w:val="00061B26"/>
    <w:rsid w:val="00063C5D"/>
    <w:rsid w:val="0006721D"/>
    <w:rsid w:val="0007215F"/>
    <w:rsid w:val="000737D6"/>
    <w:rsid w:val="00077927"/>
    <w:rsid w:val="000B4680"/>
    <w:rsid w:val="000B50CC"/>
    <w:rsid w:val="000C139F"/>
    <w:rsid w:val="000C5BAA"/>
    <w:rsid w:val="000D1D15"/>
    <w:rsid w:val="000E15F4"/>
    <w:rsid w:val="000E53B7"/>
    <w:rsid w:val="000F146C"/>
    <w:rsid w:val="000F5B6C"/>
    <w:rsid w:val="0012516C"/>
    <w:rsid w:val="001273B5"/>
    <w:rsid w:val="00135B29"/>
    <w:rsid w:val="00147A65"/>
    <w:rsid w:val="00150057"/>
    <w:rsid w:val="00150DC6"/>
    <w:rsid w:val="0016173B"/>
    <w:rsid w:val="001648E9"/>
    <w:rsid w:val="0016700A"/>
    <w:rsid w:val="00171FE9"/>
    <w:rsid w:val="00172EB7"/>
    <w:rsid w:val="001744B5"/>
    <w:rsid w:val="00175BF1"/>
    <w:rsid w:val="00184DEF"/>
    <w:rsid w:val="00185A92"/>
    <w:rsid w:val="00190105"/>
    <w:rsid w:val="001A24AF"/>
    <w:rsid w:val="001A386E"/>
    <w:rsid w:val="001B0176"/>
    <w:rsid w:val="001B5224"/>
    <w:rsid w:val="001D39E8"/>
    <w:rsid w:val="00222A00"/>
    <w:rsid w:val="00226270"/>
    <w:rsid w:val="00232597"/>
    <w:rsid w:val="00237A26"/>
    <w:rsid w:val="002408E4"/>
    <w:rsid w:val="0024223A"/>
    <w:rsid w:val="00243C55"/>
    <w:rsid w:val="00263F10"/>
    <w:rsid w:val="00270470"/>
    <w:rsid w:val="00273BA0"/>
    <w:rsid w:val="00283FF4"/>
    <w:rsid w:val="0029286A"/>
    <w:rsid w:val="00294351"/>
    <w:rsid w:val="00294D00"/>
    <w:rsid w:val="002A5757"/>
    <w:rsid w:val="002B1214"/>
    <w:rsid w:val="002B3DEF"/>
    <w:rsid w:val="002B59A3"/>
    <w:rsid w:val="002C0147"/>
    <w:rsid w:val="002C5161"/>
    <w:rsid w:val="002C725A"/>
    <w:rsid w:val="002D351A"/>
    <w:rsid w:val="002E284E"/>
    <w:rsid w:val="002E5358"/>
    <w:rsid w:val="0030550F"/>
    <w:rsid w:val="003069E7"/>
    <w:rsid w:val="00321D49"/>
    <w:rsid w:val="00322C00"/>
    <w:rsid w:val="00325EAA"/>
    <w:rsid w:val="0033157A"/>
    <w:rsid w:val="0033616F"/>
    <w:rsid w:val="00343E99"/>
    <w:rsid w:val="00346E9D"/>
    <w:rsid w:val="00353182"/>
    <w:rsid w:val="00356411"/>
    <w:rsid w:val="00360B9D"/>
    <w:rsid w:val="00364C1F"/>
    <w:rsid w:val="00384B7F"/>
    <w:rsid w:val="00386600"/>
    <w:rsid w:val="003A5C5A"/>
    <w:rsid w:val="003A78AA"/>
    <w:rsid w:val="003C6010"/>
    <w:rsid w:val="003C7C3A"/>
    <w:rsid w:val="003D0123"/>
    <w:rsid w:val="003E06F5"/>
    <w:rsid w:val="003E3B94"/>
    <w:rsid w:val="003E47EE"/>
    <w:rsid w:val="003E55D6"/>
    <w:rsid w:val="003F783C"/>
    <w:rsid w:val="00400D86"/>
    <w:rsid w:val="00404FAE"/>
    <w:rsid w:val="00423A85"/>
    <w:rsid w:val="00424300"/>
    <w:rsid w:val="00431174"/>
    <w:rsid w:val="00434D57"/>
    <w:rsid w:val="004356C5"/>
    <w:rsid w:val="00442DD5"/>
    <w:rsid w:val="00446446"/>
    <w:rsid w:val="00472B1E"/>
    <w:rsid w:val="00474A2F"/>
    <w:rsid w:val="0047543F"/>
    <w:rsid w:val="00475614"/>
    <w:rsid w:val="00485D39"/>
    <w:rsid w:val="00491278"/>
    <w:rsid w:val="004941A8"/>
    <w:rsid w:val="0049571A"/>
    <w:rsid w:val="004B6088"/>
    <w:rsid w:val="004B7BDE"/>
    <w:rsid w:val="004D7B9D"/>
    <w:rsid w:val="004E121C"/>
    <w:rsid w:val="004F154E"/>
    <w:rsid w:val="005032BA"/>
    <w:rsid w:val="0051479B"/>
    <w:rsid w:val="00515C91"/>
    <w:rsid w:val="005203DF"/>
    <w:rsid w:val="005255C2"/>
    <w:rsid w:val="00531319"/>
    <w:rsid w:val="00535CBB"/>
    <w:rsid w:val="0054334A"/>
    <w:rsid w:val="0054565D"/>
    <w:rsid w:val="00550A9B"/>
    <w:rsid w:val="00552978"/>
    <w:rsid w:val="00567812"/>
    <w:rsid w:val="00570C01"/>
    <w:rsid w:val="005862E4"/>
    <w:rsid w:val="005B1325"/>
    <w:rsid w:val="005B6CE6"/>
    <w:rsid w:val="005B7828"/>
    <w:rsid w:val="005C2F7B"/>
    <w:rsid w:val="005C50E9"/>
    <w:rsid w:val="005C596D"/>
    <w:rsid w:val="005D195E"/>
    <w:rsid w:val="005D600A"/>
    <w:rsid w:val="005F0CC9"/>
    <w:rsid w:val="005F264D"/>
    <w:rsid w:val="005F3C16"/>
    <w:rsid w:val="005F4C3C"/>
    <w:rsid w:val="006065A2"/>
    <w:rsid w:val="00607835"/>
    <w:rsid w:val="00625FF9"/>
    <w:rsid w:val="006332BB"/>
    <w:rsid w:val="006361A7"/>
    <w:rsid w:val="006431D2"/>
    <w:rsid w:val="00655A00"/>
    <w:rsid w:val="006611CC"/>
    <w:rsid w:val="00671408"/>
    <w:rsid w:val="00681207"/>
    <w:rsid w:val="006912EE"/>
    <w:rsid w:val="006A233F"/>
    <w:rsid w:val="006A2A7E"/>
    <w:rsid w:val="006A5209"/>
    <w:rsid w:val="006A6500"/>
    <w:rsid w:val="006B3DB6"/>
    <w:rsid w:val="006B7B0E"/>
    <w:rsid w:val="006C6469"/>
    <w:rsid w:val="006C6920"/>
    <w:rsid w:val="006E1B3E"/>
    <w:rsid w:val="006F22F2"/>
    <w:rsid w:val="006F4407"/>
    <w:rsid w:val="0070161B"/>
    <w:rsid w:val="00714921"/>
    <w:rsid w:val="007153E9"/>
    <w:rsid w:val="0071775B"/>
    <w:rsid w:val="00721606"/>
    <w:rsid w:val="00732700"/>
    <w:rsid w:val="00740740"/>
    <w:rsid w:val="00742F6B"/>
    <w:rsid w:val="00762A8F"/>
    <w:rsid w:val="00775FCF"/>
    <w:rsid w:val="00783AD7"/>
    <w:rsid w:val="0078748E"/>
    <w:rsid w:val="00793DBC"/>
    <w:rsid w:val="007948E5"/>
    <w:rsid w:val="007A2202"/>
    <w:rsid w:val="007A2653"/>
    <w:rsid w:val="007B6591"/>
    <w:rsid w:val="007C0AA4"/>
    <w:rsid w:val="007C275C"/>
    <w:rsid w:val="007C3B96"/>
    <w:rsid w:val="007C4A99"/>
    <w:rsid w:val="007C6952"/>
    <w:rsid w:val="007E54EC"/>
    <w:rsid w:val="007E7EA0"/>
    <w:rsid w:val="007F27E3"/>
    <w:rsid w:val="007F293B"/>
    <w:rsid w:val="007F5F53"/>
    <w:rsid w:val="00805405"/>
    <w:rsid w:val="00810639"/>
    <w:rsid w:val="00811B4B"/>
    <w:rsid w:val="00813906"/>
    <w:rsid w:val="00820F8C"/>
    <w:rsid w:val="008213F2"/>
    <w:rsid w:val="00821A32"/>
    <w:rsid w:val="00823888"/>
    <w:rsid w:val="008252A8"/>
    <w:rsid w:val="0083221A"/>
    <w:rsid w:val="00844EBF"/>
    <w:rsid w:val="00863F8D"/>
    <w:rsid w:val="008673A2"/>
    <w:rsid w:val="00893C71"/>
    <w:rsid w:val="008A4343"/>
    <w:rsid w:val="008B1135"/>
    <w:rsid w:val="008B1F74"/>
    <w:rsid w:val="008C256A"/>
    <w:rsid w:val="008C64D8"/>
    <w:rsid w:val="008C7818"/>
    <w:rsid w:val="008D2B05"/>
    <w:rsid w:val="008E2F4B"/>
    <w:rsid w:val="008E39BB"/>
    <w:rsid w:val="008E5180"/>
    <w:rsid w:val="008F5E77"/>
    <w:rsid w:val="008F6CA0"/>
    <w:rsid w:val="009063E9"/>
    <w:rsid w:val="00912DF5"/>
    <w:rsid w:val="009234DC"/>
    <w:rsid w:val="0092510F"/>
    <w:rsid w:val="009327B7"/>
    <w:rsid w:val="009335E9"/>
    <w:rsid w:val="00961F67"/>
    <w:rsid w:val="00963290"/>
    <w:rsid w:val="00982A10"/>
    <w:rsid w:val="0099311E"/>
    <w:rsid w:val="009C4051"/>
    <w:rsid w:val="009D2041"/>
    <w:rsid w:val="009D234C"/>
    <w:rsid w:val="009F30D0"/>
    <w:rsid w:val="009F5742"/>
    <w:rsid w:val="009F6601"/>
    <w:rsid w:val="00A0001C"/>
    <w:rsid w:val="00A11875"/>
    <w:rsid w:val="00A12940"/>
    <w:rsid w:val="00A1502E"/>
    <w:rsid w:val="00A35C73"/>
    <w:rsid w:val="00A53673"/>
    <w:rsid w:val="00A841AF"/>
    <w:rsid w:val="00A8543A"/>
    <w:rsid w:val="00A917D1"/>
    <w:rsid w:val="00A92C5C"/>
    <w:rsid w:val="00AA2964"/>
    <w:rsid w:val="00AA3D06"/>
    <w:rsid w:val="00AA5089"/>
    <w:rsid w:val="00AB416C"/>
    <w:rsid w:val="00AB4C92"/>
    <w:rsid w:val="00AB7867"/>
    <w:rsid w:val="00AD45BE"/>
    <w:rsid w:val="00AF086D"/>
    <w:rsid w:val="00AF5063"/>
    <w:rsid w:val="00AF6A57"/>
    <w:rsid w:val="00B07BF4"/>
    <w:rsid w:val="00B12647"/>
    <w:rsid w:val="00B271CF"/>
    <w:rsid w:val="00B324F8"/>
    <w:rsid w:val="00B378A9"/>
    <w:rsid w:val="00B664B2"/>
    <w:rsid w:val="00B9403E"/>
    <w:rsid w:val="00BA2E54"/>
    <w:rsid w:val="00BB3E1C"/>
    <w:rsid w:val="00BB5923"/>
    <w:rsid w:val="00BC134A"/>
    <w:rsid w:val="00BC3667"/>
    <w:rsid w:val="00BC376B"/>
    <w:rsid w:val="00BC505C"/>
    <w:rsid w:val="00BC6CA2"/>
    <w:rsid w:val="00BD1D9D"/>
    <w:rsid w:val="00BE4B40"/>
    <w:rsid w:val="00BF20EA"/>
    <w:rsid w:val="00BF7F32"/>
    <w:rsid w:val="00C039F5"/>
    <w:rsid w:val="00C04FDE"/>
    <w:rsid w:val="00C05B8C"/>
    <w:rsid w:val="00C32BD4"/>
    <w:rsid w:val="00C41841"/>
    <w:rsid w:val="00C420BB"/>
    <w:rsid w:val="00C45E21"/>
    <w:rsid w:val="00C5533E"/>
    <w:rsid w:val="00C61F78"/>
    <w:rsid w:val="00C6708D"/>
    <w:rsid w:val="00C75773"/>
    <w:rsid w:val="00C8479D"/>
    <w:rsid w:val="00C850AB"/>
    <w:rsid w:val="00C86FC1"/>
    <w:rsid w:val="00C877B4"/>
    <w:rsid w:val="00C91054"/>
    <w:rsid w:val="00C92FC2"/>
    <w:rsid w:val="00CB1F6A"/>
    <w:rsid w:val="00CC5474"/>
    <w:rsid w:val="00CD14F0"/>
    <w:rsid w:val="00CD38D4"/>
    <w:rsid w:val="00CF4E1D"/>
    <w:rsid w:val="00D22830"/>
    <w:rsid w:val="00D368A9"/>
    <w:rsid w:val="00D37AAA"/>
    <w:rsid w:val="00D42A9D"/>
    <w:rsid w:val="00D569B3"/>
    <w:rsid w:val="00D62F71"/>
    <w:rsid w:val="00D655E2"/>
    <w:rsid w:val="00D768A1"/>
    <w:rsid w:val="00D81E7D"/>
    <w:rsid w:val="00D844A7"/>
    <w:rsid w:val="00D84D27"/>
    <w:rsid w:val="00DA01F6"/>
    <w:rsid w:val="00DB6C9A"/>
    <w:rsid w:val="00DB74F0"/>
    <w:rsid w:val="00DC5FAA"/>
    <w:rsid w:val="00DC74DE"/>
    <w:rsid w:val="00DF3393"/>
    <w:rsid w:val="00E04FF9"/>
    <w:rsid w:val="00E14F52"/>
    <w:rsid w:val="00E32FDC"/>
    <w:rsid w:val="00E536CF"/>
    <w:rsid w:val="00E57227"/>
    <w:rsid w:val="00E65726"/>
    <w:rsid w:val="00E73324"/>
    <w:rsid w:val="00E77D69"/>
    <w:rsid w:val="00E8078C"/>
    <w:rsid w:val="00E93E41"/>
    <w:rsid w:val="00E94863"/>
    <w:rsid w:val="00EA1128"/>
    <w:rsid w:val="00EA38FE"/>
    <w:rsid w:val="00EB5CBB"/>
    <w:rsid w:val="00EB6107"/>
    <w:rsid w:val="00EB7598"/>
    <w:rsid w:val="00EC3FF1"/>
    <w:rsid w:val="00ED3F72"/>
    <w:rsid w:val="00ED6F03"/>
    <w:rsid w:val="00EE0D8B"/>
    <w:rsid w:val="00EF48DF"/>
    <w:rsid w:val="00EF7A17"/>
    <w:rsid w:val="00F06887"/>
    <w:rsid w:val="00F15E0F"/>
    <w:rsid w:val="00F27E8D"/>
    <w:rsid w:val="00F31D86"/>
    <w:rsid w:val="00F3684C"/>
    <w:rsid w:val="00F37CA7"/>
    <w:rsid w:val="00F4231A"/>
    <w:rsid w:val="00F46635"/>
    <w:rsid w:val="00F517FA"/>
    <w:rsid w:val="00F608C9"/>
    <w:rsid w:val="00F77EB0"/>
    <w:rsid w:val="00F91CC3"/>
    <w:rsid w:val="00F94665"/>
    <w:rsid w:val="00F9712B"/>
    <w:rsid w:val="00FA3D36"/>
    <w:rsid w:val="00FA677C"/>
    <w:rsid w:val="00FA7446"/>
    <w:rsid w:val="00FC3202"/>
    <w:rsid w:val="00FE51B8"/>
    <w:rsid w:val="00FE785E"/>
    <w:rsid w:val="00FF550B"/>
    <w:rsid w:val="00FF5D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4512C9"/>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EB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44EBF"/>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0B50C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77D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7C0AA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C0AA4"/>
  </w:style>
  <w:style w:type="paragraph" w:styleId="Footer">
    <w:name w:val="footer"/>
    <w:basedOn w:val="Normal"/>
    <w:link w:val="FooterChar"/>
    <w:uiPriority w:val="99"/>
    <w:unhideWhenUsed/>
    <w:rsid w:val="007C0AA4"/>
    <w:pPr>
      <w:tabs>
        <w:tab w:val="center" w:pos="4680"/>
        <w:tab w:val="right" w:pos="9360"/>
      </w:tabs>
    </w:pPr>
  </w:style>
  <w:style w:type="character" w:customStyle="1" w:styleId="FooterChar">
    <w:name w:val="Footer Char"/>
    <w:basedOn w:val="DefaultParagraphFont"/>
    <w:link w:val="Footer"/>
    <w:uiPriority w:val="99"/>
    <w:rsid w:val="007C0AA4"/>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431174"/>
    <w:rPr>
      <w:sz w:val="16"/>
      <w:szCs w:val="16"/>
    </w:rPr>
  </w:style>
  <w:style w:type="paragraph" w:styleId="CommentText">
    <w:name w:val="annotation text"/>
    <w:basedOn w:val="Normal"/>
    <w:link w:val="CommentTextChar"/>
    <w:uiPriority w:val="99"/>
    <w:semiHidden/>
    <w:unhideWhenUsed/>
    <w:rsid w:val="00431174"/>
    <w:rPr>
      <w:sz w:val="20"/>
      <w:szCs w:val="20"/>
    </w:rPr>
  </w:style>
  <w:style w:type="character" w:customStyle="1" w:styleId="CommentTextChar">
    <w:name w:val="Comment Text Char"/>
    <w:basedOn w:val="DefaultParagraphFont"/>
    <w:link w:val="CommentText"/>
    <w:uiPriority w:val="99"/>
    <w:semiHidden/>
    <w:rsid w:val="0043117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1174"/>
    <w:rPr>
      <w:b/>
      <w:bCs/>
    </w:rPr>
  </w:style>
  <w:style w:type="character" w:customStyle="1" w:styleId="CommentSubjectChar">
    <w:name w:val="Comment Subject Char"/>
    <w:basedOn w:val="CommentTextChar"/>
    <w:link w:val="CommentSubject"/>
    <w:uiPriority w:val="99"/>
    <w:semiHidden/>
    <w:rsid w:val="00431174"/>
    <w:rPr>
      <w:rFonts w:ascii="Arial" w:eastAsia="Times New Roman" w:hAnsi="Arial" w:cs="Times New Roman"/>
      <w:b/>
      <w:bCs/>
      <w:sz w:val="20"/>
      <w:szCs w:val="20"/>
    </w:rPr>
  </w:style>
  <w:style w:type="paragraph" w:styleId="ListParagraph">
    <w:name w:val="List Paragraph"/>
    <w:aliases w:val="list"/>
    <w:basedOn w:val="Normal"/>
    <w:link w:val="ListParagraphChar"/>
    <w:uiPriority w:val="34"/>
    <w:qFormat/>
    <w:rsid w:val="000737D6"/>
    <w:pPr>
      <w:widowControl w:val="0"/>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07946"/>
    <w:rPr>
      <w:strike w:val="0"/>
      <w:dstrike w:val="0"/>
      <w:color w:val="0000FF"/>
      <w:u w:val="single"/>
      <w:effect w:val="none"/>
      <w:shd w:val="clear" w:color="auto" w:fill="auto"/>
    </w:rPr>
  </w:style>
  <w:style w:type="character" w:styleId="Strong">
    <w:name w:val="Strong"/>
    <w:basedOn w:val="DefaultParagraphFont"/>
    <w:uiPriority w:val="22"/>
    <w:qFormat/>
    <w:rsid w:val="00007946"/>
    <w:rPr>
      <w:b/>
      <w:bCs/>
    </w:rPr>
  </w:style>
  <w:style w:type="table" w:styleId="PlainTable1">
    <w:name w:val="Plain Table 1"/>
    <w:basedOn w:val="TableNormal"/>
    <w:uiPriority w:val="41"/>
    <w:rsid w:val="00346E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346E9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346E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6361A7"/>
  </w:style>
  <w:style w:type="character" w:styleId="FollowedHyperlink">
    <w:name w:val="FollowedHyperlink"/>
    <w:basedOn w:val="DefaultParagraphFont"/>
    <w:uiPriority w:val="99"/>
    <w:semiHidden/>
    <w:unhideWhenUsed/>
    <w:rsid w:val="00813906"/>
    <w:rPr>
      <w:color w:val="954F72" w:themeColor="followedHyperlink"/>
      <w:u w:val="single"/>
    </w:rPr>
  </w:style>
  <w:style w:type="table" w:styleId="GridTable2-Accent3">
    <w:name w:val="Grid Table 2 Accent 3"/>
    <w:basedOn w:val="TableNormal"/>
    <w:uiPriority w:val="47"/>
    <w:rsid w:val="00F608C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MessageHeader">
    <w:name w:val="Message Header"/>
    <w:basedOn w:val="Normal"/>
    <w:link w:val="MessageHeaderChar"/>
    <w:uiPriority w:val="99"/>
    <w:unhideWhenUsed/>
    <w:rsid w:val="00844EB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44EBF"/>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844EBF"/>
    <w:rPr>
      <w:rFonts w:ascii="Arial" w:eastAsiaTheme="majorEastAsia" w:hAnsi="Arial" w:cstheme="majorBidi"/>
      <w:b/>
      <w:sz w:val="32"/>
      <w:szCs w:val="24"/>
    </w:rPr>
  </w:style>
  <w:style w:type="character" w:customStyle="1" w:styleId="Heading5Char">
    <w:name w:val="Heading 5 Char"/>
    <w:basedOn w:val="DefaultParagraphFont"/>
    <w:link w:val="Heading5"/>
    <w:uiPriority w:val="9"/>
    <w:semiHidden/>
    <w:rsid w:val="00E77D69"/>
    <w:rPr>
      <w:rFonts w:asciiTheme="majorHAnsi" w:eastAsiaTheme="majorEastAsia" w:hAnsiTheme="majorHAnsi" w:cstheme="majorBidi"/>
      <w:color w:val="2E74B5" w:themeColor="accent1" w:themeShade="BF"/>
      <w:sz w:val="24"/>
      <w:szCs w:val="24"/>
    </w:rPr>
  </w:style>
  <w:style w:type="character" w:customStyle="1" w:styleId="ListParagraphChar">
    <w:name w:val="List Paragraph Char"/>
    <w:aliases w:val="list Char"/>
    <w:basedOn w:val="DefaultParagraphFont"/>
    <w:link w:val="ListParagraph"/>
    <w:uiPriority w:val="34"/>
    <w:locked/>
    <w:rsid w:val="00E77D69"/>
  </w:style>
  <w:style w:type="table" w:styleId="TableGrid">
    <w:name w:val="Table Grid"/>
    <w:basedOn w:val="TableNormal"/>
    <w:uiPriority w:val="39"/>
    <w:rsid w:val="00FA3D3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15E0F"/>
    <w:pPr>
      <w:spacing w:before="100" w:beforeAutospacing="1" w:after="100" w:afterAutospacing="1"/>
    </w:pPr>
    <w:rPr>
      <w:rFonts w:ascii="Times New Roman" w:hAnsi="Times New Roman"/>
    </w:rPr>
  </w:style>
  <w:style w:type="paragraph" w:styleId="BodyText">
    <w:name w:val="Body Text"/>
    <w:basedOn w:val="Normal"/>
    <w:link w:val="BodyTextChar"/>
    <w:rsid w:val="00D844A7"/>
    <w:pPr>
      <w:spacing w:after="120"/>
    </w:pPr>
  </w:style>
  <w:style w:type="character" w:customStyle="1" w:styleId="BodyTextChar">
    <w:name w:val="Body Text Char"/>
    <w:basedOn w:val="DefaultParagraphFont"/>
    <w:link w:val="BodyText"/>
    <w:rsid w:val="00D844A7"/>
    <w:rPr>
      <w:rFonts w:ascii="Arial" w:eastAsia="Times New Roman" w:hAnsi="Arial" w:cs="Times New Roman"/>
      <w:sz w:val="24"/>
      <w:szCs w:val="24"/>
    </w:rPr>
  </w:style>
  <w:style w:type="character" w:customStyle="1" w:styleId="normalchar1">
    <w:name w:val="normal__char1"/>
    <w:rsid w:val="00D844A7"/>
    <w:rPr>
      <w:rFonts w:ascii="Arial" w:hAnsi="Arial" w:cs="Arial" w:hint="default"/>
      <w:strike w:val="0"/>
      <w:dstrike w:val="0"/>
      <w:sz w:val="20"/>
      <w:szCs w:val="20"/>
      <w:u w:val="none"/>
      <w:effect w:val="none"/>
    </w:rPr>
  </w:style>
  <w:style w:type="paragraph" w:styleId="NoSpacing">
    <w:name w:val="No Spacing"/>
    <w:uiPriority w:val="1"/>
    <w:qFormat/>
    <w:rsid w:val="00D844A7"/>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4A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B9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0B50C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semiHidden/>
    <w:unhideWhenUsed/>
    <w:rsid w:val="000B50C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B50CC"/>
    <w:rPr>
      <w:sz w:val="20"/>
      <w:szCs w:val="20"/>
    </w:rPr>
  </w:style>
  <w:style w:type="character" w:styleId="FootnoteReference">
    <w:name w:val="footnote reference"/>
    <w:basedOn w:val="DefaultParagraphFont"/>
    <w:uiPriority w:val="99"/>
    <w:semiHidden/>
    <w:unhideWhenUsed/>
    <w:rsid w:val="000B50CC"/>
    <w:rPr>
      <w:vertAlign w:val="superscript"/>
    </w:rPr>
  </w:style>
  <w:style w:type="table" w:customStyle="1" w:styleId="TableGrid3">
    <w:name w:val="Table Grid3"/>
    <w:basedOn w:val="TableNormal"/>
    <w:next w:val="TableGrid"/>
    <w:uiPriority w:val="39"/>
    <w:rsid w:val="000B50C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B592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661936">
      <w:bodyDiv w:val="1"/>
      <w:marLeft w:val="0"/>
      <w:marRight w:val="0"/>
      <w:marTop w:val="0"/>
      <w:marBottom w:val="0"/>
      <w:divBdr>
        <w:top w:val="none" w:sz="0" w:space="0" w:color="auto"/>
        <w:left w:val="none" w:sz="0" w:space="0" w:color="auto"/>
        <w:bottom w:val="none" w:sz="0" w:space="0" w:color="auto"/>
        <w:right w:val="none" w:sz="0" w:space="0" w:color="auto"/>
      </w:divBdr>
    </w:div>
    <w:div w:id="1595019507">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20753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5.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de.ca.gov/be/ag/ag/yr18/documents/jul18item02a1.docx" TargetMode="Externa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pn/im/documents/memo-pptb-amard-jun18item02.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53CFC7061F841A73706A3CAF5A3E5" ma:contentTypeVersion="0" ma:contentTypeDescription="Create a new document." ma:contentTypeScope="" ma:versionID="4db607152fe6b1b2a551c27ad01b0e6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C544-1E04-4F88-B6BD-A368969D9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35C8C3-B6E2-4814-B052-D50ACA40F89C}">
  <ds:schemaRefs>
    <ds:schemaRef ds:uri="http://schemas.microsoft.com/sharepoint/v3/contenttype/forms"/>
  </ds:schemaRefs>
</ds:datastoreItem>
</file>

<file path=customXml/itemProps3.xml><?xml version="1.0" encoding="utf-8"?>
<ds:datastoreItem xmlns:ds="http://schemas.openxmlformats.org/officeDocument/2006/customXml" ds:itemID="{01573C4C-4E54-4FB8-985C-E06898C7F6E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93BA1AA-B95A-4647-BF5A-DE840CE6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memo-pptb-amard-feb19item02</vt:lpstr>
    </vt:vector>
  </TitlesOfParts>
  <Company>California State Board of Education</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2019 Memorandum AMARD Item 02 - Meeting Agendas (CA Dept of Education)</dc:title>
  <dc:subject>Update on the Implementation of the Integrated Local, State, and Federal Accountability System: Schools Eligible for Support Under the Every Student Succeeds Act.</dc:subject>
  <dc:creator/>
  <cp:keywords/>
  <dc:description/>
  <cp:lastModifiedBy>Patricia de Cos</cp:lastModifiedBy>
  <cp:revision>7</cp:revision>
  <cp:lastPrinted>2019-02-13T21:42:00Z</cp:lastPrinted>
  <dcterms:created xsi:type="dcterms:W3CDTF">2019-02-14T03:56:00Z</dcterms:created>
  <dcterms:modified xsi:type="dcterms:W3CDTF">2019-02-15T23:58:00Z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0x01010068453CFC7061F841A73706A3CAF5A3E5</vt:lpwstr>
  </property>
</Properties>
</file>