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1C927" w14:textId="77777777" w:rsidR="00057A96" w:rsidRPr="00B20BAE" w:rsidRDefault="00057A96" w:rsidP="00057A96">
      <w:pPr>
        <w:rPr>
          <w:rFonts w:cs="Arial"/>
        </w:rPr>
      </w:pPr>
      <w:bookmarkStart w:id="0" w:name="_GoBack"/>
      <w:bookmarkEnd w:id="0"/>
      <w:r w:rsidRPr="00B20BAE">
        <w:rPr>
          <w:rFonts w:cs="Arial"/>
        </w:rPr>
        <w:t>California Department of Education</w:t>
      </w:r>
    </w:p>
    <w:p w14:paraId="438EB61C" w14:textId="77777777" w:rsidR="00057A96" w:rsidRPr="00B20BAE" w:rsidRDefault="00057A96" w:rsidP="00057A96">
      <w:pPr>
        <w:rPr>
          <w:rFonts w:cs="Arial"/>
        </w:rPr>
      </w:pPr>
      <w:r w:rsidRPr="00B20BAE">
        <w:rPr>
          <w:rFonts w:cs="Arial"/>
        </w:rPr>
        <w:t>Executive Office</w:t>
      </w:r>
    </w:p>
    <w:p w14:paraId="54ED1AF3" w14:textId="77777777" w:rsidR="00982A10" w:rsidRPr="00B20BAE" w:rsidRDefault="00057A96" w:rsidP="00982A10">
      <w:pPr>
        <w:rPr>
          <w:rFonts w:cs="Arial"/>
        </w:rPr>
      </w:pPr>
      <w:r w:rsidRPr="00B20BAE">
        <w:rPr>
          <w:rFonts w:cs="Arial"/>
        </w:rPr>
        <w:t>SBE-00</w:t>
      </w:r>
      <w:r w:rsidR="00BC376B" w:rsidRPr="00B20BAE">
        <w:rPr>
          <w:rFonts w:cs="Arial"/>
        </w:rPr>
        <w:t>2</w:t>
      </w:r>
      <w:r w:rsidRPr="00B20BAE">
        <w:rPr>
          <w:rFonts w:cs="Arial"/>
        </w:rPr>
        <w:t xml:space="preserve"> (REV. 1</w:t>
      </w:r>
      <w:r w:rsidR="000C139F" w:rsidRPr="00B20BAE">
        <w:rPr>
          <w:rFonts w:cs="Arial"/>
        </w:rPr>
        <w:t>1</w:t>
      </w:r>
      <w:r w:rsidRPr="00B20BAE">
        <w:rPr>
          <w:rFonts w:cs="Arial"/>
        </w:rPr>
        <w:t>/2017)</w:t>
      </w:r>
    </w:p>
    <w:p w14:paraId="324FC63B" w14:textId="77777777" w:rsidR="005A59C9" w:rsidRPr="00B20BAE" w:rsidRDefault="00982A10" w:rsidP="005A59C9">
      <w:pPr>
        <w:pStyle w:val="Header"/>
        <w:jc w:val="right"/>
        <w:rPr>
          <w:rFonts w:cs="Arial"/>
        </w:rPr>
      </w:pPr>
      <w:r w:rsidRPr="00B20BAE">
        <w:rPr>
          <w:rFonts w:cs="Arial"/>
        </w:rPr>
        <w:br w:type="column"/>
      </w:r>
      <w:r w:rsidR="005A59C9" w:rsidRPr="00B20BAE">
        <w:rPr>
          <w:rFonts w:cs="Arial"/>
        </w:rPr>
        <w:t>memo-tlsb-cctd-apr19item02</w:t>
      </w:r>
    </w:p>
    <w:p w14:paraId="352D332D" w14:textId="1CB6F7DE" w:rsidR="000E706A" w:rsidRPr="00B20BAE" w:rsidRDefault="000E706A" w:rsidP="005A59C9">
      <w:pPr>
        <w:jc w:val="right"/>
        <w:sectPr w:rsidR="000E706A" w:rsidRPr="00B20BAE" w:rsidSect="00B462B2">
          <w:headerReference w:type="default" r:id="rId8"/>
          <w:type w:val="continuous"/>
          <w:pgSz w:w="12240" w:h="15840"/>
          <w:pgMar w:top="720" w:right="1440" w:bottom="1440" w:left="1440" w:header="720" w:footer="720" w:gutter="0"/>
          <w:cols w:num="2" w:space="144" w:equalWidth="0">
            <w:col w:w="5760" w:space="144"/>
            <w:col w:w="3456"/>
          </w:cols>
          <w:titlePg/>
          <w:docGrid w:linePitch="326"/>
        </w:sectPr>
      </w:pPr>
    </w:p>
    <w:p w14:paraId="6E029C34" w14:textId="77777777" w:rsidR="00057A96" w:rsidRPr="00B20BAE" w:rsidRDefault="00BC376B" w:rsidP="0033616F">
      <w:pPr>
        <w:pStyle w:val="Heading1"/>
        <w:spacing w:line="360" w:lineRule="auto"/>
        <w:rPr>
          <w:rFonts w:cs="Arial"/>
          <w:b w:val="0"/>
          <w:sz w:val="40"/>
          <w:szCs w:val="52"/>
        </w:rPr>
      </w:pPr>
      <w:r w:rsidRPr="00B20BAE">
        <w:rPr>
          <w:rFonts w:cs="Arial"/>
          <w:sz w:val="40"/>
          <w:szCs w:val="52"/>
        </w:rPr>
        <w:t>MEMORANDUM</w:t>
      </w:r>
    </w:p>
    <w:p w14:paraId="752F6CE6" w14:textId="208F309C" w:rsidR="00057A96" w:rsidRPr="00B20BAE" w:rsidRDefault="008F6CA0" w:rsidP="008B1135">
      <w:pPr>
        <w:spacing w:after="360"/>
        <w:rPr>
          <w:rFonts w:cs="Arial"/>
        </w:rPr>
      </w:pPr>
      <w:r w:rsidRPr="00B20BAE">
        <w:rPr>
          <w:rFonts w:cs="Arial"/>
          <w:b/>
        </w:rPr>
        <w:t>DATE:</w:t>
      </w:r>
      <w:r w:rsidRPr="00B20BAE">
        <w:rPr>
          <w:rFonts w:cs="Arial"/>
        </w:rPr>
        <w:tab/>
      </w:r>
      <w:r w:rsidR="00CC31A0" w:rsidRPr="00B20BAE">
        <w:rPr>
          <w:rFonts w:cs="Arial"/>
        </w:rPr>
        <w:t>April 12</w:t>
      </w:r>
      <w:r w:rsidR="00156DCD" w:rsidRPr="00B20BAE">
        <w:rPr>
          <w:rFonts w:cs="Arial"/>
        </w:rPr>
        <w:t>, 2019</w:t>
      </w:r>
      <w:r w:rsidR="00057A96" w:rsidRPr="00B20BAE">
        <w:rPr>
          <w:rFonts w:cs="Arial"/>
        </w:rPr>
        <w:t xml:space="preserve"> </w:t>
      </w:r>
    </w:p>
    <w:p w14:paraId="3771B70E" w14:textId="253AB084" w:rsidR="00057A96" w:rsidRPr="00B20BAE" w:rsidRDefault="00057A96" w:rsidP="00C61F78">
      <w:pPr>
        <w:spacing w:after="360"/>
        <w:ind w:left="1440" w:hanging="1440"/>
        <w:rPr>
          <w:rFonts w:cs="Arial"/>
        </w:rPr>
      </w:pPr>
      <w:r w:rsidRPr="00B20BAE">
        <w:rPr>
          <w:rFonts w:cs="Arial"/>
          <w:b/>
        </w:rPr>
        <w:t>TO:</w:t>
      </w:r>
      <w:r w:rsidRPr="00B20BAE">
        <w:rPr>
          <w:rFonts w:cs="Arial"/>
          <w:b/>
        </w:rPr>
        <w:tab/>
      </w:r>
      <w:r w:rsidRPr="00B20BAE">
        <w:rPr>
          <w:rFonts w:cs="Arial"/>
        </w:rPr>
        <w:t>MEMBERS, State Board of Education</w:t>
      </w:r>
    </w:p>
    <w:p w14:paraId="20886589" w14:textId="77777777" w:rsidR="00057A96" w:rsidRPr="00B20BAE" w:rsidRDefault="00057A96" w:rsidP="00C61F78">
      <w:pPr>
        <w:spacing w:after="360"/>
        <w:ind w:left="1440" w:hanging="1440"/>
        <w:rPr>
          <w:rFonts w:cs="Arial"/>
        </w:rPr>
      </w:pPr>
      <w:r w:rsidRPr="00B20BAE">
        <w:rPr>
          <w:rFonts w:cs="Arial"/>
          <w:b/>
        </w:rPr>
        <w:t>FROM:</w:t>
      </w:r>
      <w:r w:rsidR="00C61F78" w:rsidRPr="00B20BAE">
        <w:rPr>
          <w:rFonts w:cs="Arial"/>
        </w:rPr>
        <w:tab/>
      </w:r>
      <w:r w:rsidR="00A654AC" w:rsidRPr="00B20BAE">
        <w:rPr>
          <w:rFonts w:cs="Arial"/>
        </w:rPr>
        <w:t>TONY THURMOND</w:t>
      </w:r>
      <w:r w:rsidR="00C61F78" w:rsidRPr="00B20BAE">
        <w:rPr>
          <w:rFonts w:cs="Arial"/>
        </w:rPr>
        <w:t xml:space="preserve">, </w:t>
      </w:r>
      <w:r w:rsidRPr="00B20BAE">
        <w:rPr>
          <w:rFonts w:cs="Arial"/>
        </w:rPr>
        <w:t>State Superintendent of Public Instruction</w:t>
      </w:r>
    </w:p>
    <w:p w14:paraId="2BABFD41" w14:textId="77777777" w:rsidR="00057A96" w:rsidRPr="00B20BAE" w:rsidRDefault="00057A96" w:rsidP="00756112">
      <w:pPr>
        <w:spacing w:after="480"/>
        <w:ind w:left="1440" w:hanging="1440"/>
        <w:rPr>
          <w:rFonts w:cs="Arial"/>
        </w:rPr>
      </w:pPr>
      <w:r w:rsidRPr="00B20BAE">
        <w:rPr>
          <w:rFonts w:cs="Arial"/>
          <w:b/>
        </w:rPr>
        <w:t>SUBJECT:</w:t>
      </w:r>
      <w:r w:rsidRPr="00B20BAE">
        <w:rPr>
          <w:rFonts w:cs="Arial"/>
          <w:b/>
        </w:rPr>
        <w:tab/>
      </w:r>
      <w:r w:rsidR="00156DCD" w:rsidRPr="00B20BAE">
        <w:rPr>
          <w:rFonts w:cs="Arial"/>
        </w:rPr>
        <w:t>Adult Education in California: An Overview</w:t>
      </w:r>
    </w:p>
    <w:p w14:paraId="53AC7285" w14:textId="13CA34A1" w:rsidR="008455CF" w:rsidRPr="00B20BAE" w:rsidRDefault="00474A2F" w:rsidP="00A71CCF">
      <w:pPr>
        <w:pStyle w:val="Heading1"/>
        <w:spacing w:after="240"/>
        <w:rPr>
          <w:rFonts w:cs="Arial"/>
          <w:b w:val="0"/>
        </w:rPr>
      </w:pPr>
      <w:r w:rsidRPr="00B20BAE">
        <w:rPr>
          <w:rFonts w:cs="Arial"/>
        </w:rPr>
        <w:t>Summary o</w:t>
      </w:r>
      <w:r w:rsidR="00057A96" w:rsidRPr="00B20BAE">
        <w:rPr>
          <w:rFonts w:cs="Arial"/>
        </w:rPr>
        <w:t>f Key Issues</w:t>
      </w:r>
    </w:p>
    <w:p w14:paraId="63BC8E47" w14:textId="4560B333" w:rsidR="008455CF" w:rsidRPr="00B20BAE" w:rsidRDefault="00ED74A2" w:rsidP="00A71CCF">
      <w:pPr>
        <w:spacing w:after="240"/>
        <w:rPr>
          <w:rFonts w:cs="Arial"/>
        </w:rPr>
      </w:pPr>
      <w:r w:rsidRPr="00B20BAE">
        <w:rPr>
          <w:rFonts w:cs="Arial"/>
        </w:rPr>
        <w:t>The State Board of Education (SBE) is the State Education Agency (SEA) with regards to all federal education programs in California. In 2014, the President signed the federal Workfo</w:t>
      </w:r>
      <w:r w:rsidR="00D8080F" w:rsidRPr="00B20BAE">
        <w:rPr>
          <w:rFonts w:cs="Arial"/>
        </w:rPr>
        <w:t>r</w:t>
      </w:r>
      <w:r w:rsidRPr="00B20BAE">
        <w:rPr>
          <w:rFonts w:cs="Arial"/>
        </w:rPr>
        <w:t>ce Innovation</w:t>
      </w:r>
      <w:r w:rsidR="00D8080F" w:rsidRPr="00B20BAE">
        <w:rPr>
          <w:rFonts w:cs="Arial"/>
        </w:rPr>
        <w:t xml:space="preserve"> and Opportunity Act (WIOA) into law, which was a reauthorization of the federal Workforce Investment Act. Governor Brown convened all state agencies and departments to develop a State Unified Plan, which the SBE approved at its January 2016 meeting (</w:t>
      </w:r>
      <w:hyperlink r:id="rId9" w:tooltip="SBE January 2016 meeting" w:history="1">
        <w:r w:rsidR="002E20B2" w:rsidRPr="00B20BAE">
          <w:rPr>
            <w:rStyle w:val="Hyperlink"/>
            <w:rFonts w:eastAsiaTheme="majorEastAsia"/>
          </w:rPr>
          <w:t>https://www.cde.ca.gov/be/ag/ag/yr16/agenda201601.asp</w:t>
        </w:r>
      </w:hyperlink>
      <w:r w:rsidR="00D8080F" w:rsidRPr="00B20BAE">
        <w:rPr>
          <w:rFonts w:cs="Arial"/>
        </w:rPr>
        <w:t>)</w:t>
      </w:r>
      <w:r w:rsidR="002E20B2" w:rsidRPr="00B20BAE">
        <w:rPr>
          <w:rFonts w:cs="Arial"/>
        </w:rPr>
        <w:t>.</w:t>
      </w:r>
      <w:r w:rsidR="00156DCD" w:rsidRPr="00B20BAE">
        <w:rPr>
          <w:rFonts w:cs="Arial"/>
        </w:rPr>
        <w:t xml:space="preserve"> </w:t>
      </w:r>
      <w:r w:rsidR="00D8080F" w:rsidRPr="00B20BAE">
        <w:rPr>
          <w:rFonts w:cs="Arial"/>
        </w:rPr>
        <w:t xml:space="preserve">Among the four titles of WIOA, Title II is the Adult Education and Family Literacy Act (AEFLA). CDE administers </w:t>
      </w:r>
      <w:r w:rsidR="00660907" w:rsidRPr="00B20BAE">
        <w:rPr>
          <w:rFonts w:cs="Arial"/>
        </w:rPr>
        <w:t xml:space="preserve">Title II AEFLA on behalf of the SBE and is </w:t>
      </w:r>
      <w:r w:rsidR="00156DCD" w:rsidRPr="00B20BAE">
        <w:rPr>
          <w:rFonts w:cs="Arial"/>
        </w:rPr>
        <w:t xml:space="preserve">the largest adult education provider </w:t>
      </w:r>
      <w:r w:rsidR="002564C9" w:rsidRPr="00B20BAE">
        <w:rPr>
          <w:rFonts w:cs="Arial"/>
        </w:rPr>
        <w:t xml:space="preserve">in the United States </w:t>
      </w:r>
      <w:r w:rsidR="00660907" w:rsidRPr="00B20BAE">
        <w:rPr>
          <w:rFonts w:cs="Arial"/>
        </w:rPr>
        <w:t xml:space="preserve">of </w:t>
      </w:r>
      <w:r w:rsidR="002564C9" w:rsidRPr="00B20BAE">
        <w:rPr>
          <w:rFonts w:cs="Arial"/>
        </w:rPr>
        <w:t xml:space="preserve">the </w:t>
      </w:r>
      <w:r w:rsidR="00956AE7" w:rsidRPr="00B20BAE">
        <w:rPr>
          <w:rFonts w:cs="Arial"/>
        </w:rPr>
        <w:t xml:space="preserve">Workforce Innovation and Opportunity Act, </w:t>
      </w:r>
      <w:r w:rsidR="00956AE7" w:rsidRPr="00B20BAE">
        <w:rPr>
          <w:rFonts w:cs="Arial"/>
          <w:bCs/>
        </w:rPr>
        <w:t>Title II</w:t>
      </w:r>
      <w:r w:rsidR="00956AE7" w:rsidRPr="00B20BAE">
        <w:rPr>
          <w:rFonts w:cs="Arial"/>
        </w:rPr>
        <w:t>: Adult Education and Family Literacy Act (WIOA, Title II: AEFLA)</w:t>
      </w:r>
      <w:r w:rsidR="00756112" w:rsidRPr="00B20BAE">
        <w:rPr>
          <w:rFonts w:cs="Arial"/>
        </w:rPr>
        <w:t>.</w:t>
      </w:r>
    </w:p>
    <w:p w14:paraId="49DCB765" w14:textId="29BCF210" w:rsidR="005B3FAF" w:rsidRPr="00B20BAE" w:rsidRDefault="004E7C5F" w:rsidP="001B6E98">
      <w:pPr>
        <w:spacing w:after="240"/>
        <w:ind w:left="720" w:right="720"/>
        <w:rPr>
          <w:rFonts w:cs="Arial"/>
        </w:rPr>
      </w:pPr>
      <w:r w:rsidRPr="00B20BAE">
        <w:rPr>
          <w:rFonts w:cs="Arial"/>
        </w:rPr>
        <w:t>The tradition of adult education in California can be traced to the early beginnings of the state. The first recorded adult school was sponsored by the San Francisco Board of Education in 1856. Evening classes were taught in the basement of St. Mary’s Cathedral. Then, as now, many adult students were immigrants. In those days</w:t>
      </w:r>
      <w:r w:rsidR="000362F5" w:rsidRPr="00B20BAE">
        <w:rPr>
          <w:rFonts w:cs="Arial"/>
        </w:rPr>
        <w:t>,</w:t>
      </w:r>
      <w:r w:rsidRPr="00B20BAE">
        <w:rPr>
          <w:rFonts w:cs="Arial"/>
        </w:rPr>
        <w:t xml:space="preserve"> most students were from Ireland, Italy, or China. Subjects taught included elementary-level academic subjects and vocational subjects, such as drafting and bookkeeping. By 1970</w:t>
      </w:r>
      <w:r w:rsidR="000362F5" w:rsidRPr="00B20BAE">
        <w:rPr>
          <w:rFonts w:cs="Arial"/>
        </w:rPr>
        <w:t>,</w:t>
      </w:r>
      <w:r w:rsidRPr="00B20BAE">
        <w:rPr>
          <w:rFonts w:cs="Arial"/>
        </w:rPr>
        <w:t xml:space="preserve"> the evening adult schools in San Francisco had enrollments of more than 1,000 students and were a permanent part of the school system</w:t>
      </w:r>
      <w:r w:rsidR="001B6E98" w:rsidRPr="00B20BAE">
        <w:rPr>
          <w:rFonts w:cs="Arial"/>
        </w:rPr>
        <w:t>.</w:t>
      </w:r>
      <w:r w:rsidR="005B3FAF" w:rsidRPr="00B20BAE">
        <w:rPr>
          <w:rFonts w:cs="Arial"/>
        </w:rPr>
        <w:t xml:space="preserve"> </w:t>
      </w:r>
      <w:r w:rsidR="005B3FAF" w:rsidRPr="00B20BAE">
        <w:rPr>
          <w:rFonts w:cs="Arial"/>
          <w:i/>
        </w:rPr>
        <w:t>Meeting the Challenge: A History of Adult Education in California</w:t>
      </w:r>
      <w:r w:rsidR="001B6E98" w:rsidRPr="00B20BAE">
        <w:rPr>
          <w:rFonts w:cs="Arial"/>
          <w:i/>
        </w:rPr>
        <w:t>.</w:t>
      </w:r>
      <w:r w:rsidR="001B6E98" w:rsidRPr="00B20BAE">
        <w:rPr>
          <w:rFonts w:cs="Arial"/>
        </w:rPr>
        <w:t xml:space="preserve"> 2005.</w:t>
      </w:r>
    </w:p>
    <w:p w14:paraId="45C73A4D" w14:textId="730CF192" w:rsidR="00024B90" w:rsidRPr="00B20BAE" w:rsidRDefault="004E7C5F" w:rsidP="005B3FAF">
      <w:pPr>
        <w:tabs>
          <w:tab w:val="left" w:pos="360"/>
        </w:tabs>
        <w:spacing w:after="240"/>
        <w:rPr>
          <w:rStyle w:val="CommentReference"/>
          <w:rFonts w:cs="Arial"/>
          <w:sz w:val="24"/>
          <w:szCs w:val="24"/>
        </w:rPr>
      </w:pPr>
      <w:r w:rsidRPr="00B20BAE">
        <w:rPr>
          <w:rFonts w:cs="Arial"/>
        </w:rPr>
        <w:t>Over the past 163 years</w:t>
      </w:r>
      <w:r w:rsidR="00406F44" w:rsidRPr="00B20BAE">
        <w:rPr>
          <w:rFonts w:cs="Arial"/>
        </w:rPr>
        <w:t>,</w:t>
      </w:r>
      <w:r w:rsidRPr="00B20BAE">
        <w:rPr>
          <w:rFonts w:cs="Arial"/>
        </w:rPr>
        <w:t xml:space="preserve"> adult education in California has grown to over 700,000 students receiving services through adult education offered in </w:t>
      </w:r>
      <w:r w:rsidR="0083521F" w:rsidRPr="00B20BAE">
        <w:rPr>
          <w:rFonts w:cs="Arial"/>
        </w:rPr>
        <w:t>k</w:t>
      </w:r>
      <w:r w:rsidR="004F2433" w:rsidRPr="00B20BAE">
        <w:rPr>
          <w:rFonts w:cs="Arial"/>
        </w:rPr>
        <w:t>indergarten</w:t>
      </w:r>
      <w:r w:rsidR="00A654AC" w:rsidRPr="00B20BAE">
        <w:rPr>
          <w:rFonts w:cs="Arial"/>
        </w:rPr>
        <w:t xml:space="preserve"> through grade twelve (K</w:t>
      </w:r>
      <w:r w:rsidR="00BC6131" w:rsidRPr="00B20BAE">
        <w:rPr>
          <w:rFonts w:cs="Arial"/>
        </w:rPr>
        <w:t>–</w:t>
      </w:r>
      <w:r w:rsidR="00A654AC" w:rsidRPr="00B20BAE">
        <w:rPr>
          <w:rFonts w:cs="Arial"/>
        </w:rPr>
        <w:t>12)</w:t>
      </w:r>
      <w:r w:rsidRPr="00B20BAE">
        <w:rPr>
          <w:rFonts w:cs="Arial"/>
        </w:rPr>
        <w:t xml:space="preserve"> adult schools, non-credit courses at California Community Colleges, </w:t>
      </w:r>
      <w:r w:rsidRPr="00B20BAE">
        <w:rPr>
          <w:rStyle w:val="CommentReference"/>
          <w:rFonts w:cs="Arial"/>
          <w:sz w:val="24"/>
          <w:szCs w:val="24"/>
        </w:rPr>
        <w:t>County Offices of Education (COE) including COE jail, state prisons, employment centers, community</w:t>
      </w:r>
      <w:r w:rsidR="00136825" w:rsidRPr="00B20BAE">
        <w:rPr>
          <w:rStyle w:val="CommentReference"/>
          <w:rFonts w:cs="Arial"/>
          <w:sz w:val="24"/>
          <w:szCs w:val="24"/>
        </w:rPr>
        <w:t>-</w:t>
      </w:r>
      <w:r w:rsidRPr="00B20BAE">
        <w:rPr>
          <w:rStyle w:val="CommentReference"/>
          <w:rFonts w:cs="Arial"/>
          <w:sz w:val="24"/>
          <w:szCs w:val="24"/>
        </w:rPr>
        <w:t>based org</w:t>
      </w:r>
      <w:r w:rsidR="00861AD8" w:rsidRPr="00B20BAE">
        <w:rPr>
          <w:rStyle w:val="CommentReference"/>
          <w:rFonts w:cs="Arial"/>
          <w:sz w:val="24"/>
          <w:szCs w:val="24"/>
        </w:rPr>
        <w:t>anizations, Regional Occupational</w:t>
      </w:r>
      <w:r w:rsidRPr="00B20BAE">
        <w:rPr>
          <w:rStyle w:val="CommentReference"/>
          <w:rFonts w:cs="Arial"/>
          <w:sz w:val="24"/>
          <w:szCs w:val="24"/>
        </w:rPr>
        <w:t xml:space="preserve"> Programs, workforce development boards and library literacy programs.</w:t>
      </w:r>
    </w:p>
    <w:p w14:paraId="68811877" w14:textId="307AF6D5" w:rsidR="00916D67" w:rsidRPr="00B20BAE" w:rsidRDefault="004E7C5F" w:rsidP="006C4A85">
      <w:pPr>
        <w:spacing w:after="240"/>
        <w:rPr>
          <w:rFonts w:cs="Arial"/>
        </w:rPr>
      </w:pPr>
      <w:r w:rsidRPr="00B20BAE">
        <w:rPr>
          <w:rStyle w:val="CommentReference"/>
          <w:rFonts w:cs="Arial"/>
          <w:sz w:val="24"/>
          <w:szCs w:val="24"/>
        </w:rPr>
        <w:lastRenderedPageBreak/>
        <w:t xml:space="preserve">According to the </w:t>
      </w:r>
      <w:r w:rsidR="00F01C25" w:rsidRPr="00B20BAE">
        <w:rPr>
          <w:rFonts w:cs="Arial"/>
        </w:rPr>
        <w:t>US</w:t>
      </w:r>
      <w:r w:rsidRPr="00B20BAE">
        <w:rPr>
          <w:rFonts w:cs="Arial"/>
        </w:rPr>
        <w:t xml:space="preserve"> Department of Education 2013 report, </w:t>
      </w:r>
      <w:r w:rsidRPr="00B20BAE">
        <w:rPr>
          <w:rFonts w:cs="Arial"/>
          <w:i/>
        </w:rPr>
        <w:t>Tapping the Potential: Profile of Adu</w:t>
      </w:r>
      <w:r w:rsidR="00A654AC" w:rsidRPr="00B20BAE">
        <w:rPr>
          <w:rFonts w:cs="Arial"/>
          <w:i/>
        </w:rPr>
        <w:t>lt Education Target Population</w:t>
      </w:r>
      <w:r w:rsidR="00CC31A0" w:rsidRPr="00B20BAE">
        <w:rPr>
          <w:rFonts w:cs="Arial"/>
          <w:i/>
        </w:rPr>
        <w:t>,</w:t>
      </w:r>
      <w:r w:rsidR="008455CF" w:rsidRPr="00B20BAE">
        <w:rPr>
          <w:rFonts w:cs="Arial"/>
          <w:i/>
        </w:rPr>
        <w:t xml:space="preserve"> </w:t>
      </w:r>
      <w:r w:rsidRPr="00B20BAE">
        <w:rPr>
          <w:rFonts w:cs="Arial"/>
          <w:u w:color="0000FF"/>
        </w:rPr>
        <w:t>millions of Californian</w:t>
      </w:r>
      <w:r w:rsidR="0083521F" w:rsidRPr="00B20BAE">
        <w:rPr>
          <w:rFonts w:cs="Arial"/>
          <w:u w:color="0000FF"/>
        </w:rPr>
        <w:t>s</w:t>
      </w:r>
      <w:r w:rsidRPr="00B20BAE">
        <w:rPr>
          <w:rFonts w:cs="Arial"/>
          <w:u w:color="0000FF"/>
        </w:rPr>
        <w:t xml:space="preserve"> </w:t>
      </w:r>
      <w:r w:rsidRPr="00B20BAE">
        <w:rPr>
          <w:rFonts w:cs="Arial"/>
        </w:rPr>
        <w:t>lack basic education and literacy skills. A significant percentage of the population lacks English literacy skills and basic education to secure employment, obtain citizenship, pursue postsecondary or higher education, and participate in their children’s education. The following section quantifies the literacy needs into four primary areas</w:t>
      </w:r>
      <w:r w:rsidR="0015252A" w:rsidRPr="00B20BAE">
        <w:rPr>
          <w:rFonts w:cs="Arial"/>
        </w:rPr>
        <w:t xml:space="preserve"> based on the report</w:t>
      </w:r>
      <w:r w:rsidRPr="00B20BAE">
        <w:rPr>
          <w:rFonts w:cs="Arial"/>
        </w:rPr>
        <w:t>:</w:t>
      </w:r>
    </w:p>
    <w:p w14:paraId="3B947C0D" w14:textId="11C616AE" w:rsidR="004E7C5F" w:rsidRPr="00B20BAE" w:rsidRDefault="004E7C5F" w:rsidP="00960853">
      <w:pPr>
        <w:pStyle w:val="ListParagraph"/>
        <w:numPr>
          <w:ilvl w:val="0"/>
          <w:numId w:val="20"/>
        </w:numPr>
        <w:tabs>
          <w:tab w:val="left" w:pos="821"/>
        </w:tabs>
        <w:spacing w:before="117" w:after="240"/>
        <w:ind w:left="810" w:right="0"/>
        <w:rPr>
          <w:sz w:val="24"/>
          <w:szCs w:val="24"/>
        </w:rPr>
      </w:pPr>
      <w:r w:rsidRPr="00B20BAE">
        <w:rPr>
          <w:sz w:val="24"/>
          <w:szCs w:val="24"/>
        </w:rPr>
        <w:t>High School Diploma</w:t>
      </w:r>
      <w:r w:rsidR="00BC6131" w:rsidRPr="00B20BAE">
        <w:rPr>
          <w:sz w:val="24"/>
          <w:szCs w:val="24"/>
        </w:rPr>
        <w:t xml:space="preserve"> (HSD) or High School</w:t>
      </w:r>
      <w:r w:rsidRPr="00B20BAE">
        <w:rPr>
          <w:sz w:val="24"/>
          <w:szCs w:val="24"/>
        </w:rPr>
        <w:t xml:space="preserve"> Equivalent</w:t>
      </w:r>
      <w:r w:rsidR="00BC6131" w:rsidRPr="00B20BAE">
        <w:rPr>
          <w:sz w:val="24"/>
          <w:szCs w:val="24"/>
        </w:rPr>
        <w:t xml:space="preserve"> (HSE)</w:t>
      </w:r>
      <w:r w:rsidRPr="00B20BAE">
        <w:rPr>
          <w:sz w:val="24"/>
          <w:szCs w:val="24"/>
        </w:rPr>
        <w:t>: Approximately six million California</w:t>
      </w:r>
      <w:r w:rsidRPr="00B20BAE">
        <w:rPr>
          <w:spacing w:val="-27"/>
          <w:sz w:val="24"/>
          <w:szCs w:val="24"/>
        </w:rPr>
        <w:t xml:space="preserve"> </w:t>
      </w:r>
      <w:r w:rsidRPr="00B20BAE">
        <w:rPr>
          <w:sz w:val="24"/>
          <w:szCs w:val="24"/>
        </w:rPr>
        <w:t>adults do not have a</w:t>
      </w:r>
      <w:r w:rsidR="006C7460" w:rsidRPr="00B20BAE">
        <w:rPr>
          <w:sz w:val="24"/>
          <w:szCs w:val="24"/>
        </w:rPr>
        <w:t>n</w:t>
      </w:r>
      <w:r w:rsidRPr="00B20BAE">
        <w:rPr>
          <w:sz w:val="24"/>
          <w:szCs w:val="24"/>
        </w:rPr>
        <w:t xml:space="preserve"> </w:t>
      </w:r>
      <w:r w:rsidR="00BC6131" w:rsidRPr="00B20BAE">
        <w:rPr>
          <w:sz w:val="24"/>
          <w:szCs w:val="24"/>
        </w:rPr>
        <w:t>HSD</w:t>
      </w:r>
      <w:r w:rsidRPr="00B20BAE">
        <w:rPr>
          <w:sz w:val="24"/>
          <w:szCs w:val="24"/>
        </w:rPr>
        <w:t xml:space="preserve"> or </w:t>
      </w:r>
      <w:r w:rsidR="00BC6131" w:rsidRPr="00B20BAE">
        <w:rPr>
          <w:sz w:val="24"/>
          <w:szCs w:val="24"/>
        </w:rPr>
        <w:t>HSE</w:t>
      </w:r>
      <w:r w:rsidRPr="00B20BAE">
        <w:rPr>
          <w:sz w:val="24"/>
          <w:szCs w:val="24"/>
        </w:rPr>
        <w:t xml:space="preserve"> even as California's gradua</w:t>
      </w:r>
      <w:r w:rsidR="00CC31A0" w:rsidRPr="00B20BAE">
        <w:rPr>
          <w:sz w:val="24"/>
          <w:szCs w:val="24"/>
        </w:rPr>
        <w:t>tion rate continues to improve. The current graduation rate is</w:t>
      </w:r>
      <w:r w:rsidRPr="00B20BAE">
        <w:rPr>
          <w:sz w:val="24"/>
          <w:szCs w:val="24"/>
        </w:rPr>
        <w:t xml:space="preserve"> 83.8 percent. Conversely, the dropout rate has fallen below 10 percent. Although graduation and dropout rates have improved, significant achievement gaps among student subgroups</w:t>
      </w:r>
      <w:r w:rsidRPr="00B20BAE">
        <w:rPr>
          <w:spacing w:val="-8"/>
          <w:sz w:val="24"/>
          <w:szCs w:val="24"/>
        </w:rPr>
        <w:t xml:space="preserve"> </w:t>
      </w:r>
      <w:r w:rsidRPr="00B20BAE">
        <w:rPr>
          <w:sz w:val="24"/>
          <w:szCs w:val="24"/>
        </w:rPr>
        <w:t>persist.</w:t>
      </w:r>
    </w:p>
    <w:p w14:paraId="7760D23F" w14:textId="67B15D67" w:rsidR="00660907" w:rsidRPr="00B20BAE" w:rsidRDefault="00660907" w:rsidP="00660907">
      <w:pPr>
        <w:pStyle w:val="ListParagraph"/>
        <w:numPr>
          <w:ilvl w:val="0"/>
          <w:numId w:val="20"/>
        </w:numPr>
        <w:tabs>
          <w:tab w:val="left" w:pos="821"/>
        </w:tabs>
        <w:spacing w:before="117" w:after="240"/>
        <w:ind w:left="810" w:right="0"/>
        <w:rPr>
          <w:sz w:val="24"/>
          <w:szCs w:val="24"/>
        </w:rPr>
      </w:pPr>
      <w:r w:rsidRPr="00B20BAE">
        <w:rPr>
          <w:sz w:val="24"/>
          <w:szCs w:val="24"/>
        </w:rPr>
        <w:t>English Speaking Ability: More than 3.5 million California adults “do not speak English well or at all.” More than one-fourth of the national non-English-speaking population resides in California, and more than 2.3 million of that group lack a</w:t>
      </w:r>
      <w:r w:rsidRPr="00B20BAE">
        <w:rPr>
          <w:spacing w:val="-26"/>
          <w:sz w:val="24"/>
          <w:szCs w:val="24"/>
        </w:rPr>
        <w:t xml:space="preserve"> </w:t>
      </w:r>
      <w:r w:rsidRPr="00B20BAE">
        <w:rPr>
          <w:sz w:val="24"/>
          <w:szCs w:val="24"/>
        </w:rPr>
        <w:t>high school</w:t>
      </w:r>
      <w:r w:rsidRPr="00B20BAE">
        <w:rPr>
          <w:spacing w:val="-2"/>
          <w:sz w:val="24"/>
          <w:szCs w:val="24"/>
        </w:rPr>
        <w:t xml:space="preserve"> </w:t>
      </w:r>
      <w:r w:rsidRPr="00B20BAE">
        <w:rPr>
          <w:sz w:val="24"/>
          <w:szCs w:val="24"/>
        </w:rPr>
        <w:t>credential.</w:t>
      </w:r>
    </w:p>
    <w:p w14:paraId="4A67CB00" w14:textId="77777777" w:rsidR="004E7C5F" w:rsidRPr="00B20BAE" w:rsidRDefault="004E7C5F" w:rsidP="00960853">
      <w:pPr>
        <w:pStyle w:val="ListParagraph"/>
        <w:numPr>
          <w:ilvl w:val="0"/>
          <w:numId w:val="20"/>
        </w:numPr>
        <w:tabs>
          <w:tab w:val="left" w:pos="821"/>
        </w:tabs>
        <w:spacing w:after="240"/>
        <w:ind w:left="810" w:right="0"/>
        <w:rPr>
          <w:sz w:val="24"/>
          <w:szCs w:val="24"/>
        </w:rPr>
      </w:pPr>
      <w:r w:rsidRPr="00B20BAE">
        <w:rPr>
          <w:sz w:val="24"/>
          <w:szCs w:val="24"/>
        </w:rPr>
        <w:t>Labor Force: Approximately three million California adults without high school credentials are unemployed or not in the labor force. The need for workplace readiness skills is significant. Many job candidates lack job-readiness skills</w:t>
      </w:r>
      <w:r w:rsidRPr="00B20BAE">
        <w:rPr>
          <w:spacing w:val="-19"/>
          <w:sz w:val="24"/>
          <w:szCs w:val="24"/>
        </w:rPr>
        <w:t xml:space="preserve"> </w:t>
      </w:r>
      <w:r w:rsidRPr="00B20BAE">
        <w:rPr>
          <w:sz w:val="24"/>
          <w:szCs w:val="24"/>
        </w:rPr>
        <w:t>required in the workplace, such as communication, critical thinking, and problem-solving skills.</w:t>
      </w:r>
    </w:p>
    <w:p w14:paraId="552041B6" w14:textId="1BAA94D5" w:rsidR="008455CF" w:rsidRPr="00B20BAE" w:rsidRDefault="004E7C5F" w:rsidP="00960853">
      <w:pPr>
        <w:pStyle w:val="ListParagraph"/>
        <w:numPr>
          <w:ilvl w:val="0"/>
          <w:numId w:val="20"/>
        </w:numPr>
        <w:tabs>
          <w:tab w:val="left" w:pos="821"/>
        </w:tabs>
        <w:spacing w:after="240"/>
        <w:ind w:left="810" w:right="0"/>
        <w:rPr>
          <w:sz w:val="24"/>
          <w:szCs w:val="24"/>
        </w:rPr>
      </w:pPr>
      <w:r w:rsidRPr="00B20BAE">
        <w:rPr>
          <w:sz w:val="24"/>
          <w:szCs w:val="24"/>
        </w:rPr>
        <w:t>Economic Impact: A projection of California’s economy shows a trajectory of steadily increasing demand for a highly educated workforce. However, with the recent recession and budget constraints, the state remains challenged in</w:t>
      </w:r>
      <w:r w:rsidRPr="00B20BAE">
        <w:rPr>
          <w:spacing w:val="-18"/>
          <w:sz w:val="24"/>
          <w:szCs w:val="24"/>
        </w:rPr>
        <w:t xml:space="preserve"> </w:t>
      </w:r>
      <w:r w:rsidRPr="00B20BAE">
        <w:rPr>
          <w:sz w:val="24"/>
          <w:szCs w:val="24"/>
        </w:rPr>
        <w:t>meeting this</w:t>
      </w:r>
      <w:r w:rsidRPr="00B20BAE">
        <w:rPr>
          <w:spacing w:val="-1"/>
          <w:sz w:val="24"/>
          <w:szCs w:val="24"/>
        </w:rPr>
        <w:t xml:space="preserve"> </w:t>
      </w:r>
      <w:r w:rsidRPr="00B20BAE">
        <w:rPr>
          <w:sz w:val="24"/>
          <w:szCs w:val="24"/>
        </w:rPr>
        <w:t>demand.</w:t>
      </w:r>
    </w:p>
    <w:p w14:paraId="3441FBFB" w14:textId="1BF647CD" w:rsidR="00660907" w:rsidRPr="00B20BAE" w:rsidRDefault="00A654AC" w:rsidP="006C4A85">
      <w:pPr>
        <w:spacing w:after="240"/>
        <w:rPr>
          <w:rStyle w:val="CommentReference"/>
          <w:rFonts w:cs="Arial"/>
          <w:sz w:val="24"/>
          <w:szCs w:val="24"/>
        </w:rPr>
      </w:pPr>
      <w:r w:rsidRPr="00B20BAE">
        <w:rPr>
          <w:rStyle w:val="CommentReference"/>
          <w:rFonts w:cs="Arial"/>
          <w:sz w:val="24"/>
          <w:szCs w:val="24"/>
        </w:rPr>
        <w:t>Adult e</w:t>
      </w:r>
      <w:r w:rsidR="004E7C5F" w:rsidRPr="00B20BAE">
        <w:rPr>
          <w:rStyle w:val="CommentReference"/>
          <w:rFonts w:cs="Arial"/>
          <w:sz w:val="24"/>
          <w:szCs w:val="24"/>
        </w:rPr>
        <w:t>ducation programs are in place to fill these literacy needs in California. The programs that make up the adult education system in California are supported by two specific funding sources each with their</w:t>
      </w:r>
      <w:r w:rsidR="00660907" w:rsidRPr="00B20BAE">
        <w:rPr>
          <w:rStyle w:val="CommentReference"/>
          <w:rFonts w:cs="Arial"/>
          <w:sz w:val="24"/>
          <w:szCs w:val="24"/>
        </w:rPr>
        <w:t xml:space="preserve"> own requirements</w:t>
      </w:r>
      <w:r w:rsidR="004E7C5F" w:rsidRPr="00B20BAE">
        <w:rPr>
          <w:rStyle w:val="CommentReference"/>
          <w:rFonts w:cs="Arial"/>
          <w:sz w:val="24"/>
          <w:szCs w:val="24"/>
        </w:rPr>
        <w:t xml:space="preserve">. </w:t>
      </w:r>
    </w:p>
    <w:p w14:paraId="07817A50" w14:textId="66A089D8" w:rsidR="00660907" w:rsidRPr="00B20BAE" w:rsidRDefault="004E7C5F" w:rsidP="00660907">
      <w:pPr>
        <w:pStyle w:val="ListParagraph"/>
        <w:numPr>
          <w:ilvl w:val="0"/>
          <w:numId w:val="23"/>
        </w:numPr>
        <w:spacing w:after="240"/>
        <w:rPr>
          <w:rStyle w:val="CommentReference"/>
          <w:sz w:val="24"/>
          <w:szCs w:val="24"/>
        </w:rPr>
      </w:pPr>
      <w:r w:rsidRPr="00B20BAE">
        <w:rPr>
          <w:rStyle w:val="CommentReference"/>
          <w:sz w:val="24"/>
          <w:szCs w:val="24"/>
        </w:rPr>
        <w:t xml:space="preserve">The largest fiscal support for adult education programs </w:t>
      </w:r>
      <w:r w:rsidRPr="00B20BAE">
        <w:rPr>
          <w:rStyle w:val="CommentReference"/>
          <w:strike/>
          <w:sz w:val="24"/>
          <w:szCs w:val="24"/>
        </w:rPr>
        <w:t>across the state</w:t>
      </w:r>
      <w:r w:rsidRPr="00B20BAE">
        <w:rPr>
          <w:rStyle w:val="CommentReference"/>
          <w:sz w:val="24"/>
          <w:szCs w:val="24"/>
        </w:rPr>
        <w:t xml:space="preserve"> is the </w:t>
      </w:r>
      <w:r w:rsidR="00660907" w:rsidRPr="00B20BAE">
        <w:rPr>
          <w:rStyle w:val="CommentReference"/>
          <w:sz w:val="24"/>
          <w:szCs w:val="24"/>
        </w:rPr>
        <w:t xml:space="preserve">State </w:t>
      </w:r>
      <w:r w:rsidRPr="00B20BAE">
        <w:rPr>
          <w:rStyle w:val="CommentReference"/>
          <w:sz w:val="24"/>
          <w:szCs w:val="24"/>
        </w:rPr>
        <w:t>California Adult Education Program (CAEP). This state funding source is th</w:t>
      </w:r>
      <w:r w:rsidR="000362F5" w:rsidRPr="00B20BAE">
        <w:rPr>
          <w:rStyle w:val="CommentReference"/>
          <w:sz w:val="24"/>
          <w:szCs w:val="24"/>
        </w:rPr>
        <w:t xml:space="preserve">e result of </w:t>
      </w:r>
      <w:r w:rsidR="00660907" w:rsidRPr="00B20BAE">
        <w:rPr>
          <w:rStyle w:val="CommentReference"/>
          <w:sz w:val="24"/>
          <w:szCs w:val="24"/>
        </w:rPr>
        <w:t xml:space="preserve">the </w:t>
      </w:r>
      <w:r w:rsidR="000362F5" w:rsidRPr="00B20BAE">
        <w:rPr>
          <w:rStyle w:val="CommentReference"/>
          <w:sz w:val="24"/>
          <w:szCs w:val="24"/>
        </w:rPr>
        <w:t>2015</w:t>
      </w:r>
      <w:r w:rsidR="00660907" w:rsidRPr="00B20BAE">
        <w:rPr>
          <w:rStyle w:val="CommentReference"/>
          <w:sz w:val="24"/>
          <w:szCs w:val="24"/>
        </w:rPr>
        <w:t xml:space="preserve"> Budget </w:t>
      </w:r>
      <w:r w:rsidR="000F4237" w:rsidRPr="00B20BAE">
        <w:rPr>
          <w:rStyle w:val="CommentReference"/>
          <w:sz w:val="24"/>
          <w:szCs w:val="24"/>
        </w:rPr>
        <w:t>Act (</w:t>
      </w:r>
      <w:r w:rsidRPr="00B20BAE">
        <w:rPr>
          <w:rStyle w:val="CommentReference"/>
          <w:sz w:val="24"/>
          <w:szCs w:val="24"/>
        </w:rPr>
        <w:t>Assembly Bill 104</w:t>
      </w:r>
      <w:r w:rsidR="00660907" w:rsidRPr="00B20BAE">
        <w:rPr>
          <w:rStyle w:val="CommentReference"/>
          <w:sz w:val="24"/>
          <w:szCs w:val="24"/>
        </w:rPr>
        <w:t>),</w:t>
      </w:r>
      <w:r w:rsidRPr="00B20BAE">
        <w:rPr>
          <w:rStyle w:val="CommentReference"/>
          <w:sz w:val="24"/>
          <w:szCs w:val="24"/>
        </w:rPr>
        <w:t xml:space="preserve"> and was known for many years as th</w:t>
      </w:r>
      <w:r w:rsidR="00BC6131" w:rsidRPr="00B20BAE">
        <w:rPr>
          <w:rStyle w:val="CommentReference"/>
          <w:sz w:val="24"/>
          <w:szCs w:val="24"/>
        </w:rPr>
        <w:t xml:space="preserve">e Adult Education Block Grant. </w:t>
      </w:r>
      <w:r w:rsidRPr="00B20BAE">
        <w:rPr>
          <w:rStyle w:val="CommentReference"/>
          <w:sz w:val="24"/>
          <w:szCs w:val="24"/>
        </w:rPr>
        <w:t>The name was changed in July 2018</w:t>
      </w:r>
      <w:r w:rsidR="006C7460" w:rsidRPr="00B20BAE">
        <w:rPr>
          <w:rStyle w:val="CommentReference"/>
          <w:sz w:val="24"/>
          <w:szCs w:val="24"/>
        </w:rPr>
        <w:t xml:space="preserve"> to the CAEP. Funding for </w:t>
      </w:r>
      <w:r w:rsidRPr="00B20BAE">
        <w:rPr>
          <w:rStyle w:val="CommentReference"/>
          <w:sz w:val="24"/>
          <w:szCs w:val="24"/>
        </w:rPr>
        <w:t>CAEP in 20</w:t>
      </w:r>
      <w:r w:rsidR="00BC6131" w:rsidRPr="00B20BAE">
        <w:rPr>
          <w:rStyle w:val="CommentReference"/>
          <w:sz w:val="24"/>
          <w:szCs w:val="24"/>
        </w:rPr>
        <w:t>1</w:t>
      </w:r>
      <w:r w:rsidRPr="00B20BAE">
        <w:rPr>
          <w:rStyle w:val="CommentReference"/>
          <w:sz w:val="24"/>
          <w:szCs w:val="24"/>
        </w:rPr>
        <w:t>8–19 was approximately $521 million dollars.</w:t>
      </w:r>
      <w:r w:rsidR="00276CAF" w:rsidRPr="00B20BAE">
        <w:rPr>
          <w:rStyle w:val="CommentReference"/>
          <w:sz w:val="24"/>
          <w:szCs w:val="24"/>
        </w:rPr>
        <w:t xml:space="preserve"> </w:t>
      </w:r>
    </w:p>
    <w:p w14:paraId="141BE441" w14:textId="50F2A3C4" w:rsidR="00276CAF" w:rsidRPr="00B20BAE" w:rsidRDefault="002249BC" w:rsidP="00660907">
      <w:pPr>
        <w:pStyle w:val="ListParagraph"/>
        <w:numPr>
          <w:ilvl w:val="0"/>
          <w:numId w:val="23"/>
        </w:numPr>
        <w:spacing w:after="240"/>
        <w:rPr>
          <w:rStyle w:val="CommentReference"/>
          <w:sz w:val="24"/>
          <w:szCs w:val="24"/>
        </w:rPr>
      </w:pPr>
      <w:r w:rsidRPr="00B20BAE">
        <w:t>WIOA, Title II: AEFLA</w:t>
      </w:r>
      <w:r w:rsidRPr="00B20BAE">
        <w:rPr>
          <w:rStyle w:val="CommentReference"/>
          <w:sz w:val="24"/>
          <w:szCs w:val="24"/>
        </w:rPr>
        <w:t xml:space="preserve"> </w:t>
      </w:r>
      <w:r w:rsidR="00EB6C40" w:rsidRPr="00B20BAE">
        <w:rPr>
          <w:rStyle w:val="CommentReference"/>
          <w:sz w:val="24"/>
          <w:szCs w:val="24"/>
        </w:rPr>
        <w:t xml:space="preserve">federal </w:t>
      </w:r>
      <w:r w:rsidRPr="00B20BAE">
        <w:rPr>
          <w:rStyle w:val="CommentReference"/>
          <w:sz w:val="24"/>
          <w:szCs w:val="24"/>
        </w:rPr>
        <w:t xml:space="preserve">funding </w:t>
      </w:r>
      <w:r w:rsidR="00276CAF" w:rsidRPr="00B20BAE">
        <w:rPr>
          <w:rStyle w:val="CommentReference"/>
          <w:sz w:val="24"/>
          <w:szCs w:val="24"/>
        </w:rPr>
        <w:t>supplement</w:t>
      </w:r>
      <w:r w:rsidRPr="00B20BAE">
        <w:rPr>
          <w:rStyle w:val="CommentReference"/>
          <w:sz w:val="24"/>
          <w:szCs w:val="24"/>
        </w:rPr>
        <w:t>s</w:t>
      </w:r>
      <w:r w:rsidR="00276CAF" w:rsidRPr="00B20BAE">
        <w:rPr>
          <w:rStyle w:val="CommentReference"/>
          <w:sz w:val="24"/>
          <w:szCs w:val="24"/>
        </w:rPr>
        <w:t xml:space="preserve"> adult education</w:t>
      </w:r>
      <w:r w:rsidRPr="00B20BAE">
        <w:rPr>
          <w:rStyle w:val="CommentReference"/>
          <w:sz w:val="24"/>
          <w:szCs w:val="24"/>
        </w:rPr>
        <w:t xml:space="preserve"> in California</w:t>
      </w:r>
      <w:r w:rsidR="00276CAF" w:rsidRPr="00B20BAE">
        <w:rPr>
          <w:rStyle w:val="CommentReference"/>
          <w:sz w:val="24"/>
          <w:szCs w:val="24"/>
        </w:rPr>
        <w:t xml:space="preserve"> with appr</w:t>
      </w:r>
      <w:r w:rsidR="00406FA4" w:rsidRPr="00B20BAE">
        <w:rPr>
          <w:rStyle w:val="CommentReference"/>
          <w:sz w:val="24"/>
          <w:szCs w:val="24"/>
        </w:rPr>
        <w:t>oximately $100 million</w:t>
      </w:r>
      <w:r w:rsidR="00EB6C40" w:rsidRPr="00B20BAE">
        <w:rPr>
          <w:rStyle w:val="CommentReference"/>
          <w:sz w:val="24"/>
          <w:szCs w:val="24"/>
        </w:rPr>
        <w:t>.</w:t>
      </w:r>
    </w:p>
    <w:p w14:paraId="68D19351" w14:textId="2B6FCE64" w:rsidR="00E82BB4" w:rsidRPr="00B20BAE" w:rsidRDefault="00E82BB4" w:rsidP="00406FA4">
      <w:pPr>
        <w:pStyle w:val="Heading2"/>
        <w:spacing w:before="480" w:after="240"/>
        <w:rPr>
          <w:rStyle w:val="CommentReference"/>
          <w:rFonts w:cs="Arial"/>
          <w:sz w:val="28"/>
          <w:szCs w:val="28"/>
        </w:rPr>
      </w:pPr>
      <w:r w:rsidRPr="00B20BAE">
        <w:rPr>
          <w:rStyle w:val="CommentReference"/>
          <w:rFonts w:cs="Arial"/>
          <w:color w:val="000000" w:themeColor="text1"/>
          <w:sz w:val="28"/>
          <w:szCs w:val="28"/>
        </w:rPr>
        <w:lastRenderedPageBreak/>
        <w:t>California</w:t>
      </w:r>
      <w:r w:rsidR="00406FA4" w:rsidRPr="00B20BAE">
        <w:rPr>
          <w:rStyle w:val="CommentReference"/>
          <w:rFonts w:cs="Arial"/>
          <w:color w:val="000000" w:themeColor="text1"/>
          <w:sz w:val="28"/>
          <w:szCs w:val="28"/>
        </w:rPr>
        <w:t xml:space="preserve"> Adult Education Program (CAEP)</w:t>
      </w:r>
    </w:p>
    <w:p w14:paraId="46341E23" w14:textId="2E58C806" w:rsidR="0012403B" w:rsidRPr="00B20BAE" w:rsidRDefault="00276CAF" w:rsidP="006C4A85">
      <w:pPr>
        <w:pStyle w:val="NormalWeb"/>
        <w:shd w:val="clear" w:color="auto" w:fill="FFFFFF"/>
        <w:spacing w:before="0" w:beforeAutospacing="0" w:after="240" w:afterAutospacing="0"/>
        <w:textAlignment w:val="baseline"/>
        <w:rPr>
          <w:rFonts w:ascii="Arial" w:hAnsi="Arial" w:cs="Arial"/>
          <w:shd w:val="clear" w:color="auto" w:fill="FFFFFF"/>
        </w:rPr>
      </w:pPr>
      <w:r w:rsidRPr="00B20BAE">
        <w:rPr>
          <w:rStyle w:val="CommentReference"/>
          <w:rFonts w:ascii="Arial" w:hAnsi="Arial" w:cs="Arial"/>
          <w:sz w:val="24"/>
          <w:szCs w:val="24"/>
        </w:rPr>
        <w:t xml:space="preserve">The CAEP </w:t>
      </w:r>
      <w:r w:rsidRPr="00B20BAE">
        <w:rPr>
          <w:rFonts w:ascii="Arial" w:hAnsi="Arial" w:cs="Arial"/>
          <w:shd w:val="clear" w:color="auto" w:fill="FFFFFF"/>
        </w:rPr>
        <w:t xml:space="preserve">is under the administration of the California Community Colleges </w:t>
      </w:r>
      <w:r w:rsidR="00F12C39" w:rsidRPr="00B20BAE">
        <w:rPr>
          <w:rFonts w:ascii="Arial" w:hAnsi="Arial" w:cs="Arial"/>
          <w:shd w:val="clear" w:color="auto" w:fill="FFFFFF"/>
        </w:rPr>
        <w:t xml:space="preserve">Chancellor’s </w:t>
      </w:r>
      <w:r w:rsidR="00BC6131" w:rsidRPr="00B20BAE">
        <w:rPr>
          <w:rFonts w:ascii="Arial" w:hAnsi="Arial" w:cs="Arial"/>
          <w:shd w:val="clear" w:color="auto" w:fill="FFFFFF"/>
        </w:rPr>
        <w:t xml:space="preserve">Office </w:t>
      </w:r>
      <w:r w:rsidRPr="00B20BAE">
        <w:rPr>
          <w:rFonts w:ascii="Arial" w:hAnsi="Arial" w:cs="Arial"/>
          <w:shd w:val="clear" w:color="auto" w:fill="FFFFFF"/>
        </w:rPr>
        <w:t xml:space="preserve">and the </w:t>
      </w:r>
      <w:r w:rsidR="00BC6131" w:rsidRPr="00B20BAE">
        <w:rPr>
          <w:rFonts w:ascii="Arial" w:hAnsi="Arial" w:cs="Arial"/>
          <w:shd w:val="clear" w:color="auto" w:fill="FFFFFF"/>
        </w:rPr>
        <w:t xml:space="preserve">State </w:t>
      </w:r>
      <w:r w:rsidRPr="00B20BAE">
        <w:rPr>
          <w:rFonts w:ascii="Arial" w:hAnsi="Arial" w:cs="Arial"/>
          <w:shd w:val="clear" w:color="auto" w:fill="FFFFFF"/>
        </w:rPr>
        <w:t xml:space="preserve">Superintendent of Public Instruction. The CAEP </w:t>
      </w:r>
      <w:r w:rsidR="00660907" w:rsidRPr="00B20BAE">
        <w:rPr>
          <w:rFonts w:ascii="Arial" w:hAnsi="Arial" w:cs="Arial"/>
          <w:shd w:val="clear" w:color="auto" w:fill="FFFFFF"/>
        </w:rPr>
        <w:t>is</w:t>
      </w:r>
      <w:r w:rsidRPr="00B20BAE">
        <w:rPr>
          <w:rFonts w:ascii="Arial" w:hAnsi="Arial" w:cs="Arial"/>
          <w:shd w:val="clear" w:color="auto" w:fill="FFFFFF"/>
        </w:rPr>
        <w:t xml:space="preserve"> set up in </w:t>
      </w:r>
      <w:r w:rsidR="00956AE7" w:rsidRPr="00B20BAE">
        <w:rPr>
          <w:rFonts w:ascii="Arial" w:hAnsi="Arial" w:cs="Arial"/>
          <w:shd w:val="clear" w:color="auto" w:fill="FFFFFF"/>
        </w:rPr>
        <w:t>71</w:t>
      </w:r>
      <w:r w:rsidRPr="00B20BAE">
        <w:rPr>
          <w:rFonts w:ascii="Arial" w:hAnsi="Arial" w:cs="Arial"/>
          <w:shd w:val="clear" w:color="auto" w:fill="FFFFFF"/>
        </w:rPr>
        <w:t xml:space="preserve"> regional </w:t>
      </w:r>
      <w:r w:rsidR="00660907" w:rsidRPr="00B20BAE">
        <w:rPr>
          <w:rFonts w:ascii="Arial" w:hAnsi="Arial" w:cs="Arial"/>
          <w:shd w:val="clear" w:color="auto" w:fill="FFFFFF"/>
        </w:rPr>
        <w:t>consortia</w:t>
      </w:r>
      <w:r w:rsidR="00CC11DE" w:rsidRPr="00B20BAE">
        <w:rPr>
          <w:rFonts w:ascii="Arial" w:hAnsi="Arial" w:cs="Arial"/>
          <w:shd w:val="clear" w:color="auto" w:fill="FFFFFF"/>
        </w:rPr>
        <w:t>,</w:t>
      </w:r>
      <w:r w:rsidRPr="00B20BAE">
        <w:rPr>
          <w:rFonts w:ascii="Arial" w:hAnsi="Arial" w:cs="Arial"/>
          <w:shd w:val="clear" w:color="auto" w:fill="FFFFFF"/>
        </w:rPr>
        <w:t xml:space="preserve"> organized </w:t>
      </w:r>
      <w:r w:rsidR="00660907" w:rsidRPr="00B20BAE">
        <w:rPr>
          <w:rFonts w:ascii="Arial" w:hAnsi="Arial" w:cs="Arial"/>
          <w:shd w:val="clear" w:color="auto" w:fill="FFFFFF"/>
        </w:rPr>
        <w:t xml:space="preserve">by </w:t>
      </w:r>
      <w:r w:rsidRPr="00B20BAE">
        <w:rPr>
          <w:rFonts w:ascii="Arial" w:hAnsi="Arial" w:cs="Arial"/>
          <w:shd w:val="clear" w:color="auto" w:fill="FFFFFF"/>
        </w:rPr>
        <w:t xml:space="preserve">the </w:t>
      </w:r>
      <w:r w:rsidR="00956AE7" w:rsidRPr="00B20BAE">
        <w:rPr>
          <w:rFonts w:ascii="Arial" w:hAnsi="Arial" w:cs="Arial"/>
          <w:shd w:val="clear" w:color="auto" w:fill="FFFFFF"/>
        </w:rPr>
        <w:t>71</w:t>
      </w:r>
      <w:r w:rsidRPr="00B20BAE">
        <w:rPr>
          <w:rFonts w:ascii="Arial" w:hAnsi="Arial" w:cs="Arial"/>
          <w:shd w:val="clear" w:color="auto" w:fill="FFFFFF"/>
        </w:rPr>
        <w:t xml:space="preserve"> California Community College Districts. </w:t>
      </w:r>
      <w:r w:rsidR="00E80AAA" w:rsidRPr="00B20BAE">
        <w:rPr>
          <w:rFonts w:ascii="Arial" w:hAnsi="Arial" w:cs="Arial"/>
          <w:shd w:val="clear" w:color="auto" w:fill="FFFFFF"/>
        </w:rPr>
        <w:t xml:space="preserve">There are </w:t>
      </w:r>
      <w:r w:rsidR="0028295F" w:rsidRPr="00B20BAE">
        <w:rPr>
          <w:rFonts w:ascii="Arial" w:hAnsi="Arial" w:cs="Arial"/>
          <w:shd w:val="clear" w:color="auto" w:fill="FFFFFF"/>
        </w:rPr>
        <w:t xml:space="preserve">450 enrolled CAEP members </w:t>
      </w:r>
      <w:r w:rsidR="00E80AAA" w:rsidRPr="00B20BAE">
        <w:rPr>
          <w:rFonts w:ascii="Arial" w:hAnsi="Arial" w:cs="Arial"/>
          <w:shd w:val="clear" w:color="auto" w:fill="FFFFFF"/>
        </w:rPr>
        <w:t xml:space="preserve">which </w:t>
      </w:r>
      <w:r w:rsidR="0028295F" w:rsidRPr="00B20BAE">
        <w:rPr>
          <w:rFonts w:ascii="Arial" w:hAnsi="Arial" w:cs="Arial"/>
          <w:shd w:val="clear" w:color="auto" w:fill="FFFFFF"/>
        </w:rPr>
        <w:t>include</w:t>
      </w:r>
      <w:r w:rsidR="0023583F" w:rsidRPr="00B20BAE">
        <w:rPr>
          <w:rFonts w:ascii="Arial" w:hAnsi="Arial" w:cs="Arial"/>
          <w:shd w:val="clear" w:color="auto" w:fill="FFFFFF"/>
        </w:rPr>
        <w:t>:</w:t>
      </w:r>
      <w:r w:rsidRPr="00B20BAE">
        <w:rPr>
          <w:rFonts w:ascii="Arial" w:hAnsi="Arial" w:cs="Arial"/>
          <w:shd w:val="clear" w:color="auto" w:fill="FFFFFF"/>
        </w:rPr>
        <w:t xml:space="preserve"> community college district</w:t>
      </w:r>
      <w:r w:rsidR="000D01D3" w:rsidRPr="00B20BAE">
        <w:rPr>
          <w:rFonts w:ascii="Arial" w:hAnsi="Arial" w:cs="Arial"/>
          <w:shd w:val="clear" w:color="auto" w:fill="FFFFFF"/>
        </w:rPr>
        <w:t>s</w:t>
      </w:r>
      <w:r w:rsidRPr="00B20BAE">
        <w:rPr>
          <w:rFonts w:ascii="Arial" w:hAnsi="Arial" w:cs="Arial"/>
          <w:shd w:val="clear" w:color="auto" w:fill="FFFFFF"/>
        </w:rPr>
        <w:t>, school district</w:t>
      </w:r>
      <w:r w:rsidR="000D01D3" w:rsidRPr="00B20BAE">
        <w:rPr>
          <w:rFonts w:ascii="Arial" w:hAnsi="Arial" w:cs="Arial"/>
          <w:shd w:val="clear" w:color="auto" w:fill="FFFFFF"/>
        </w:rPr>
        <w:t>s</w:t>
      </w:r>
      <w:r w:rsidRPr="00B20BAE">
        <w:rPr>
          <w:rFonts w:ascii="Arial" w:hAnsi="Arial" w:cs="Arial"/>
          <w:shd w:val="clear" w:color="auto" w:fill="FFFFFF"/>
        </w:rPr>
        <w:t xml:space="preserve">, </w:t>
      </w:r>
      <w:r w:rsidR="000D01D3" w:rsidRPr="00B20BAE">
        <w:rPr>
          <w:rFonts w:ascii="Arial" w:hAnsi="Arial" w:cs="Arial"/>
          <w:shd w:val="clear" w:color="auto" w:fill="FFFFFF"/>
        </w:rPr>
        <w:t>COEs</w:t>
      </w:r>
      <w:r w:rsidRPr="00B20BAE">
        <w:rPr>
          <w:rFonts w:ascii="Arial" w:hAnsi="Arial" w:cs="Arial"/>
          <w:shd w:val="clear" w:color="auto" w:fill="FFFFFF"/>
        </w:rPr>
        <w:t>, or any joint powers authority consisting</w:t>
      </w:r>
      <w:r w:rsidR="0023583F" w:rsidRPr="00B20BAE">
        <w:rPr>
          <w:rFonts w:ascii="Arial" w:hAnsi="Arial" w:cs="Arial"/>
          <w:shd w:val="clear" w:color="auto" w:fill="FFFFFF"/>
        </w:rPr>
        <w:t xml:space="preserve"> of community college districts; school districts;</w:t>
      </w:r>
      <w:r w:rsidRPr="00B20BAE">
        <w:rPr>
          <w:rFonts w:ascii="Arial" w:hAnsi="Arial" w:cs="Arial"/>
          <w:shd w:val="clear" w:color="auto" w:fill="FFFFFF"/>
        </w:rPr>
        <w:t xml:space="preserve"> </w:t>
      </w:r>
      <w:r w:rsidR="00BC6131" w:rsidRPr="00B20BAE">
        <w:rPr>
          <w:rFonts w:ascii="Arial" w:hAnsi="Arial" w:cs="Arial"/>
          <w:shd w:val="clear" w:color="auto" w:fill="FFFFFF"/>
        </w:rPr>
        <w:t>COEs</w:t>
      </w:r>
      <w:r w:rsidR="0023583F" w:rsidRPr="00B20BAE">
        <w:rPr>
          <w:rFonts w:ascii="Arial" w:hAnsi="Arial" w:cs="Arial"/>
          <w:shd w:val="clear" w:color="auto" w:fill="FFFFFF"/>
        </w:rPr>
        <w:t>;</w:t>
      </w:r>
      <w:r w:rsidRPr="00B20BAE">
        <w:rPr>
          <w:rFonts w:ascii="Arial" w:hAnsi="Arial" w:cs="Arial"/>
          <w:shd w:val="clear" w:color="auto" w:fill="FFFFFF"/>
        </w:rPr>
        <w:t xml:space="preserve"> or a combination of these, located within the boundaries of </w:t>
      </w:r>
      <w:r w:rsidR="00660907" w:rsidRPr="00B20BAE">
        <w:rPr>
          <w:rFonts w:ascii="Arial" w:hAnsi="Arial" w:cs="Arial"/>
          <w:shd w:val="clear" w:color="auto" w:fill="FFFFFF"/>
        </w:rPr>
        <w:t>each</w:t>
      </w:r>
      <w:r w:rsidRPr="00B20BAE">
        <w:rPr>
          <w:rFonts w:ascii="Arial" w:hAnsi="Arial" w:cs="Arial"/>
          <w:shd w:val="clear" w:color="auto" w:fill="FFFFFF"/>
        </w:rPr>
        <w:t xml:space="preserve"> adult education region. Each consortium is required to develop a three-year plan and provide annual updates to the CAEP office. The three-year plan must include</w:t>
      </w:r>
      <w:r w:rsidR="0012403B" w:rsidRPr="00B20BAE">
        <w:rPr>
          <w:rFonts w:ascii="Arial" w:hAnsi="Arial" w:cs="Arial"/>
          <w:shd w:val="clear" w:color="auto" w:fill="FFFFFF"/>
        </w:rPr>
        <w:t>:</w:t>
      </w:r>
    </w:p>
    <w:p w14:paraId="1B3100F1" w14:textId="4FB3FF6B" w:rsidR="0012403B" w:rsidRPr="00B20BAE" w:rsidRDefault="0012403B" w:rsidP="006C4A85">
      <w:pPr>
        <w:pStyle w:val="NormalWeb"/>
        <w:numPr>
          <w:ilvl w:val="0"/>
          <w:numId w:val="19"/>
        </w:numPr>
        <w:shd w:val="clear" w:color="auto" w:fill="FFFFFF"/>
        <w:spacing w:before="0" w:beforeAutospacing="0" w:after="240" w:afterAutospacing="0"/>
        <w:textAlignment w:val="baseline"/>
        <w:rPr>
          <w:rFonts w:ascii="Arial" w:hAnsi="Arial" w:cs="Arial"/>
        </w:rPr>
      </w:pPr>
      <w:r w:rsidRPr="00B20BAE">
        <w:rPr>
          <w:rFonts w:ascii="Arial" w:hAnsi="Arial" w:cs="Arial"/>
        </w:rPr>
        <w:t>A</w:t>
      </w:r>
      <w:r w:rsidR="00276CAF" w:rsidRPr="00B20BAE">
        <w:rPr>
          <w:rFonts w:ascii="Arial" w:hAnsi="Arial" w:cs="Arial"/>
        </w:rPr>
        <w:t>n evaluation of the educational needs of adults in the region, entities that provide education and workforce services to adults in the</w:t>
      </w:r>
      <w:r w:rsidRPr="00B20BAE">
        <w:rPr>
          <w:rFonts w:ascii="Arial" w:hAnsi="Arial" w:cs="Arial"/>
        </w:rPr>
        <w:t xml:space="preserve"> region</w:t>
      </w:r>
      <w:r w:rsidR="009C57B1" w:rsidRPr="00B20BAE">
        <w:rPr>
          <w:rFonts w:ascii="Arial" w:hAnsi="Arial" w:cs="Arial"/>
        </w:rPr>
        <w:t xml:space="preserve">, </w:t>
      </w:r>
      <w:r w:rsidRPr="00B20BAE">
        <w:rPr>
          <w:rFonts w:ascii="Arial" w:hAnsi="Arial" w:cs="Arial"/>
        </w:rPr>
        <w:t>and a description of the services provided.</w:t>
      </w:r>
    </w:p>
    <w:p w14:paraId="437F11BD" w14:textId="6AD5E677" w:rsidR="0012403B" w:rsidRPr="00B20BAE" w:rsidRDefault="0012403B" w:rsidP="006C4A85">
      <w:pPr>
        <w:pStyle w:val="NormalWeb"/>
        <w:numPr>
          <w:ilvl w:val="0"/>
          <w:numId w:val="19"/>
        </w:numPr>
        <w:shd w:val="clear" w:color="auto" w:fill="FFFFFF"/>
        <w:spacing w:before="0" w:beforeAutospacing="0" w:after="240" w:afterAutospacing="0"/>
        <w:textAlignment w:val="baseline"/>
        <w:rPr>
          <w:rFonts w:ascii="Arial" w:hAnsi="Arial" w:cs="Arial"/>
        </w:rPr>
      </w:pPr>
      <w:r w:rsidRPr="00B20BAE">
        <w:rPr>
          <w:rFonts w:ascii="Arial" w:hAnsi="Arial" w:cs="Arial"/>
        </w:rPr>
        <w:t>A</w:t>
      </w:r>
      <w:r w:rsidR="00276CAF" w:rsidRPr="00B20BAE">
        <w:rPr>
          <w:rFonts w:ascii="Arial" w:hAnsi="Arial" w:cs="Arial"/>
        </w:rPr>
        <w:t>n evaluation of current levels and types of education and workforce se</w:t>
      </w:r>
      <w:r w:rsidRPr="00B20BAE">
        <w:rPr>
          <w:rFonts w:ascii="Arial" w:hAnsi="Arial" w:cs="Arial"/>
        </w:rPr>
        <w:t>rvices for adults in the region.</w:t>
      </w:r>
    </w:p>
    <w:p w14:paraId="11EE80AF" w14:textId="6F023607" w:rsidR="0012403B" w:rsidRPr="00B20BAE" w:rsidRDefault="00276CAF" w:rsidP="006C4A85">
      <w:pPr>
        <w:pStyle w:val="NormalWeb"/>
        <w:numPr>
          <w:ilvl w:val="0"/>
          <w:numId w:val="19"/>
        </w:numPr>
        <w:shd w:val="clear" w:color="auto" w:fill="FFFFFF"/>
        <w:spacing w:before="0" w:beforeAutospacing="0" w:after="240" w:afterAutospacing="0"/>
        <w:textAlignment w:val="baseline"/>
        <w:rPr>
          <w:rFonts w:ascii="Arial" w:hAnsi="Arial" w:cs="Arial"/>
        </w:rPr>
      </w:pPr>
      <w:r w:rsidRPr="00B20BAE">
        <w:rPr>
          <w:rFonts w:ascii="Arial" w:hAnsi="Arial" w:cs="Arial"/>
        </w:rPr>
        <w:t>An evaluation of the funds available to the members of the consortium, including funds other than those apportioned</w:t>
      </w:r>
      <w:r w:rsidR="0012403B" w:rsidRPr="00B20BAE">
        <w:rPr>
          <w:rFonts w:ascii="Arial" w:hAnsi="Arial" w:cs="Arial"/>
        </w:rPr>
        <w:t xml:space="preserve"> for the CAEP</w:t>
      </w:r>
      <w:r w:rsidRPr="00B20BAE">
        <w:rPr>
          <w:rFonts w:ascii="Arial" w:hAnsi="Arial" w:cs="Arial"/>
        </w:rPr>
        <w:t>.</w:t>
      </w:r>
    </w:p>
    <w:p w14:paraId="6B4DF8EC" w14:textId="3D410429" w:rsidR="0012403B" w:rsidRPr="00B20BAE" w:rsidRDefault="00276CAF" w:rsidP="006C4A85">
      <w:pPr>
        <w:pStyle w:val="NormalWeb"/>
        <w:numPr>
          <w:ilvl w:val="0"/>
          <w:numId w:val="19"/>
        </w:numPr>
        <w:shd w:val="clear" w:color="auto" w:fill="FFFFFF"/>
        <w:spacing w:before="0" w:beforeAutospacing="0" w:after="240" w:afterAutospacing="0"/>
        <w:textAlignment w:val="baseline"/>
        <w:rPr>
          <w:rFonts w:ascii="Arial" w:hAnsi="Arial" w:cs="Arial"/>
        </w:rPr>
      </w:pPr>
      <w:r w:rsidRPr="00B20BAE">
        <w:rPr>
          <w:rFonts w:ascii="Arial" w:hAnsi="Arial" w:cs="Arial"/>
        </w:rPr>
        <w:t>Actions that the members of the consortium will take to address the educational needs identified</w:t>
      </w:r>
      <w:r w:rsidR="0012403B" w:rsidRPr="00B20BAE">
        <w:rPr>
          <w:rFonts w:ascii="Arial" w:hAnsi="Arial" w:cs="Arial"/>
        </w:rPr>
        <w:t xml:space="preserve"> for individuals in the region</w:t>
      </w:r>
      <w:r w:rsidRPr="00B20BAE">
        <w:rPr>
          <w:rFonts w:ascii="Arial" w:hAnsi="Arial" w:cs="Arial"/>
        </w:rPr>
        <w:t>.</w:t>
      </w:r>
    </w:p>
    <w:p w14:paraId="001FDE1D" w14:textId="789D24C7" w:rsidR="0012403B" w:rsidRPr="00B20BAE" w:rsidRDefault="00276CAF" w:rsidP="006C4A85">
      <w:pPr>
        <w:pStyle w:val="NormalWeb"/>
        <w:numPr>
          <w:ilvl w:val="0"/>
          <w:numId w:val="19"/>
        </w:numPr>
        <w:shd w:val="clear" w:color="auto" w:fill="FFFFFF"/>
        <w:spacing w:before="0" w:beforeAutospacing="0" w:after="240" w:afterAutospacing="0"/>
        <w:textAlignment w:val="baseline"/>
        <w:rPr>
          <w:rFonts w:ascii="Arial" w:hAnsi="Arial" w:cs="Arial"/>
        </w:rPr>
      </w:pPr>
      <w:r w:rsidRPr="00B20BAE">
        <w:rPr>
          <w:rFonts w:ascii="Arial" w:hAnsi="Arial" w:cs="Arial"/>
        </w:rPr>
        <w:t>Actions that the members of the consortium will take to improve the effectiveness of their services.</w:t>
      </w:r>
    </w:p>
    <w:p w14:paraId="3987938D" w14:textId="26873111" w:rsidR="00916D67" w:rsidRPr="00B20BAE" w:rsidRDefault="00276CAF" w:rsidP="006C4A85">
      <w:pPr>
        <w:pStyle w:val="NormalWeb"/>
        <w:numPr>
          <w:ilvl w:val="0"/>
          <w:numId w:val="19"/>
        </w:numPr>
        <w:shd w:val="clear" w:color="auto" w:fill="FFFFFF"/>
        <w:spacing w:before="0" w:beforeAutospacing="0" w:after="240" w:afterAutospacing="0"/>
        <w:textAlignment w:val="baseline"/>
        <w:rPr>
          <w:rFonts w:ascii="Arial" w:hAnsi="Arial" w:cs="Arial"/>
        </w:rPr>
      </w:pPr>
      <w:r w:rsidRPr="00B20BAE">
        <w:rPr>
          <w:rFonts w:ascii="Arial" w:hAnsi="Arial" w:cs="Arial"/>
        </w:rPr>
        <w:t>Actions that the memb</w:t>
      </w:r>
      <w:r w:rsidR="0012403B" w:rsidRPr="00B20BAE">
        <w:rPr>
          <w:rFonts w:ascii="Arial" w:hAnsi="Arial" w:cs="Arial"/>
        </w:rPr>
        <w:t xml:space="preserve">ers of the consortium </w:t>
      </w:r>
      <w:r w:rsidRPr="00B20BAE">
        <w:rPr>
          <w:rFonts w:ascii="Arial" w:hAnsi="Arial" w:cs="Arial"/>
        </w:rPr>
        <w:t>and other interested parties will take to improve integration of services and to improve transitions into postsecondary education and the workforce, including actions related to all of the following:</w:t>
      </w:r>
    </w:p>
    <w:p w14:paraId="6DD45D53" w14:textId="088DF813" w:rsidR="0012403B" w:rsidRPr="00B20BAE" w:rsidRDefault="00276CAF" w:rsidP="000D01D3">
      <w:pPr>
        <w:pStyle w:val="NormalWeb"/>
        <w:numPr>
          <w:ilvl w:val="0"/>
          <w:numId w:val="22"/>
        </w:numPr>
        <w:shd w:val="clear" w:color="auto" w:fill="FFFFFF"/>
        <w:spacing w:before="0" w:beforeAutospacing="0" w:after="240" w:afterAutospacing="0"/>
        <w:ind w:left="1440"/>
        <w:textAlignment w:val="baseline"/>
        <w:rPr>
          <w:rFonts w:ascii="Arial" w:hAnsi="Arial" w:cs="Arial"/>
        </w:rPr>
      </w:pPr>
      <w:r w:rsidRPr="00B20BAE">
        <w:rPr>
          <w:rFonts w:ascii="Arial" w:hAnsi="Arial" w:cs="Arial"/>
        </w:rPr>
        <w:t>Placement of adults seeking education and workforce services into adult education programs.</w:t>
      </w:r>
    </w:p>
    <w:p w14:paraId="1DF17154" w14:textId="53C149C1" w:rsidR="0012403B" w:rsidRPr="00B20BAE" w:rsidRDefault="00276CAF" w:rsidP="000D01D3">
      <w:pPr>
        <w:pStyle w:val="NormalWeb"/>
        <w:numPr>
          <w:ilvl w:val="0"/>
          <w:numId w:val="22"/>
        </w:numPr>
        <w:shd w:val="clear" w:color="auto" w:fill="FFFFFF"/>
        <w:spacing w:before="0" w:beforeAutospacing="0" w:after="240" w:afterAutospacing="0"/>
        <w:ind w:left="1440"/>
        <w:textAlignment w:val="baseline"/>
        <w:rPr>
          <w:rFonts w:ascii="Arial" w:hAnsi="Arial" w:cs="Arial"/>
        </w:rPr>
      </w:pPr>
      <w:r w:rsidRPr="00B20BAE">
        <w:rPr>
          <w:rFonts w:ascii="Arial" w:hAnsi="Arial" w:cs="Arial"/>
        </w:rPr>
        <w:t>Alignment of academic standards and curricula for programs across entities that provide education and workforce services to adults.</w:t>
      </w:r>
    </w:p>
    <w:p w14:paraId="46E0B851" w14:textId="79C6399C" w:rsidR="0012403B" w:rsidRPr="00B20BAE" w:rsidRDefault="00276CAF" w:rsidP="000D01D3">
      <w:pPr>
        <w:pStyle w:val="NormalWeb"/>
        <w:numPr>
          <w:ilvl w:val="0"/>
          <w:numId w:val="22"/>
        </w:numPr>
        <w:shd w:val="clear" w:color="auto" w:fill="FFFFFF"/>
        <w:spacing w:before="0" w:beforeAutospacing="0" w:after="240" w:afterAutospacing="0"/>
        <w:ind w:left="1440"/>
        <w:textAlignment w:val="baseline"/>
        <w:rPr>
          <w:rFonts w:ascii="Arial" w:hAnsi="Arial" w:cs="Arial"/>
        </w:rPr>
      </w:pPr>
      <w:r w:rsidRPr="00B20BAE">
        <w:rPr>
          <w:rFonts w:ascii="Arial" w:hAnsi="Arial" w:cs="Arial"/>
        </w:rPr>
        <w:t>Qualifications of instructors, including common standards across entities that provide education and workforce services to adults.</w:t>
      </w:r>
    </w:p>
    <w:p w14:paraId="7CFEDA85" w14:textId="52298EF0" w:rsidR="0012403B" w:rsidRPr="00B20BAE" w:rsidRDefault="00276CAF" w:rsidP="000D01D3">
      <w:pPr>
        <w:pStyle w:val="NormalWeb"/>
        <w:numPr>
          <w:ilvl w:val="0"/>
          <w:numId w:val="22"/>
        </w:numPr>
        <w:shd w:val="clear" w:color="auto" w:fill="FFFFFF"/>
        <w:spacing w:before="0" w:beforeAutospacing="0" w:after="240" w:afterAutospacing="0"/>
        <w:ind w:left="1440"/>
        <w:textAlignment w:val="baseline"/>
        <w:rPr>
          <w:rFonts w:ascii="Arial" w:hAnsi="Arial" w:cs="Arial"/>
        </w:rPr>
      </w:pPr>
      <w:r w:rsidRPr="00B20BAE">
        <w:rPr>
          <w:rFonts w:ascii="Arial" w:hAnsi="Arial" w:cs="Arial"/>
        </w:rPr>
        <w:t>Collection and availability of data.</w:t>
      </w:r>
    </w:p>
    <w:p w14:paraId="4BB571C8" w14:textId="3D1033D9" w:rsidR="0012403B" w:rsidRPr="00B20BAE" w:rsidRDefault="00276CAF" w:rsidP="008455A7">
      <w:pPr>
        <w:pStyle w:val="NormalWeb"/>
        <w:numPr>
          <w:ilvl w:val="0"/>
          <w:numId w:val="22"/>
        </w:numPr>
        <w:shd w:val="clear" w:color="auto" w:fill="FFFFFF"/>
        <w:spacing w:before="0" w:beforeAutospacing="0" w:after="240" w:afterAutospacing="0"/>
        <w:ind w:left="1440"/>
        <w:textAlignment w:val="baseline"/>
        <w:rPr>
          <w:rFonts w:ascii="Arial" w:hAnsi="Arial" w:cs="Arial"/>
        </w:rPr>
      </w:pPr>
      <w:r w:rsidRPr="00B20BAE">
        <w:rPr>
          <w:rFonts w:ascii="Arial" w:hAnsi="Arial" w:cs="Arial"/>
        </w:rPr>
        <w:t xml:space="preserve">A description of the alignment of adult education services supported by this program with those described in other education and workforce plans </w:t>
      </w:r>
      <w:r w:rsidR="006E7BF3" w:rsidRPr="00B20BAE">
        <w:rPr>
          <w:rFonts w:ascii="Arial" w:hAnsi="Arial" w:cs="Arial"/>
        </w:rPr>
        <w:t>providing</w:t>
      </w:r>
      <w:r w:rsidRPr="00B20BAE">
        <w:rPr>
          <w:rFonts w:ascii="Arial" w:hAnsi="Arial" w:cs="Arial"/>
        </w:rPr>
        <w:t xml:space="preserve"> services in the region, including plans pertaining to the building of career pathways and the employment of workforce sector strategies and those required pursuant to the federal </w:t>
      </w:r>
      <w:r w:rsidR="00956AE7" w:rsidRPr="00B20BAE">
        <w:rPr>
          <w:rFonts w:ascii="Arial" w:hAnsi="Arial" w:cs="Arial"/>
        </w:rPr>
        <w:t>WIOA, Title II: AEFLA</w:t>
      </w:r>
      <w:r w:rsidRPr="00B20BAE">
        <w:rPr>
          <w:rFonts w:ascii="Arial" w:hAnsi="Arial" w:cs="Arial"/>
        </w:rPr>
        <w:t>.</w:t>
      </w:r>
    </w:p>
    <w:p w14:paraId="0C32607D" w14:textId="28949C99" w:rsidR="0012403B" w:rsidRPr="00B20BAE" w:rsidRDefault="00276CAF" w:rsidP="000D01D3">
      <w:pPr>
        <w:pStyle w:val="NormalWeb"/>
        <w:numPr>
          <w:ilvl w:val="0"/>
          <w:numId w:val="22"/>
        </w:numPr>
        <w:shd w:val="clear" w:color="auto" w:fill="FFFFFF"/>
        <w:spacing w:before="0" w:beforeAutospacing="0" w:after="240" w:afterAutospacing="0"/>
        <w:ind w:left="1440"/>
        <w:textAlignment w:val="baseline"/>
        <w:rPr>
          <w:rFonts w:ascii="Arial" w:hAnsi="Arial" w:cs="Arial"/>
        </w:rPr>
      </w:pPr>
      <w:r w:rsidRPr="00B20BAE">
        <w:rPr>
          <w:rFonts w:ascii="Arial" w:hAnsi="Arial" w:cs="Arial"/>
        </w:rPr>
        <w:lastRenderedPageBreak/>
        <w:t xml:space="preserve">A description of the ways in which each of the </w:t>
      </w:r>
      <w:r w:rsidR="0012403B" w:rsidRPr="00B20BAE">
        <w:rPr>
          <w:rFonts w:ascii="Arial" w:hAnsi="Arial" w:cs="Arial"/>
        </w:rPr>
        <w:t>members</w:t>
      </w:r>
      <w:r w:rsidRPr="00B20BAE">
        <w:rPr>
          <w:rFonts w:ascii="Arial" w:hAnsi="Arial" w:cs="Arial"/>
        </w:rPr>
        <w:t xml:space="preserve"> contributed</w:t>
      </w:r>
      <w:r w:rsidR="001E5448" w:rsidRPr="00B20BAE">
        <w:rPr>
          <w:rFonts w:ascii="Arial" w:hAnsi="Arial" w:cs="Arial"/>
        </w:rPr>
        <w:t xml:space="preserve"> to the development of the plan</w:t>
      </w:r>
      <w:r w:rsidR="0083521F" w:rsidRPr="00B20BAE">
        <w:rPr>
          <w:rFonts w:ascii="Arial" w:hAnsi="Arial" w:cs="Arial"/>
        </w:rPr>
        <w:t>.</w:t>
      </w:r>
    </w:p>
    <w:p w14:paraId="07046D7E" w14:textId="684866AE" w:rsidR="004F2433" w:rsidRPr="00B20BAE" w:rsidRDefault="0012403B" w:rsidP="006C4A85">
      <w:pPr>
        <w:pStyle w:val="NormalWeb"/>
        <w:shd w:val="clear" w:color="auto" w:fill="FFFFFF"/>
        <w:spacing w:before="0" w:beforeAutospacing="0" w:after="240" w:afterAutospacing="0"/>
        <w:textAlignment w:val="baseline"/>
        <w:rPr>
          <w:rFonts w:ascii="Arial" w:hAnsi="Arial" w:cs="Arial"/>
        </w:rPr>
      </w:pPr>
      <w:r w:rsidRPr="00B20BAE">
        <w:rPr>
          <w:rFonts w:ascii="Arial" w:hAnsi="Arial" w:cs="Arial"/>
        </w:rPr>
        <w:t xml:space="preserve">Apportionment funding for the CAEP supports </w:t>
      </w:r>
      <w:r w:rsidR="004F2433" w:rsidRPr="00B20BAE">
        <w:rPr>
          <w:rFonts w:ascii="Arial" w:hAnsi="Arial" w:cs="Arial"/>
        </w:rPr>
        <w:t>the following program areas:</w:t>
      </w:r>
    </w:p>
    <w:p w14:paraId="3CEB5E17" w14:textId="415B807E" w:rsidR="004F2433" w:rsidRPr="00B20BAE" w:rsidRDefault="004F2433" w:rsidP="006C4A85">
      <w:pPr>
        <w:pStyle w:val="NormalWeb"/>
        <w:numPr>
          <w:ilvl w:val="0"/>
          <w:numId w:val="18"/>
        </w:numPr>
        <w:shd w:val="clear" w:color="auto" w:fill="FFFFFF"/>
        <w:spacing w:before="0" w:beforeAutospacing="0" w:after="240" w:afterAutospacing="0"/>
        <w:textAlignment w:val="baseline"/>
        <w:rPr>
          <w:rFonts w:ascii="Arial" w:hAnsi="Arial" w:cs="Arial"/>
        </w:rPr>
      </w:pPr>
      <w:r w:rsidRPr="00B20BAE">
        <w:rPr>
          <w:rFonts w:ascii="Arial" w:hAnsi="Arial" w:cs="Arial"/>
        </w:rPr>
        <w:t>E</w:t>
      </w:r>
      <w:r w:rsidR="0012403B" w:rsidRPr="00B20BAE">
        <w:rPr>
          <w:rFonts w:ascii="Arial" w:hAnsi="Arial" w:cs="Arial"/>
        </w:rPr>
        <w:t xml:space="preserve">lementary and secondary basic skills, including programs </w:t>
      </w:r>
      <w:r w:rsidR="00354473" w:rsidRPr="00B20BAE">
        <w:rPr>
          <w:rFonts w:ascii="Arial" w:hAnsi="Arial" w:cs="Arial"/>
        </w:rPr>
        <w:t>leading to a</w:t>
      </w:r>
      <w:r w:rsidR="009C57B1" w:rsidRPr="00B20BAE">
        <w:rPr>
          <w:rFonts w:ascii="Arial" w:hAnsi="Arial" w:cs="Arial"/>
        </w:rPr>
        <w:t>n</w:t>
      </w:r>
      <w:r w:rsidR="00354473" w:rsidRPr="00B20BAE">
        <w:rPr>
          <w:rFonts w:ascii="Arial" w:hAnsi="Arial" w:cs="Arial"/>
        </w:rPr>
        <w:t xml:space="preserve"> HSD or </w:t>
      </w:r>
      <w:r w:rsidR="00CA3D8C" w:rsidRPr="00B20BAE">
        <w:rPr>
          <w:rFonts w:ascii="Arial" w:hAnsi="Arial" w:cs="Arial"/>
        </w:rPr>
        <w:t>HSE</w:t>
      </w:r>
      <w:r w:rsidR="00354473" w:rsidRPr="00B20BAE">
        <w:rPr>
          <w:rFonts w:ascii="Arial" w:hAnsi="Arial" w:cs="Arial"/>
        </w:rPr>
        <w:t>.</w:t>
      </w:r>
    </w:p>
    <w:p w14:paraId="15C5A1FD" w14:textId="53633938" w:rsidR="004F2433" w:rsidRPr="00B20BAE" w:rsidRDefault="004F2433" w:rsidP="006C4A85">
      <w:pPr>
        <w:pStyle w:val="NormalWeb"/>
        <w:numPr>
          <w:ilvl w:val="0"/>
          <w:numId w:val="18"/>
        </w:numPr>
        <w:shd w:val="clear" w:color="auto" w:fill="FFFFFF"/>
        <w:spacing w:before="120" w:beforeAutospacing="0" w:after="240" w:afterAutospacing="0"/>
        <w:textAlignment w:val="baseline"/>
        <w:rPr>
          <w:rFonts w:ascii="Arial" w:hAnsi="Arial" w:cs="Arial"/>
        </w:rPr>
      </w:pPr>
      <w:r w:rsidRPr="00B20BAE">
        <w:rPr>
          <w:rFonts w:ascii="Arial" w:hAnsi="Arial" w:cs="Arial"/>
        </w:rPr>
        <w:t>E</w:t>
      </w:r>
      <w:r w:rsidR="0012403B" w:rsidRPr="00B20BAE">
        <w:rPr>
          <w:rFonts w:ascii="Arial" w:hAnsi="Arial" w:cs="Arial"/>
        </w:rPr>
        <w:t xml:space="preserve">ducational services </w:t>
      </w:r>
      <w:r w:rsidRPr="00B20BAE">
        <w:rPr>
          <w:rFonts w:ascii="Arial" w:hAnsi="Arial" w:cs="Arial"/>
        </w:rPr>
        <w:t xml:space="preserve">for immigrants </w:t>
      </w:r>
      <w:r w:rsidR="0012403B" w:rsidRPr="00B20BAE">
        <w:rPr>
          <w:rFonts w:ascii="Arial" w:hAnsi="Arial" w:cs="Arial"/>
        </w:rPr>
        <w:t>in citizenship, English as a second language, and workforce preparation.</w:t>
      </w:r>
    </w:p>
    <w:p w14:paraId="1D6DC9CE" w14:textId="533F70F0" w:rsidR="004F2433" w:rsidRPr="00B20BAE" w:rsidRDefault="004F2433" w:rsidP="006C4A85">
      <w:pPr>
        <w:pStyle w:val="NormalWeb"/>
        <w:numPr>
          <w:ilvl w:val="0"/>
          <w:numId w:val="18"/>
        </w:numPr>
        <w:shd w:val="clear" w:color="auto" w:fill="FFFFFF"/>
        <w:spacing w:before="0" w:beforeAutospacing="0" w:after="240" w:afterAutospacing="0"/>
        <w:textAlignment w:val="baseline"/>
        <w:rPr>
          <w:rFonts w:ascii="Arial" w:hAnsi="Arial" w:cs="Arial"/>
        </w:rPr>
      </w:pPr>
      <w:r w:rsidRPr="00B20BAE">
        <w:rPr>
          <w:rFonts w:ascii="Arial" w:hAnsi="Arial" w:cs="Arial"/>
        </w:rPr>
        <w:t>E</w:t>
      </w:r>
      <w:r w:rsidR="0012403B" w:rsidRPr="00B20BAE">
        <w:rPr>
          <w:rFonts w:ascii="Arial" w:hAnsi="Arial" w:cs="Arial"/>
        </w:rPr>
        <w:t>ntry or reentry into the workforce.</w:t>
      </w:r>
    </w:p>
    <w:p w14:paraId="1394EE31" w14:textId="43AA41B5" w:rsidR="004F2433" w:rsidRPr="00B20BAE" w:rsidRDefault="004F2433" w:rsidP="006C4A85">
      <w:pPr>
        <w:pStyle w:val="NormalWeb"/>
        <w:numPr>
          <w:ilvl w:val="0"/>
          <w:numId w:val="18"/>
        </w:numPr>
        <w:shd w:val="clear" w:color="auto" w:fill="FFFFFF"/>
        <w:spacing w:before="0" w:beforeAutospacing="0" w:after="240" w:afterAutospacing="0"/>
        <w:textAlignment w:val="baseline"/>
        <w:rPr>
          <w:rFonts w:ascii="Arial" w:hAnsi="Arial" w:cs="Arial"/>
        </w:rPr>
      </w:pPr>
      <w:r w:rsidRPr="00B20BAE">
        <w:rPr>
          <w:rFonts w:ascii="Arial" w:hAnsi="Arial" w:cs="Arial"/>
        </w:rPr>
        <w:t>D</w:t>
      </w:r>
      <w:r w:rsidR="0012403B" w:rsidRPr="00B20BAE">
        <w:rPr>
          <w:rFonts w:ascii="Arial" w:hAnsi="Arial" w:cs="Arial"/>
        </w:rPr>
        <w:t>evelop</w:t>
      </w:r>
      <w:r w:rsidRPr="00B20BAE">
        <w:rPr>
          <w:rFonts w:ascii="Arial" w:hAnsi="Arial" w:cs="Arial"/>
        </w:rPr>
        <w:t>ment of</w:t>
      </w:r>
      <w:r w:rsidR="0012403B" w:rsidRPr="00B20BAE">
        <w:rPr>
          <w:rFonts w:ascii="Arial" w:hAnsi="Arial" w:cs="Arial"/>
        </w:rPr>
        <w:t xml:space="preserve"> knowledge and skills to assist elementary and secondary school children to succeed academically in school.</w:t>
      </w:r>
    </w:p>
    <w:p w14:paraId="51446B5A" w14:textId="2D0F5082" w:rsidR="004F2433" w:rsidRPr="00B20BAE" w:rsidRDefault="004F2433" w:rsidP="006C4A85">
      <w:pPr>
        <w:pStyle w:val="NormalWeb"/>
        <w:numPr>
          <w:ilvl w:val="0"/>
          <w:numId w:val="18"/>
        </w:numPr>
        <w:shd w:val="clear" w:color="auto" w:fill="FFFFFF"/>
        <w:spacing w:before="0" w:beforeAutospacing="0" w:after="240" w:afterAutospacing="0"/>
        <w:textAlignment w:val="baseline"/>
        <w:rPr>
          <w:rFonts w:ascii="Arial" w:hAnsi="Arial" w:cs="Arial"/>
        </w:rPr>
      </w:pPr>
      <w:r w:rsidRPr="00B20BAE">
        <w:rPr>
          <w:rFonts w:ascii="Arial" w:hAnsi="Arial" w:cs="Arial"/>
        </w:rPr>
        <w:t>A</w:t>
      </w:r>
      <w:r w:rsidR="0012403B" w:rsidRPr="00B20BAE">
        <w:rPr>
          <w:rFonts w:ascii="Arial" w:hAnsi="Arial" w:cs="Arial"/>
        </w:rPr>
        <w:t>dults with disabilities.</w:t>
      </w:r>
    </w:p>
    <w:p w14:paraId="03A37525" w14:textId="13939A0A" w:rsidR="004F2433" w:rsidRPr="00B20BAE" w:rsidRDefault="004F2433" w:rsidP="006C4A85">
      <w:pPr>
        <w:pStyle w:val="NormalWeb"/>
        <w:numPr>
          <w:ilvl w:val="0"/>
          <w:numId w:val="18"/>
        </w:numPr>
        <w:shd w:val="clear" w:color="auto" w:fill="FFFFFF"/>
        <w:spacing w:before="0" w:beforeAutospacing="0" w:after="240" w:afterAutospacing="0"/>
        <w:textAlignment w:val="baseline"/>
        <w:rPr>
          <w:rFonts w:ascii="Arial" w:hAnsi="Arial" w:cs="Arial"/>
        </w:rPr>
      </w:pPr>
      <w:r w:rsidRPr="00B20BAE">
        <w:rPr>
          <w:rFonts w:ascii="Arial" w:hAnsi="Arial" w:cs="Arial"/>
        </w:rPr>
        <w:t>C</w:t>
      </w:r>
      <w:r w:rsidR="0012403B" w:rsidRPr="00B20BAE">
        <w:rPr>
          <w:rFonts w:ascii="Arial" w:hAnsi="Arial" w:cs="Arial"/>
        </w:rPr>
        <w:t xml:space="preserve">areer technical education </w:t>
      </w:r>
      <w:r w:rsidR="005265BD" w:rsidRPr="00B20BAE">
        <w:rPr>
          <w:rFonts w:ascii="Arial" w:hAnsi="Arial" w:cs="Arial"/>
        </w:rPr>
        <w:t xml:space="preserve">(CTE) </w:t>
      </w:r>
      <w:r w:rsidR="0012403B" w:rsidRPr="00B20BAE">
        <w:rPr>
          <w:rFonts w:ascii="Arial" w:hAnsi="Arial" w:cs="Arial"/>
        </w:rPr>
        <w:t>that are short term in nature and have high employment potential.</w:t>
      </w:r>
    </w:p>
    <w:p w14:paraId="77582796" w14:textId="118A0A12" w:rsidR="0012403B" w:rsidRPr="00B20BAE" w:rsidRDefault="004F2433" w:rsidP="006C4A85">
      <w:pPr>
        <w:pStyle w:val="NormalWeb"/>
        <w:numPr>
          <w:ilvl w:val="0"/>
          <w:numId w:val="18"/>
        </w:numPr>
        <w:shd w:val="clear" w:color="auto" w:fill="FFFFFF"/>
        <w:spacing w:before="0" w:beforeAutospacing="0" w:after="240" w:afterAutospacing="0"/>
        <w:textAlignment w:val="baseline"/>
        <w:rPr>
          <w:rFonts w:ascii="Arial" w:hAnsi="Arial" w:cs="Arial"/>
        </w:rPr>
      </w:pPr>
      <w:proofErr w:type="spellStart"/>
      <w:r w:rsidRPr="00B20BAE">
        <w:rPr>
          <w:rFonts w:ascii="Arial" w:hAnsi="Arial" w:cs="Arial"/>
        </w:rPr>
        <w:t>P</w:t>
      </w:r>
      <w:r w:rsidR="0012403B" w:rsidRPr="00B20BAE">
        <w:rPr>
          <w:rFonts w:ascii="Arial" w:hAnsi="Arial" w:cs="Arial"/>
        </w:rPr>
        <w:t>reapprenticeship</w:t>
      </w:r>
      <w:proofErr w:type="spellEnd"/>
      <w:r w:rsidR="0012403B" w:rsidRPr="00B20BAE">
        <w:rPr>
          <w:rFonts w:ascii="Arial" w:hAnsi="Arial" w:cs="Arial"/>
        </w:rPr>
        <w:t xml:space="preserve"> training activities conducted in coordination with one or more apprenticeship programs approved by the Division of Apprenticeship Standards for the occupation and geographic area.</w:t>
      </w:r>
    </w:p>
    <w:p w14:paraId="32492B9E" w14:textId="5592B409" w:rsidR="00024B90" w:rsidRPr="00B20BAE" w:rsidRDefault="004F2433" w:rsidP="00406FA4">
      <w:pPr>
        <w:pStyle w:val="NormalWeb"/>
        <w:shd w:val="clear" w:color="auto" w:fill="FFFFFF"/>
        <w:spacing w:before="0" w:beforeAutospacing="0" w:after="480" w:afterAutospacing="0"/>
        <w:textAlignment w:val="baseline"/>
        <w:rPr>
          <w:rFonts w:ascii="Arial" w:hAnsi="Arial" w:cs="Arial"/>
        </w:rPr>
      </w:pPr>
      <w:r w:rsidRPr="00B20BAE">
        <w:rPr>
          <w:rFonts w:ascii="Arial" w:hAnsi="Arial" w:cs="Arial"/>
        </w:rPr>
        <w:t xml:space="preserve">Of the approximately $521 </w:t>
      </w:r>
      <w:r w:rsidR="00386782" w:rsidRPr="00B20BAE">
        <w:rPr>
          <w:rFonts w:ascii="Arial" w:hAnsi="Arial" w:cs="Arial"/>
        </w:rPr>
        <w:t>million dollars for the CAEP</w:t>
      </w:r>
      <w:r w:rsidR="009C57B1" w:rsidRPr="00B20BAE">
        <w:rPr>
          <w:rFonts w:ascii="Arial" w:hAnsi="Arial" w:cs="Arial"/>
        </w:rPr>
        <w:t>,</w:t>
      </w:r>
      <w:r w:rsidR="00386782" w:rsidRPr="00B20BAE">
        <w:rPr>
          <w:rFonts w:ascii="Arial" w:hAnsi="Arial" w:cs="Arial"/>
        </w:rPr>
        <w:t xml:space="preserve"> 88 percent</w:t>
      </w:r>
      <w:r w:rsidRPr="00B20BAE">
        <w:rPr>
          <w:rFonts w:ascii="Arial" w:hAnsi="Arial" w:cs="Arial"/>
        </w:rPr>
        <w:t xml:space="preserve"> of the funding supports programs offe</w:t>
      </w:r>
      <w:r w:rsidR="00756112" w:rsidRPr="00B20BAE">
        <w:rPr>
          <w:rFonts w:ascii="Arial" w:hAnsi="Arial" w:cs="Arial"/>
        </w:rPr>
        <w:t>red through K–12 adult schools.</w:t>
      </w:r>
    </w:p>
    <w:p w14:paraId="31B4F614" w14:textId="2D7E6F39" w:rsidR="00E82BB4" w:rsidRPr="00B20BAE" w:rsidRDefault="006E7BF3" w:rsidP="00406FA4">
      <w:pPr>
        <w:pStyle w:val="Heading2"/>
        <w:spacing w:before="0" w:after="240"/>
      </w:pPr>
      <w:r w:rsidRPr="00B20BAE">
        <w:t xml:space="preserve">Federal </w:t>
      </w:r>
      <w:r w:rsidR="00E82BB4" w:rsidRPr="00B20BAE">
        <w:t>Workforce Innovation and Opportunity Act, Title II: Adult Education and Family Literacy Act</w:t>
      </w:r>
    </w:p>
    <w:p w14:paraId="56D658F5" w14:textId="77A7DD1A" w:rsidR="004F2433" w:rsidRPr="00B20BAE" w:rsidRDefault="004F2433" w:rsidP="007D2AC0">
      <w:pPr>
        <w:pStyle w:val="NormalWeb"/>
        <w:shd w:val="clear" w:color="auto" w:fill="FFFFFF"/>
        <w:spacing w:before="0" w:beforeAutospacing="0" w:after="240" w:afterAutospacing="0"/>
        <w:textAlignment w:val="baseline"/>
        <w:rPr>
          <w:rFonts w:ascii="Arial" w:hAnsi="Arial" w:cs="Arial"/>
        </w:rPr>
      </w:pPr>
      <w:r w:rsidRPr="00B20BAE">
        <w:rPr>
          <w:rFonts w:ascii="Arial" w:hAnsi="Arial" w:cs="Arial"/>
        </w:rPr>
        <w:t xml:space="preserve">The CDE provides adult literacy services to one-fifth of adults enrolled in the </w:t>
      </w:r>
      <w:r w:rsidR="00956AE7" w:rsidRPr="00B20BAE">
        <w:rPr>
          <w:rFonts w:ascii="Arial" w:hAnsi="Arial" w:cs="Arial"/>
        </w:rPr>
        <w:t>WIOA, Title II: AEFLA</w:t>
      </w:r>
      <w:r w:rsidRPr="00B20BAE">
        <w:rPr>
          <w:rFonts w:ascii="Arial" w:hAnsi="Arial" w:cs="Arial"/>
        </w:rPr>
        <w:t xml:space="preserve"> program in the United States. The adult education program addresses literacy needs of individuals by providing adults with the skills and knowledge necessary to:</w:t>
      </w:r>
    </w:p>
    <w:p w14:paraId="781F8A7D" w14:textId="68B1B1F8" w:rsidR="004F2433" w:rsidRPr="00B20BAE" w:rsidRDefault="004F2433" w:rsidP="006C4A85">
      <w:pPr>
        <w:pStyle w:val="BodyText"/>
        <w:numPr>
          <w:ilvl w:val="0"/>
          <w:numId w:val="17"/>
        </w:numPr>
        <w:spacing w:after="240"/>
        <w:rPr>
          <w:sz w:val="24"/>
          <w:szCs w:val="24"/>
        </w:rPr>
      </w:pPr>
      <w:r w:rsidRPr="00B20BAE">
        <w:rPr>
          <w:sz w:val="24"/>
          <w:szCs w:val="24"/>
        </w:rPr>
        <w:t>Gain employment or b</w:t>
      </w:r>
      <w:r w:rsidR="00756112" w:rsidRPr="00B20BAE">
        <w:rPr>
          <w:sz w:val="24"/>
          <w:szCs w:val="24"/>
        </w:rPr>
        <w:t>etter their current employment.</w:t>
      </w:r>
    </w:p>
    <w:p w14:paraId="6D10D54B" w14:textId="17CEA602" w:rsidR="00CA3D8C" w:rsidRPr="00B20BAE" w:rsidRDefault="004F2433" w:rsidP="006C4A85">
      <w:pPr>
        <w:pStyle w:val="BodyText"/>
        <w:numPr>
          <w:ilvl w:val="0"/>
          <w:numId w:val="17"/>
        </w:numPr>
        <w:spacing w:after="240"/>
        <w:rPr>
          <w:sz w:val="24"/>
          <w:szCs w:val="24"/>
        </w:rPr>
      </w:pPr>
      <w:r w:rsidRPr="00B20BAE">
        <w:rPr>
          <w:sz w:val="24"/>
          <w:szCs w:val="24"/>
        </w:rPr>
        <w:t>Obtain a</w:t>
      </w:r>
      <w:r w:rsidR="00043590" w:rsidRPr="00B20BAE">
        <w:rPr>
          <w:sz w:val="24"/>
          <w:szCs w:val="24"/>
        </w:rPr>
        <w:t>n</w:t>
      </w:r>
      <w:r w:rsidRPr="00B20BAE">
        <w:rPr>
          <w:sz w:val="24"/>
          <w:szCs w:val="24"/>
        </w:rPr>
        <w:t xml:space="preserve"> HSD or HSE certificate</w:t>
      </w:r>
      <w:r w:rsidR="00CA3D8C" w:rsidRPr="00B20BAE">
        <w:rPr>
          <w:sz w:val="24"/>
          <w:szCs w:val="24"/>
        </w:rPr>
        <w:t>.</w:t>
      </w:r>
    </w:p>
    <w:p w14:paraId="39D39010" w14:textId="77777777" w:rsidR="00CA3D8C" w:rsidRPr="00B20BAE" w:rsidRDefault="00CA3D8C" w:rsidP="006C4A85">
      <w:pPr>
        <w:pStyle w:val="BodyText"/>
        <w:numPr>
          <w:ilvl w:val="0"/>
          <w:numId w:val="17"/>
        </w:numPr>
        <w:spacing w:after="240"/>
        <w:rPr>
          <w:sz w:val="24"/>
          <w:szCs w:val="24"/>
        </w:rPr>
      </w:pPr>
      <w:r w:rsidRPr="00B20BAE">
        <w:rPr>
          <w:sz w:val="24"/>
          <w:szCs w:val="24"/>
        </w:rPr>
        <w:t>A</w:t>
      </w:r>
      <w:r w:rsidR="004F2433" w:rsidRPr="00B20BAE">
        <w:rPr>
          <w:sz w:val="24"/>
          <w:szCs w:val="24"/>
        </w:rPr>
        <w:t>ttain skills necessary to enter postsecondary education and training</w:t>
      </w:r>
      <w:r w:rsidRPr="00B20BAE">
        <w:rPr>
          <w:sz w:val="24"/>
          <w:szCs w:val="24"/>
        </w:rPr>
        <w:t>.</w:t>
      </w:r>
    </w:p>
    <w:p w14:paraId="044A8C5C" w14:textId="1A77F60C" w:rsidR="00CA3D8C" w:rsidRPr="00B20BAE" w:rsidRDefault="00CA3D8C" w:rsidP="006C4A85">
      <w:pPr>
        <w:pStyle w:val="BodyText"/>
        <w:numPr>
          <w:ilvl w:val="0"/>
          <w:numId w:val="17"/>
        </w:numPr>
        <w:spacing w:after="240"/>
        <w:rPr>
          <w:sz w:val="24"/>
          <w:szCs w:val="24"/>
        </w:rPr>
      </w:pPr>
      <w:r w:rsidRPr="00B20BAE">
        <w:rPr>
          <w:sz w:val="24"/>
          <w:szCs w:val="24"/>
        </w:rPr>
        <w:t>E</w:t>
      </w:r>
      <w:r w:rsidR="004F2433" w:rsidRPr="00B20BAE">
        <w:rPr>
          <w:sz w:val="24"/>
          <w:szCs w:val="24"/>
        </w:rPr>
        <w:t xml:space="preserve">xit public welfare and become </w:t>
      </w:r>
      <w:r w:rsidR="006E7BF3" w:rsidRPr="00B20BAE">
        <w:rPr>
          <w:sz w:val="24"/>
          <w:szCs w:val="24"/>
        </w:rPr>
        <w:t xml:space="preserve">financially </w:t>
      </w:r>
      <w:r w:rsidR="004F2433" w:rsidRPr="00B20BAE">
        <w:rPr>
          <w:sz w:val="24"/>
          <w:szCs w:val="24"/>
        </w:rPr>
        <w:t>self-sufficient</w:t>
      </w:r>
      <w:r w:rsidRPr="00B20BAE">
        <w:rPr>
          <w:sz w:val="24"/>
          <w:szCs w:val="24"/>
        </w:rPr>
        <w:t>.</w:t>
      </w:r>
    </w:p>
    <w:p w14:paraId="50FAD330" w14:textId="148A2AAF" w:rsidR="00024B90" w:rsidRPr="00B20BAE" w:rsidRDefault="00CA3D8C" w:rsidP="006C4A85">
      <w:pPr>
        <w:pStyle w:val="BodyText"/>
        <w:numPr>
          <w:ilvl w:val="0"/>
          <w:numId w:val="17"/>
        </w:numPr>
        <w:spacing w:after="240"/>
        <w:rPr>
          <w:sz w:val="24"/>
          <w:szCs w:val="24"/>
        </w:rPr>
      </w:pPr>
      <w:r w:rsidRPr="00B20BAE">
        <w:rPr>
          <w:sz w:val="24"/>
          <w:szCs w:val="24"/>
        </w:rPr>
        <w:t>L</w:t>
      </w:r>
      <w:r w:rsidR="004F2433" w:rsidRPr="00B20BAE">
        <w:rPr>
          <w:sz w:val="24"/>
          <w:szCs w:val="24"/>
        </w:rPr>
        <w:t xml:space="preserve">earn to speak, read, </w:t>
      </w:r>
      <w:r w:rsidRPr="00B20BAE">
        <w:rPr>
          <w:sz w:val="24"/>
          <w:szCs w:val="24"/>
        </w:rPr>
        <w:t>and write the English language.</w:t>
      </w:r>
    </w:p>
    <w:p w14:paraId="2CF513C1" w14:textId="7EE5C5A1" w:rsidR="00024B90" w:rsidRPr="00B20BAE" w:rsidRDefault="00CA3D8C" w:rsidP="006C4A85">
      <w:pPr>
        <w:pStyle w:val="BodyText"/>
        <w:numPr>
          <w:ilvl w:val="0"/>
          <w:numId w:val="17"/>
        </w:numPr>
        <w:spacing w:after="240"/>
        <w:rPr>
          <w:sz w:val="24"/>
          <w:szCs w:val="24"/>
        </w:rPr>
      </w:pPr>
      <w:r w:rsidRPr="00B20BAE">
        <w:rPr>
          <w:sz w:val="24"/>
          <w:szCs w:val="24"/>
        </w:rPr>
        <w:t>M</w:t>
      </w:r>
      <w:r w:rsidR="004F2433" w:rsidRPr="00B20BAE">
        <w:rPr>
          <w:sz w:val="24"/>
          <w:szCs w:val="24"/>
        </w:rPr>
        <w:t>aster basic academic skills to help their children succeed in school</w:t>
      </w:r>
      <w:r w:rsidRPr="00B20BAE">
        <w:rPr>
          <w:sz w:val="24"/>
          <w:szCs w:val="24"/>
        </w:rPr>
        <w:t>.</w:t>
      </w:r>
    </w:p>
    <w:p w14:paraId="5A55C770" w14:textId="56DB49F1" w:rsidR="00794CE7" w:rsidRPr="00B20BAE" w:rsidRDefault="00CA3D8C" w:rsidP="006C4A85">
      <w:pPr>
        <w:pStyle w:val="BodyText"/>
        <w:numPr>
          <w:ilvl w:val="0"/>
          <w:numId w:val="17"/>
        </w:numPr>
        <w:spacing w:after="240"/>
        <w:rPr>
          <w:sz w:val="24"/>
          <w:szCs w:val="24"/>
        </w:rPr>
      </w:pPr>
      <w:r w:rsidRPr="00B20BAE">
        <w:rPr>
          <w:sz w:val="24"/>
          <w:szCs w:val="24"/>
        </w:rPr>
        <w:lastRenderedPageBreak/>
        <w:t>B</w:t>
      </w:r>
      <w:r w:rsidR="004F2433" w:rsidRPr="00B20BAE">
        <w:rPr>
          <w:sz w:val="24"/>
          <w:szCs w:val="24"/>
        </w:rPr>
        <w:t>ecome U.S. citizens, exercise their civic responsibilities, and participate in a democratic</w:t>
      </w:r>
      <w:r w:rsidR="004F2433" w:rsidRPr="00B20BAE">
        <w:rPr>
          <w:spacing w:val="-5"/>
          <w:sz w:val="24"/>
          <w:szCs w:val="24"/>
        </w:rPr>
        <w:t xml:space="preserve"> </w:t>
      </w:r>
      <w:r w:rsidR="004F2433" w:rsidRPr="00B20BAE">
        <w:rPr>
          <w:sz w:val="24"/>
          <w:szCs w:val="24"/>
        </w:rPr>
        <w:t>society.</w:t>
      </w:r>
    </w:p>
    <w:p w14:paraId="3A04B8E9" w14:textId="6E9DADEA" w:rsidR="00CA3D8C" w:rsidRPr="00B20BAE" w:rsidRDefault="00CA3D8C" w:rsidP="007D2AC0">
      <w:pPr>
        <w:pStyle w:val="BodyText"/>
        <w:spacing w:after="240"/>
        <w:rPr>
          <w:sz w:val="24"/>
          <w:szCs w:val="24"/>
        </w:rPr>
      </w:pPr>
      <w:r w:rsidRPr="00B20BAE">
        <w:rPr>
          <w:sz w:val="24"/>
          <w:szCs w:val="24"/>
        </w:rPr>
        <w:t xml:space="preserve">The CDE administers the </w:t>
      </w:r>
      <w:r w:rsidR="00956AE7" w:rsidRPr="00B20BAE">
        <w:rPr>
          <w:sz w:val="24"/>
          <w:szCs w:val="24"/>
        </w:rPr>
        <w:t>WIOA, Title II: AEFLA</w:t>
      </w:r>
      <w:r w:rsidR="005E1433" w:rsidRPr="00B20BAE">
        <w:rPr>
          <w:sz w:val="24"/>
          <w:szCs w:val="24"/>
        </w:rPr>
        <w:t xml:space="preserve"> grant in three-</w:t>
      </w:r>
      <w:r w:rsidRPr="00B20BAE">
        <w:rPr>
          <w:sz w:val="24"/>
          <w:szCs w:val="24"/>
        </w:rPr>
        <w:t>year cycles</w:t>
      </w:r>
      <w:r w:rsidR="00386782" w:rsidRPr="00B20BAE">
        <w:rPr>
          <w:sz w:val="24"/>
          <w:szCs w:val="24"/>
        </w:rPr>
        <w:t>,</w:t>
      </w:r>
      <w:r w:rsidRPr="00B20BAE">
        <w:rPr>
          <w:sz w:val="24"/>
          <w:szCs w:val="24"/>
        </w:rPr>
        <w:t xml:space="preserve"> which include a competiti</w:t>
      </w:r>
      <w:r w:rsidR="006E7BF3" w:rsidRPr="00B20BAE">
        <w:rPr>
          <w:sz w:val="24"/>
          <w:szCs w:val="24"/>
        </w:rPr>
        <w:t>ve</w:t>
      </w:r>
      <w:r w:rsidRPr="00B20BAE">
        <w:rPr>
          <w:sz w:val="24"/>
          <w:szCs w:val="24"/>
        </w:rPr>
        <w:t xml:space="preserve"> process through a Request for Application</w:t>
      </w:r>
      <w:r w:rsidR="0023583F" w:rsidRPr="00B20BAE">
        <w:rPr>
          <w:sz w:val="24"/>
          <w:szCs w:val="24"/>
        </w:rPr>
        <w:t>s</w:t>
      </w:r>
      <w:r w:rsidRPr="00B20BAE">
        <w:rPr>
          <w:sz w:val="24"/>
          <w:szCs w:val="24"/>
        </w:rPr>
        <w:t xml:space="preserve"> in the first year, followed by annual progress reports in the two subsequent years. In 2017–18</w:t>
      </w:r>
      <w:r w:rsidR="00354473" w:rsidRPr="00B20BAE">
        <w:rPr>
          <w:sz w:val="24"/>
          <w:szCs w:val="24"/>
        </w:rPr>
        <w:t>,</w:t>
      </w:r>
      <w:r w:rsidRPr="00B20BAE">
        <w:rPr>
          <w:sz w:val="24"/>
          <w:szCs w:val="24"/>
        </w:rPr>
        <w:t xml:space="preserve"> the CDE awarded 197 grants to local education agencies offering programs through a K–12 adult school, COEs, community colleges, </w:t>
      </w:r>
      <w:r w:rsidR="00136825" w:rsidRPr="00B20BAE">
        <w:rPr>
          <w:sz w:val="24"/>
          <w:szCs w:val="24"/>
        </w:rPr>
        <w:t>community-based</w:t>
      </w:r>
      <w:r w:rsidRPr="00B20BAE">
        <w:rPr>
          <w:sz w:val="24"/>
          <w:szCs w:val="24"/>
        </w:rPr>
        <w:t xml:space="preserve"> organizations, library literacy programs, California Department of Corrections and Rehabilitation, and California Department of Developmental Services. The CDE disburses </w:t>
      </w:r>
      <w:r w:rsidR="00956AE7" w:rsidRPr="00B20BAE">
        <w:rPr>
          <w:sz w:val="24"/>
          <w:szCs w:val="24"/>
        </w:rPr>
        <w:t>WIOA, Title II: AEFLA</w:t>
      </w:r>
      <w:r w:rsidRPr="00B20BAE">
        <w:rPr>
          <w:sz w:val="24"/>
          <w:szCs w:val="24"/>
        </w:rPr>
        <w:t xml:space="preserve"> funds through a pay-for-performance system based on National Reporting System (NRS) core measures to determine how much funding a local provider will receive. The CDE uses learning gains, attainment of an HSD or HSE certificate and transition to postsecondary or training benchmarks as a basis for </w:t>
      </w:r>
      <w:r w:rsidR="006E7BF3" w:rsidRPr="00B20BAE">
        <w:rPr>
          <w:sz w:val="24"/>
          <w:szCs w:val="24"/>
        </w:rPr>
        <w:t xml:space="preserve">determining </w:t>
      </w:r>
      <w:r w:rsidRPr="00B20BAE">
        <w:rPr>
          <w:sz w:val="24"/>
          <w:szCs w:val="24"/>
        </w:rPr>
        <w:t>federal grant funding. Agencies can earn the following benchmark payments per student for student achievement within the program year:</w:t>
      </w:r>
    </w:p>
    <w:p w14:paraId="49E7E045" w14:textId="77777777" w:rsidR="000C75E1" w:rsidRPr="00B20BAE" w:rsidRDefault="00CA3D8C" w:rsidP="000C75E1">
      <w:pPr>
        <w:pStyle w:val="ListParagraph"/>
        <w:numPr>
          <w:ilvl w:val="0"/>
          <w:numId w:val="24"/>
        </w:numPr>
        <w:adjustRightInd w:val="0"/>
        <w:rPr>
          <w:rFonts w:ascii="GothamBook" w:eastAsiaTheme="minorHAnsi" w:hAnsi="GothamBook" w:cs="GothamBook"/>
          <w:color w:val="636467"/>
        </w:rPr>
      </w:pPr>
      <w:r w:rsidRPr="00B20BAE">
        <w:rPr>
          <w:sz w:val="24"/>
          <w:szCs w:val="24"/>
        </w:rPr>
        <w:t>C</w:t>
      </w:r>
      <w:r w:rsidR="00BC6131" w:rsidRPr="00B20BAE">
        <w:rPr>
          <w:sz w:val="24"/>
          <w:szCs w:val="24"/>
        </w:rPr>
        <w:t xml:space="preserve">ompletes </w:t>
      </w:r>
      <w:r w:rsidR="006E7BF3" w:rsidRPr="00B20BAE">
        <w:rPr>
          <w:sz w:val="24"/>
          <w:szCs w:val="24"/>
        </w:rPr>
        <w:t>an</w:t>
      </w:r>
      <w:r w:rsidR="00BC6131" w:rsidRPr="00B20BAE">
        <w:rPr>
          <w:sz w:val="24"/>
          <w:szCs w:val="24"/>
        </w:rPr>
        <w:t xml:space="preserve"> </w:t>
      </w:r>
      <w:r w:rsidRPr="00B20BAE">
        <w:rPr>
          <w:sz w:val="24"/>
          <w:szCs w:val="24"/>
        </w:rPr>
        <w:t>N</w:t>
      </w:r>
      <w:r w:rsidR="009C57B1" w:rsidRPr="00B20BAE">
        <w:rPr>
          <w:sz w:val="24"/>
          <w:szCs w:val="24"/>
        </w:rPr>
        <w:t>RS</w:t>
      </w:r>
      <w:r w:rsidRPr="00B20BAE">
        <w:rPr>
          <w:sz w:val="24"/>
          <w:szCs w:val="24"/>
        </w:rPr>
        <w:t xml:space="preserve"> Educational Functioning Level (EFL).</w:t>
      </w:r>
      <w:r w:rsidR="006E7BF3" w:rsidRPr="00B20BAE">
        <w:rPr>
          <w:sz w:val="24"/>
          <w:szCs w:val="24"/>
        </w:rPr>
        <w:t xml:space="preserve"> An EFL is</w:t>
      </w:r>
      <w:r w:rsidR="000C75E1" w:rsidRPr="00B20BAE">
        <w:t xml:space="preserve"> </w:t>
      </w:r>
      <w:r w:rsidR="000C75E1" w:rsidRPr="00B20BAE">
        <w:rPr>
          <w:sz w:val="24"/>
        </w:rPr>
        <w:t>determined in one of three ways</w:t>
      </w:r>
    </w:p>
    <w:p w14:paraId="00E65488" w14:textId="77777777" w:rsidR="000C75E1" w:rsidRPr="00B20BAE" w:rsidRDefault="000C75E1" w:rsidP="000C75E1">
      <w:pPr>
        <w:pStyle w:val="ListParagraph"/>
        <w:numPr>
          <w:ilvl w:val="1"/>
          <w:numId w:val="24"/>
        </w:numPr>
        <w:adjustRightInd w:val="0"/>
        <w:rPr>
          <w:rFonts w:ascii="GothamBook" w:eastAsiaTheme="minorHAnsi" w:hAnsi="GothamBook" w:cs="GothamBook"/>
          <w:color w:val="636467"/>
        </w:rPr>
      </w:pPr>
      <w:r w:rsidRPr="00B20BAE">
        <w:rPr>
          <w:sz w:val="24"/>
          <w:szCs w:val="24"/>
        </w:rPr>
        <w:t>Comparing a participant’s pretest with the participant’s posttest, using a test approved for use in NRS.</w:t>
      </w:r>
    </w:p>
    <w:p w14:paraId="02F2BE3A" w14:textId="77777777" w:rsidR="000C75E1" w:rsidRPr="00B20BAE" w:rsidRDefault="000C75E1" w:rsidP="000C75E1">
      <w:pPr>
        <w:pStyle w:val="ListParagraph"/>
        <w:numPr>
          <w:ilvl w:val="1"/>
          <w:numId w:val="24"/>
        </w:numPr>
        <w:adjustRightInd w:val="0"/>
        <w:rPr>
          <w:rFonts w:ascii="GothamBook" w:eastAsiaTheme="minorHAnsi" w:hAnsi="GothamBook" w:cs="GothamBook"/>
          <w:color w:val="636467"/>
        </w:rPr>
      </w:pPr>
      <w:r w:rsidRPr="00B20BAE">
        <w:rPr>
          <w:sz w:val="24"/>
          <w:szCs w:val="24"/>
        </w:rPr>
        <w:t>Awarding Carnegie Units or credits in an adult high school program (enough to move to 11</w:t>
      </w:r>
      <w:r w:rsidRPr="00B20BAE">
        <w:rPr>
          <w:sz w:val="24"/>
          <w:szCs w:val="24"/>
          <w:vertAlign w:val="superscript"/>
        </w:rPr>
        <w:t>th</w:t>
      </w:r>
      <w:r w:rsidRPr="00B20BAE">
        <w:rPr>
          <w:sz w:val="24"/>
          <w:szCs w:val="24"/>
        </w:rPr>
        <w:t>- or 12</w:t>
      </w:r>
      <w:r w:rsidRPr="00B20BAE">
        <w:rPr>
          <w:sz w:val="24"/>
          <w:szCs w:val="24"/>
          <w:vertAlign w:val="superscript"/>
        </w:rPr>
        <w:t>th</w:t>
      </w:r>
      <w:r w:rsidRPr="00B20BAE">
        <w:rPr>
          <w:sz w:val="24"/>
          <w:szCs w:val="24"/>
        </w:rPr>
        <w:t>- grade status according to State rule).</w:t>
      </w:r>
    </w:p>
    <w:p w14:paraId="0D55982A" w14:textId="669AB04E" w:rsidR="000C75E1" w:rsidRPr="00B20BAE" w:rsidRDefault="000C75E1" w:rsidP="000C75E1">
      <w:pPr>
        <w:pStyle w:val="ListParagraph"/>
        <w:numPr>
          <w:ilvl w:val="1"/>
          <w:numId w:val="24"/>
        </w:numPr>
        <w:adjustRightInd w:val="0"/>
      </w:pPr>
      <w:r w:rsidRPr="00B20BAE">
        <w:rPr>
          <w:sz w:val="24"/>
          <w:szCs w:val="24"/>
        </w:rPr>
        <w:t xml:space="preserve">Enrollment in postsecondary education or training after exit. </w:t>
      </w:r>
    </w:p>
    <w:p w14:paraId="622A1DCC" w14:textId="5B359808" w:rsidR="005C6E6F" w:rsidRPr="00B20BAE" w:rsidRDefault="000C75E1" w:rsidP="000C75E1">
      <w:pPr>
        <w:pStyle w:val="ListParagraph"/>
        <w:numPr>
          <w:ilvl w:val="0"/>
          <w:numId w:val="24"/>
        </w:numPr>
        <w:adjustRightInd w:val="0"/>
        <w:rPr>
          <w:sz w:val="24"/>
        </w:rPr>
      </w:pPr>
      <w:r w:rsidRPr="00B20BAE">
        <w:rPr>
          <w:sz w:val="24"/>
        </w:rPr>
        <w:t xml:space="preserve">Attains </w:t>
      </w:r>
      <w:r w:rsidR="00CA3D8C" w:rsidRPr="00B20BAE">
        <w:rPr>
          <w:sz w:val="24"/>
        </w:rPr>
        <w:t>a</w:t>
      </w:r>
      <w:r w:rsidR="00053F5F" w:rsidRPr="00B20BAE">
        <w:rPr>
          <w:sz w:val="24"/>
        </w:rPr>
        <w:t>n</w:t>
      </w:r>
      <w:r w:rsidR="00CA3D8C" w:rsidRPr="00B20BAE">
        <w:rPr>
          <w:sz w:val="24"/>
        </w:rPr>
        <w:t xml:space="preserve"> HSD or HSE certificate.</w:t>
      </w:r>
    </w:p>
    <w:p w14:paraId="32165A2D" w14:textId="77777777" w:rsidR="000C75E1" w:rsidRPr="00B20BAE" w:rsidRDefault="000C75E1" w:rsidP="000C75E1">
      <w:pPr>
        <w:adjustRightInd w:val="0"/>
        <w:ind w:left="360"/>
      </w:pPr>
    </w:p>
    <w:p w14:paraId="3E7A500E" w14:textId="2F2631EB" w:rsidR="005C6E6F" w:rsidRPr="00B20BAE" w:rsidRDefault="00CA3D8C" w:rsidP="006C4A85">
      <w:pPr>
        <w:pStyle w:val="BodyText"/>
        <w:numPr>
          <w:ilvl w:val="0"/>
          <w:numId w:val="16"/>
        </w:numPr>
        <w:spacing w:after="240"/>
        <w:rPr>
          <w:sz w:val="24"/>
          <w:szCs w:val="24"/>
        </w:rPr>
      </w:pPr>
      <w:r w:rsidRPr="00B20BAE">
        <w:rPr>
          <w:sz w:val="24"/>
          <w:szCs w:val="24"/>
        </w:rPr>
        <w:t xml:space="preserve">Attains outcomes in </w:t>
      </w:r>
      <w:r w:rsidR="005C6E6F" w:rsidRPr="00B20BAE">
        <w:rPr>
          <w:sz w:val="24"/>
          <w:szCs w:val="24"/>
        </w:rPr>
        <w:t>English Language (EL)</w:t>
      </w:r>
      <w:r w:rsidRPr="00B20BAE">
        <w:rPr>
          <w:sz w:val="24"/>
          <w:szCs w:val="24"/>
        </w:rPr>
        <w:t xml:space="preserve"> Civics Citizenship Preparation, Civic Particip</w:t>
      </w:r>
      <w:r w:rsidR="001E5448" w:rsidRPr="00B20BAE">
        <w:rPr>
          <w:sz w:val="24"/>
          <w:szCs w:val="24"/>
        </w:rPr>
        <w:t>a</w:t>
      </w:r>
      <w:r w:rsidR="00756112" w:rsidRPr="00B20BAE">
        <w:rPr>
          <w:sz w:val="24"/>
          <w:szCs w:val="24"/>
        </w:rPr>
        <w:t>tion, and integrated EL Civics.</w:t>
      </w:r>
    </w:p>
    <w:p w14:paraId="0A8C4457" w14:textId="6A56EC27" w:rsidR="00794CE7" w:rsidRPr="00B20BAE" w:rsidRDefault="005C6E6F" w:rsidP="006C4A85">
      <w:pPr>
        <w:pStyle w:val="BodyText"/>
        <w:spacing w:after="240"/>
        <w:rPr>
          <w:sz w:val="24"/>
          <w:szCs w:val="24"/>
        </w:rPr>
      </w:pPr>
      <w:r w:rsidRPr="00B20BAE">
        <w:rPr>
          <w:sz w:val="24"/>
          <w:szCs w:val="24"/>
        </w:rPr>
        <w:t>In order</w:t>
      </w:r>
      <w:r w:rsidR="006E28C9" w:rsidRPr="00B20BAE">
        <w:rPr>
          <w:sz w:val="24"/>
          <w:szCs w:val="24"/>
        </w:rPr>
        <w:t xml:space="preserve"> to</w:t>
      </w:r>
      <w:r w:rsidRPr="00B20BAE">
        <w:rPr>
          <w:sz w:val="24"/>
          <w:szCs w:val="24"/>
        </w:rPr>
        <w:t xml:space="preserve"> support the agencies receiving funding under the adult education system in California, specific limited</w:t>
      </w:r>
      <w:r w:rsidR="000C75E1" w:rsidRPr="00B20BAE">
        <w:rPr>
          <w:sz w:val="24"/>
          <w:szCs w:val="24"/>
        </w:rPr>
        <w:t>-</w:t>
      </w:r>
      <w:r w:rsidRPr="00B20BAE">
        <w:rPr>
          <w:sz w:val="24"/>
          <w:szCs w:val="24"/>
        </w:rPr>
        <w:t xml:space="preserve">term </w:t>
      </w:r>
      <w:r w:rsidR="00C736C3" w:rsidRPr="00B20BAE">
        <w:rPr>
          <w:sz w:val="24"/>
          <w:szCs w:val="24"/>
        </w:rPr>
        <w:t xml:space="preserve">CAEP </w:t>
      </w:r>
      <w:r w:rsidRPr="00B20BAE">
        <w:rPr>
          <w:sz w:val="24"/>
          <w:szCs w:val="24"/>
        </w:rPr>
        <w:t xml:space="preserve">funding has been provided for </w:t>
      </w:r>
      <w:r w:rsidRPr="00B20BAE">
        <w:rPr>
          <w:rFonts w:eastAsia="Cambria"/>
          <w:noProof/>
          <w:sz w:val="24"/>
          <w:szCs w:val="24"/>
        </w:rPr>
        <w:t>professional development and technical assistance to the field. In 2017</w:t>
      </w:r>
      <w:r w:rsidR="00C736C3" w:rsidRPr="00B20BAE">
        <w:rPr>
          <w:rFonts w:eastAsia="Cambria"/>
          <w:noProof/>
          <w:sz w:val="24"/>
          <w:szCs w:val="24"/>
        </w:rPr>
        <w:t>–</w:t>
      </w:r>
      <w:r w:rsidRPr="00B20BAE">
        <w:rPr>
          <w:rFonts w:eastAsia="Cambria"/>
          <w:noProof/>
          <w:sz w:val="24"/>
          <w:szCs w:val="24"/>
        </w:rPr>
        <w:t>18, the contractor, Sacramento County Office of Education (SCOE) CAEP Technical Assistance Provider (TAP) facilitated responses from professional development partners for 12,313 technical assistance requests, hosted 72 statewide webinars for 3,871 attendees, and facilitated 87 in</w:t>
      </w:r>
      <w:r w:rsidR="000C75E1" w:rsidRPr="00B20BAE">
        <w:rPr>
          <w:rFonts w:eastAsia="Cambria"/>
          <w:noProof/>
          <w:sz w:val="24"/>
          <w:szCs w:val="24"/>
        </w:rPr>
        <w:t>-</w:t>
      </w:r>
      <w:r w:rsidRPr="00B20BAE">
        <w:rPr>
          <w:rFonts w:eastAsia="Cambria"/>
          <w:noProof/>
          <w:sz w:val="24"/>
          <w:szCs w:val="24"/>
        </w:rPr>
        <w:t>person workshops for 2,650 attendees. Evaluation scores by over 2,000 attendees rated the professional development received a</w:t>
      </w:r>
      <w:r w:rsidR="006E28C9" w:rsidRPr="00B20BAE">
        <w:rPr>
          <w:rFonts w:eastAsia="Cambria"/>
          <w:noProof/>
          <w:sz w:val="24"/>
          <w:szCs w:val="24"/>
        </w:rPr>
        <w:t>s good or excellent at a 93 percent</w:t>
      </w:r>
      <w:r w:rsidRPr="00B20BAE">
        <w:rPr>
          <w:rFonts w:eastAsia="Cambria"/>
          <w:noProof/>
          <w:sz w:val="24"/>
          <w:szCs w:val="24"/>
        </w:rPr>
        <w:t xml:space="preserve"> or higher level on a scale of 0</w:t>
      </w:r>
      <w:r w:rsidR="000558EF" w:rsidRPr="00B20BAE">
        <w:rPr>
          <w:rFonts w:eastAsia="Cambria"/>
          <w:noProof/>
          <w:sz w:val="24"/>
          <w:szCs w:val="24"/>
        </w:rPr>
        <w:t>–1</w:t>
      </w:r>
      <w:r w:rsidRPr="00B20BAE">
        <w:rPr>
          <w:rFonts w:eastAsia="Cambria"/>
          <w:noProof/>
          <w:sz w:val="24"/>
          <w:szCs w:val="24"/>
        </w:rPr>
        <w:t>00</w:t>
      </w:r>
      <w:r w:rsidR="00C736C3" w:rsidRPr="00B20BAE">
        <w:rPr>
          <w:rFonts w:eastAsia="Cambria"/>
          <w:noProof/>
          <w:sz w:val="24"/>
          <w:szCs w:val="24"/>
        </w:rPr>
        <w:t xml:space="preserve"> percent</w:t>
      </w:r>
      <w:r w:rsidRPr="00B20BAE">
        <w:rPr>
          <w:rFonts w:eastAsia="Cambria"/>
          <w:noProof/>
          <w:sz w:val="24"/>
          <w:szCs w:val="24"/>
        </w:rPr>
        <w:t>. The budgetary support for</w:t>
      </w:r>
      <w:r w:rsidR="00EF6EFD" w:rsidRPr="00B20BAE">
        <w:rPr>
          <w:rFonts w:eastAsia="Cambria"/>
          <w:noProof/>
          <w:sz w:val="24"/>
          <w:szCs w:val="24"/>
        </w:rPr>
        <w:t xml:space="preserve"> the</w:t>
      </w:r>
      <w:r w:rsidRPr="00B20BAE">
        <w:rPr>
          <w:rFonts w:eastAsia="Cambria"/>
          <w:noProof/>
          <w:sz w:val="24"/>
          <w:szCs w:val="24"/>
        </w:rPr>
        <w:t xml:space="preserve"> SCOE TAP will end December 31, 2019.</w:t>
      </w:r>
    </w:p>
    <w:p w14:paraId="2B3D42FB" w14:textId="77777777" w:rsidR="008D50D6" w:rsidRPr="00B20BAE" w:rsidRDefault="008D50D6" w:rsidP="008D50D6">
      <w:pPr>
        <w:shd w:val="clear" w:color="auto" w:fill="FFFFFF"/>
        <w:rPr>
          <w:rFonts w:ascii="Segoe UI" w:hAnsi="Segoe UI" w:cs="Segoe UI"/>
          <w:color w:val="212121"/>
          <w:sz w:val="23"/>
          <w:szCs w:val="23"/>
        </w:rPr>
      </w:pPr>
      <w:r w:rsidRPr="00B20BAE">
        <w:rPr>
          <w:rFonts w:cs="Arial"/>
          <w:color w:val="212121"/>
          <w:sz w:val="22"/>
          <w:szCs w:val="22"/>
        </w:rPr>
        <w:t> </w:t>
      </w:r>
    </w:p>
    <w:p w14:paraId="665D237A" w14:textId="09FF13C1" w:rsidR="005C6E6F" w:rsidRPr="00B20BAE" w:rsidRDefault="008D50D6" w:rsidP="008D50D6">
      <w:pPr>
        <w:pStyle w:val="BodyText"/>
        <w:spacing w:after="240"/>
        <w:rPr>
          <w:sz w:val="24"/>
          <w:szCs w:val="24"/>
        </w:rPr>
      </w:pPr>
      <w:r w:rsidRPr="00B20BAE">
        <w:rPr>
          <w:sz w:val="24"/>
          <w:szCs w:val="24"/>
        </w:rPr>
        <w:t xml:space="preserve">As required by </w:t>
      </w:r>
      <w:r w:rsidR="00FB0C27" w:rsidRPr="00B20BAE">
        <w:rPr>
          <w:sz w:val="24"/>
          <w:szCs w:val="24"/>
        </w:rPr>
        <w:t>s</w:t>
      </w:r>
      <w:r w:rsidRPr="00B20BAE">
        <w:rPr>
          <w:sz w:val="24"/>
          <w:szCs w:val="24"/>
        </w:rPr>
        <w:t>ection 222 of the</w:t>
      </w:r>
      <w:r w:rsidR="006A49B9" w:rsidRPr="00B20BAE">
        <w:rPr>
          <w:sz w:val="24"/>
          <w:szCs w:val="24"/>
        </w:rPr>
        <w:t xml:space="preserve"> WIOA, Title II, AEFLA the SEA is required</w:t>
      </w:r>
      <w:r w:rsidR="006A49B9" w:rsidRPr="00B20BAE">
        <w:rPr>
          <w:color w:val="212121"/>
          <w:sz w:val="24"/>
          <w:szCs w:val="24"/>
        </w:rPr>
        <w:t xml:space="preserve"> to use not less than 82.5% of its funds on grants and contracts under section 231. Accordingly, the state may not retain more than 17.5% for state administration and state leadership. The </w:t>
      </w:r>
      <w:r w:rsidR="006A49B9" w:rsidRPr="00B20BAE">
        <w:rPr>
          <w:color w:val="212121"/>
          <w:sz w:val="24"/>
          <w:szCs w:val="24"/>
        </w:rPr>
        <w:lastRenderedPageBreak/>
        <w:t>cap for administrative expenses is 5% and for grant state leadership activities is 12.5%. T</w:t>
      </w:r>
      <w:r w:rsidR="005C6E6F" w:rsidRPr="00B20BAE">
        <w:rPr>
          <w:sz w:val="24"/>
          <w:szCs w:val="24"/>
        </w:rPr>
        <w:t xml:space="preserve">he CDE through AEO </w:t>
      </w:r>
      <w:r w:rsidR="000C75E1" w:rsidRPr="00B20BAE">
        <w:rPr>
          <w:strike/>
          <w:sz w:val="24"/>
          <w:szCs w:val="24"/>
        </w:rPr>
        <w:t>l</w:t>
      </w:r>
      <w:r w:rsidR="005C6E6F" w:rsidRPr="00B20BAE">
        <w:rPr>
          <w:sz w:val="24"/>
          <w:szCs w:val="24"/>
        </w:rPr>
        <w:t>everage</w:t>
      </w:r>
      <w:r w:rsidR="000C75E1" w:rsidRPr="00B20BAE">
        <w:rPr>
          <w:sz w:val="24"/>
          <w:szCs w:val="24"/>
        </w:rPr>
        <w:t>s</w:t>
      </w:r>
      <w:r w:rsidR="005C6E6F" w:rsidRPr="00B20BAE">
        <w:rPr>
          <w:sz w:val="24"/>
          <w:szCs w:val="24"/>
        </w:rPr>
        <w:t xml:space="preserve"> </w:t>
      </w:r>
      <w:r w:rsidR="00956AE7" w:rsidRPr="00B20BAE">
        <w:rPr>
          <w:sz w:val="24"/>
          <w:szCs w:val="24"/>
        </w:rPr>
        <w:t xml:space="preserve">WIOA, Title II: AEFLA </w:t>
      </w:r>
      <w:r w:rsidR="005C6E6F" w:rsidRPr="00B20BAE">
        <w:rPr>
          <w:sz w:val="24"/>
          <w:szCs w:val="24"/>
        </w:rPr>
        <w:t xml:space="preserve">state leadership dollars to fund contracts with </w:t>
      </w:r>
      <w:r w:rsidR="00A313A2" w:rsidRPr="00B20BAE">
        <w:rPr>
          <w:sz w:val="24"/>
          <w:szCs w:val="24"/>
        </w:rPr>
        <w:t xml:space="preserve">the </w:t>
      </w:r>
      <w:r w:rsidR="005C6E6F" w:rsidRPr="00B20BAE">
        <w:rPr>
          <w:sz w:val="24"/>
          <w:szCs w:val="24"/>
        </w:rPr>
        <w:t>California Adult Literacy Profession</w:t>
      </w:r>
      <w:r w:rsidR="00A313A2" w:rsidRPr="00B20BAE">
        <w:rPr>
          <w:sz w:val="24"/>
          <w:szCs w:val="24"/>
        </w:rPr>
        <w:t>al Development Project (CALPRO),</w:t>
      </w:r>
      <w:r w:rsidR="005C6E6F" w:rsidRPr="00B20BAE">
        <w:rPr>
          <w:sz w:val="24"/>
          <w:szCs w:val="24"/>
        </w:rPr>
        <w:t xml:space="preserve"> Comprehensive Adult Stu</w:t>
      </w:r>
      <w:r w:rsidR="00A313A2" w:rsidRPr="00B20BAE">
        <w:rPr>
          <w:sz w:val="24"/>
          <w:szCs w:val="24"/>
        </w:rPr>
        <w:t>dent Assessment Systems (CASAS),</w:t>
      </w:r>
      <w:r w:rsidR="005C6E6F" w:rsidRPr="00B20BAE">
        <w:rPr>
          <w:sz w:val="24"/>
          <w:szCs w:val="24"/>
        </w:rPr>
        <w:t xml:space="preserve"> and Outreach and Technical Assistance Network (OTAN). These contracts, funded through the leadership activities portion of the </w:t>
      </w:r>
      <w:r w:rsidR="00956AE7" w:rsidRPr="00B20BAE">
        <w:rPr>
          <w:sz w:val="24"/>
          <w:szCs w:val="24"/>
        </w:rPr>
        <w:t>WIOA, Title II: AEFLA</w:t>
      </w:r>
      <w:r w:rsidR="005C6E6F" w:rsidRPr="00B20BAE">
        <w:rPr>
          <w:sz w:val="24"/>
          <w:szCs w:val="24"/>
        </w:rPr>
        <w:t xml:space="preserve"> grant, provide a variety of services to support the </w:t>
      </w:r>
      <w:r w:rsidR="00956AE7" w:rsidRPr="00B20BAE">
        <w:rPr>
          <w:sz w:val="24"/>
          <w:szCs w:val="24"/>
        </w:rPr>
        <w:t>WIOA, Title II: AEFLA</w:t>
      </w:r>
      <w:r w:rsidR="005C6E6F" w:rsidRPr="00B20BAE">
        <w:rPr>
          <w:sz w:val="24"/>
          <w:szCs w:val="24"/>
        </w:rPr>
        <w:t xml:space="preserve"> providers.</w:t>
      </w:r>
      <w:r w:rsidR="006A49B9" w:rsidRPr="00B20BAE">
        <w:rPr>
          <w:sz w:val="24"/>
          <w:szCs w:val="24"/>
        </w:rPr>
        <w:t xml:space="preserve"> The CDE uses 11.5% of the grant for leadership and 5% for administration. </w:t>
      </w:r>
    </w:p>
    <w:p w14:paraId="53BEE78E" w14:textId="663B1E00" w:rsidR="005C6E6F" w:rsidRPr="00B20BAE" w:rsidRDefault="00A313A2" w:rsidP="001E5448">
      <w:pPr>
        <w:pStyle w:val="BodyText"/>
        <w:spacing w:after="240"/>
        <w:rPr>
          <w:sz w:val="24"/>
          <w:szCs w:val="24"/>
        </w:rPr>
      </w:pPr>
      <w:r w:rsidRPr="00B20BAE">
        <w:rPr>
          <w:sz w:val="24"/>
          <w:szCs w:val="24"/>
        </w:rPr>
        <w:t xml:space="preserve">The </w:t>
      </w:r>
      <w:r w:rsidR="005C6E6F" w:rsidRPr="00B20BAE">
        <w:rPr>
          <w:sz w:val="24"/>
          <w:szCs w:val="24"/>
        </w:rPr>
        <w:t xml:space="preserve">CALPRO is responsible for designing, implementing, and operating a large-scale, statewide professional development project for all </w:t>
      </w:r>
      <w:r w:rsidR="00956AE7" w:rsidRPr="00B20BAE">
        <w:rPr>
          <w:sz w:val="24"/>
          <w:szCs w:val="24"/>
        </w:rPr>
        <w:t xml:space="preserve">WIOA, Title II: AEFLA </w:t>
      </w:r>
      <w:r w:rsidR="005C6E6F" w:rsidRPr="00B20BAE">
        <w:rPr>
          <w:sz w:val="24"/>
          <w:szCs w:val="24"/>
        </w:rPr>
        <w:t xml:space="preserve">funded agencies. </w:t>
      </w:r>
      <w:r w:rsidRPr="00B20BAE">
        <w:rPr>
          <w:sz w:val="24"/>
          <w:szCs w:val="24"/>
        </w:rPr>
        <w:t xml:space="preserve">The </w:t>
      </w:r>
      <w:r w:rsidR="005C6E6F" w:rsidRPr="00B20BAE">
        <w:rPr>
          <w:sz w:val="24"/>
          <w:szCs w:val="24"/>
        </w:rPr>
        <w:t>CALPRO provide</w:t>
      </w:r>
      <w:r w:rsidR="000C75E1" w:rsidRPr="00B20BAE">
        <w:rPr>
          <w:sz w:val="24"/>
          <w:szCs w:val="24"/>
        </w:rPr>
        <w:t>s</w:t>
      </w:r>
      <w:r w:rsidR="005C6E6F" w:rsidRPr="00B20BAE">
        <w:rPr>
          <w:sz w:val="24"/>
          <w:szCs w:val="24"/>
        </w:rPr>
        <w:t xml:space="preserve"> opportunities for California adult educators to interact </w:t>
      </w:r>
      <w:r w:rsidR="000C75E1" w:rsidRPr="00B20BAE">
        <w:rPr>
          <w:sz w:val="24"/>
          <w:szCs w:val="24"/>
        </w:rPr>
        <w:t xml:space="preserve">through the year </w:t>
      </w:r>
      <w:r w:rsidR="005C6E6F" w:rsidRPr="00B20BAE">
        <w:rPr>
          <w:sz w:val="24"/>
          <w:szCs w:val="24"/>
        </w:rPr>
        <w:t>and learn collectively in a group setting about evidence-based instructional practice.</w:t>
      </w:r>
      <w:r w:rsidR="00A14587" w:rsidRPr="00B20BAE">
        <w:rPr>
          <w:sz w:val="24"/>
          <w:szCs w:val="24"/>
        </w:rPr>
        <w:t xml:space="preserve"> Evidence</w:t>
      </w:r>
      <w:r w:rsidR="003A6385" w:rsidRPr="00B20BAE">
        <w:rPr>
          <w:sz w:val="24"/>
          <w:szCs w:val="24"/>
        </w:rPr>
        <w:t xml:space="preserve">-based instructional practices are </w:t>
      </w:r>
      <w:r w:rsidR="003A6385" w:rsidRPr="00B20BAE">
        <w:rPr>
          <w:rFonts w:eastAsia="Times New Roman"/>
          <w:iCs/>
          <w:color w:val="000000"/>
          <w:sz w:val="24"/>
          <w:szCs w:val="24"/>
          <w:shd w:val="clear" w:color="auto" w:fill="FFFFFF"/>
          <w:lang w:bidi="ar-SA"/>
        </w:rPr>
        <w:t>i</w:t>
      </w:r>
      <w:r w:rsidR="00A14587" w:rsidRPr="00B20BAE">
        <w:rPr>
          <w:rFonts w:eastAsia="Times New Roman"/>
          <w:iCs/>
          <w:color w:val="000000"/>
          <w:sz w:val="24"/>
          <w:szCs w:val="24"/>
          <w:shd w:val="clear" w:color="auto" w:fill="FFFFFF"/>
          <w:lang w:bidi="ar-SA"/>
        </w:rPr>
        <w:t>nstructional approaches, practices, or methodologies that are derived from evidence. Such evidence is often a derivative of empirical research, resulting in reliable, trustworthy, and valid substantiation suggesting that a program or practice is effective and that all proofs or facts that support such a program or practice are scientifically based.</w:t>
      </w:r>
      <w:r w:rsidR="00A14587" w:rsidRPr="00B20BAE">
        <w:rPr>
          <w:rFonts w:eastAsia="Times New Roman"/>
          <w:b/>
          <w:bCs/>
          <w:iCs/>
          <w:color w:val="000000"/>
          <w:sz w:val="24"/>
          <w:szCs w:val="24"/>
          <w:shd w:val="clear" w:color="auto" w:fill="FFFFFF"/>
          <w:lang w:bidi="ar-SA"/>
        </w:rPr>
        <w:t> </w:t>
      </w:r>
      <w:r w:rsidR="00A14587" w:rsidRPr="00B20BAE">
        <w:rPr>
          <w:rFonts w:eastAsia="Times New Roman"/>
          <w:iCs/>
          <w:color w:val="000000"/>
          <w:sz w:val="24"/>
          <w:szCs w:val="24"/>
          <w:shd w:val="clear" w:color="auto" w:fill="FFFFFF"/>
          <w:lang w:bidi="ar-SA"/>
        </w:rPr>
        <w:t>Professional wisdom, based on educators’ individual experiences and consensus, also provides a source of evidence</w:t>
      </w:r>
      <w:r w:rsidR="003A6385" w:rsidRPr="00B20BAE">
        <w:rPr>
          <w:rFonts w:eastAsia="Times New Roman"/>
          <w:iCs/>
          <w:color w:val="000000"/>
          <w:sz w:val="24"/>
          <w:szCs w:val="24"/>
          <w:shd w:val="clear" w:color="auto" w:fill="FFFFFF"/>
          <w:lang w:bidi="ar-SA"/>
        </w:rPr>
        <w:t>.</w:t>
      </w:r>
    </w:p>
    <w:p w14:paraId="15A037B1" w14:textId="529C5464" w:rsidR="005C6E6F" w:rsidRPr="00B20BAE" w:rsidRDefault="00A313A2" w:rsidP="005E1433">
      <w:pPr>
        <w:pStyle w:val="BodyText"/>
        <w:spacing w:after="240"/>
        <w:rPr>
          <w:sz w:val="24"/>
          <w:szCs w:val="24"/>
        </w:rPr>
      </w:pPr>
      <w:r w:rsidRPr="00B20BAE">
        <w:rPr>
          <w:sz w:val="24"/>
          <w:szCs w:val="24"/>
        </w:rPr>
        <w:t xml:space="preserve">The </w:t>
      </w:r>
      <w:r w:rsidR="005C6E6F" w:rsidRPr="00B20BAE">
        <w:rPr>
          <w:sz w:val="24"/>
          <w:szCs w:val="24"/>
        </w:rPr>
        <w:t xml:space="preserve">CASAS is responsible for providing a standardized assessment and accountability system for all levels of the </w:t>
      </w:r>
      <w:r w:rsidR="00592375" w:rsidRPr="00B20BAE">
        <w:rPr>
          <w:sz w:val="24"/>
          <w:szCs w:val="24"/>
        </w:rPr>
        <w:t>Adult Basic Education (</w:t>
      </w:r>
      <w:r w:rsidR="005C6E6F" w:rsidRPr="00B20BAE">
        <w:rPr>
          <w:sz w:val="24"/>
          <w:szCs w:val="24"/>
        </w:rPr>
        <w:t>ABE</w:t>
      </w:r>
      <w:r w:rsidR="00592375" w:rsidRPr="00B20BAE">
        <w:rPr>
          <w:sz w:val="24"/>
          <w:szCs w:val="24"/>
        </w:rPr>
        <w:t>)</w:t>
      </w:r>
      <w:r w:rsidR="005C6E6F" w:rsidRPr="00B20BAE">
        <w:rPr>
          <w:sz w:val="24"/>
          <w:szCs w:val="24"/>
        </w:rPr>
        <w:t xml:space="preserve">, </w:t>
      </w:r>
      <w:r w:rsidR="00592375" w:rsidRPr="00B20BAE">
        <w:rPr>
          <w:sz w:val="24"/>
          <w:szCs w:val="24"/>
        </w:rPr>
        <w:t>Adult Secondary Education (</w:t>
      </w:r>
      <w:r w:rsidR="005C6E6F" w:rsidRPr="00B20BAE">
        <w:rPr>
          <w:sz w:val="24"/>
          <w:szCs w:val="24"/>
        </w:rPr>
        <w:t>ASE</w:t>
      </w:r>
      <w:r w:rsidR="00592375" w:rsidRPr="00B20BAE">
        <w:rPr>
          <w:sz w:val="24"/>
          <w:szCs w:val="24"/>
        </w:rPr>
        <w:t>)</w:t>
      </w:r>
      <w:r w:rsidR="005C6E6F" w:rsidRPr="00B20BAE">
        <w:rPr>
          <w:sz w:val="24"/>
          <w:szCs w:val="24"/>
        </w:rPr>
        <w:t xml:space="preserve">, and </w:t>
      </w:r>
      <w:r w:rsidR="00592375" w:rsidRPr="00B20BAE">
        <w:rPr>
          <w:sz w:val="24"/>
          <w:szCs w:val="24"/>
        </w:rPr>
        <w:t xml:space="preserve">English Language Acquisition </w:t>
      </w:r>
      <w:r w:rsidR="005C6E6F" w:rsidRPr="00B20BAE">
        <w:rPr>
          <w:sz w:val="24"/>
          <w:szCs w:val="24"/>
        </w:rPr>
        <w:t xml:space="preserve">programs and accountability data to the state. </w:t>
      </w:r>
      <w:r w:rsidRPr="00B20BAE">
        <w:rPr>
          <w:sz w:val="24"/>
          <w:szCs w:val="24"/>
        </w:rPr>
        <w:t xml:space="preserve">The </w:t>
      </w:r>
      <w:r w:rsidR="005C6E6F" w:rsidRPr="00B20BAE">
        <w:rPr>
          <w:sz w:val="24"/>
          <w:szCs w:val="24"/>
        </w:rPr>
        <w:t>CASAS reading, listening</w:t>
      </w:r>
      <w:r w:rsidR="000558EF" w:rsidRPr="00B20BAE">
        <w:rPr>
          <w:sz w:val="24"/>
          <w:szCs w:val="24"/>
        </w:rPr>
        <w:t>,</w:t>
      </w:r>
      <w:r w:rsidR="005C6E6F" w:rsidRPr="00B20BAE">
        <w:rPr>
          <w:sz w:val="24"/>
          <w:szCs w:val="24"/>
        </w:rPr>
        <w:t xml:space="preserve"> and math assessments</w:t>
      </w:r>
      <w:r w:rsidR="00136825" w:rsidRPr="00B20BAE">
        <w:rPr>
          <w:sz w:val="24"/>
          <w:szCs w:val="24"/>
        </w:rPr>
        <w:t xml:space="preserve"> which are approved by the U.S. Department of Education and are based upon instruction on the approved State standards in English Language Arts, Mathematics, and the College and Career Readiness Standards,</w:t>
      </w:r>
      <w:r w:rsidR="005C6E6F" w:rsidRPr="00B20BAE">
        <w:rPr>
          <w:sz w:val="24"/>
          <w:szCs w:val="24"/>
        </w:rPr>
        <w:t xml:space="preserve"> help place learners at appropriate levels of instruction, diagnose learner strengths and weaknesses, target instruction, and certify learner mastery at specific levels of instruction or readiness to exit adult education.</w:t>
      </w:r>
      <w:r w:rsidRPr="00B20BAE">
        <w:rPr>
          <w:sz w:val="24"/>
          <w:szCs w:val="24"/>
        </w:rPr>
        <w:t xml:space="preserve"> The </w:t>
      </w:r>
      <w:r w:rsidR="005C6E6F" w:rsidRPr="00B20BAE">
        <w:rPr>
          <w:sz w:val="24"/>
          <w:szCs w:val="24"/>
        </w:rPr>
        <w:t xml:space="preserve">CASAS </w:t>
      </w:r>
      <w:proofErr w:type="gramStart"/>
      <w:r w:rsidR="005C6E6F" w:rsidRPr="00B20BAE">
        <w:rPr>
          <w:sz w:val="24"/>
          <w:szCs w:val="24"/>
        </w:rPr>
        <w:t>provides</w:t>
      </w:r>
      <w:proofErr w:type="gramEnd"/>
      <w:r w:rsidR="005C6E6F" w:rsidRPr="00B20BAE">
        <w:rPr>
          <w:sz w:val="24"/>
          <w:szCs w:val="24"/>
        </w:rPr>
        <w:t xml:space="preserve"> additional special </w:t>
      </w:r>
      <w:r w:rsidR="009C57B1" w:rsidRPr="00B20BAE">
        <w:rPr>
          <w:sz w:val="24"/>
          <w:szCs w:val="24"/>
        </w:rPr>
        <w:t xml:space="preserve">standardized assessments for EL </w:t>
      </w:r>
      <w:r w:rsidR="005C6E6F" w:rsidRPr="00B20BAE">
        <w:rPr>
          <w:sz w:val="24"/>
          <w:szCs w:val="24"/>
        </w:rPr>
        <w:t>Civics including Reading for Citizenship and the Government and History Test and Citizenship Interview Test for citizenship preparation. In addition, CASAS has worked with a field-based team to develop performance-based assessments that measure student attainment of civic objectives for Civic Participation. Many Civic Objective and Additional Assessment Plans include integ</w:t>
      </w:r>
      <w:r w:rsidR="00CC11DE" w:rsidRPr="00B20BAE">
        <w:rPr>
          <w:sz w:val="24"/>
          <w:szCs w:val="24"/>
        </w:rPr>
        <w:t xml:space="preserve">rated education and training </w:t>
      </w:r>
      <w:r w:rsidR="005C6E6F" w:rsidRPr="00B20BAE">
        <w:rPr>
          <w:sz w:val="24"/>
          <w:szCs w:val="24"/>
        </w:rPr>
        <w:t>models combining workforce preparation activities and occupational skills training with literacy activities.</w:t>
      </w:r>
    </w:p>
    <w:p w14:paraId="160D3610" w14:textId="5F0FF35E" w:rsidR="005C6E6F" w:rsidRPr="00B20BAE" w:rsidRDefault="005E1433" w:rsidP="00406FA4">
      <w:pPr>
        <w:pStyle w:val="BodyText"/>
        <w:spacing w:after="480"/>
        <w:rPr>
          <w:sz w:val="24"/>
          <w:szCs w:val="24"/>
        </w:rPr>
      </w:pPr>
      <w:r w:rsidRPr="00B20BAE">
        <w:rPr>
          <w:sz w:val="24"/>
          <w:szCs w:val="24"/>
        </w:rPr>
        <w:t xml:space="preserve">The </w:t>
      </w:r>
      <w:r w:rsidR="005C6E6F" w:rsidRPr="00B20BAE">
        <w:rPr>
          <w:sz w:val="24"/>
          <w:szCs w:val="24"/>
        </w:rPr>
        <w:t>OTAN provides technology integration training, online curriculum and online courses to support the use of instructional technology to deliver curriculum. OTAN hosts a yearly technology symposium, manages the state Technology and Distance Learning Plan for adult education agencies, and assists in expanding the ability of adult education providers to (1) communicate with one another and their adult learners through multiple methods; (2) develop digital leadership skills; and (3) provide capacity-building services to adult education agencies.</w:t>
      </w:r>
    </w:p>
    <w:p w14:paraId="5CC9E7F6" w14:textId="48D4B1A4" w:rsidR="00E82BB4" w:rsidRPr="00B20BAE" w:rsidRDefault="00E82BB4" w:rsidP="00406FA4">
      <w:pPr>
        <w:pStyle w:val="Heading2"/>
        <w:spacing w:before="0" w:after="240"/>
      </w:pPr>
      <w:r w:rsidRPr="00B20BAE">
        <w:lastRenderedPageBreak/>
        <w:t>Data</w:t>
      </w:r>
    </w:p>
    <w:p w14:paraId="0C899564" w14:textId="539BC40F" w:rsidR="00C736C3" w:rsidRPr="00B20BAE" w:rsidRDefault="00C736C3" w:rsidP="001E5448">
      <w:pPr>
        <w:spacing w:after="240"/>
        <w:rPr>
          <w:rFonts w:cs="Arial"/>
        </w:rPr>
      </w:pPr>
      <w:r w:rsidRPr="00B20BAE">
        <w:rPr>
          <w:rFonts w:cs="Arial"/>
        </w:rPr>
        <w:t>Data for the CAEP from the 2017–18 program year confirms that 481,263 students received 12 or more contact hours of instruction</w:t>
      </w:r>
      <w:r w:rsidR="00B43E2C" w:rsidRPr="00B20BAE">
        <w:rPr>
          <w:rFonts w:cs="Arial"/>
        </w:rPr>
        <w:t xml:space="preserve"> within the same program year. </w:t>
      </w:r>
      <w:r w:rsidRPr="00B20BAE">
        <w:rPr>
          <w:rFonts w:cs="Arial"/>
        </w:rPr>
        <w:t>These students are considered participants. An additional 305,363 students received at least one hour of instruction in an adult education program at a CAEP member institution or a consortium partner.</w:t>
      </w:r>
    </w:p>
    <w:p w14:paraId="70D76A9D" w14:textId="23F29E0B" w:rsidR="00794CE7" w:rsidRPr="00B20BAE" w:rsidRDefault="00C736C3" w:rsidP="001E5448">
      <w:pPr>
        <w:spacing w:after="240"/>
        <w:rPr>
          <w:rFonts w:cs="Arial"/>
        </w:rPr>
      </w:pPr>
      <w:r w:rsidRPr="00B20BAE">
        <w:rPr>
          <w:rFonts w:cs="Arial"/>
        </w:rPr>
        <w:t>Demographically, adult learners served in the CAEP represent the diversity of California. The largest ethnic groups served include Hispanic</w:t>
      </w:r>
      <w:r w:rsidR="008845CC" w:rsidRPr="00B20BAE">
        <w:rPr>
          <w:rFonts w:cs="Arial"/>
        </w:rPr>
        <w:t xml:space="preserve"> (59</w:t>
      </w:r>
      <w:r w:rsidR="00903695" w:rsidRPr="00B20BAE">
        <w:rPr>
          <w:rFonts w:cs="Arial"/>
        </w:rPr>
        <w:t xml:space="preserve"> %</w:t>
      </w:r>
      <w:r w:rsidRPr="00B20BAE">
        <w:rPr>
          <w:rFonts w:cs="Arial"/>
        </w:rPr>
        <w:t>) and Asian/Pacific Islander (16</w:t>
      </w:r>
      <w:r w:rsidR="00903695" w:rsidRPr="00B20BAE">
        <w:rPr>
          <w:rFonts w:cs="Arial"/>
        </w:rPr>
        <w:t xml:space="preserve"> %</w:t>
      </w:r>
      <w:r w:rsidRPr="00B20BAE">
        <w:rPr>
          <w:rFonts w:cs="Arial"/>
        </w:rPr>
        <w:t>). The majority of CAEP students are female (60</w:t>
      </w:r>
      <w:r w:rsidR="00903695" w:rsidRPr="00B20BAE">
        <w:rPr>
          <w:rFonts w:cs="Arial"/>
        </w:rPr>
        <w:t xml:space="preserve"> %</w:t>
      </w:r>
      <w:r w:rsidRPr="00B20BAE">
        <w:rPr>
          <w:rFonts w:cs="Arial"/>
        </w:rPr>
        <w:t>). Adults aged 25–44 are the largest group served by the CAEP and specifically, adults over 24 years of age constitute 73 percent of all the CAEP students served.</w:t>
      </w:r>
    </w:p>
    <w:p w14:paraId="62FA4A1C" w14:textId="0CC6C931" w:rsidR="00C736C3" w:rsidRPr="00B20BAE" w:rsidRDefault="00A313A2" w:rsidP="001E5448">
      <w:pPr>
        <w:spacing w:after="240"/>
        <w:rPr>
          <w:rFonts w:cs="Arial"/>
        </w:rPr>
      </w:pPr>
      <w:r w:rsidRPr="00B20BAE">
        <w:rPr>
          <w:rFonts w:cs="Arial"/>
        </w:rPr>
        <w:t xml:space="preserve">In the 2017–18 program year, </w:t>
      </w:r>
      <w:r w:rsidR="005265BD" w:rsidRPr="00B20BAE">
        <w:rPr>
          <w:rFonts w:cs="Arial"/>
        </w:rPr>
        <w:t>129,221 s</w:t>
      </w:r>
      <w:r w:rsidR="00C736C3" w:rsidRPr="00B20BAE">
        <w:rPr>
          <w:rFonts w:cs="Arial"/>
        </w:rPr>
        <w:t xml:space="preserve">tudents enrolled in ABE, ASE, and English as a Second Language </w:t>
      </w:r>
      <w:r w:rsidR="004014AA" w:rsidRPr="00B20BAE">
        <w:rPr>
          <w:rFonts w:cs="Arial"/>
        </w:rPr>
        <w:t xml:space="preserve">(ESL) </w:t>
      </w:r>
      <w:r w:rsidR="00C736C3" w:rsidRPr="00B20BAE">
        <w:rPr>
          <w:rFonts w:cs="Arial"/>
        </w:rPr>
        <w:t xml:space="preserve">programs </w:t>
      </w:r>
      <w:r w:rsidR="000362F5" w:rsidRPr="00B20BAE">
        <w:rPr>
          <w:rFonts w:cs="Arial"/>
        </w:rPr>
        <w:t xml:space="preserve">and </w:t>
      </w:r>
      <w:r w:rsidR="00C736C3" w:rsidRPr="00B20BAE">
        <w:rPr>
          <w:rFonts w:cs="Arial"/>
        </w:rPr>
        <w:t>demonstrated a measurable skill gain</w:t>
      </w:r>
      <w:r w:rsidR="005265BD" w:rsidRPr="00B20BAE">
        <w:rPr>
          <w:rFonts w:cs="Arial"/>
        </w:rPr>
        <w:t xml:space="preserve"> (MSG)</w:t>
      </w:r>
      <w:r w:rsidR="00C736C3" w:rsidRPr="00B20BAE">
        <w:rPr>
          <w:rFonts w:cs="Arial"/>
        </w:rPr>
        <w:t xml:space="preserve">. </w:t>
      </w:r>
      <w:r w:rsidR="00E82BB4" w:rsidRPr="00B20BAE">
        <w:rPr>
          <w:rFonts w:cs="Arial"/>
        </w:rPr>
        <w:t xml:space="preserve">In 2017–18, </w:t>
      </w:r>
      <w:r w:rsidR="00C736C3" w:rsidRPr="00B20BAE">
        <w:rPr>
          <w:rFonts w:cs="Arial"/>
        </w:rPr>
        <w:t>74</w:t>
      </w:r>
      <w:r w:rsidR="005265BD" w:rsidRPr="00B20BAE">
        <w:rPr>
          <w:rFonts w:cs="Arial"/>
        </w:rPr>
        <w:t xml:space="preserve"> percent of </w:t>
      </w:r>
      <w:r w:rsidR="00437814" w:rsidRPr="00B20BAE">
        <w:rPr>
          <w:rFonts w:cs="Arial"/>
        </w:rPr>
        <w:t xml:space="preserve">the </w:t>
      </w:r>
      <w:r w:rsidR="005265BD" w:rsidRPr="00B20BAE">
        <w:rPr>
          <w:rFonts w:cs="Arial"/>
        </w:rPr>
        <w:t>EFL</w:t>
      </w:r>
      <w:r w:rsidR="00C736C3" w:rsidRPr="00B20BAE">
        <w:rPr>
          <w:rFonts w:cs="Arial"/>
        </w:rPr>
        <w:t>s recorded</w:t>
      </w:r>
      <w:r w:rsidR="00E82BB4" w:rsidRPr="00B20BAE">
        <w:rPr>
          <w:rFonts w:cs="Arial"/>
        </w:rPr>
        <w:t xml:space="preserve"> </w:t>
      </w:r>
      <w:r w:rsidR="00C736C3" w:rsidRPr="00B20BAE">
        <w:rPr>
          <w:rFonts w:cs="Arial"/>
        </w:rPr>
        <w:t xml:space="preserve">were reported </w:t>
      </w:r>
      <w:r w:rsidR="007F356A" w:rsidRPr="00B20BAE">
        <w:rPr>
          <w:rFonts w:cs="Arial"/>
        </w:rPr>
        <w:t>for students enrolled in</w:t>
      </w:r>
      <w:r w:rsidR="00C736C3" w:rsidRPr="00B20BAE">
        <w:rPr>
          <w:rFonts w:cs="Arial"/>
        </w:rPr>
        <w:t xml:space="preserve"> K</w:t>
      </w:r>
      <w:r w:rsidR="005265BD" w:rsidRPr="00B20BAE">
        <w:rPr>
          <w:rFonts w:cs="Arial"/>
        </w:rPr>
        <w:t>–</w:t>
      </w:r>
      <w:r w:rsidR="00C736C3" w:rsidRPr="00B20BAE">
        <w:rPr>
          <w:rFonts w:cs="Arial"/>
        </w:rPr>
        <w:t>12 adult schools and 24</w:t>
      </w:r>
      <w:r w:rsidR="005265BD" w:rsidRPr="00B20BAE">
        <w:rPr>
          <w:rFonts w:cs="Arial"/>
        </w:rPr>
        <w:t xml:space="preserve"> percent</w:t>
      </w:r>
      <w:r w:rsidR="00C736C3" w:rsidRPr="00B20BAE">
        <w:rPr>
          <w:rFonts w:cs="Arial"/>
        </w:rPr>
        <w:t xml:space="preserve"> were reported </w:t>
      </w:r>
      <w:r w:rsidR="007F356A" w:rsidRPr="00B20BAE">
        <w:rPr>
          <w:rFonts w:cs="Arial"/>
        </w:rPr>
        <w:t xml:space="preserve">for students enrolled in </w:t>
      </w:r>
      <w:r w:rsidR="00C736C3" w:rsidRPr="00B20BAE">
        <w:rPr>
          <w:rFonts w:cs="Arial"/>
        </w:rPr>
        <w:t>community college noncredit programs. Of students enrolled in ABE, ASE, or ESL adult education programs in 2016</w:t>
      </w:r>
      <w:r w:rsidR="00F968D8" w:rsidRPr="00B20BAE">
        <w:rPr>
          <w:rFonts w:cs="Arial"/>
        </w:rPr>
        <w:t>–</w:t>
      </w:r>
      <w:r w:rsidR="00C736C3" w:rsidRPr="00B20BAE">
        <w:rPr>
          <w:rFonts w:cs="Arial"/>
        </w:rPr>
        <w:t>17, 34,290</w:t>
      </w:r>
      <w:r w:rsidR="00C736C3" w:rsidRPr="00B20BAE">
        <w:rPr>
          <w:rFonts w:cs="Arial"/>
          <w:b/>
        </w:rPr>
        <w:t xml:space="preserve"> </w:t>
      </w:r>
      <w:r w:rsidR="008845CC" w:rsidRPr="00B20BAE">
        <w:rPr>
          <w:rFonts w:cs="Arial"/>
        </w:rPr>
        <w:t>or approximately 10 percent</w:t>
      </w:r>
      <w:r w:rsidR="00C736C3" w:rsidRPr="00B20BAE">
        <w:rPr>
          <w:rFonts w:cs="Arial"/>
          <w:b/>
        </w:rPr>
        <w:t xml:space="preserve"> </w:t>
      </w:r>
      <w:r w:rsidR="00C736C3" w:rsidRPr="00B20BAE">
        <w:rPr>
          <w:rFonts w:cs="Arial"/>
        </w:rPr>
        <w:t xml:space="preserve">enrolled </w:t>
      </w:r>
      <w:r w:rsidR="005265BD" w:rsidRPr="00B20BAE">
        <w:rPr>
          <w:rFonts w:cs="Arial"/>
        </w:rPr>
        <w:t xml:space="preserve">transitioned </w:t>
      </w:r>
      <w:r w:rsidR="00C736C3" w:rsidRPr="00B20BAE">
        <w:rPr>
          <w:rFonts w:cs="Arial"/>
        </w:rPr>
        <w:t xml:space="preserve">into adult education CTE programs or into </w:t>
      </w:r>
      <w:r w:rsidR="005265BD" w:rsidRPr="00B20BAE">
        <w:rPr>
          <w:rFonts w:cs="Arial"/>
        </w:rPr>
        <w:t>community</w:t>
      </w:r>
      <w:r w:rsidR="00C736C3" w:rsidRPr="00B20BAE">
        <w:rPr>
          <w:rFonts w:cs="Arial"/>
        </w:rPr>
        <w:t xml:space="preserve"> college credit coursework in the 2017</w:t>
      </w:r>
      <w:r w:rsidR="005265BD" w:rsidRPr="00B20BAE">
        <w:rPr>
          <w:rFonts w:cs="Arial"/>
        </w:rPr>
        <w:t>–</w:t>
      </w:r>
      <w:r w:rsidR="00C736C3" w:rsidRPr="00B20BAE">
        <w:rPr>
          <w:rFonts w:cs="Arial"/>
        </w:rPr>
        <w:t>18 program year.</w:t>
      </w:r>
    </w:p>
    <w:p w14:paraId="30B63206" w14:textId="6FB8085C" w:rsidR="00C736C3" w:rsidRPr="00B20BAE" w:rsidRDefault="00C736C3" w:rsidP="001E5448">
      <w:pPr>
        <w:spacing w:after="240"/>
        <w:rPr>
          <w:rFonts w:cs="Arial"/>
        </w:rPr>
      </w:pPr>
      <w:r w:rsidRPr="00B20BAE">
        <w:rPr>
          <w:rFonts w:cs="Arial"/>
        </w:rPr>
        <w:t>Participants in adult education find employment and increase</w:t>
      </w:r>
      <w:r w:rsidR="005265BD" w:rsidRPr="00B20BAE">
        <w:rPr>
          <w:rFonts w:cs="Arial"/>
        </w:rPr>
        <w:t>d</w:t>
      </w:r>
      <w:r w:rsidRPr="00B20BAE">
        <w:rPr>
          <w:rFonts w:cs="Arial"/>
        </w:rPr>
        <w:t xml:space="preserve"> wages after exiting. Based on the </w:t>
      </w:r>
      <w:r w:rsidR="005265BD" w:rsidRPr="00B20BAE">
        <w:rPr>
          <w:rFonts w:cs="Arial"/>
        </w:rPr>
        <w:t xml:space="preserve">California </w:t>
      </w:r>
      <w:r w:rsidR="00937627" w:rsidRPr="00B20BAE">
        <w:rPr>
          <w:rFonts w:cs="Arial"/>
        </w:rPr>
        <w:t>Employment</w:t>
      </w:r>
      <w:r w:rsidR="00CC11DE" w:rsidRPr="00B20BAE">
        <w:rPr>
          <w:rFonts w:cs="Arial"/>
        </w:rPr>
        <w:t xml:space="preserve"> Development Department,</w:t>
      </w:r>
      <w:r w:rsidR="00A81C77" w:rsidRPr="00B20BAE">
        <w:rPr>
          <w:rFonts w:cs="Arial"/>
        </w:rPr>
        <w:t xml:space="preserve"> </w:t>
      </w:r>
      <w:r w:rsidRPr="00B20BAE">
        <w:rPr>
          <w:rFonts w:cs="Arial"/>
        </w:rPr>
        <w:t xml:space="preserve">wage file data match </w:t>
      </w:r>
      <w:r w:rsidR="007F356A" w:rsidRPr="00B20BAE">
        <w:rPr>
          <w:rFonts w:cs="Arial"/>
        </w:rPr>
        <w:t xml:space="preserve">found </w:t>
      </w:r>
      <w:r w:rsidRPr="00B20BAE">
        <w:rPr>
          <w:rFonts w:cs="Arial"/>
        </w:rPr>
        <w:t>85,573 adult learners were</w:t>
      </w:r>
      <w:r w:rsidR="00E51022" w:rsidRPr="00B20BAE">
        <w:rPr>
          <w:rFonts w:cs="Arial"/>
        </w:rPr>
        <w:t xml:space="preserve"> </w:t>
      </w:r>
      <w:r w:rsidRPr="00B20BAE">
        <w:rPr>
          <w:rFonts w:cs="Arial"/>
        </w:rPr>
        <w:t>employed in the second quarter after exit of the 2016</w:t>
      </w:r>
      <w:r w:rsidR="00210CB7" w:rsidRPr="00B20BAE">
        <w:rPr>
          <w:rFonts w:cs="Arial"/>
        </w:rPr>
        <w:t>–</w:t>
      </w:r>
      <w:r w:rsidRPr="00B20BAE">
        <w:rPr>
          <w:rFonts w:cs="Arial"/>
        </w:rPr>
        <w:t xml:space="preserve">17 program year. More importantly was the earnings increase realized by learners after participation in adult education. Based on a comparison of their earnings </w:t>
      </w:r>
      <w:r w:rsidR="00210CB7" w:rsidRPr="00B20BAE">
        <w:rPr>
          <w:rFonts w:cs="Arial"/>
        </w:rPr>
        <w:t>two</w:t>
      </w:r>
      <w:r w:rsidRPr="00B20BAE">
        <w:rPr>
          <w:rFonts w:cs="Arial"/>
        </w:rPr>
        <w:t xml:space="preserve"> quarters before entry and </w:t>
      </w:r>
      <w:r w:rsidR="00210CB7" w:rsidRPr="00B20BAE">
        <w:rPr>
          <w:rFonts w:cs="Arial"/>
        </w:rPr>
        <w:t>two</w:t>
      </w:r>
      <w:r w:rsidRPr="00B20BAE">
        <w:rPr>
          <w:rFonts w:cs="Arial"/>
        </w:rPr>
        <w:t xml:space="preserve"> quarters after exit, students realized a wage increase of 39</w:t>
      </w:r>
      <w:r w:rsidR="00210CB7" w:rsidRPr="00B20BAE">
        <w:rPr>
          <w:rFonts w:cs="Arial"/>
        </w:rPr>
        <w:t xml:space="preserve"> percent</w:t>
      </w:r>
      <w:r w:rsidRPr="00B20BAE">
        <w:rPr>
          <w:rFonts w:cs="Arial"/>
        </w:rPr>
        <w:t>. The annual median earnings for adult learners in the year after exit was $20,120.</w:t>
      </w:r>
    </w:p>
    <w:p w14:paraId="0A60E989" w14:textId="69D18EDE" w:rsidR="00210CB7" w:rsidRPr="00B20BAE" w:rsidRDefault="00210CB7" w:rsidP="001E5448">
      <w:pPr>
        <w:pStyle w:val="BodyText"/>
        <w:spacing w:after="240"/>
        <w:rPr>
          <w:sz w:val="24"/>
          <w:szCs w:val="24"/>
        </w:rPr>
      </w:pPr>
      <w:r w:rsidRPr="00B20BAE">
        <w:rPr>
          <w:sz w:val="24"/>
          <w:szCs w:val="24"/>
        </w:rPr>
        <w:t xml:space="preserve">Under </w:t>
      </w:r>
      <w:r w:rsidR="00956AE7" w:rsidRPr="00B20BAE">
        <w:rPr>
          <w:sz w:val="24"/>
          <w:szCs w:val="24"/>
        </w:rPr>
        <w:t>WIOA, Title II: AEFLA</w:t>
      </w:r>
      <w:r w:rsidRPr="00B20BAE">
        <w:rPr>
          <w:sz w:val="24"/>
          <w:szCs w:val="24"/>
        </w:rPr>
        <w:t xml:space="preserve"> implemented in 2016–17, states were required to report enrollment and MSGs by periods of participation (</w:t>
      </w:r>
      <w:proofErr w:type="spellStart"/>
      <w:r w:rsidRPr="00B20BAE">
        <w:rPr>
          <w:sz w:val="24"/>
          <w:szCs w:val="24"/>
        </w:rPr>
        <w:t>P</w:t>
      </w:r>
      <w:r w:rsidR="007F356A" w:rsidRPr="00B20BAE">
        <w:rPr>
          <w:sz w:val="24"/>
          <w:szCs w:val="24"/>
        </w:rPr>
        <w:t>o</w:t>
      </w:r>
      <w:r w:rsidRPr="00B20BAE">
        <w:rPr>
          <w:sz w:val="24"/>
          <w:szCs w:val="24"/>
        </w:rPr>
        <w:t>Ps</w:t>
      </w:r>
      <w:proofErr w:type="spellEnd"/>
      <w:r w:rsidRPr="00B20BAE">
        <w:rPr>
          <w:sz w:val="24"/>
          <w:szCs w:val="24"/>
        </w:rPr>
        <w:t>).</w:t>
      </w:r>
      <w:r w:rsidR="007F356A" w:rsidRPr="00B20BAE">
        <w:rPr>
          <w:sz w:val="24"/>
          <w:szCs w:val="24"/>
        </w:rPr>
        <w:t xml:space="preserve"> </w:t>
      </w:r>
      <w:proofErr w:type="spellStart"/>
      <w:r w:rsidR="007F356A" w:rsidRPr="00B20BAE">
        <w:rPr>
          <w:sz w:val="24"/>
          <w:szCs w:val="24"/>
        </w:rPr>
        <w:t>PoPs</w:t>
      </w:r>
      <w:proofErr w:type="spellEnd"/>
      <w:r w:rsidR="007F356A" w:rsidRPr="00B20BAE">
        <w:rPr>
          <w:sz w:val="24"/>
          <w:szCs w:val="24"/>
        </w:rPr>
        <w:t xml:space="preserve"> is a change and is based upon a period of 90 days of continuous enrollment.</w:t>
      </w:r>
      <w:r w:rsidR="00694428" w:rsidRPr="00B20BAE">
        <w:rPr>
          <w:sz w:val="24"/>
          <w:szCs w:val="24"/>
        </w:rPr>
        <w:t xml:space="preserve"> </w:t>
      </w:r>
      <w:r w:rsidRPr="00B20BAE">
        <w:rPr>
          <w:sz w:val="24"/>
          <w:szCs w:val="24"/>
        </w:rPr>
        <w:t>In 2017–18</w:t>
      </w:r>
      <w:r w:rsidR="008845CC" w:rsidRPr="00B20BAE">
        <w:rPr>
          <w:sz w:val="24"/>
          <w:szCs w:val="24"/>
        </w:rPr>
        <w:t>,</w:t>
      </w:r>
      <w:r w:rsidRPr="00B20BAE">
        <w:rPr>
          <w:sz w:val="24"/>
          <w:szCs w:val="24"/>
        </w:rPr>
        <w:t xml:space="preserve"> of the 307,478 learners who qualified for NRS federal </w:t>
      </w:r>
      <w:r w:rsidR="000362F5" w:rsidRPr="00B20BAE">
        <w:rPr>
          <w:sz w:val="24"/>
          <w:szCs w:val="24"/>
        </w:rPr>
        <w:t>reporting, 142,422 (46.3</w:t>
      </w:r>
      <w:r w:rsidR="000D01D3" w:rsidRPr="00B20BAE">
        <w:rPr>
          <w:sz w:val="24"/>
          <w:szCs w:val="24"/>
        </w:rPr>
        <w:t xml:space="preserve"> percent</w:t>
      </w:r>
      <w:r w:rsidRPr="00B20BAE">
        <w:rPr>
          <w:sz w:val="24"/>
          <w:szCs w:val="24"/>
        </w:rPr>
        <w:t>) achieved at least one EFL gain, including 15,461 learners who obtained a</w:t>
      </w:r>
      <w:r w:rsidR="00C97065" w:rsidRPr="00B20BAE">
        <w:rPr>
          <w:sz w:val="24"/>
          <w:szCs w:val="24"/>
        </w:rPr>
        <w:t>n</w:t>
      </w:r>
      <w:r w:rsidRPr="00B20BAE">
        <w:rPr>
          <w:sz w:val="24"/>
          <w:szCs w:val="24"/>
        </w:rPr>
        <w:t xml:space="preserve"> HSD or HSE. T</w:t>
      </w:r>
      <w:r w:rsidR="00C97065" w:rsidRPr="00B20BAE">
        <w:rPr>
          <w:sz w:val="24"/>
          <w:szCs w:val="24"/>
        </w:rPr>
        <w:t>he t</w:t>
      </w:r>
      <w:r w:rsidRPr="00B20BAE">
        <w:rPr>
          <w:sz w:val="24"/>
          <w:szCs w:val="24"/>
        </w:rPr>
        <w:t>otal number of POPs for the 2017–18 program year was 318,794 and the total number of POPs with MSGs</w:t>
      </w:r>
      <w:r w:rsidR="008845CC" w:rsidRPr="00B20BAE">
        <w:rPr>
          <w:sz w:val="24"/>
          <w:szCs w:val="24"/>
        </w:rPr>
        <w:t xml:space="preserve"> was 144,349 (45.3</w:t>
      </w:r>
      <w:r w:rsidR="000D01D3" w:rsidRPr="00B20BAE">
        <w:rPr>
          <w:sz w:val="24"/>
          <w:szCs w:val="24"/>
        </w:rPr>
        <w:t xml:space="preserve"> percent</w:t>
      </w:r>
      <w:r w:rsidRPr="00B20BAE">
        <w:rPr>
          <w:sz w:val="24"/>
          <w:szCs w:val="24"/>
        </w:rPr>
        <w:t>).</w:t>
      </w:r>
      <w:r w:rsidR="00136825" w:rsidRPr="00B20BAE">
        <w:rPr>
          <w:sz w:val="24"/>
          <w:szCs w:val="24"/>
        </w:rPr>
        <w:t xml:space="preserve"> </w:t>
      </w:r>
      <w:r w:rsidRPr="00B20BAE">
        <w:rPr>
          <w:sz w:val="24"/>
          <w:szCs w:val="24"/>
        </w:rPr>
        <w:t>The overall national percentage for POPs with MSGs in 2017–18</w:t>
      </w:r>
      <w:r w:rsidR="009B62DE" w:rsidRPr="00B20BAE">
        <w:rPr>
          <w:sz w:val="24"/>
          <w:szCs w:val="24"/>
        </w:rPr>
        <w:t>,</w:t>
      </w:r>
      <w:r w:rsidRPr="00B20BAE">
        <w:rPr>
          <w:sz w:val="24"/>
          <w:szCs w:val="24"/>
        </w:rPr>
        <w:t xml:space="preserve"> program year is 45.9 p</w:t>
      </w:r>
      <w:r w:rsidR="008845CC" w:rsidRPr="00B20BAE">
        <w:rPr>
          <w:sz w:val="24"/>
          <w:szCs w:val="24"/>
        </w:rPr>
        <w:t>ercent. California (46.9</w:t>
      </w:r>
      <w:r w:rsidR="000D01D3" w:rsidRPr="00B20BAE">
        <w:rPr>
          <w:sz w:val="24"/>
          <w:szCs w:val="24"/>
        </w:rPr>
        <w:t xml:space="preserve"> percent</w:t>
      </w:r>
      <w:r w:rsidRPr="00B20BAE">
        <w:rPr>
          <w:sz w:val="24"/>
          <w:szCs w:val="24"/>
        </w:rPr>
        <w:t>) exceeded the overall ESL n</w:t>
      </w:r>
      <w:r w:rsidR="008845CC" w:rsidRPr="00B20BAE">
        <w:rPr>
          <w:sz w:val="24"/>
          <w:szCs w:val="24"/>
        </w:rPr>
        <w:t>ational percentage (45.5</w:t>
      </w:r>
      <w:r w:rsidR="000D01D3" w:rsidRPr="00B20BAE">
        <w:rPr>
          <w:sz w:val="24"/>
          <w:szCs w:val="24"/>
        </w:rPr>
        <w:t xml:space="preserve"> percent</w:t>
      </w:r>
      <w:r w:rsidRPr="00B20BAE">
        <w:rPr>
          <w:sz w:val="24"/>
          <w:szCs w:val="24"/>
        </w:rPr>
        <w:t>) for POPs with MSGs. In 2017–18</w:t>
      </w:r>
      <w:r w:rsidR="000362F5" w:rsidRPr="00B20BAE">
        <w:rPr>
          <w:sz w:val="24"/>
          <w:szCs w:val="24"/>
        </w:rPr>
        <w:t>,</w:t>
      </w:r>
      <w:r w:rsidRPr="00B20BAE">
        <w:rPr>
          <w:sz w:val="24"/>
          <w:szCs w:val="24"/>
        </w:rPr>
        <w:t xml:space="preserve"> California also exceeded the national performance in ABE EFLs three, four</w:t>
      </w:r>
      <w:r w:rsidR="00C97065" w:rsidRPr="00B20BAE">
        <w:rPr>
          <w:sz w:val="24"/>
          <w:szCs w:val="24"/>
        </w:rPr>
        <w:t>,</w:t>
      </w:r>
      <w:r w:rsidRPr="00B20BAE">
        <w:rPr>
          <w:sz w:val="24"/>
          <w:szCs w:val="24"/>
        </w:rPr>
        <w:t xml:space="preserve"> and five.</w:t>
      </w:r>
    </w:p>
    <w:p w14:paraId="6C65D54F" w14:textId="63A54B75" w:rsidR="00210CB7" w:rsidRPr="00B20BAE" w:rsidRDefault="00210CB7" w:rsidP="00406FA4">
      <w:pPr>
        <w:pStyle w:val="BodyText"/>
        <w:spacing w:after="480"/>
        <w:rPr>
          <w:sz w:val="24"/>
          <w:szCs w:val="24"/>
        </w:rPr>
      </w:pPr>
      <w:r w:rsidRPr="00B20BAE">
        <w:rPr>
          <w:sz w:val="24"/>
          <w:szCs w:val="24"/>
        </w:rPr>
        <w:t>The persistence rate</w:t>
      </w:r>
      <w:r w:rsidR="00437814" w:rsidRPr="00B20BAE">
        <w:rPr>
          <w:sz w:val="24"/>
          <w:szCs w:val="24"/>
        </w:rPr>
        <w:t xml:space="preserve"> (students who continually enroll)</w:t>
      </w:r>
      <w:r w:rsidRPr="00B20BAE">
        <w:rPr>
          <w:sz w:val="24"/>
          <w:szCs w:val="24"/>
        </w:rPr>
        <w:t xml:space="preserve"> achieved in 2017–18</w:t>
      </w:r>
      <w:r w:rsidR="00B43E2C" w:rsidRPr="00B20BAE">
        <w:rPr>
          <w:sz w:val="24"/>
          <w:szCs w:val="24"/>
        </w:rPr>
        <w:t>,</w:t>
      </w:r>
      <w:r w:rsidRPr="00B20BAE">
        <w:rPr>
          <w:sz w:val="24"/>
          <w:szCs w:val="24"/>
        </w:rPr>
        <w:t xml:space="preserve"> was 69 percent, exceeding the California state goal of 50 percent. More than 60 percent of the learners who persisted completed an EFL.</w:t>
      </w:r>
    </w:p>
    <w:p w14:paraId="15084E8D" w14:textId="65162DFA" w:rsidR="00437814" w:rsidRPr="00B20BAE" w:rsidRDefault="00437814" w:rsidP="00406FA4">
      <w:pPr>
        <w:pStyle w:val="Heading2"/>
        <w:spacing w:before="0" w:after="240"/>
      </w:pPr>
      <w:r w:rsidRPr="00B20BAE">
        <w:lastRenderedPageBreak/>
        <w:t>Recent Monitoring from US Department of Education</w:t>
      </w:r>
    </w:p>
    <w:p w14:paraId="4E39D6DD" w14:textId="58CE4C43" w:rsidR="00794CE7" w:rsidRPr="00B20BAE" w:rsidRDefault="00FE5F10" w:rsidP="001E5448">
      <w:pPr>
        <w:pStyle w:val="BodyText"/>
        <w:spacing w:after="240"/>
        <w:rPr>
          <w:sz w:val="24"/>
          <w:szCs w:val="24"/>
        </w:rPr>
      </w:pPr>
      <w:r w:rsidRPr="00B20BAE">
        <w:rPr>
          <w:sz w:val="24"/>
          <w:szCs w:val="24"/>
        </w:rPr>
        <w:t>In September</w:t>
      </w:r>
      <w:r w:rsidR="00C97065" w:rsidRPr="00B20BAE">
        <w:rPr>
          <w:sz w:val="24"/>
          <w:szCs w:val="24"/>
        </w:rPr>
        <w:t xml:space="preserve"> 2018, staff from the</w:t>
      </w:r>
      <w:r w:rsidRPr="00B20BAE">
        <w:rPr>
          <w:sz w:val="24"/>
          <w:szCs w:val="24"/>
        </w:rPr>
        <w:t xml:space="preserve"> </w:t>
      </w:r>
      <w:r w:rsidR="00812B76" w:rsidRPr="00B20BAE">
        <w:rPr>
          <w:sz w:val="24"/>
          <w:szCs w:val="24"/>
        </w:rPr>
        <w:t xml:space="preserve">US </w:t>
      </w:r>
      <w:r w:rsidRPr="00B20BAE">
        <w:rPr>
          <w:sz w:val="24"/>
          <w:szCs w:val="24"/>
        </w:rPr>
        <w:t xml:space="preserve">Department of Education, Office of Career Technical and Adult Education, conducted a monitoring visit of </w:t>
      </w:r>
      <w:r w:rsidR="00043590" w:rsidRPr="00B20BAE">
        <w:rPr>
          <w:sz w:val="24"/>
          <w:szCs w:val="24"/>
        </w:rPr>
        <w:t xml:space="preserve">the CDE </w:t>
      </w:r>
      <w:r w:rsidRPr="00B20BAE">
        <w:rPr>
          <w:sz w:val="24"/>
          <w:szCs w:val="24"/>
        </w:rPr>
        <w:t xml:space="preserve">AEO. They monitored for compliant use of WIOA, Title II: AEFLA funds. On February 28, 2019, </w:t>
      </w:r>
      <w:r w:rsidR="00937627" w:rsidRPr="00B20BAE">
        <w:rPr>
          <w:sz w:val="24"/>
          <w:szCs w:val="24"/>
        </w:rPr>
        <w:t>Superintendent Thurmo</w:t>
      </w:r>
      <w:r w:rsidR="00694428" w:rsidRPr="00B20BAE">
        <w:rPr>
          <w:sz w:val="24"/>
          <w:szCs w:val="24"/>
        </w:rPr>
        <w:t>n</w:t>
      </w:r>
      <w:r w:rsidR="00937627" w:rsidRPr="00B20BAE">
        <w:rPr>
          <w:sz w:val="24"/>
          <w:szCs w:val="24"/>
        </w:rPr>
        <w:t>d</w:t>
      </w:r>
      <w:r w:rsidRPr="00B20BAE">
        <w:rPr>
          <w:sz w:val="24"/>
          <w:szCs w:val="24"/>
        </w:rPr>
        <w:t xml:space="preserve"> received </w:t>
      </w:r>
      <w:r w:rsidR="00694428" w:rsidRPr="00B20BAE">
        <w:rPr>
          <w:sz w:val="24"/>
          <w:szCs w:val="24"/>
        </w:rPr>
        <w:t xml:space="preserve">a </w:t>
      </w:r>
      <w:r w:rsidRPr="00B20BAE">
        <w:rPr>
          <w:sz w:val="24"/>
          <w:szCs w:val="24"/>
        </w:rPr>
        <w:t>letter with the results of the monitoring visit. The letter includes four Noteworthy Practices, five Findings and Required Ac</w:t>
      </w:r>
      <w:r w:rsidR="00756112" w:rsidRPr="00B20BAE">
        <w:rPr>
          <w:sz w:val="24"/>
          <w:szCs w:val="24"/>
        </w:rPr>
        <w:t>tions, and two Recommendations.</w:t>
      </w:r>
    </w:p>
    <w:p w14:paraId="14CB0902" w14:textId="6BCB648C" w:rsidR="00794CE7" w:rsidRPr="00B20BAE" w:rsidRDefault="00794CE7" w:rsidP="001E5448">
      <w:pPr>
        <w:pStyle w:val="BodyText"/>
        <w:spacing w:after="240"/>
        <w:rPr>
          <w:w w:val="105"/>
          <w:sz w:val="24"/>
          <w:szCs w:val="24"/>
        </w:rPr>
      </w:pPr>
      <w:r w:rsidRPr="00B20BAE">
        <w:rPr>
          <w:w w:val="105"/>
          <w:sz w:val="24"/>
          <w:szCs w:val="24"/>
        </w:rPr>
        <w:t xml:space="preserve">The findings are related to the need for data sharing agreements with both </w:t>
      </w:r>
      <w:r w:rsidR="000D01D3" w:rsidRPr="00B20BAE">
        <w:rPr>
          <w:w w:val="105"/>
          <w:sz w:val="24"/>
          <w:szCs w:val="24"/>
        </w:rPr>
        <w:t xml:space="preserve">the </w:t>
      </w:r>
      <w:r w:rsidRPr="00B20BAE">
        <w:rPr>
          <w:w w:val="105"/>
          <w:sz w:val="24"/>
          <w:szCs w:val="24"/>
        </w:rPr>
        <w:t>EDD and the California Community Colleges Chancellors Office, identification of state requirements versus federal requirements, the need to apply demonstrated effectiveness as a screening tool, and ensur</w:t>
      </w:r>
      <w:r w:rsidR="00694428" w:rsidRPr="00B20BAE">
        <w:rPr>
          <w:w w:val="105"/>
          <w:sz w:val="24"/>
          <w:szCs w:val="24"/>
        </w:rPr>
        <w:t>e</w:t>
      </w:r>
      <w:r w:rsidRPr="00B20BAE">
        <w:rPr>
          <w:w w:val="105"/>
          <w:sz w:val="24"/>
          <w:szCs w:val="24"/>
        </w:rPr>
        <w:t xml:space="preserve"> the support of leadership funds and local administrative funds are used according to grant requirements.</w:t>
      </w:r>
      <w:r w:rsidR="00D6324D" w:rsidRPr="00B20BAE">
        <w:rPr>
          <w:w w:val="105"/>
          <w:sz w:val="24"/>
          <w:szCs w:val="24"/>
        </w:rPr>
        <w:t xml:space="preserve"> Demonstrated effectiveness means that the applicant is able to show they</w:t>
      </w:r>
      <w:r w:rsidR="0031309D" w:rsidRPr="00B20BAE">
        <w:rPr>
          <w:w w:val="105"/>
          <w:sz w:val="24"/>
          <w:szCs w:val="24"/>
        </w:rPr>
        <w:t xml:space="preserve"> </w:t>
      </w:r>
      <w:r w:rsidR="00D6324D" w:rsidRPr="00B20BAE">
        <w:rPr>
          <w:w w:val="105"/>
          <w:sz w:val="24"/>
          <w:szCs w:val="24"/>
        </w:rPr>
        <w:t xml:space="preserve">have the ability to provide adult education and literacy activities and have a way to present the results of their prior work. </w:t>
      </w:r>
    </w:p>
    <w:p w14:paraId="4C26C936" w14:textId="020EF6B2" w:rsidR="00A81C77" w:rsidRPr="00B20BAE" w:rsidRDefault="00A81C77" w:rsidP="001E5448">
      <w:pPr>
        <w:pStyle w:val="BodyText"/>
        <w:spacing w:after="240"/>
        <w:rPr>
          <w:sz w:val="24"/>
          <w:szCs w:val="24"/>
        </w:rPr>
      </w:pPr>
      <w:r w:rsidRPr="00B20BAE">
        <w:rPr>
          <w:sz w:val="24"/>
          <w:szCs w:val="24"/>
        </w:rPr>
        <w:t xml:space="preserve">Noteworthy practices help to reinforce the work of the CDE </w:t>
      </w:r>
      <w:r w:rsidR="00794CE7" w:rsidRPr="00B20BAE">
        <w:rPr>
          <w:sz w:val="24"/>
          <w:szCs w:val="24"/>
        </w:rPr>
        <w:t>AEO. These practices include the use of State Leadership funds to support grantees, innovation intake practices, coordination with California State and Local Workforce Development Boards, and a comprehensive monitoring system.</w:t>
      </w:r>
    </w:p>
    <w:p w14:paraId="736F601E" w14:textId="503C5EF9" w:rsidR="00A81C77" w:rsidRPr="00B20BAE" w:rsidRDefault="00A81C77" w:rsidP="001E5448">
      <w:pPr>
        <w:pStyle w:val="BodyText"/>
        <w:spacing w:after="240"/>
        <w:rPr>
          <w:w w:val="105"/>
          <w:sz w:val="24"/>
          <w:szCs w:val="24"/>
        </w:rPr>
      </w:pPr>
      <w:r w:rsidRPr="00B20BAE">
        <w:rPr>
          <w:w w:val="105"/>
          <w:sz w:val="24"/>
          <w:szCs w:val="24"/>
        </w:rPr>
        <w:t xml:space="preserve">The two areas of recommendation include </w:t>
      </w:r>
      <w:r w:rsidR="00694428" w:rsidRPr="00B20BAE">
        <w:rPr>
          <w:w w:val="105"/>
          <w:sz w:val="24"/>
          <w:szCs w:val="24"/>
        </w:rPr>
        <w:t xml:space="preserve">1) </w:t>
      </w:r>
      <w:r w:rsidRPr="00B20BAE">
        <w:rPr>
          <w:w w:val="105"/>
          <w:sz w:val="24"/>
          <w:szCs w:val="24"/>
        </w:rPr>
        <w:t>encouragement to continue the innovative technological approach for the collection of supplemental data</w:t>
      </w:r>
      <w:r w:rsidR="00694428" w:rsidRPr="00B20BAE">
        <w:rPr>
          <w:w w:val="105"/>
          <w:sz w:val="24"/>
          <w:szCs w:val="24"/>
        </w:rPr>
        <w:t>,</w:t>
      </w:r>
      <w:r w:rsidRPr="00B20BAE">
        <w:rPr>
          <w:w w:val="105"/>
          <w:sz w:val="24"/>
          <w:szCs w:val="24"/>
        </w:rPr>
        <w:t xml:space="preserve"> and </w:t>
      </w:r>
      <w:r w:rsidR="00694428" w:rsidRPr="00B20BAE">
        <w:rPr>
          <w:w w:val="105"/>
          <w:sz w:val="24"/>
          <w:szCs w:val="24"/>
        </w:rPr>
        <w:t xml:space="preserve">2) </w:t>
      </w:r>
      <w:r w:rsidRPr="00B20BAE">
        <w:rPr>
          <w:w w:val="105"/>
          <w:sz w:val="24"/>
          <w:szCs w:val="24"/>
        </w:rPr>
        <w:t>the development of procedures to monitor and report expenditures on infrastructure costs negotiated by designated one-stop partner programs.</w:t>
      </w:r>
    </w:p>
    <w:p w14:paraId="12C75F67" w14:textId="43B999CE" w:rsidR="004E7C5F" w:rsidRPr="00B20BAE" w:rsidRDefault="00A81C77" w:rsidP="00406FA4">
      <w:pPr>
        <w:pStyle w:val="BodyText"/>
        <w:spacing w:after="360"/>
        <w:rPr>
          <w:w w:val="105"/>
          <w:sz w:val="24"/>
          <w:szCs w:val="24"/>
        </w:rPr>
      </w:pPr>
      <w:r w:rsidRPr="00B20BAE">
        <w:rPr>
          <w:w w:val="105"/>
          <w:sz w:val="24"/>
          <w:szCs w:val="24"/>
        </w:rPr>
        <w:t xml:space="preserve">The adult education system in California is </w:t>
      </w:r>
      <w:r w:rsidR="00916D67" w:rsidRPr="00B20BAE">
        <w:rPr>
          <w:w w:val="105"/>
          <w:sz w:val="24"/>
          <w:szCs w:val="24"/>
        </w:rPr>
        <w:t>committed to</w:t>
      </w:r>
      <w:r w:rsidRPr="00B20BAE">
        <w:rPr>
          <w:w w:val="105"/>
          <w:sz w:val="24"/>
          <w:szCs w:val="24"/>
        </w:rPr>
        <w:t xml:space="preserve"> </w:t>
      </w:r>
      <w:r w:rsidR="00694428" w:rsidRPr="00B20BAE">
        <w:rPr>
          <w:w w:val="105"/>
          <w:sz w:val="24"/>
          <w:szCs w:val="24"/>
        </w:rPr>
        <w:t xml:space="preserve">all </w:t>
      </w:r>
      <w:r w:rsidR="00916D67" w:rsidRPr="00B20BAE">
        <w:rPr>
          <w:w w:val="105"/>
          <w:sz w:val="24"/>
          <w:szCs w:val="24"/>
        </w:rPr>
        <w:t>assisting</w:t>
      </w:r>
      <w:r w:rsidRPr="00B20BAE">
        <w:rPr>
          <w:w w:val="105"/>
          <w:sz w:val="24"/>
          <w:szCs w:val="24"/>
        </w:rPr>
        <w:t xml:space="preserve"> adult learners </w:t>
      </w:r>
      <w:r w:rsidR="00794CE7" w:rsidRPr="00B20BAE">
        <w:rPr>
          <w:w w:val="105"/>
          <w:sz w:val="24"/>
          <w:szCs w:val="24"/>
        </w:rPr>
        <w:t>in</w:t>
      </w:r>
      <w:r w:rsidR="00916D67" w:rsidRPr="00B20BAE">
        <w:rPr>
          <w:w w:val="105"/>
          <w:sz w:val="24"/>
          <w:szCs w:val="24"/>
        </w:rPr>
        <w:t xml:space="preserve"> reach</w:t>
      </w:r>
      <w:r w:rsidR="00794CE7" w:rsidRPr="00B20BAE">
        <w:rPr>
          <w:w w:val="105"/>
          <w:sz w:val="24"/>
          <w:szCs w:val="24"/>
        </w:rPr>
        <w:t>ing</w:t>
      </w:r>
      <w:r w:rsidR="00916D67" w:rsidRPr="00B20BAE">
        <w:rPr>
          <w:w w:val="105"/>
          <w:sz w:val="24"/>
          <w:szCs w:val="24"/>
        </w:rPr>
        <w:t xml:space="preserve"> their fullest potential</w:t>
      </w:r>
      <w:r w:rsidR="00694428" w:rsidRPr="00B20BAE">
        <w:rPr>
          <w:w w:val="105"/>
          <w:sz w:val="24"/>
          <w:szCs w:val="24"/>
        </w:rPr>
        <w:t xml:space="preserve"> whether it be to learn English as a Second Language, earn a high school diploma, workforce skills, or develop civic engagement skills to enter the workforce or seek additional education/training.</w:t>
      </w:r>
    </w:p>
    <w:p w14:paraId="05A3B9AE" w14:textId="77777777" w:rsidR="00057A96" w:rsidRPr="00B20BAE" w:rsidRDefault="00057A96" w:rsidP="0083521F">
      <w:pPr>
        <w:pStyle w:val="Heading1"/>
        <w:spacing w:after="240"/>
        <w:rPr>
          <w:rFonts w:cs="Arial"/>
          <w:b w:val="0"/>
        </w:rPr>
      </w:pPr>
      <w:r w:rsidRPr="00B20BAE">
        <w:rPr>
          <w:rFonts w:cs="Arial"/>
        </w:rPr>
        <w:t>Attachment(s)</w:t>
      </w:r>
    </w:p>
    <w:p w14:paraId="0C4411D0" w14:textId="6AC899A3" w:rsidR="00057A96" w:rsidRPr="00B20BAE" w:rsidRDefault="0031309D" w:rsidP="00FB0C27">
      <w:pPr>
        <w:pStyle w:val="ListParagraph"/>
        <w:numPr>
          <w:ilvl w:val="0"/>
          <w:numId w:val="25"/>
        </w:numPr>
        <w:spacing w:after="240"/>
        <w:rPr>
          <w:sz w:val="24"/>
        </w:rPr>
      </w:pPr>
      <w:r w:rsidRPr="00B20BAE">
        <w:rPr>
          <w:sz w:val="24"/>
        </w:rPr>
        <w:t>California Adult Education Annual Performance Report: Federally Funded Workforce Innovation and Opportunity Act Title II Programs Program Year July 1, 2017 to June 30, 2018</w:t>
      </w:r>
      <w:r w:rsidR="00FB0C27" w:rsidRPr="00B20BAE">
        <w:rPr>
          <w:sz w:val="24"/>
        </w:rPr>
        <w:t xml:space="preserve"> (34 pages). This attachment is available via the World Wide Web at </w:t>
      </w:r>
      <w:hyperlink r:id="rId10" w:tooltip="California Adult Education Annual Performance Report" w:history="1">
        <w:r w:rsidR="00FB0C27" w:rsidRPr="00B20BAE">
          <w:rPr>
            <w:rStyle w:val="Hyperlink"/>
            <w:sz w:val="24"/>
          </w:rPr>
          <w:t>https://www.casas.org/product-overviews/research-and-evaluation/california-state-reports-and-research-briefs/california-annual-wia-ii-performance-report</w:t>
        </w:r>
      </w:hyperlink>
      <w:r w:rsidR="00FB0C27" w:rsidRPr="00B20BAE">
        <w:rPr>
          <w:sz w:val="24"/>
        </w:rPr>
        <w:t xml:space="preserve">. </w:t>
      </w:r>
    </w:p>
    <w:sectPr w:rsidR="00057A96" w:rsidRPr="00B20BAE" w:rsidSect="00406FA4">
      <w:headerReference w:type="default" r:id="rId11"/>
      <w:type w:val="continuous"/>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DD4C7A" w14:textId="77777777" w:rsidR="003A42C4" w:rsidRDefault="003A42C4" w:rsidP="00406FA4">
      <w:r>
        <w:separator/>
      </w:r>
    </w:p>
  </w:endnote>
  <w:endnote w:type="continuationSeparator" w:id="0">
    <w:p w14:paraId="02DD1372" w14:textId="77777777" w:rsidR="003A42C4" w:rsidRDefault="003A42C4" w:rsidP="00406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othamBook">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84C5B" w14:textId="77777777" w:rsidR="003A42C4" w:rsidRDefault="003A42C4" w:rsidP="00406FA4">
      <w:r>
        <w:separator/>
      </w:r>
    </w:p>
  </w:footnote>
  <w:footnote w:type="continuationSeparator" w:id="0">
    <w:p w14:paraId="4B58E73F" w14:textId="77777777" w:rsidR="003A42C4" w:rsidRDefault="003A42C4" w:rsidP="00406F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1208A" w14:textId="77777777" w:rsidR="000E706A" w:rsidRDefault="000E706A" w:rsidP="00D916AC">
    <w:pPr>
      <w:jc w:val="right"/>
    </w:pPr>
    <w:r>
      <w:t>Attachment 1</w:t>
    </w:r>
  </w:p>
  <w:p w14:paraId="061A03C9" w14:textId="77777777" w:rsidR="000E706A" w:rsidRDefault="000E706A" w:rsidP="00D916AC">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r>
      <w:t xml:space="preserve"> of 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F72A7" w14:textId="37E474F9" w:rsidR="00406FA4" w:rsidRDefault="00406FA4" w:rsidP="00406FA4">
    <w:pPr>
      <w:pStyle w:val="Header"/>
      <w:jc w:val="right"/>
      <w:rPr>
        <w:rFonts w:cs="Arial"/>
      </w:rPr>
    </w:pPr>
    <w:r w:rsidRPr="003F0FED">
      <w:rPr>
        <w:rFonts w:cs="Arial"/>
      </w:rPr>
      <w:t>memo-tlsb-cctd-apr19item02</w:t>
    </w:r>
  </w:p>
  <w:p w14:paraId="4F3C18D7" w14:textId="1062CAB1" w:rsidR="00406FA4" w:rsidRDefault="00406FA4" w:rsidP="00406FA4">
    <w:pPr>
      <w:pStyle w:val="Header"/>
      <w:jc w:val="right"/>
      <w:rPr>
        <w:noProof/>
      </w:rPr>
    </w:pPr>
    <w:r>
      <w:rPr>
        <w:rFonts w:cs="Arial"/>
      </w:rPr>
      <w:t xml:space="preserve">Page </w:t>
    </w:r>
    <w:r>
      <w:fldChar w:fldCharType="begin"/>
    </w:r>
    <w:r>
      <w:instrText xml:space="preserve"> PAGE   \* MERGEFORMAT </w:instrText>
    </w:r>
    <w:r>
      <w:fldChar w:fldCharType="separate"/>
    </w:r>
    <w:r w:rsidR="00937627">
      <w:rPr>
        <w:noProof/>
      </w:rPr>
      <w:t>8</w:t>
    </w:r>
    <w:r>
      <w:rPr>
        <w:noProof/>
      </w:rPr>
      <w:fldChar w:fldCharType="end"/>
    </w:r>
    <w:r w:rsidR="00D54257">
      <w:rPr>
        <w:noProof/>
      </w:rPr>
      <w:t xml:space="preserve"> of 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0A95"/>
    <w:multiLevelType w:val="hybridMultilevel"/>
    <w:tmpl w:val="561A76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DE6FB6"/>
    <w:multiLevelType w:val="hybridMultilevel"/>
    <w:tmpl w:val="BF826FCA"/>
    <w:lvl w:ilvl="0" w:tplc="457AD6AA">
      <w:start w:val="1"/>
      <w:numFmt w:val="bullet"/>
      <w:lvlText w:val=""/>
      <w:lvlJc w:val="left"/>
      <w:pPr>
        <w:ind w:left="820" w:hanging="360"/>
      </w:pPr>
      <w:rPr>
        <w:rFonts w:ascii="Symbol" w:hAnsi="Symbol" w:hint="default"/>
        <w:color w:val="auto"/>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 w15:restartNumberingAfterBreak="0">
    <w:nsid w:val="0D00606A"/>
    <w:multiLevelType w:val="hybridMultilevel"/>
    <w:tmpl w:val="1E286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D0D66"/>
    <w:multiLevelType w:val="hybridMultilevel"/>
    <w:tmpl w:val="86AE2E78"/>
    <w:lvl w:ilvl="0" w:tplc="04090003">
      <w:start w:val="1"/>
      <w:numFmt w:val="bullet"/>
      <w:lvlText w:val="o"/>
      <w:lvlJc w:val="left"/>
      <w:pPr>
        <w:ind w:left="1080" w:hanging="360"/>
      </w:pPr>
      <w:rPr>
        <w:rFonts w:ascii="Courier New" w:hAnsi="Courier New" w:cs="Courier New" w:hint="default"/>
        <w:w w:val="100"/>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C5220B"/>
    <w:multiLevelType w:val="hybridMultilevel"/>
    <w:tmpl w:val="D02844AC"/>
    <w:lvl w:ilvl="0" w:tplc="CAC0CF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B41A6"/>
    <w:multiLevelType w:val="hybridMultilevel"/>
    <w:tmpl w:val="96BE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7F0142"/>
    <w:multiLevelType w:val="hybridMultilevel"/>
    <w:tmpl w:val="DBB6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F6B9C"/>
    <w:multiLevelType w:val="hybridMultilevel"/>
    <w:tmpl w:val="2D14AFD0"/>
    <w:lvl w:ilvl="0" w:tplc="29F05984">
      <w:numFmt w:val="bullet"/>
      <w:lvlText w:val=""/>
      <w:lvlJc w:val="left"/>
      <w:pPr>
        <w:ind w:left="820" w:hanging="269"/>
      </w:pPr>
      <w:rPr>
        <w:rFonts w:hint="default"/>
        <w:w w:val="100"/>
        <w:lang w:val="en-US" w:eastAsia="en-US" w:bidi="en-US"/>
      </w:rPr>
    </w:lvl>
    <w:lvl w:ilvl="1" w:tplc="7F0C702C">
      <w:numFmt w:val="bullet"/>
      <w:lvlText w:val="•"/>
      <w:lvlJc w:val="left"/>
      <w:pPr>
        <w:ind w:left="2600" w:hanging="269"/>
      </w:pPr>
      <w:rPr>
        <w:rFonts w:hint="default"/>
        <w:lang w:val="en-US" w:eastAsia="en-US" w:bidi="en-US"/>
      </w:rPr>
    </w:lvl>
    <w:lvl w:ilvl="2" w:tplc="B5E4A198">
      <w:numFmt w:val="bullet"/>
      <w:lvlText w:val="•"/>
      <w:lvlJc w:val="left"/>
      <w:pPr>
        <w:ind w:left="2692" w:hanging="269"/>
      </w:pPr>
      <w:rPr>
        <w:rFonts w:hint="default"/>
        <w:lang w:val="en-US" w:eastAsia="en-US" w:bidi="en-US"/>
      </w:rPr>
    </w:lvl>
    <w:lvl w:ilvl="3" w:tplc="F3A21BBE">
      <w:numFmt w:val="bullet"/>
      <w:lvlText w:val="•"/>
      <w:lvlJc w:val="left"/>
      <w:pPr>
        <w:ind w:left="2784" w:hanging="269"/>
      </w:pPr>
      <w:rPr>
        <w:rFonts w:hint="default"/>
        <w:lang w:val="en-US" w:eastAsia="en-US" w:bidi="en-US"/>
      </w:rPr>
    </w:lvl>
    <w:lvl w:ilvl="4" w:tplc="B840E26C">
      <w:numFmt w:val="bullet"/>
      <w:lvlText w:val="•"/>
      <w:lvlJc w:val="left"/>
      <w:pPr>
        <w:ind w:left="2876" w:hanging="269"/>
      </w:pPr>
      <w:rPr>
        <w:rFonts w:hint="default"/>
        <w:lang w:val="en-US" w:eastAsia="en-US" w:bidi="en-US"/>
      </w:rPr>
    </w:lvl>
    <w:lvl w:ilvl="5" w:tplc="0C0475CC">
      <w:numFmt w:val="bullet"/>
      <w:lvlText w:val="•"/>
      <w:lvlJc w:val="left"/>
      <w:pPr>
        <w:ind w:left="2968" w:hanging="269"/>
      </w:pPr>
      <w:rPr>
        <w:rFonts w:hint="default"/>
        <w:lang w:val="en-US" w:eastAsia="en-US" w:bidi="en-US"/>
      </w:rPr>
    </w:lvl>
    <w:lvl w:ilvl="6" w:tplc="7E8E6C4C">
      <w:numFmt w:val="bullet"/>
      <w:lvlText w:val="•"/>
      <w:lvlJc w:val="left"/>
      <w:pPr>
        <w:ind w:left="3060" w:hanging="269"/>
      </w:pPr>
      <w:rPr>
        <w:rFonts w:hint="default"/>
        <w:lang w:val="en-US" w:eastAsia="en-US" w:bidi="en-US"/>
      </w:rPr>
    </w:lvl>
    <w:lvl w:ilvl="7" w:tplc="FA66A2C4">
      <w:numFmt w:val="bullet"/>
      <w:lvlText w:val="•"/>
      <w:lvlJc w:val="left"/>
      <w:pPr>
        <w:ind w:left="3152" w:hanging="269"/>
      </w:pPr>
      <w:rPr>
        <w:rFonts w:hint="default"/>
        <w:lang w:val="en-US" w:eastAsia="en-US" w:bidi="en-US"/>
      </w:rPr>
    </w:lvl>
    <w:lvl w:ilvl="8" w:tplc="C5D40C34">
      <w:numFmt w:val="bullet"/>
      <w:lvlText w:val="•"/>
      <w:lvlJc w:val="left"/>
      <w:pPr>
        <w:ind w:left="3244" w:hanging="269"/>
      </w:pPr>
      <w:rPr>
        <w:rFonts w:hint="default"/>
        <w:lang w:val="en-US" w:eastAsia="en-US" w:bidi="en-US"/>
      </w:rPr>
    </w:lvl>
  </w:abstractNum>
  <w:abstractNum w:abstractNumId="8" w15:restartNumberingAfterBreak="0">
    <w:nsid w:val="36D26375"/>
    <w:multiLevelType w:val="hybridMultilevel"/>
    <w:tmpl w:val="9858E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02222"/>
    <w:multiLevelType w:val="hybridMultilevel"/>
    <w:tmpl w:val="AED26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34412B"/>
    <w:multiLevelType w:val="hybridMultilevel"/>
    <w:tmpl w:val="B35EAB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1866EB"/>
    <w:multiLevelType w:val="hybridMultilevel"/>
    <w:tmpl w:val="051418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1FB4086"/>
    <w:multiLevelType w:val="hybridMultilevel"/>
    <w:tmpl w:val="43CA053C"/>
    <w:lvl w:ilvl="0" w:tplc="457AD6A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531A4F42"/>
    <w:multiLevelType w:val="hybridMultilevel"/>
    <w:tmpl w:val="CED8B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637A8A"/>
    <w:multiLevelType w:val="hybridMultilevel"/>
    <w:tmpl w:val="709808AC"/>
    <w:lvl w:ilvl="0" w:tplc="457AD6AA">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A248D9"/>
    <w:multiLevelType w:val="hybridMultilevel"/>
    <w:tmpl w:val="EB7EF842"/>
    <w:lvl w:ilvl="0" w:tplc="457AD6AA">
      <w:start w:val="1"/>
      <w:numFmt w:val="bullet"/>
      <w:lvlText w:val=""/>
      <w:lvlJc w:val="left"/>
      <w:pPr>
        <w:ind w:left="820" w:hanging="269"/>
      </w:pPr>
      <w:rPr>
        <w:rFonts w:ascii="Symbol" w:hAnsi="Symbol" w:hint="default"/>
        <w:color w:val="auto"/>
        <w:w w:val="100"/>
        <w:lang w:val="en-US" w:eastAsia="en-US" w:bidi="en-US"/>
      </w:rPr>
    </w:lvl>
    <w:lvl w:ilvl="1" w:tplc="7F0C702C">
      <w:numFmt w:val="bullet"/>
      <w:lvlText w:val="•"/>
      <w:lvlJc w:val="left"/>
      <w:pPr>
        <w:ind w:left="2600" w:hanging="269"/>
      </w:pPr>
      <w:rPr>
        <w:rFonts w:hint="default"/>
        <w:lang w:val="en-US" w:eastAsia="en-US" w:bidi="en-US"/>
      </w:rPr>
    </w:lvl>
    <w:lvl w:ilvl="2" w:tplc="B5E4A198">
      <w:numFmt w:val="bullet"/>
      <w:lvlText w:val="•"/>
      <w:lvlJc w:val="left"/>
      <w:pPr>
        <w:ind w:left="2692" w:hanging="269"/>
      </w:pPr>
      <w:rPr>
        <w:rFonts w:hint="default"/>
        <w:lang w:val="en-US" w:eastAsia="en-US" w:bidi="en-US"/>
      </w:rPr>
    </w:lvl>
    <w:lvl w:ilvl="3" w:tplc="F3A21BBE">
      <w:numFmt w:val="bullet"/>
      <w:lvlText w:val="•"/>
      <w:lvlJc w:val="left"/>
      <w:pPr>
        <w:ind w:left="2784" w:hanging="269"/>
      </w:pPr>
      <w:rPr>
        <w:rFonts w:hint="default"/>
        <w:lang w:val="en-US" w:eastAsia="en-US" w:bidi="en-US"/>
      </w:rPr>
    </w:lvl>
    <w:lvl w:ilvl="4" w:tplc="B840E26C">
      <w:numFmt w:val="bullet"/>
      <w:lvlText w:val="•"/>
      <w:lvlJc w:val="left"/>
      <w:pPr>
        <w:ind w:left="2876" w:hanging="269"/>
      </w:pPr>
      <w:rPr>
        <w:rFonts w:hint="default"/>
        <w:lang w:val="en-US" w:eastAsia="en-US" w:bidi="en-US"/>
      </w:rPr>
    </w:lvl>
    <w:lvl w:ilvl="5" w:tplc="0C0475CC">
      <w:numFmt w:val="bullet"/>
      <w:lvlText w:val="•"/>
      <w:lvlJc w:val="left"/>
      <w:pPr>
        <w:ind w:left="2968" w:hanging="269"/>
      </w:pPr>
      <w:rPr>
        <w:rFonts w:hint="default"/>
        <w:lang w:val="en-US" w:eastAsia="en-US" w:bidi="en-US"/>
      </w:rPr>
    </w:lvl>
    <w:lvl w:ilvl="6" w:tplc="7E8E6C4C">
      <w:numFmt w:val="bullet"/>
      <w:lvlText w:val="•"/>
      <w:lvlJc w:val="left"/>
      <w:pPr>
        <w:ind w:left="3060" w:hanging="269"/>
      </w:pPr>
      <w:rPr>
        <w:rFonts w:hint="default"/>
        <w:lang w:val="en-US" w:eastAsia="en-US" w:bidi="en-US"/>
      </w:rPr>
    </w:lvl>
    <w:lvl w:ilvl="7" w:tplc="FA66A2C4">
      <w:numFmt w:val="bullet"/>
      <w:lvlText w:val="•"/>
      <w:lvlJc w:val="left"/>
      <w:pPr>
        <w:ind w:left="3152" w:hanging="269"/>
      </w:pPr>
      <w:rPr>
        <w:rFonts w:hint="default"/>
        <w:lang w:val="en-US" w:eastAsia="en-US" w:bidi="en-US"/>
      </w:rPr>
    </w:lvl>
    <w:lvl w:ilvl="8" w:tplc="C5D40C34">
      <w:numFmt w:val="bullet"/>
      <w:lvlText w:val="•"/>
      <w:lvlJc w:val="left"/>
      <w:pPr>
        <w:ind w:left="3244" w:hanging="269"/>
      </w:pPr>
      <w:rPr>
        <w:rFonts w:hint="default"/>
        <w:lang w:val="en-US" w:eastAsia="en-US" w:bidi="en-US"/>
      </w:rPr>
    </w:lvl>
  </w:abstractNum>
  <w:abstractNum w:abstractNumId="16" w15:restartNumberingAfterBreak="0">
    <w:nsid w:val="626B79CD"/>
    <w:multiLevelType w:val="hybridMultilevel"/>
    <w:tmpl w:val="07E2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887EC9"/>
    <w:multiLevelType w:val="hybridMultilevel"/>
    <w:tmpl w:val="5BECE4E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15:restartNumberingAfterBreak="0">
    <w:nsid w:val="6A15039A"/>
    <w:multiLevelType w:val="hybridMultilevel"/>
    <w:tmpl w:val="A22A8FE8"/>
    <w:lvl w:ilvl="0" w:tplc="04090001">
      <w:start w:val="1"/>
      <w:numFmt w:val="bullet"/>
      <w:lvlText w:val=""/>
      <w:lvlJc w:val="left"/>
      <w:pPr>
        <w:ind w:left="1080" w:hanging="360"/>
      </w:pPr>
      <w:rPr>
        <w:rFonts w:ascii="Symbol" w:hAnsi="Symbol" w:hint="default"/>
        <w:w w:val="100"/>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191287C"/>
    <w:multiLevelType w:val="hybridMultilevel"/>
    <w:tmpl w:val="A378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6F5F22"/>
    <w:multiLevelType w:val="hybridMultilevel"/>
    <w:tmpl w:val="B0449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00E67"/>
    <w:multiLevelType w:val="hybridMultilevel"/>
    <w:tmpl w:val="6AF6020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7848331B"/>
    <w:multiLevelType w:val="hybridMultilevel"/>
    <w:tmpl w:val="81147B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99B1115"/>
    <w:multiLevelType w:val="hybridMultilevel"/>
    <w:tmpl w:val="25404C32"/>
    <w:lvl w:ilvl="0" w:tplc="457AD6AA">
      <w:start w:val="1"/>
      <w:numFmt w:val="bullet"/>
      <w:lvlText w:val=""/>
      <w:lvlJc w:val="left"/>
      <w:pPr>
        <w:ind w:left="820" w:hanging="360"/>
      </w:pPr>
      <w:rPr>
        <w:rFonts w:ascii="Symbol" w:hAnsi="Symbol" w:hint="default"/>
        <w:color w:val="auto"/>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4" w15:restartNumberingAfterBreak="0">
    <w:nsid w:val="7B635BD8"/>
    <w:multiLevelType w:val="hybridMultilevel"/>
    <w:tmpl w:val="60CCC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4"/>
  </w:num>
  <w:num w:numId="4">
    <w:abstractNumId w:val="22"/>
  </w:num>
  <w:num w:numId="5">
    <w:abstractNumId w:val="21"/>
  </w:num>
  <w:num w:numId="6">
    <w:abstractNumId w:val="4"/>
  </w:num>
  <w:num w:numId="7">
    <w:abstractNumId w:val="0"/>
  </w:num>
  <w:num w:numId="8">
    <w:abstractNumId w:val="12"/>
  </w:num>
  <w:num w:numId="9">
    <w:abstractNumId w:val="23"/>
  </w:num>
  <w:num w:numId="10">
    <w:abstractNumId w:val="1"/>
  </w:num>
  <w:num w:numId="11">
    <w:abstractNumId w:val="24"/>
  </w:num>
  <w:num w:numId="12">
    <w:abstractNumId w:val="17"/>
  </w:num>
  <w:num w:numId="13">
    <w:abstractNumId w:val="11"/>
  </w:num>
  <w:num w:numId="14">
    <w:abstractNumId w:val="13"/>
  </w:num>
  <w:num w:numId="15">
    <w:abstractNumId w:val="5"/>
  </w:num>
  <w:num w:numId="16">
    <w:abstractNumId w:val="19"/>
  </w:num>
  <w:num w:numId="17">
    <w:abstractNumId w:val="20"/>
  </w:num>
  <w:num w:numId="18">
    <w:abstractNumId w:val="6"/>
  </w:num>
  <w:num w:numId="19">
    <w:abstractNumId w:val="8"/>
  </w:num>
  <w:num w:numId="20">
    <w:abstractNumId w:val="2"/>
  </w:num>
  <w:num w:numId="21">
    <w:abstractNumId w:val="18"/>
  </w:num>
  <w:num w:numId="22">
    <w:abstractNumId w:val="3"/>
  </w:num>
  <w:num w:numId="23">
    <w:abstractNumId w:val="16"/>
  </w:num>
  <w:num w:numId="24">
    <w:abstractNumId w:val="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6"/>
    <w:rsid w:val="00024B90"/>
    <w:rsid w:val="000362F5"/>
    <w:rsid w:val="00043590"/>
    <w:rsid w:val="00053B2A"/>
    <w:rsid w:val="00053F5F"/>
    <w:rsid w:val="000558EF"/>
    <w:rsid w:val="00057A96"/>
    <w:rsid w:val="00077927"/>
    <w:rsid w:val="000B0A21"/>
    <w:rsid w:val="000B5499"/>
    <w:rsid w:val="000C139F"/>
    <w:rsid w:val="000C5393"/>
    <w:rsid w:val="000C75E1"/>
    <w:rsid w:val="000D01D3"/>
    <w:rsid w:val="000E706A"/>
    <w:rsid w:val="000F169D"/>
    <w:rsid w:val="000F4237"/>
    <w:rsid w:val="00102FB6"/>
    <w:rsid w:val="0012403B"/>
    <w:rsid w:val="00127B6A"/>
    <w:rsid w:val="00136825"/>
    <w:rsid w:val="0015252A"/>
    <w:rsid w:val="00156DCD"/>
    <w:rsid w:val="0016173B"/>
    <w:rsid w:val="001648E9"/>
    <w:rsid w:val="00184DEF"/>
    <w:rsid w:val="001B6E98"/>
    <w:rsid w:val="001E5448"/>
    <w:rsid w:val="00210CB7"/>
    <w:rsid w:val="002249BC"/>
    <w:rsid w:val="0023583F"/>
    <w:rsid w:val="002366B4"/>
    <w:rsid w:val="002408E4"/>
    <w:rsid w:val="002564C9"/>
    <w:rsid w:val="00276CAF"/>
    <w:rsid w:val="0028295F"/>
    <w:rsid w:val="0029286A"/>
    <w:rsid w:val="002D0E5C"/>
    <w:rsid w:val="002E20B2"/>
    <w:rsid w:val="0031309D"/>
    <w:rsid w:val="00321D49"/>
    <w:rsid w:val="00322C00"/>
    <w:rsid w:val="00325EAA"/>
    <w:rsid w:val="0033616F"/>
    <w:rsid w:val="00354473"/>
    <w:rsid w:val="00364C1F"/>
    <w:rsid w:val="00366C53"/>
    <w:rsid w:val="00386782"/>
    <w:rsid w:val="003A42C4"/>
    <w:rsid w:val="003A6385"/>
    <w:rsid w:val="003E1634"/>
    <w:rsid w:val="003E3B94"/>
    <w:rsid w:val="003F0FED"/>
    <w:rsid w:val="004014AA"/>
    <w:rsid w:val="00406F44"/>
    <w:rsid w:val="00406FA4"/>
    <w:rsid w:val="00437814"/>
    <w:rsid w:val="00443D36"/>
    <w:rsid w:val="00474A2F"/>
    <w:rsid w:val="0049233F"/>
    <w:rsid w:val="004A77B7"/>
    <w:rsid w:val="004E121C"/>
    <w:rsid w:val="004E7C5F"/>
    <w:rsid w:val="004F2433"/>
    <w:rsid w:val="0051479B"/>
    <w:rsid w:val="005221F7"/>
    <w:rsid w:val="005265BD"/>
    <w:rsid w:val="0054334A"/>
    <w:rsid w:val="00592375"/>
    <w:rsid w:val="005A59C9"/>
    <w:rsid w:val="005B0BC4"/>
    <w:rsid w:val="005B1325"/>
    <w:rsid w:val="005B3FAF"/>
    <w:rsid w:val="005B5A8D"/>
    <w:rsid w:val="005C6E6F"/>
    <w:rsid w:val="005D600A"/>
    <w:rsid w:val="005E1433"/>
    <w:rsid w:val="005E3314"/>
    <w:rsid w:val="006332BB"/>
    <w:rsid w:val="00660907"/>
    <w:rsid w:val="00681207"/>
    <w:rsid w:val="00694428"/>
    <w:rsid w:val="00695CC4"/>
    <w:rsid w:val="006A49B9"/>
    <w:rsid w:val="006C4A85"/>
    <w:rsid w:val="006C7460"/>
    <w:rsid w:val="006E28C9"/>
    <w:rsid w:val="006E7BF3"/>
    <w:rsid w:val="006F16F9"/>
    <w:rsid w:val="00756112"/>
    <w:rsid w:val="0079076A"/>
    <w:rsid w:val="00794CE7"/>
    <w:rsid w:val="007A2653"/>
    <w:rsid w:val="007B1602"/>
    <w:rsid w:val="007D2AC0"/>
    <w:rsid w:val="007F356A"/>
    <w:rsid w:val="008014DC"/>
    <w:rsid w:val="00812B76"/>
    <w:rsid w:val="008213F2"/>
    <w:rsid w:val="0083521F"/>
    <w:rsid w:val="008455A7"/>
    <w:rsid w:val="008455CF"/>
    <w:rsid w:val="00861AD8"/>
    <w:rsid w:val="008845CC"/>
    <w:rsid w:val="008B1135"/>
    <w:rsid w:val="008D2B05"/>
    <w:rsid w:val="008D50D6"/>
    <w:rsid w:val="008F6CA0"/>
    <w:rsid w:val="00903695"/>
    <w:rsid w:val="00903DCB"/>
    <w:rsid w:val="00916D67"/>
    <w:rsid w:val="00934D2B"/>
    <w:rsid w:val="00937627"/>
    <w:rsid w:val="00956AE7"/>
    <w:rsid w:val="00960853"/>
    <w:rsid w:val="00963290"/>
    <w:rsid w:val="00982A10"/>
    <w:rsid w:val="009A614C"/>
    <w:rsid w:val="009B62DE"/>
    <w:rsid w:val="009C57B1"/>
    <w:rsid w:val="00A11875"/>
    <w:rsid w:val="00A14587"/>
    <w:rsid w:val="00A313A2"/>
    <w:rsid w:val="00A35C73"/>
    <w:rsid w:val="00A47DB8"/>
    <w:rsid w:val="00A654AC"/>
    <w:rsid w:val="00A71CCF"/>
    <w:rsid w:val="00A81C77"/>
    <w:rsid w:val="00AB4C92"/>
    <w:rsid w:val="00B20BAE"/>
    <w:rsid w:val="00B43E2C"/>
    <w:rsid w:val="00BA59BE"/>
    <w:rsid w:val="00BC3667"/>
    <w:rsid w:val="00BC376B"/>
    <w:rsid w:val="00BC6131"/>
    <w:rsid w:val="00BF7F32"/>
    <w:rsid w:val="00C31D89"/>
    <w:rsid w:val="00C420BB"/>
    <w:rsid w:val="00C61F78"/>
    <w:rsid w:val="00C736C3"/>
    <w:rsid w:val="00C944D1"/>
    <w:rsid w:val="00C95F56"/>
    <w:rsid w:val="00C97065"/>
    <w:rsid w:val="00CA3D8C"/>
    <w:rsid w:val="00CC11DE"/>
    <w:rsid w:val="00CC31A0"/>
    <w:rsid w:val="00CC5474"/>
    <w:rsid w:val="00D17710"/>
    <w:rsid w:val="00D54257"/>
    <w:rsid w:val="00D569B3"/>
    <w:rsid w:val="00D6324D"/>
    <w:rsid w:val="00D76109"/>
    <w:rsid w:val="00D8080F"/>
    <w:rsid w:val="00D81E7D"/>
    <w:rsid w:val="00DA305C"/>
    <w:rsid w:val="00DC5FAA"/>
    <w:rsid w:val="00E32FDC"/>
    <w:rsid w:val="00E51022"/>
    <w:rsid w:val="00E80AAA"/>
    <w:rsid w:val="00E82BB4"/>
    <w:rsid w:val="00E9106A"/>
    <w:rsid w:val="00EB6C40"/>
    <w:rsid w:val="00EC3FF1"/>
    <w:rsid w:val="00ED74A2"/>
    <w:rsid w:val="00EF6EFD"/>
    <w:rsid w:val="00F01C25"/>
    <w:rsid w:val="00F06887"/>
    <w:rsid w:val="00F12C39"/>
    <w:rsid w:val="00F301C9"/>
    <w:rsid w:val="00F37CA7"/>
    <w:rsid w:val="00F968D8"/>
    <w:rsid w:val="00FB0C27"/>
    <w:rsid w:val="00FD77BF"/>
    <w:rsid w:val="00FE17F1"/>
    <w:rsid w:val="00FE5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24920"/>
  <w15:chartTrackingRefBased/>
  <w15:docId w15:val="{ABCAB1FE-9DEA-416C-AC9F-E796569DB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96"/>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406FA4"/>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406FA4"/>
    <w:pPr>
      <w:keepNext/>
      <w:keepLines/>
      <w:spacing w:before="160" w:after="120"/>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BF7F32"/>
    <w:pPr>
      <w:framePr w:w="7920" w:h="1980" w:hRule="exact" w:hSpace="180" w:wrap="auto" w:hAnchor="page" w:xAlign="center" w:yAlign="bottom"/>
      <w:ind w:left="2880"/>
    </w:pPr>
    <w:rPr>
      <w:rFonts w:eastAsiaTheme="majorEastAsia" w:cstheme="majorBidi"/>
      <w:kern w:val="24"/>
    </w:rPr>
  </w:style>
  <w:style w:type="character" w:customStyle="1" w:styleId="Heading2Char">
    <w:name w:val="Heading 2 Char"/>
    <w:basedOn w:val="DefaultParagraphFont"/>
    <w:link w:val="Heading2"/>
    <w:uiPriority w:val="9"/>
    <w:rsid w:val="00406FA4"/>
    <w:rPr>
      <w:rFonts w:ascii="Arial" w:eastAsiaTheme="majorEastAsia" w:hAnsi="Arial" w:cstheme="majorBidi"/>
      <w:b/>
      <w:sz w:val="28"/>
      <w:szCs w:val="26"/>
    </w:rPr>
  </w:style>
  <w:style w:type="paragraph" w:styleId="BalloonText">
    <w:name w:val="Balloon Text"/>
    <w:basedOn w:val="Normal"/>
    <w:link w:val="BalloonTextChar"/>
    <w:uiPriority w:val="99"/>
    <w:semiHidden/>
    <w:unhideWhenUsed/>
    <w:rsid w:val="00D569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9B3"/>
    <w:rPr>
      <w:rFonts w:ascii="Segoe UI" w:eastAsia="Times New Roman" w:hAnsi="Segoe UI" w:cs="Segoe UI"/>
      <w:sz w:val="18"/>
      <w:szCs w:val="18"/>
    </w:rPr>
  </w:style>
  <w:style w:type="character" w:customStyle="1" w:styleId="Heading1Char">
    <w:name w:val="Heading 1 Char"/>
    <w:basedOn w:val="DefaultParagraphFont"/>
    <w:link w:val="Heading1"/>
    <w:uiPriority w:val="9"/>
    <w:rsid w:val="00406FA4"/>
    <w:rPr>
      <w:rFonts w:ascii="Arial" w:eastAsiaTheme="majorEastAsia" w:hAnsi="Arial" w:cstheme="majorBidi"/>
      <w:b/>
      <w:sz w:val="32"/>
      <w:szCs w:val="32"/>
    </w:rPr>
  </w:style>
  <w:style w:type="character" w:styleId="CommentReference">
    <w:name w:val="annotation reference"/>
    <w:basedOn w:val="DefaultParagraphFont"/>
    <w:uiPriority w:val="99"/>
    <w:semiHidden/>
    <w:unhideWhenUsed/>
    <w:rsid w:val="004E7C5F"/>
    <w:rPr>
      <w:sz w:val="16"/>
      <w:szCs w:val="16"/>
    </w:rPr>
  </w:style>
  <w:style w:type="paragraph" w:styleId="BodyText">
    <w:name w:val="Body Text"/>
    <w:basedOn w:val="Normal"/>
    <w:link w:val="BodyTextChar"/>
    <w:uiPriority w:val="1"/>
    <w:qFormat/>
    <w:rsid w:val="004E7C5F"/>
    <w:pPr>
      <w:widowControl w:val="0"/>
      <w:autoSpaceDE w:val="0"/>
      <w:autoSpaceDN w:val="0"/>
    </w:pPr>
    <w:rPr>
      <w:rFonts w:eastAsia="Arial" w:cs="Arial"/>
      <w:sz w:val="23"/>
      <w:szCs w:val="23"/>
      <w:lang w:bidi="en-US"/>
    </w:rPr>
  </w:style>
  <w:style w:type="character" w:customStyle="1" w:styleId="BodyTextChar">
    <w:name w:val="Body Text Char"/>
    <w:basedOn w:val="DefaultParagraphFont"/>
    <w:link w:val="BodyText"/>
    <w:uiPriority w:val="1"/>
    <w:rsid w:val="004E7C5F"/>
    <w:rPr>
      <w:rFonts w:ascii="Arial" w:eastAsia="Arial" w:hAnsi="Arial" w:cs="Arial"/>
      <w:sz w:val="23"/>
      <w:szCs w:val="23"/>
      <w:lang w:bidi="en-US"/>
    </w:rPr>
  </w:style>
  <w:style w:type="paragraph" w:styleId="ListParagraph">
    <w:name w:val="List Paragraph"/>
    <w:basedOn w:val="Normal"/>
    <w:uiPriority w:val="1"/>
    <w:qFormat/>
    <w:rsid w:val="004E7C5F"/>
    <w:pPr>
      <w:widowControl w:val="0"/>
      <w:autoSpaceDE w:val="0"/>
      <w:autoSpaceDN w:val="0"/>
      <w:spacing w:before="120"/>
      <w:ind w:left="820" w:right="927" w:hanging="360"/>
    </w:pPr>
    <w:rPr>
      <w:rFonts w:eastAsia="Arial" w:cs="Arial"/>
      <w:sz w:val="22"/>
      <w:szCs w:val="22"/>
      <w:lang w:bidi="en-US"/>
    </w:rPr>
  </w:style>
  <w:style w:type="paragraph" w:styleId="NormalWeb">
    <w:name w:val="Normal (Web)"/>
    <w:basedOn w:val="Normal"/>
    <w:uiPriority w:val="99"/>
    <w:unhideWhenUsed/>
    <w:rsid w:val="00276CAF"/>
    <w:pPr>
      <w:spacing w:before="100" w:beforeAutospacing="1" w:after="100" w:afterAutospacing="1"/>
    </w:pPr>
    <w:rPr>
      <w:rFonts w:ascii="Times New Roman" w:hAnsi="Times New Roman"/>
    </w:rPr>
  </w:style>
  <w:style w:type="paragraph" w:styleId="CommentText">
    <w:name w:val="annotation text"/>
    <w:basedOn w:val="Normal"/>
    <w:link w:val="CommentTextChar"/>
    <w:uiPriority w:val="99"/>
    <w:semiHidden/>
    <w:unhideWhenUsed/>
    <w:rsid w:val="00DA305C"/>
    <w:rPr>
      <w:sz w:val="20"/>
      <w:szCs w:val="20"/>
    </w:rPr>
  </w:style>
  <w:style w:type="character" w:customStyle="1" w:styleId="CommentTextChar">
    <w:name w:val="Comment Text Char"/>
    <w:basedOn w:val="DefaultParagraphFont"/>
    <w:link w:val="CommentText"/>
    <w:uiPriority w:val="99"/>
    <w:semiHidden/>
    <w:rsid w:val="00DA305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DA305C"/>
    <w:rPr>
      <w:b/>
      <w:bCs/>
    </w:rPr>
  </w:style>
  <w:style w:type="character" w:customStyle="1" w:styleId="CommentSubjectChar">
    <w:name w:val="Comment Subject Char"/>
    <w:basedOn w:val="CommentTextChar"/>
    <w:link w:val="CommentSubject"/>
    <w:uiPriority w:val="99"/>
    <w:semiHidden/>
    <w:rsid w:val="00DA305C"/>
    <w:rPr>
      <w:rFonts w:ascii="Arial" w:eastAsia="Times New Roman" w:hAnsi="Arial" w:cs="Times New Roman"/>
      <w:b/>
      <w:bCs/>
      <w:sz w:val="20"/>
      <w:szCs w:val="20"/>
    </w:rPr>
  </w:style>
  <w:style w:type="character" w:styleId="Emphasis">
    <w:name w:val="Emphasis"/>
    <w:basedOn w:val="DefaultParagraphFont"/>
    <w:uiPriority w:val="20"/>
    <w:qFormat/>
    <w:rsid w:val="00956AE7"/>
    <w:rPr>
      <w:b/>
      <w:bCs/>
      <w:i w:val="0"/>
      <w:iCs w:val="0"/>
    </w:rPr>
  </w:style>
  <w:style w:type="character" w:customStyle="1" w:styleId="st1">
    <w:name w:val="st1"/>
    <w:basedOn w:val="DefaultParagraphFont"/>
    <w:rsid w:val="00956AE7"/>
  </w:style>
  <w:style w:type="paragraph" w:styleId="Header">
    <w:name w:val="header"/>
    <w:basedOn w:val="Normal"/>
    <w:link w:val="HeaderChar"/>
    <w:unhideWhenUsed/>
    <w:rsid w:val="00406FA4"/>
    <w:pPr>
      <w:tabs>
        <w:tab w:val="center" w:pos="4680"/>
        <w:tab w:val="right" w:pos="9360"/>
      </w:tabs>
    </w:pPr>
  </w:style>
  <w:style w:type="character" w:customStyle="1" w:styleId="HeaderChar">
    <w:name w:val="Header Char"/>
    <w:basedOn w:val="DefaultParagraphFont"/>
    <w:link w:val="Header"/>
    <w:rsid w:val="00406FA4"/>
    <w:rPr>
      <w:rFonts w:ascii="Arial" w:eastAsia="Times New Roman" w:hAnsi="Arial" w:cs="Times New Roman"/>
      <w:sz w:val="24"/>
      <w:szCs w:val="24"/>
    </w:rPr>
  </w:style>
  <w:style w:type="paragraph" w:styleId="Footer">
    <w:name w:val="footer"/>
    <w:basedOn w:val="Normal"/>
    <w:link w:val="FooterChar"/>
    <w:uiPriority w:val="99"/>
    <w:unhideWhenUsed/>
    <w:rsid w:val="00406FA4"/>
    <w:pPr>
      <w:tabs>
        <w:tab w:val="center" w:pos="4680"/>
        <w:tab w:val="right" w:pos="9360"/>
      </w:tabs>
    </w:pPr>
  </w:style>
  <w:style w:type="character" w:customStyle="1" w:styleId="FooterChar">
    <w:name w:val="Footer Char"/>
    <w:basedOn w:val="DefaultParagraphFont"/>
    <w:link w:val="Footer"/>
    <w:uiPriority w:val="99"/>
    <w:rsid w:val="00406FA4"/>
    <w:rPr>
      <w:rFonts w:ascii="Arial" w:eastAsia="Times New Roman" w:hAnsi="Arial" w:cs="Times New Roman"/>
      <w:sz w:val="24"/>
      <w:szCs w:val="24"/>
    </w:rPr>
  </w:style>
  <w:style w:type="character" w:styleId="Hyperlink">
    <w:name w:val="Hyperlink"/>
    <w:basedOn w:val="DefaultParagraphFont"/>
    <w:uiPriority w:val="99"/>
    <w:unhideWhenUsed/>
    <w:rsid w:val="002E20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2209">
      <w:bodyDiv w:val="1"/>
      <w:marLeft w:val="0"/>
      <w:marRight w:val="0"/>
      <w:marTop w:val="0"/>
      <w:marBottom w:val="0"/>
      <w:divBdr>
        <w:top w:val="none" w:sz="0" w:space="0" w:color="auto"/>
        <w:left w:val="none" w:sz="0" w:space="0" w:color="auto"/>
        <w:bottom w:val="none" w:sz="0" w:space="0" w:color="auto"/>
        <w:right w:val="none" w:sz="0" w:space="0" w:color="auto"/>
      </w:divBdr>
      <w:divsChild>
        <w:div w:id="1733967389">
          <w:marLeft w:val="0"/>
          <w:marRight w:val="0"/>
          <w:marTop w:val="0"/>
          <w:marBottom w:val="0"/>
          <w:divBdr>
            <w:top w:val="none" w:sz="0" w:space="0" w:color="auto"/>
            <w:left w:val="none" w:sz="0" w:space="0" w:color="auto"/>
            <w:bottom w:val="none" w:sz="0" w:space="0" w:color="auto"/>
            <w:right w:val="none" w:sz="0" w:space="0" w:color="auto"/>
          </w:divBdr>
        </w:div>
        <w:div w:id="176963212">
          <w:marLeft w:val="0"/>
          <w:marRight w:val="0"/>
          <w:marTop w:val="0"/>
          <w:marBottom w:val="0"/>
          <w:divBdr>
            <w:top w:val="none" w:sz="0" w:space="0" w:color="auto"/>
            <w:left w:val="none" w:sz="0" w:space="0" w:color="auto"/>
            <w:bottom w:val="none" w:sz="0" w:space="0" w:color="auto"/>
            <w:right w:val="none" w:sz="0" w:space="0" w:color="auto"/>
          </w:divBdr>
        </w:div>
        <w:div w:id="254362878">
          <w:marLeft w:val="0"/>
          <w:marRight w:val="0"/>
          <w:marTop w:val="0"/>
          <w:marBottom w:val="0"/>
          <w:divBdr>
            <w:top w:val="none" w:sz="0" w:space="0" w:color="auto"/>
            <w:left w:val="none" w:sz="0" w:space="0" w:color="auto"/>
            <w:bottom w:val="none" w:sz="0" w:space="0" w:color="auto"/>
            <w:right w:val="none" w:sz="0" w:space="0" w:color="auto"/>
          </w:divBdr>
        </w:div>
        <w:div w:id="1486359757">
          <w:marLeft w:val="0"/>
          <w:marRight w:val="0"/>
          <w:marTop w:val="0"/>
          <w:marBottom w:val="0"/>
          <w:divBdr>
            <w:top w:val="none" w:sz="0" w:space="0" w:color="auto"/>
            <w:left w:val="none" w:sz="0" w:space="0" w:color="auto"/>
            <w:bottom w:val="none" w:sz="0" w:space="0" w:color="auto"/>
            <w:right w:val="none" w:sz="0" w:space="0" w:color="auto"/>
          </w:divBdr>
        </w:div>
        <w:div w:id="381828805">
          <w:marLeft w:val="0"/>
          <w:marRight w:val="0"/>
          <w:marTop w:val="0"/>
          <w:marBottom w:val="0"/>
          <w:divBdr>
            <w:top w:val="none" w:sz="0" w:space="0" w:color="auto"/>
            <w:left w:val="none" w:sz="0" w:space="0" w:color="auto"/>
            <w:bottom w:val="none" w:sz="0" w:space="0" w:color="auto"/>
            <w:right w:val="none" w:sz="0" w:space="0" w:color="auto"/>
          </w:divBdr>
        </w:div>
        <w:div w:id="926185595">
          <w:marLeft w:val="0"/>
          <w:marRight w:val="0"/>
          <w:marTop w:val="0"/>
          <w:marBottom w:val="0"/>
          <w:divBdr>
            <w:top w:val="none" w:sz="0" w:space="0" w:color="auto"/>
            <w:left w:val="none" w:sz="0" w:space="0" w:color="auto"/>
            <w:bottom w:val="none" w:sz="0" w:space="0" w:color="auto"/>
            <w:right w:val="none" w:sz="0" w:space="0" w:color="auto"/>
          </w:divBdr>
        </w:div>
        <w:div w:id="953823352">
          <w:marLeft w:val="0"/>
          <w:marRight w:val="0"/>
          <w:marTop w:val="0"/>
          <w:marBottom w:val="0"/>
          <w:divBdr>
            <w:top w:val="none" w:sz="0" w:space="0" w:color="auto"/>
            <w:left w:val="none" w:sz="0" w:space="0" w:color="auto"/>
            <w:bottom w:val="none" w:sz="0" w:space="0" w:color="auto"/>
            <w:right w:val="none" w:sz="0" w:space="0" w:color="auto"/>
          </w:divBdr>
        </w:div>
        <w:div w:id="2083678931">
          <w:marLeft w:val="0"/>
          <w:marRight w:val="0"/>
          <w:marTop w:val="0"/>
          <w:marBottom w:val="0"/>
          <w:divBdr>
            <w:top w:val="none" w:sz="0" w:space="0" w:color="auto"/>
            <w:left w:val="none" w:sz="0" w:space="0" w:color="auto"/>
            <w:bottom w:val="none" w:sz="0" w:space="0" w:color="auto"/>
            <w:right w:val="none" w:sz="0" w:space="0" w:color="auto"/>
          </w:divBdr>
        </w:div>
        <w:div w:id="1415710928">
          <w:marLeft w:val="720"/>
          <w:marRight w:val="0"/>
          <w:marTop w:val="0"/>
          <w:marBottom w:val="0"/>
          <w:divBdr>
            <w:top w:val="none" w:sz="0" w:space="0" w:color="auto"/>
            <w:left w:val="none" w:sz="0" w:space="0" w:color="auto"/>
            <w:bottom w:val="none" w:sz="0" w:space="0" w:color="auto"/>
            <w:right w:val="none" w:sz="0" w:space="0" w:color="auto"/>
          </w:divBdr>
        </w:div>
        <w:div w:id="722870278">
          <w:marLeft w:val="720"/>
          <w:marRight w:val="0"/>
          <w:marTop w:val="0"/>
          <w:marBottom w:val="0"/>
          <w:divBdr>
            <w:top w:val="none" w:sz="0" w:space="0" w:color="auto"/>
            <w:left w:val="none" w:sz="0" w:space="0" w:color="auto"/>
            <w:bottom w:val="none" w:sz="0" w:space="0" w:color="auto"/>
            <w:right w:val="none" w:sz="0" w:space="0" w:color="auto"/>
          </w:divBdr>
        </w:div>
        <w:div w:id="488450750">
          <w:marLeft w:val="720"/>
          <w:marRight w:val="0"/>
          <w:marTop w:val="0"/>
          <w:marBottom w:val="0"/>
          <w:divBdr>
            <w:top w:val="none" w:sz="0" w:space="0" w:color="auto"/>
            <w:left w:val="none" w:sz="0" w:space="0" w:color="auto"/>
            <w:bottom w:val="none" w:sz="0" w:space="0" w:color="auto"/>
            <w:right w:val="none" w:sz="0" w:space="0" w:color="auto"/>
          </w:divBdr>
        </w:div>
        <w:div w:id="1032418880">
          <w:marLeft w:val="720"/>
          <w:marRight w:val="0"/>
          <w:marTop w:val="0"/>
          <w:marBottom w:val="0"/>
          <w:divBdr>
            <w:top w:val="none" w:sz="0" w:space="0" w:color="auto"/>
            <w:left w:val="none" w:sz="0" w:space="0" w:color="auto"/>
            <w:bottom w:val="none" w:sz="0" w:space="0" w:color="auto"/>
            <w:right w:val="none" w:sz="0" w:space="0" w:color="auto"/>
          </w:divBdr>
        </w:div>
        <w:div w:id="776369398">
          <w:marLeft w:val="720"/>
          <w:marRight w:val="0"/>
          <w:marTop w:val="0"/>
          <w:marBottom w:val="0"/>
          <w:divBdr>
            <w:top w:val="none" w:sz="0" w:space="0" w:color="auto"/>
            <w:left w:val="none" w:sz="0" w:space="0" w:color="auto"/>
            <w:bottom w:val="none" w:sz="0" w:space="0" w:color="auto"/>
            <w:right w:val="none" w:sz="0" w:space="0" w:color="auto"/>
          </w:divBdr>
        </w:div>
        <w:div w:id="763189328">
          <w:marLeft w:val="720"/>
          <w:marRight w:val="0"/>
          <w:marTop w:val="0"/>
          <w:marBottom w:val="0"/>
          <w:divBdr>
            <w:top w:val="none" w:sz="0" w:space="0" w:color="auto"/>
            <w:left w:val="none" w:sz="0" w:space="0" w:color="auto"/>
            <w:bottom w:val="none" w:sz="0" w:space="0" w:color="auto"/>
            <w:right w:val="none" w:sz="0" w:space="0" w:color="auto"/>
          </w:divBdr>
        </w:div>
      </w:divsChild>
    </w:div>
    <w:div w:id="993754811">
      <w:bodyDiv w:val="1"/>
      <w:marLeft w:val="0"/>
      <w:marRight w:val="0"/>
      <w:marTop w:val="0"/>
      <w:marBottom w:val="0"/>
      <w:divBdr>
        <w:top w:val="none" w:sz="0" w:space="0" w:color="auto"/>
        <w:left w:val="none" w:sz="0" w:space="0" w:color="auto"/>
        <w:bottom w:val="none" w:sz="0" w:space="0" w:color="auto"/>
        <w:right w:val="none" w:sz="0" w:space="0" w:color="auto"/>
      </w:divBdr>
    </w:div>
    <w:div w:id="1697735372">
      <w:bodyDiv w:val="1"/>
      <w:marLeft w:val="0"/>
      <w:marRight w:val="0"/>
      <w:marTop w:val="0"/>
      <w:marBottom w:val="0"/>
      <w:divBdr>
        <w:top w:val="none" w:sz="0" w:space="0" w:color="auto"/>
        <w:left w:val="none" w:sz="0" w:space="0" w:color="auto"/>
        <w:bottom w:val="none" w:sz="0" w:space="0" w:color="auto"/>
        <w:right w:val="none" w:sz="0" w:space="0" w:color="auto"/>
      </w:divBdr>
    </w:div>
    <w:div w:id="176588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s://www.casas.org/product-overviews/research-and-evaluation/california-state-reports-and-research-briefs/california-annual-wia-ii-performance-report" TargetMode="External"/><Relationship Id="rId4" Type="http://schemas.openxmlformats.org/officeDocument/2006/relationships/settings" Target="settings.xml"/><Relationship Id="rId9" Type="http://schemas.openxmlformats.org/officeDocument/2006/relationships/hyperlink" Target="https://www.cde.ca.gov/be/ag/ag/yr16/agenda201601.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3BA9B-10AE-44D5-9051-EA30A0889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3087</Words>
  <Characters>17601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April 2019 Memo TLSB CCTD Item 02 - Information Memorandum (CA State Board of Education)</vt:lpstr>
    </vt:vector>
  </TitlesOfParts>
  <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2019 Memo TLSB CCTD Item 02 - Information Memorandum (CA State Board of Education)</dc:title>
  <dc:subject>Adult Education in California: An Overview</dc:subject>
  <cp:keywords/>
  <dc:description/>
  <cp:revision>5</cp:revision>
  <cp:lastPrinted>2019-04-05T19:19:00Z</cp:lastPrinted>
  <dcterms:created xsi:type="dcterms:W3CDTF">2019-04-26T20:37:00Z</dcterms:created>
  <dcterms:modified xsi:type="dcterms:W3CDTF">2019-05-23T21:36:00Z</dcterms:modified>
  <cp:category/>
</cp:coreProperties>
</file>