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DEE0A" w14:textId="77777777" w:rsidR="006E06C6" w:rsidRPr="00C35F8B" w:rsidRDefault="00D5115F" w:rsidP="00B723BE">
      <w:r w:rsidRPr="00C35F8B">
        <w:rPr>
          <w:noProof/>
          <w:color w:val="2B579A"/>
          <w:shd w:val="clear" w:color="auto" w:fill="E6E6E6"/>
        </w:rPr>
        <w:drawing>
          <wp:inline distT="0" distB="0" distL="0" distR="0" wp14:anchorId="77E0FBFB" wp14:editId="0D2FB3BD">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3311D132" w14:textId="77777777" w:rsidR="00B723BE" w:rsidRPr="00C35F8B" w:rsidRDefault="00FC1FCE" w:rsidP="00B723BE">
      <w:pPr>
        <w:jc w:val="right"/>
      </w:pPr>
      <w:r w:rsidRPr="00C35F8B">
        <w:t>California Department of Education</w:t>
      </w:r>
    </w:p>
    <w:p w14:paraId="4D9343A7" w14:textId="77777777" w:rsidR="00B723BE" w:rsidRPr="00C35F8B" w:rsidRDefault="00FC1FCE" w:rsidP="00B723BE">
      <w:pPr>
        <w:jc w:val="right"/>
      </w:pPr>
      <w:r w:rsidRPr="00C35F8B">
        <w:t>Executive Office</w:t>
      </w:r>
    </w:p>
    <w:p w14:paraId="25974B5D" w14:textId="77777777" w:rsidR="002B4B14" w:rsidRPr="00C35F8B" w:rsidRDefault="00692300" w:rsidP="00B723BE">
      <w:pPr>
        <w:jc w:val="right"/>
      </w:pPr>
      <w:r w:rsidRPr="00C35F8B">
        <w:t>SBE-00</w:t>
      </w:r>
      <w:r w:rsidR="000324AD" w:rsidRPr="00C35F8B">
        <w:t>3</w:t>
      </w:r>
      <w:r w:rsidRPr="00C35F8B">
        <w:t xml:space="preserve"> (REV. 1</w:t>
      </w:r>
      <w:r w:rsidR="00C27D57" w:rsidRPr="00C35F8B">
        <w:t>1</w:t>
      </w:r>
      <w:r w:rsidRPr="00C35F8B">
        <w:t>/2017</w:t>
      </w:r>
      <w:r w:rsidR="00FC1FCE" w:rsidRPr="00C35F8B">
        <w:t>)</w:t>
      </w:r>
    </w:p>
    <w:p w14:paraId="383305A1" w14:textId="77777777" w:rsidR="00B723BE" w:rsidRPr="00C35F8B" w:rsidRDefault="00120A9E" w:rsidP="00B723BE">
      <w:pPr>
        <w:jc w:val="right"/>
      </w:pPr>
      <w:r w:rsidRPr="00C35F8B">
        <w:t>im</w:t>
      </w:r>
      <w:r w:rsidR="0039464E" w:rsidRPr="00C35F8B">
        <w:t>a</w:t>
      </w:r>
      <w:r w:rsidRPr="00C35F8B">
        <w:t>b-adad-</w:t>
      </w:r>
      <w:r w:rsidR="0039464E" w:rsidRPr="00C35F8B">
        <w:t>ma</w:t>
      </w:r>
      <w:r w:rsidR="00A10AC1" w:rsidRPr="00C35F8B">
        <w:t>y</w:t>
      </w:r>
      <w:r w:rsidRPr="00C35F8B">
        <w:t>2</w:t>
      </w:r>
      <w:r w:rsidR="0039464E" w:rsidRPr="00C35F8B">
        <w:t>2</w:t>
      </w:r>
      <w:r w:rsidRPr="00C35F8B">
        <w:t>item0</w:t>
      </w:r>
      <w:r w:rsidR="0039464E" w:rsidRPr="00C35F8B">
        <w:t>1</w:t>
      </w:r>
    </w:p>
    <w:p w14:paraId="186BB8F9" w14:textId="77777777" w:rsidR="00B723BE" w:rsidRPr="00C35F8B" w:rsidRDefault="00B723BE" w:rsidP="00FC1FCE">
      <w:pPr>
        <w:pStyle w:val="Heading1"/>
        <w:jc w:val="center"/>
        <w:rPr>
          <w:rFonts w:cs="Arial"/>
          <w:sz w:val="40"/>
          <w:szCs w:val="40"/>
        </w:rPr>
        <w:sectPr w:rsidR="00B723BE" w:rsidRPr="00C35F8B"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77A3E6DF" w14:textId="77777777" w:rsidR="006E06C6" w:rsidRPr="00C35F8B" w:rsidRDefault="006E06C6" w:rsidP="00FC1FCE">
      <w:pPr>
        <w:pStyle w:val="Heading1"/>
        <w:jc w:val="center"/>
        <w:rPr>
          <w:rFonts w:cs="Arial"/>
          <w:sz w:val="40"/>
          <w:szCs w:val="40"/>
        </w:rPr>
        <w:sectPr w:rsidR="006E06C6" w:rsidRPr="00C35F8B" w:rsidSect="0091117B">
          <w:footerReference w:type="default" r:id="rId14"/>
          <w:type w:val="continuous"/>
          <w:pgSz w:w="12240" w:h="15840"/>
          <w:pgMar w:top="720" w:right="1440" w:bottom="1440" w:left="1440" w:header="720" w:footer="720" w:gutter="0"/>
          <w:cols w:space="720"/>
          <w:docGrid w:linePitch="360"/>
        </w:sectPr>
      </w:pPr>
    </w:p>
    <w:p w14:paraId="65DCDE9D" w14:textId="757570CE" w:rsidR="00FC1FCE" w:rsidRPr="00C35F8B" w:rsidRDefault="0091117B" w:rsidP="00FD0F1A">
      <w:pPr>
        <w:pStyle w:val="Heading1"/>
        <w:spacing w:before="240" w:after="240"/>
        <w:jc w:val="center"/>
        <w:rPr>
          <w:rFonts w:cs="Arial"/>
          <w:sz w:val="40"/>
          <w:szCs w:val="40"/>
        </w:rPr>
      </w:pPr>
      <w:r w:rsidRPr="00C35F8B">
        <w:rPr>
          <w:rFonts w:cs="Arial"/>
          <w:sz w:val="40"/>
          <w:szCs w:val="40"/>
        </w:rPr>
        <w:t>Californ</w:t>
      </w:r>
      <w:r w:rsidR="00693951" w:rsidRPr="00C35F8B">
        <w:rPr>
          <w:rFonts w:cs="Arial"/>
          <w:sz w:val="40"/>
          <w:szCs w:val="40"/>
        </w:rPr>
        <w:t>ia State Board of Education</w:t>
      </w:r>
      <w:r w:rsidRPr="00C35F8B">
        <w:rPr>
          <w:rFonts w:cs="Arial"/>
        </w:rPr>
        <w:br/>
      </w:r>
      <w:r w:rsidR="00A10AC1" w:rsidRPr="00C35F8B">
        <w:rPr>
          <w:rFonts w:cs="Arial"/>
          <w:sz w:val="40"/>
          <w:szCs w:val="40"/>
        </w:rPr>
        <w:t>May</w:t>
      </w:r>
      <w:r w:rsidR="003F0826" w:rsidRPr="00C35F8B">
        <w:rPr>
          <w:rFonts w:cs="Arial"/>
          <w:sz w:val="40"/>
          <w:szCs w:val="40"/>
        </w:rPr>
        <w:t xml:space="preserve"> 2022</w:t>
      </w:r>
      <w:r w:rsidRPr="00C35F8B">
        <w:rPr>
          <w:rFonts w:cs="Arial"/>
          <w:sz w:val="40"/>
          <w:szCs w:val="40"/>
        </w:rPr>
        <w:t xml:space="preserve"> Agenda</w:t>
      </w:r>
      <w:r w:rsidRPr="00C35F8B">
        <w:rPr>
          <w:rFonts w:cs="Arial"/>
        </w:rPr>
        <w:br/>
      </w:r>
      <w:r w:rsidR="00FC1FCE" w:rsidRPr="00C35F8B">
        <w:rPr>
          <w:rFonts w:cs="Arial"/>
          <w:sz w:val="40"/>
          <w:szCs w:val="40"/>
        </w:rPr>
        <w:t>Item</w:t>
      </w:r>
      <w:r w:rsidR="00692300" w:rsidRPr="00C35F8B">
        <w:rPr>
          <w:rFonts w:cs="Arial"/>
          <w:sz w:val="40"/>
          <w:szCs w:val="40"/>
        </w:rPr>
        <w:t xml:space="preserve"> #</w:t>
      </w:r>
      <w:r w:rsidR="00130059" w:rsidRPr="00C35F8B">
        <w:rPr>
          <w:rFonts w:cs="Arial"/>
          <w:sz w:val="40"/>
          <w:szCs w:val="40"/>
        </w:rPr>
        <w:t>0</w:t>
      </w:r>
      <w:r w:rsidR="00C35F8B">
        <w:rPr>
          <w:rFonts w:cs="Arial"/>
          <w:sz w:val="40"/>
          <w:szCs w:val="40"/>
        </w:rPr>
        <w:t>3</w:t>
      </w:r>
      <w:bookmarkStart w:id="0" w:name="_GoBack"/>
      <w:bookmarkEnd w:id="0"/>
    </w:p>
    <w:p w14:paraId="65551290" w14:textId="77777777" w:rsidR="00FC1FCE" w:rsidRPr="00C35F8B" w:rsidRDefault="00FC1FCE" w:rsidP="00675031">
      <w:pPr>
        <w:pStyle w:val="Heading2"/>
      </w:pPr>
      <w:r w:rsidRPr="00C35F8B">
        <w:t>Subject</w:t>
      </w:r>
    </w:p>
    <w:p w14:paraId="0BB5FCE0" w14:textId="77777777" w:rsidR="000324AD" w:rsidRPr="00C35F8B" w:rsidRDefault="64469242" w:rsidP="00FD0F1A">
      <w:pPr>
        <w:spacing w:after="480"/>
      </w:pPr>
      <w:r w:rsidRPr="00C35F8B">
        <w:rPr>
          <w:rFonts w:eastAsia="Arial"/>
        </w:rPr>
        <w:t xml:space="preserve">The California Assessment of Student Performance and Progress System and English Language Proficiency Assessments for California: Approval of the </w:t>
      </w:r>
      <w:r w:rsidR="00512973" w:rsidRPr="00C35F8B">
        <w:rPr>
          <w:rFonts w:eastAsia="Arial"/>
        </w:rPr>
        <w:t>2021</w:t>
      </w:r>
      <w:r w:rsidR="00512973" w:rsidRPr="00C35F8B">
        <w:rPr>
          <w:rFonts w:eastAsia="Arial"/>
          <w:color w:val="000000" w:themeColor="text1"/>
        </w:rPr>
        <w:t>–22 Apportionment Rates</w:t>
      </w:r>
      <w:r w:rsidR="003A7E5E" w:rsidRPr="00C35F8B">
        <w:rPr>
          <w:rFonts w:eastAsia="Arial"/>
          <w:color w:val="000000" w:themeColor="text1"/>
        </w:rPr>
        <w:t>, Approval of</w:t>
      </w:r>
      <w:r w:rsidR="00512973" w:rsidRPr="00C35F8B">
        <w:rPr>
          <w:rFonts w:eastAsia="Arial"/>
          <w:color w:val="000000" w:themeColor="text1"/>
        </w:rPr>
        <w:t xml:space="preserve"> the</w:t>
      </w:r>
      <w:r w:rsidR="00512973" w:rsidRPr="00C35F8B">
        <w:rPr>
          <w:rFonts w:eastAsia="Arial"/>
        </w:rPr>
        <w:t xml:space="preserve"> </w:t>
      </w:r>
      <w:r w:rsidRPr="00C35F8B">
        <w:rPr>
          <w:rFonts w:eastAsia="Arial"/>
        </w:rPr>
        <w:t>Proposed Alternate English Language Proficiency Assessments for California Threshold Scores</w:t>
      </w:r>
      <w:r w:rsidR="003A7E5E" w:rsidRPr="00C35F8B">
        <w:rPr>
          <w:rFonts w:eastAsia="Arial"/>
        </w:rPr>
        <w:t>,</w:t>
      </w:r>
      <w:r w:rsidRPr="00C35F8B">
        <w:rPr>
          <w:rFonts w:eastAsia="Arial"/>
        </w:rPr>
        <w:t xml:space="preserve"> and Update</w:t>
      </w:r>
      <w:r w:rsidR="00AB2DA1" w:rsidRPr="00C35F8B">
        <w:rPr>
          <w:rFonts w:eastAsia="Arial"/>
        </w:rPr>
        <w:t>s</w:t>
      </w:r>
      <w:r w:rsidRPr="00C35F8B">
        <w:rPr>
          <w:rFonts w:eastAsia="Arial"/>
        </w:rPr>
        <w:t xml:space="preserve"> on Assessment Program Activities.</w:t>
      </w:r>
    </w:p>
    <w:p w14:paraId="5FB2D9B1" w14:textId="77777777" w:rsidR="00FC1FCE" w:rsidRPr="00C35F8B" w:rsidRDefault="00FC1FCE" w:rsidP="00675031">
      <w:pPr>
        <w:pStyle w:val="Heading2"/>
      </w:pPr>
      <w:r w:rsidRPr="00C35F8B">
        <w:t>Type of Action</w:t>
      </w:r>
    </w:p>
    <w:p w14:paraId="6B563D9B" w14:textId="77777777" w:rsidR="0091117B" w:rsidRPr="00C35F8B" w:rsidRDefault="008909EE" w:rsidP="00FD0F1A">
      <w:pPr>
        <w:spacing w:after="480"/>
      </w:pPr>
      <w:r w:rsidRPr="00C35F8B">
        <w:t>Action, Information</w:t>
      </w:r>
      <w:r w:rsidR="000A7CEE" w:rsidRPr="00C35F8B">
        <w:t>.</w:t>
      </w:r>
    </w:p>
    <w:p w14:paraId="66864922" w14:textId="77777777" w:rsidR="00FC1FCE" w:rsidRPr="00C35F8B" w:rsidRDefault="00FC1FCE" w:rsidP="00675031">
      <w:pPr>
        <w:pStyle w:val="Heading2"/>
      </w:pPr>
      <w:r w:rsidRPr="00C35F8B">
        <w:t>Summary of the Issue(s)</w:t>
      </w:r>
    </w:p>
    <w:p w14:paraId="48B097DC" w14:textId="77777777" w:rsidR="00413E28" w:rsidRPr="00C35F8B" w:rsidRDefault="75D43418" w:rsidP="00413E28">
      <w:pPr>
        <w:spacing w:after="240"/>
        <w:rPr>
          <w:rFonts w:eastAsia="Arial"/>
          <w:color w:val="000000" w:themeColor="text1"/>
        </w:rPr>
      </w:pPr>
      <w:r w:rsidRPr="00C35F8B">
        <w:rPr>
          <w:color w:val="000000" w:themeColor="text1"/>
        </w:rPr>
        <w:t xml:space="preserve">The California Department of Education (CDE) seeks approval of the proposed 2021–22 apportionment rates for the California Assessment of Student Performance and Progress (CAASPP) and the English Language Proficiency Assessments for California (ELPAC). </w:t>
      </w:r>
      <w:r w:rsidR="0CF1A79B" w:rsidRPr="00C35F8B">
        <w:t>Th</w:t>
      </w:r>
      <w:r w:rsidRPr="00C35F8B">
        <w:t>is</w:t>
      </w:r>
      <w:r w:rsidR="0CF1A79B" w:rsidRPr="00C35F8B">
        <w:t xml:space="preserve"> item</w:t>
      </w:r>
      <w:r w:rsidRPr="00C35F8B">
        <w:t xml:space="preserve"> also</w:t>
      </w:r>
      <w:r w:rsidR="0CF1A79B" w:rsidRPr="00C35F8B">
        <w:t xml:space="preserve"> seeks approval of</w:t>
      </w:r>
      <w:r w:rsidR="0CF1A79B" w:rsidRPr="00C35F8B">
        <w:rPr>
          <w:rFonts w:eastAsia="Arial"/>
          <w:color w:val="000000" w:themeColor="text1"/>
        </w:rPr>
        <w:t xml:space="preserve"> the </w:t>
      </w:r>
      <w:r w:rsidR="32092FAA" w:rsidRPr="00C35F8B">
        <w:rPr>
          <w:rFonts w:eastAsia="Arial"/>
          <w:color w:val="000000" w:themeColor="text1"/>
        </w:rPr>
        <w:t xml:space="preserve">State Superintendent of Public Instruction’s proposed </w:t>
      </w:r>
      <w:r w:rsidR="0CF1A79B" w:rsidRPr="00C35F8B">
        <w:rPr>
          <w:rFonts w:eastAsia="Arial"/>
          <w:color w:val="000000" w:themeColor="text1"/>
        </w:rPr>
        <w:t>Alternate ELPAC threshold scores</w:t>
      </w:r>
      <w:r w:rsidR="0FD1F0C6" w:rsidRPr="00C35F8B">
        <w:rPr>
          <w:rFonts w:eastAsia="Arial"/>
          <w:color w:val="000000" w:themeColor="text1"/>
        </w:rPr>
        <w:t xml:space="preserve"> for 2021</w:t>
      </w:r>
      <w:r w:rsidR="2C7C2F10" w:rsidRPr="00C35F8B">
        <w:rPr>
          <w:rFonts w:eastAsia="Arial"/>
          <w:color w:val="000000" w:themeColor="text1"/>
        </w:rPr>
        <w:t>–</w:t>
      </w:r>
      <w:r w:rsidR="0FD1F0C6" w:rsidRPr="00C35F8B">
        <w:rPr>
          <w:rFonts w:eastAsia="Arial"/>
          <w:color w:val="000000" w:themeColor="text1"/>
        </w:rPr>
        <w:t>22 and beyond</w:t>
      </w:r>
      <w:r w:rsidR="0CF1A79B" w:rsidRPr="00C35F8B">
        <w:rPr>
          <w:rFonts w:eastAsia="Arial"/>
          <w:color w:val="000000" w:themeColor="text1"/>
        </w:rPr>
        <w:t>.</w:t>
      </w:r>
    </w:p>
    <w:p w14:paraId="39BEAC16" w14:textId="5924EE23" w:rsidR="00413E28" w:rsidRPr="00C35F8B" w:rsidRDefault="00413E28" w:rsidP="003D106C">
      <w:pPr>
        <w:spacing w:after="480"/>
        <w:rPr>
          <w:rFonts w:eastAsia="Arial"/>
          <w:color w:val="000000" w:themeColor="text1"/>
        </w:rPr>
      </w:pPr>
      <w:r w:rsidRPr="00C35F8B">
        <w:rPr>
          <w:rFonts w:eastAsia="Arial"/>
          <w:color w:val="000000" w:themeColor="text1"/>
        </w:rPr>
        <w:t xml:space="preserve">In addition, this item provides an update on recent events and developments related to the CAASPP, the ELPAC, and an update on </w:t>
      </w:r>
      <w:r w:rsidR="00407704" w:rsidRPr="00C35F8B">
        <w:rPr>
          <w:rFonts w:eastAsia="Arial"/>
          <w:color w:val="000000" w:themeColor="text1"/>
        </w:rPr>
        <w:t>n</w:t>
      </w:r>
      <w:r w:rsidRPr="00C35F8B">
        <w:rPr>
          <w:rFonts w:eastAsia="Arial"/>
          <w:color w:val="000000" w:themeColor="text1"/>
        </w:rPr>
        <w:t xml:space="preserve">ational and </w:t>
      </w:r>
      <w:r w:rsidR="00407704" w:rsidRPr="00C35F8B">
        <w:rPr>
          <w:rFonts w:eastAsia="Arial"/>
          <w:color w:val="000000" w:themeColor="text1"/>
        </w:rPr>
        <w:t>i</w:t>
      </w:r>
      <w:r w:rsidRPr="00C35F8B">
        <w:rPr>
          <w:rFonts w:eastAsia="Arial"/>
          <w:color w:val="000000" w:themeColor="text1"/>
        </w:rPr>
        <w:t xml:space="preserve">nternational </w:t>
      </w:r>
      <w:r w:rsidR="00407704" w:rsidRPr="00C35F8B">
        <w:rPr>
          <w:rFonts w:eastAsia="Arial"/>
          <w:color w:val="000000" w:themeColor="text1"/>
        </w:rPr>
        <w:t>a</w:t>
      </w:r>
      <w:r w:rsidRPr="00C35F8B">
        <w:rPr>
          <w:rFonts w:eastAsia="Arial"/>
          <w:color w:val="000000" w:themeColor="text1"/>
        </w:rPr>
        <w:t>ssessments.</w:t>
      </w:r>
      <w:r w:rsidR="001623FE" w:rsidRPr="00C35F8B">
        <w:rPr>
          <w:rFonts w:eastAsia="Arial"/>
          <w:color w:val="000000" w:themeColor="text1"/>
        </w:rPr>
        <w:t xml:space="preserve"> </w:t>
      </w:r>
      <w:r w:rsidR="001623FE" w:rsidRPr="00C35F8B">
        <w:rPr>
          <w:rStyle w:val="normaltextrun"/>
          <w:color w:val="000000"/>
          <w:shd w:val="clear" w:color="auto" w:fill="FFFFFF"/>
        </w:rPr>
        <w:t xml:space="preserve">Attachment 1 provides the CAASPP and ELPAC outreach and professional development activities from March through </w:t>
      </w:r>
      <w:r w:rsidR="001B2CBA" w:rsidRPr="00C35F8B">
        <w:rPr>
          <w:rStyle w:val="normaltextrun"/>
          <w:color w:val="000000"/>
          <w:shd w:val="clear" w:color="auto" w:fill="FFFFFF"/>
        </w:rPr>
        <w:t>April</w:t>
      </w:r>
      <w:r w:rsidR="001623FE" w:rsidRPr="00C35F8B">
        <w:rPr>
          <w:rStyle w:val="normaltextrun"/>
          <w:color w:val="000000"/>
          <w:shd w:val="clear" w:color="auto" w:fill="FFFFFF"/>
        </w:rPr>
        <w:t xml:space="preserve"> 2022.</w:t>
      </w:r>
    </w:p>
    <w:p w14:paraId="62DCA7AC" w14:textId="77777777" w:rsidR="003E4DF7" w:rsidRPr="00C35F8B" w:rsidRDefault="003E4DF7" w:rsidP="00675031">
      <w:pPr>
        <w:pStyle w:val="Heading2"/>
      </w:pPr>
      <w:r w:rsidRPr="00C35F8B">
        <w:t>Recommendation</w:t>
      </w:r>
    </w:p>
    <w:p w14:paraId="46196FF7" w14:textId="77777777" w:rsidR="003E4DF7" w:rsidRPr="00C35F8B" w:rsidRDefault="3383F969" w:rsidP="00FD0F1A">
      <w:pPr>
        <w:spacing w:after="240"/>
      </w:pPr>
      <w:r w:rsidRPr="00C35F8B">
        <w:t>The CDE recommends that the California State Board of Education (SBE)</w:t>
      </w:r>
      <w:r w:rsidR="2063AC50" w:rsidRPr="00C35F8B">
        <w:t xml:space="preserve"> approve</w:t>
      </w:r>
      <w:r w:rsidR="00525EFE" w:rsidRPr="00C35F8B">
        <w:t xml:space="preserve"> </w:t>
      </w:r>
      <w:r w:rsidR="00880C5E" w:rsidRPr="00C35F8B">
        <w:t>the following:</w:t>
      </w:r>
    </w:p>
    <w:p w14:paraId="58E92195" w14:textId="77777777" w:rsidR="008C1EFD" w:rsidRPr="00C35F8B" w:rsidRDefault="00512973" w:rsidP="008C1EFD">
      <w:pPr>
        <w:pStyle w:val="ListParagraph"/>
        <w:numPr>
          <w:ilvl w:val="0"/>
          <w:numId w:val="27"/>
        </w:numPr>
        <w:spacing w:after="240"/>
        <w:contextualSpacing w:val="0"/>
        <w:rPr>
          <w:rFonts w:eastAsia="Arial"/>
        </w:rPr>
      </w:pPr>
      <w:r w:rsidRPr="00C35F8B">
        <w:rPr>
          <w:rFonts w:eastAsia="Arial"/>
        </w:rPr>
        <w:t xml:space="preserve">Per-pupil apportionment rates for the 2021–22 school year (contingent on the availability of an appropriation for this purpose) for the CAASPP tests </w:t>
      </w:r>
      <w:r w:rsidRPr="00C35F8B">
        <w:rPr>
          <w:rFonts w:eastAsia="Arial"/>
        </w:rPr>
        <w:lastRenderedPageBreak/>
        <w:t>administered as part of the CAASPP System, as provided in table 1 of Attachment 2.</w:t>
      </w:r>
    </w:p>
    <w:p w14:paraId="02BA3C95" w14:textId="77777777" w:rsidR="00C962E0" w:rsidRPr="00C35F8B" w:rsidRDefault="008C1EFD" w:rsidP="008C1EFD">
      <w:pPr>
        <w:pStyle w:val="ListParagraph"/>
        <w:numPr>
          <w:ilvl w:val="0"/>
          <w:numId w:val="27"/>
        </w:numPr>
        <w:spacing w:after="240"/>
        <w:contextualSpacing w:val="0"/>
        <w:rPr>
          <w:rFonts w:eastAsia="Arial"/>
        </w:rPr>
      </w:pPr>
      <w:r w:rsidRPr="00C35F8B">
        <w:rPr>
          <w:rFonts w:eastAsia="Arial"/>
        </w:rPr>
        <w:t>Per-pupil apportionment rates for the 2021–22 school year (contingent on the availability of an appropriation for this purpose) for the ELPAC tests administered, as provided in table 2 of Attachment 2</w:t>
      </w:r>
      <w:r w:rsidR="003D2FFC" w:rsidRPr="00C35F8B">
        <w:rPr>
          <w:rFonts w:eastAsia="Arial"/>
        </w:rPr>
        <w:t>.</w:t>
      </w:r>
    </w:p>
    <w:p w14:paraId="3DB2BF60" w14:textId="444FF470" w:rsidR="003E4DF7" w:rsidRPr="00C35F8B" w:rsidRDefault="00C962E0" w:rsidP="00CC6BCA">
      <w:pPr>
        <w:pStyle w:val="ListParagraph"/>
        <w:numPr>
          <w:ilvl w:val="0"/>
          <w:numId w:val="27"/>
        </w:numPr>
        <w:spacing w:after="480"/>
        <w:contextualSpacing w:val="0"/>
        <w:rPr>
          <w:rFonts w:eastAsiaTheme="minorEastAsia"/>
        </w:rPr>
      </w:pPr>
      <w:r w:rsidRPr="00C35F8B">
        <w:t>T</w:t>
      </w:r>
      <w:r w:rsidR="692998BF" w:rsidRPr="00C35F8B">
        <w:t>he State Superintendent of Public Instruction’s proposed Initial and Summative Alternate ELPAC threshold scores, to be effective beginning with the 2021–22 administration. The proposed threshold scores are shown in table</w:t>
      </w:r>
      <w:r w:rsidR="007429C5" w:rsidRPr="00C35F8B">
        <w:t>s</w:t>
      </w:r>
      <w:r w:rsidR="692998BF" w:rsidRPr="00C35F8B">
        <w:t xml:space="preserve"> 1 and 2 of Attachment </w:t>
      </w:r>
      <w:r w:rsidR="000E4D42" w:rsidRPr="00C35F8B">
        <w:t>4</w:t>
      </w:r>
      <w:r w:rsidR="692998BF" w:rsidRPr="00C35F8B">
        <w:t>.</w:t>
      </w:r>
    </w:p>
    <w:p w14:paraId="0D6495E7" w14:textId="77777777" w:rsidR="00F40510" w:rsidRPr="00C35F8B" w:rsidRDefault="003E4DF7" w:rsidP="00A85C53">
      <w:pPr>
        <w:pStyle w:val="Heading2"/>
      </w:pPr>
      <w:r w:rsidRPr="00C35F8B">
        <w:t>Brief History of Key Issues</w:t>
      </w:r>
    </w:p>
    <w:p w14:paraId="66D78918" w14:textId="77777777" w:rsidR="00512973" w:rsidRPr="00C35F8B" w:rsidRDefault="00512973" w:rsidP="001761CE">
      <w:pPr>
        <w:spacing w:after="480"/>
        <w:rPr>
          <w:rFonts w:eastAsia="Arial"/>
        </w:rPr>
      </w:pPr>
      <w:r w:rsidRPr="00C35F8B">
        <w:rPr>
          <w:rFonts w:eastAsia="Arial"/>
        </w:rPr>
        <w:t>The following sections detail the CDE’s proposed recommendations to the SBE and provide a summary of developments and updates related to the California Assessment System, which consists of the CAASPP and the ELPAC.</w:t>
      </w:r>
    </w:p>
    <w:p w14:paraId="75B3572D" w14:textId="77777777" w:rsidR="00512973" w:rsidRPr="00C35F8B" w:rsidRDefault="00512973" w:rsidP="008737C3">
      <w:pPr>
        <w:pStyle w:val="Heading3"/>
        <w:rPr>
          <w:sz w:val="32"/>
          <w:szCs w:val="32"/>
        </w:rPr>
      </w:pPr>
      <w:r w:rsidRPr="00C35F8B">
        <w:rPr>
          <w:sz w:val="32"/>
          <w:szCs w:val="32"/>
        </w:rPr>
        <w:t>Proposed 2021–22 Apportionment Rates</w:t>
      </w:r>
    </w:p>
    <w:p w14:paraId="7C24440B" w14:textId="77777777" w:rsidR="00512973" w:rsidRPr="00C35F8B" w:rsidRDefault="00512973" w:rsidP="00FD0F1A">
      <w:pPr>
        <w:spacing w:after="240"/>
        <w:rPr>
          <w:rFonts w:eastAsia="Arial"/>
        </w:rPr>
      </w:pPr>
      <w:r w:rsidRPr="00C35F8B">
        <w:rPr>
          <w:rFonts w:eastAsia="Arial"/>
        </w:rPr>
        <w:t xml:space="preserve">California </w:t>
      </w:r>
      <w:r w:rsidRPr="00C35F8B">
        <w:rPr>
          <w:rFonts w:eastAsia="Arial"/>
          <w:i/>
          <w:iCs/>
        </w:rPr>
        <w:t xml:space="preserve">Education Code </w:t>
      </w:r>
      <w:r w:rsidRPr="00C35F8B">
        <w:rPr>
          <w:rFonts w:eastAsia="Arial"/>
        </w:rPr>
        <w:t>(</w:t>
      </w:r>
      <w:r w:rsidRPr="00C35F8B">
        <w:rPr>
          <w:rFonts w:eastAsia="Arial"/>
          <w:i/>
          <w:iCs/>
        </w:rPr>
        <w:t>EC</w:t>
      </w:r>
      <w:r w:rsidRPr="00C35F8B">
        <w:rPr>
          <w:rFonts w:eastAsia="Arial"/>
        </w:rPr>
        <w:t>) sections 60640(l)(1) and 60810(a)(3) require that the State Superintendent of Public Instruction apportion funds to local educational agencies (LEAs) for the administration of the CAASPP and the ELPAC. The CDE recommends that the SBE approve the per-pupil apportionment rates listed in tables 1 and 2 of Attachment 2, contingent on the availability of an appropriation for this purpose, for tests administered as part of the CAASPP and the ELPAC during the 2021–22 school year.</w:t>
      </w:r>
    </w:p>
    <w:p w14:paraId="16534D04" w14:textId="77777777" w:rsidR="00512973" w:rsidRPr="00C35F8B" w:rsidRDefault="00512973" w:rsidP="00FD0F1A">
      <w:pPr>
        <w:spacing w:after="240"/>
        <w:rPr>
          <w:color w:val="000000"/>
        </w:rPr>
      </w:pPr>
      <w:r w:rsidRPr="00C35F8B">
        <w:rPr>
          <w:rFonts w:eastAsia="Arial"/>
        </w:rPr>
        <w:t>Assessment apportionments are not distributed until the following fiscal year, when all testing for the previous year has been completed (i.e., LEAs will be reimbursed in 2022–23 for testing that occurs in 2021–22).</w:t>
      </w:r>
      <w:r w:rsidR="00A85C53" w:rsidRPr="00C35F8B">
        <w:rPr>
          <w:color w:val="000000" w:themeColor="text1"/>
        </w:rPr>
        <w:t xml:space="preserve"> Attachment 3 provides the estimated number of pupils tested per grade, by assessment, and the estimated apportionment cost per assessment based on the proposed per-pupil rates.</w:t>
      </w:r>
      <w:r w:rsidRPr="00C35F8B">
        <w:rPr>
          <w:rFonts w:eastAsia="Arial"/>
        </w:rPr>
        <w:t xml:space="preserve"> The assessment apportionment funds are unrestricted funds to reimburse LEAs for the following costs:</w:t>
      </w:r>
    </w:p>
    <w:p w14:paraId="14BE3F0A" w14:textId="77777777" w:rsidR="00512973" w:rsidRPr="00C35F8B" w:rsidRDefault="00512973" w:rsidP="00FD0F1A">
      <w:pPr>
        <w:numPr>
          <w:ilvl w:val="0"/>
          <w:numId w:val="21"/>
        </w:numPr>
        <w:spacing w:after="240"/>
        <w:rPr>
          <w:rFonts w:eastAsiaTheme="minorEastAsia"/>
        </w:rPr>
      </w:pPr>
      <w:r w:rsidRPr="00C35F8B">
        <w:rPr>
          <w:rFonts w:eastAsia="Arial"/>
        </w:rPr>
        <w:t>All staffing costs, including the LEA coordinator, the test site coordinators, and staff training and other staff expenses, such as test administration time related to testing</w:t>
      </w:r>
    </w:p>
    <w:p w14:paraId="61851907" w14:textId="77777777" w:rsidR="00512973" w:rsidRPr="00C35F8B" w:rsidRDefault="00512973" w:rsidP="00FD0F1A">
      <w:pPr>
        <w:numPr>
          <w:ilvl w:val="0"/>
          <w:numId w:val="21"/>
        </w:numPr>
        <w:spacing w:after="240"/>
        <w:rPr>
          <w:rFonts w:eastAsiaTheme="minorEastAsia"/>
        </w:rPr>
      </w:pPr>
      <w:r w:rsidRPr="00C35F8B">
        <w:rPr>
          <w:rFonts w:eastAsia="Arial"/>
        </w:rPr>
        <w:t>All expenses incurred at the LEA level and site level related to testing</w:t>
      </w:r>
    </w:p>
    <w:p w14:paraId="4A1E1CCD" w14:textId="77777777" w:rsidR="00512973" w:rsidRPr="00C35F8B" w:rsidRDefault="00512973" w:rsidP="00FD0F1A">
      <w:pPr>
        <w:numPr>
          <w:ilvl w:val="0"/>
          <w:numId w:val="21"/>
        </w:numPr>
        <w:spacing w:after="240"/>
        <w:rPr>
          <w:rFonts w:eastAsiaTheme="minorEastAsia"/>
        </w:rPr>
      </w:pPr>
      <w:r w:rsidRPr="00C35F8B">
        <w:rPr>
          <w:rFonts w:eastAsia="Arial"/>
        </w:rPr>
        <w:t xml:space="preserve">All transportation costs for delivering and retrieving tests and test materials within the LEA </w:t>
      </w:r>
    </w:p>
    <w:p w14:paraId="0043B699" w14:textId="77777777" w:rsidR="00512973" w:rsidRPr="00C35F8B" w:rsidRDefault="00512973" w:rsidP="00FD0F1A">
      <w:pPr>
        <w:spacing w:after="240"/>
        <w:rPr>
          <w:rFonts w:eastAsia="Arial"/>
        </w:rPr>
      </w:pPr>
      <w:r w:rsidRPr="00C35F8B">
        <w:rPr>
          <w:rFonts w:eastAsia="Arial"/>
        </w:rPr>
        <w:lastRenderedPageBreak/>
        <w:t xml:space="preserve">All covered costs of the collection and submission of student demographic information are associated with the processes necessary to provide the complete and accurate data required for student group reporting per state regulations. </w:t>
      </w:r>
    </w:p>
    <w:p w14:paraId="40C0C20E" w14:textId="77777777" w:rsidR="00512973" w:rsidRPr="00C35F8B" w:rsidRDefault="00512973" w:rsidP="00F51FA0">
      <w:pPr>
        <w:pStyle w:val="Heading4"/>
        <w:rPr>
          <w:rFonts w:eastAsia="Arial"/>
          <w:i/>
        </w:rPr>
      </w:pPr>
      <w:r w:rsidRPr="00C35F8B">
        <w:t>California Assessment of Student Performance and Progress per-Pupil Apportionment Rates</w:t>
      </w:r>
    </w:p>
    <w:p w14:paraId="3DE16EF3" w14:textId="77777777" w:rsidR="002D0834" w:rsidRPr="00C35F8B" w:rsidRDefault="002D0834" w:rsidP="00FD0F1A">
      <w:pPr>
        <w:spacing w:after="240"/>
        <w:rPr>
          <w:rFonts w:eastAsia="Arial"/>
        </w:rPr>
      </w:pPr>
      <w:r w:rsidRPr="00C35F8B">
        <w:rPr>
          <w:rFonts w:eastAsia="Arial"/>
        </w:rPr>
        <w:t>The CDE recommends that the SBE approve the following rates for tests administered as part of the CAASPP System during the 2021–22 school year:</w:t>
      </w:r>
    </w:p>
    <w:p w14:paraId="0C6A3CAB" w14:textId="77777777" w:rsidR="00512973" w:rsidRPr="00C35F8B" w:rsidRDefault="00512973" w:rsidP="00FD0F1A">
      <w:pPr>
        <w:pStyle w:val="ListParagraph"/>
        <w:numPr>
          <w:ilvl w:val="0"/>
          <w:numId w:val="22"/>
        </w:numPr>
        <w:spacing w:after="240"/>
        <w:ind w:left="720"/>
        <w:contextualSpacing w:val="0"/>
        <w:rPr>
          <w:rFonts w:eastAsiaTheme="minorEastAsia"/>
        </w:rPr>
      </w:pPr>
      <w:r w:rsidRPr="00C35F8B">
        <w:rPr>
          <w:rFonts w:eastAsia="Arial"/>
        </w:rPr>
        <w:t>Per pupil administered any portion of the Smarter Balanced Summative Assessments for English language arts/literacy (ELA) and mathematics</w:t>
      </w:r>
      <w:r w:rsidRPr="00C35F8B">
        <w:rPr>
          <w:rFonts w:eastAsia="Engravers MT"/>
        </w:rPr>
        <w:t>—</w:t>
      </w:r>
      <w:r w:rsidRPr="00C35F8B">
        <w:rPr>
          <w:rFonts w:eastAsia="Arial"/>
        </w:rPr>
        <w:t>$4.00</w:t>
      </w:r>
    </w:p>
    <w:p w14:paraId="62A61E2C" w14:textId="77777777" w:rsidR="00512973" w:rsidRPr="00C35F8B" w:rsidRDefault="00512973" w:rsidP="00FD0F1A">
      <w:pPr>
        <w:pStyle w:val="ListParagraph"/>
        <w:numPr>
          <w:ilvl w:val="0"/>
          <w:numId w:val="22"/>
        </w:numPr>
        <w:spacing w:after="240"/>
        <w:ind w:left="720"/>
        <w:contextualSpacing w:val="0"/>
        <w:rPr>
          <w:rFonts w:eastAsiaTheme="minorEastAsia"/>
        </w:rPr>
      </w:pPr>
      <w:r w:rsidRPr="00C35F8B">
        <w:rPr>
          <w:rFonts w:eastAsia="Arial"/>
        </w:rPr>
        <w:t xml:space="preserve">Per pupil administered any </w:t>
      </w:r>
      <w:r w:rsidR="00914F75" w:rsidRPr="00C35F8B">
        <w:rPr>
          <w:rFonts w:eastAsia="Arial"/>
        </w:rPr>
        <w:t>portion</w:t>
      </w:r>
      <w:r w:rsidRPr="00C35F8B">
        <w:rPr>
          <w:rFonts w:eastAsia="Arial"/>
        </w:rPr>
        <w:t xml:space="preserve"> of the California Science Test</w:t>
      </w:r>
      <w:r w:rsidRPr="00C35F8B">
        <w:rPr>
          <w:rFonts w:eastAsia="Engravers MT"/>
        </w:rPr>
        <w:t>—</w:t>
      </w:r>
      <w:r w:rsidRPr="00C35F8B">
        <w:rPr>
          <w:rFonts w:eastAsia="Arial"/>
        </w:rPr>
        <w:t>$2.00</w:t>
      </w:r>
    </w:p>
    <w:p w14:paraId="19E064B7" w14:textId="77777777" w:rsidR="00512973" w:rsidRPr="00C35F8B" w:rsidRDefault="00512973" w:rsidP="00FD0F1A">
      <w:pPr>
        <w:pStyle w:val="ListParagraph"/>
        <w:numPr>
          <w:ilvl w:val="0"/>
          <w:numId w:val="22"/>
        </w:numPr>
        <w:spacing w:after="240"/>
        <w:ind w:left="720"/>
        <w:contextualSpacing w:val="0"/>
        <w:rPr>
          <w:rFonts w:eastAsiaTheme="minorEastAsia"/>
        </w:rPr>
      </w:pPr>
      <w:r w:rsidRPr="00C35F8B">
        <w:rPr>
          <w:rFonts w:eastAsia="Arial"/>
        </w:rPr>
        <w:t xml:space="preserve">Per pupil administered any portion of the </w:t>
      </w:r>
      <w:r w:rsidRPr="00C35F8B">
        <w:rPr>
          <w:color w:val="000000"/>
        </w:rPr>
        <w:t>California Alternate Assessments (</w:t>
      </w:r>
      <w:r w:rsidRPr="00C35F8B">
        <w:rPr>
          <w:rFonts w:eastAsia="Arial"/>
        </w:rPr>
        <w:t>CAAs) for ELA and mathematics</w:t>
      </w:r>
      <w:r w:rsidRPr="00C35F8B">
        <w:rPr>
          <w:rFonts w:eastAsia="Engravers MT"/>
        </w:rPr>
        <w:t>—</w:t>
      </w:r>
      <w:r w:rsidRPr="00C35F8B">
        <w:rPr>
          <w:rFonts w:eastAsia="Arial"/>
        </w:rPr>
        <w:t>$5.00</w:t>
      </w:r>
    </w:p>
    <w:p w14:paraId="50847514" w14:textId="77777777" w:rsidR="00512973" w:rsidRPr="00C35F8B" w:rsidRDefault="00512973" w:rsidP="00FD0F1A">
      <w:pPr>
        <w:pStyle w:val="ListParagraph"/>
        <w:numPr>
          <w:ilvl w:val="0"/>
          <w:numId w:val="22"/>
        </w:numPr>
        <w:spacing w:after="240"/>
        <w:ind w:left="720"/>
        <w:contextualSpacing w:val="0"/>
        <w:rPr>
          <w:rFonts w:eastAsiaTheme="minorEastAsia"/>
        </w:rPr>
      </w:pPr>
      <w:r w:rsidRPr="00C35F8B">
        <w:rPr>
          <w:rFonts w:eastAsia="Arial"/>
        </w:rPr>
        <w:t>Per pupil administered any portion of the CAA for Science</w:t>
      </w:r>
      <w:r w:rsidRPr="00C35F8B">
        <w:rPr>
          <w:rFonts w:eastAsia="Engravers MT"/>
        </w:rPr>
        <w:t>—</w:t>
      </w:r>
      <w:r w:rsidRPr="00C35F8B">
        <w:rPr>
          <w:rFonts w:eastAsia="Arial"/>
        </w:rPr>
        <w:t>$5.00</w:t>
      </w:r>
    </w:p>
    <w:p w14:paraId="048C6DBD" w14:textId="77777777" w:rsidR="00512973" w:rsidRPr="00C35F8B" w:rsidRDefault="00512973" w:rsidP="00FD0F1A">
      <w:pPr>
        <w:pStyle w:val="ListParagraph"/>
        <w:numPr>
          <w:ilvl w:val="0"/>
          <w:numId w:val="22"/>
        </w:numPr>
        <w:spacing w:after="240"/>
        <w:ind w:left="720"/>
        <w:contextualSpacing w:val="0"/>
        <w:rPr>
          <w:rFonts w:eastAsiaTheme="minorEastAsia"/>
        </w:rPr>
      </w:pPr>
      <w:r w:rsidRPr="00C35F8B">
        <w:rPr>
          <w:rFonts w:eastAsia="Arial"/>
        </w:rPr>
        <w:t>Per pupil administered any portion of the California Spanish Assessment who is an English learner whose primary language is Spanish, grades three through eight and high school</w:t>
      </w:r>
      <w:r w:rsidRPr="00C35F8B">
        <w:rPr>
          <w:rFonts w:eastAsia="Engravers MT"/>
        </w:rPr>
        <w:t>—</w:t>
      </w:r>
      <w:r w:rsidRPr="00C35F8B">
        <w:rPr>
          <w:rFonts w:eastAsia="Arial"/>
        </w:rPr>
        <w:t>$5.00</w:t>
      </w:r>
    </w:p>
    <w:p w14:paraId="1A5AAD9A" w14:textId="77777777" w:rsidR="00512973" w:rsidRPr="00C35F8B" w:rsidRDefault="00512973" w:rsidP="00FD0F1A">
      <w:pPr>
        <w:pStyle w:val="ListParagraph"/>
        <w:numPr>
          <w:ilvl w:val="0"/>
          <w:numId w:val="22"/>
        </w:numPr>
        <w:spacing w:after="240"/>
        <w:ind w:left="720"/>
        <w:contextualSpacing w:val="0"/>
        <w:rPr>
          <w:rFonts w:eastAsiaTheme="minorEastAsia"/>
        </w:rPr>
      </w:pPr>
      <w:r w:rsidRPr="00C35F8B">
        <w:rPr>
          <w:rFonts w:eastAsia="Arial"/>
        </w:rPr>
        <w:t xml:space="preserve">Per-pupil apportionment rate for CDE-certified grade two diagnostic tests administered at the option and cost of the LEA per </w:t>
      </w:r>
      <w:r w:rsidRPr="00C35F8B">
        <w:rPr>
          <w:rFonts w:eastAsia="Arial"/>
          <w:i/>
          <w:iCs/>
        </w:rPr>
        <w:t>EC</w:t>
      </w:r>
      <w:r w:rsidRPr="00C35F8B">
        <w:rPr>
          <w:rFonts w:eastAsia="Arial"/>
        </w:rPr>
        <w:t xml:space="preserve"> Section 60644</w:t>
      </w:r>
      <w:r w:rsidRPr="00C35F8B">
        <w:rPr>
          <w:rFonts w:eastAsia="Engravers MT"/>
        </w:rPr>
        <w:t>—</w:t>
      </w:r>
      <w:r w:rsidRPr="00C35F8B">
        <w:rPr>
          <w:rFonts w:eastAsia="Arial"/>
        </w:rPr>
        <w:t>$2.52</w:t>
      </w:r>
    </w:p>
    <w:p w14:paraId="23C29A6E" w14:textId="77777777" w:rsidR="00EC2212" w:rsidRPr="00C35F8B" w:rsidRDefault="00EC2212" w:rsidP="00FD0F1A">
      <w:pPr>
        <w:pStyle w:val="ListParagraph"/>
        <w:numPr>
          <w:ilvl w:val="0"/>
          <w:numId w:val="22"/>
        </w:numPr>
        <w:spacing w:after="240"/>
        <w:ind w:left="720"/>
        <w:contextualSpacing w:val="0"/>
        <w:rPr>
          <w:rFonts w:eastAsiaTheme="minorEastAsia"/>
        </w:rPr>
      </w:pPr>
      <w:r w:rsidRPr="00C35F8B">
        <w:rPr>
          <w:rFonts w:eastAsiaTheme="minorEastAsia"/>
        </w:rPr>
        <w:t xml:space="preserve">Per-pupil apportionment rate </w:t>
      </w:r>
      <w:r w:rsidR="005D38E7" w:rsidRPr="00C35F8B">
        <w:rPr>
          <w:rFonts w:eastAsiaTheme="minorEastAsia"/>
        </w:rPr>
        <w:t xml:space="preserve">for </w:t>
      </w:r>
      <w:r w:rsidR="00EB2B89" w:rsidRPr="00C35F8B">
        <w:rPr>
          <w:color w:val="000000"/>
        </w:rPr>
        <w:t>not tested due to medical emergency or parent/guardian exemptions</w:t>
      </w:r>
      <w:r w:rsidR="005D38E7" w:rsidRPr="00C35F8B">
        <w:rPr>
          <w:color w:val="000000"/>
        </w:rPr>
        <w:t>—</w:t>
      </w:r>
      <w:r w:rsidR="00656ADC" w:rsidRPr="00C35F8B">
        <w:rPr>
          <w:color w:val="000000"/>
        </w:rPr>
        <w:t>$1.00</w:t>
      </w:r>
    </w:p>
    <w:p w14:paraId="7BAB2B40" w14:textId="77777777" w:rsidR="00512973" w:rsidRPr="00C35F8B" w:rsidRDefault="00512973" w:rsidP="00F51FA0">
      <w:pPr>
        <w:pStyle w:val="Heading4"/>
      </w:pPr>
      <w:r w:rsidRPr="00C35F8B">
        <w:t>English Language Proficiency Assessments for California per-Pupil Apportionment Rates</w:t>
      </w:r>
    </w:p>
    <w:p w14:paraId="70A7266A" w14:textId="77777777" w:rsidR="00512973" w:rsidRPr="00C35F8B" w:rsidRDefault="00512973" w:rsidP="00FD0F1A">
      <w:pPr>
        <w:spacing w:after="240"/>
        <w:rPr>
          <w:rFonts w:eastAsia="Arial"/>
        </w:rPr>
      </w:pPr>
      <w:r w:rsidRPr="00C35F8B">
        <w:rPr>
          <w:rFonts w:eastAsia="Arial"/>
        </w:rPr>
        <w:t>The CDE recommends that the SBE approve the following rates for tests administered as part of the ELPAC during the 2021–22 school year, which are the same as those for the 2020–21 school year</w:t>
      </w:r>
      <w:r w:rsidR="6BB66966" w:rsidRPr="00C35F8B">
        <w:rPr>
          <w:rFonts w:eastAsia="Arial"/>
        </w:rPr>
        <w:t xml:space="preserve"> except for the addition of the Alternate ELPAC operational field test</w:t>
      </w:r>
      <w:r w:rsidRPr="00C35F8B">
        <w:rPr>
          <w:rFonts w:eastAsia="Arial"/>
        </w:rPr>
        <w:t>:</w:t>
      </w:r>
    </w:p>
    <w:p w14:paraId="5779AD90" w14:textId="77777777" w:rsidR="00512973" w:rsidRPr="00C35F8B" w:rsidRDefault="00512973" w:rsidP="00FD0F1A">
      <w:pPr>
        <w:numPr>
          <w:ilvl w:val="0"/>
          <w:numId w:val="22"/>
        </w:numPr>
        <w:spacing w:after="240"/>
        <w:ind w:left="720"/>
        <w:rPr>
          <w:rFonts w:eastAsiaTheme="minorEastAsia"/>
        </w:rPr>
      </w:pPr>
      <w:r w:rsidRPr="00C35F8B">
        <w:rPr>
          <w:rFonts w:eastAsia="Arial"/>
        </w:rPr>
        <w:t>Per pupil administered any portion of the Initial and Summative ELPAC, kindergarten through grade two (one-on-one administration)</w:t>
      </w:r>
      <w:r w:rsidRPr="00C35F8B">
        <w:rPr>
          <w:rFonts w:eastAsia="Engravers MT"/>
        </w:rPr>
        <w:t>—</w:t>
      </w:r>
      <w:r w:rsidRPr="00C35F8B">
        <w:rPr>
          <w:rFonts w:eastAsia="Arial"/>
        </w:rPr>
        <w:t>$5.50</w:t>
      </w:r>
    </w:p>
    <w:p w14:paraId="72044D4B" w14:textId="77777777" w:rsidR="00512973" w:rsidRPr="00C35F8B" w:rsidRDefault="00512973" w:rsidP="00FD0F1A">
      <w:pPr>
        <w:numPr>
          <w:ilvl w:val="0"/>
          <w:numId w:val="22"/>
        </w:numPr>
        <w:spacing w:after="240"/>
        <w:ind w:left="720"/>
        <w:rPr>
          <w:rFonts w:eastAsiaTheme="minorEastAsia"/>
        </w:rPr>
      </w:pPr>
      <w:r w:rsidRPr="00C35F8B">
        <w:rPr>
          <w:rFonts w:eastAsia="Arial"/>
        </w:rPr>
        <w:t>Per pupil administered any portion of the Initial and Summative ELPAC, grades three through twelve</w:t>
      </w:r>
      <w:r w:rsidRPr="00C35F8B">
        <w:rPr>
          <w:rFonts w:eastAsia="Engravers MT"/>
        </w:rPr>
        <w:t>—</w:t>
      </w:r>
      <w:r w:rsidRPr="00C35F8B">
        <w:rPr>
          <w:rFonts w:eastAsia="Arial"/>
        </w:rPr>
        <w:t>$5.00</w:t>
      </w:r>
    </w:p>
    <w:p w14:paraId="2A162A3D" w14:textId="77777777" w:rsidR="00512973" w:rsidRPr="00C35F8B" w:rsidRDefault="00512973" w:rsidP="00FD0F1A">
      <w:pPr>
        <w:numPr>
          <w:ilvl w:val="0"/>
          <w:numId w:val="22"/>
        </w:numPr>
        <w:spacing w:after="240"/>
        <w:ind w:left="720"/>
        <w:rPr>
          <w:rFonts w:eastAsiaTheme="minorEastAsia"/>
        </w:rPr>
      </w:pPr>
      <w:r w:rsidRPr="00C35F8B">
        <w:rPr>
          <w:rFonts w:eastAsia="Arial"/>
        </w:rPr>
        <w:t>Per pupil in the Initial ELPAC Rotating Score Validation Process (RSVP), kindergarten through grade twelve</w:t>
      </w:r>
      <w:r w:rsidRPr="00C35F8B">
        <w:rPr>
          <w:rFonts w:eastAsia="Engravers MT"/>
        </w:rPr>
        <w:t>—</w:t>
      </w:r>
      <w:r w:rsidRPr="00C35F8B">
        <w:rPr>
          <w:rFonts w:eastAsia="Arial"/>
        </w:rPr>
        <w:t>$0.50</w:t>
      </w:r>
    </w:p>
    <w:p w14:paraId="2F5F2088" w14:textId="77777777" w:rsidR="6BB66966" w:rsidRPr="00C35F8B" w:rsidRDefault="6BB66966" w:rsidP="2F066EF5">
      <w:pPr>
        <w:numPr>
          <w:ilvl w:val="0"/>
          <w:numId w:val="22"/>
        </w:numPr>
        <w:spacing w:after="240"/>
        <w:ind w:left="720"/>
        <w:rPr>
          <w:rFonts w:eastAsia="Arial"/>
        </w:rPr>
      </w:pPr>
      <w:r w:rsidRPr="00C35F8B">
        <w:rPr>
          <w:rFonts w:eastAsia="Arial"/>
        </w:rPr>
        <w:lastRenderedPageBreak/>
        <w:t>Per pupil in the Alternate ELPAC operational field test, kindergarten through grade twelve</w:t>
      </w:r>
      <w:r w:rsidRPr="00C35F8B">
        <w:rPr>
          <w:rFonts w:eastAsia="Engravers MT"/>
        </w:rPr>
        <w:t>—</w:t>
      </w:r>
      <w:r w:rsidRPr="00C35F8B">
        <w:rPr>
          <w:rFonts w:eastAsia="Arial"/>
        </w:rPr>
        <w:t>$5.50</w:t>
      </w:r>
    </w:p>
    <w:p w14:paraId="6F6FC7FC" w14:textId="77777777" w:rsidR="00512973" w:rsidRPr="00C35F8B" w:rsidRDefault="00512973" w:rsidP="00FD0F1A">
      <w:pPr>
        <w:spacing w:after="240"/>
        <w:rPr>
          <w:rFonts w:eastAsia="Arial"/>
        </w:rPr>
      </w:pPr>
      <w:r w:rsidRPr="00C35F8B">
        <w:rPr>
          <w:rFonts w:eastAsia="Arial"/>
        </w:rPr>
        <w:t>Regarding the RSVP, approximately 10 percent of LEAs have been identified by the CDE to take part</w:t>
      </w:r>
      <w:r w:rsidRPr="00C35F8B">
        <w:t xml:space="preserve"> </w:t>
      </w:r>
      <w:r w:rsidRPr="00C35F8B">
        <w:rPr>
          <w:rFonts w:eastAsia="Arial"/>
        </w:rPr>
        <w:t xml:space="preserve">in the process, which helps to produce item statistics for the Initial ELPAC, validate scores, and provide technical assistance for scoring. Apportionment will be provided </w:t>
      </w:r>
      <w:r w:rsidR="00C84BB6" w:rsidRPr="00C35F8B">
        <w:rPr>
          <w:rFonts w:eastAsia="Arial"/>
        </w:rPr>
        <w:t xml:space="preserve">only </w:t>
      </w:r>
      <w:r w:rsidRPr="00C35F8B">
        <w:rPr>
          <w:rFonts w:eastAsia="Arial"/>
        </w:rPr>
        <w:t xml:space="preserve">to those LEAs designated for the RSVP </w:t>
      </w:r>
      <w:r w:rsidR="00C84BB6" w:rsidRPr="00C35F8B">
        <w:rPr>
          <w:rFonts w:eastAsia="Arial"/>
        </w:rPr>
        <w:t xml:space="preserve">that </w:t>
      </w:r>
      <w:r w:rsidRPr="00C35F8B">
        <w:rPr>
          <w:rFonts w:eastAsia="Arial"/>
        </w:rPr>
        <w:t xml:space="preserve">submitted the required materials </w:t>
      </w:r>
      <w:r w:rsidR="00C84BB6" w:rsidRPr="00C35F8B">
        <w:rPr>
          <w:rFonts w:eastAsia="Arial"/>
        </w:rPr>
        <w:t>during the period of J</w:t>
      </w:r>
      <w:r w:rsidRPr="00C35F8B">
        <w:rPr>
          <w:rFonts w:eastAsia="Arial"/>
        </w:rPr>
        <w:t>uly 1 through October 31, 2021.</w:t>
      </w:r>
    </w:p>
    <w:p w14:paraId="2E5812CC" w14:textId="77777777" w:rsidR="75C5E020" w:rsidRPr="00C35F8B" w:rsidRDefault="2F066EF5" w:rsidP="2F066EF5">
      <w:pPr>
        <w:spacing w:after="240"/>
        <w:rPr>
          <w:rFonts w:eastAsia="Arial"/>
          <w:color w:val="000000" w:themeColor="text1"/>
        </w:rPr>
      </w:pPr>
      <w:r w:rsidRPr="00C35F8B">
        <w:rPr>
          <w:rFonts w:eastAsia="Arial"/>
          <w:color w:val="000000" w:themeColor="text1"/>
        </w:rPr>
        <w:t xml:space="preserve">The Alternate ELPAC operational field test was administered as a census field test in the school year 2021–22. The recommended apportionment rate for the computer-based Alternate ELPAC is the same rate as for the one-on-one administration of the kindergarten through grade two Initial and Summative ELPAC. </w:t>
      </w:r>
    </w:p>
    <w:p w14:paraId="03D5E684" w14:textId="77777777" w:rsidR="75C5E020" w:rsidRPr="00C35F8B" w:rsidRDefault="65D5E191" w:rsidP="008737C3">
      <w:pPr>
        <w:pStyle w:val="Heading3"/>
      </w:pPr>
      <w:r w:rsidRPr="00C35F8B">
        <w:t>The State Superintendent of Public Instruction’s Proposed Threshold Scores for the Alternate</w:t>
      </w:r>
      <w:r w:rsidR="0010075A" w:rsidRPr="00C35F8B">
        <w:t xml:space="preserve"> ELPAC</w:t>
      </w:r>
    </w:p>
    <w:p w14:paraId="3FF91797" w14:textId="77777777" w:rsidR="75C5E020" w:rsidRPr="00C35F8B" w:rsidRDefault="6EE890B3" w:rsidP="00FD0F1A">
      <w:pPr>
        <w:spacing w:after="240"/>
      </w:pPr>
      <w:r w:rsidRPr="00C35F8B">
        <w:rPr>
          <w:rFonts w:eastAsia="Arial"/>
          <w:color w:val="000000" w:themeColor="text1"/>
        </w:rPr>
        <w:t xml:space="preserve">The Alternate ELPAC will be the first California state-administered test of </w:t>
      </w:r>
      <w:r w:rsidR="00D808C8" w:rsidRPr="00C35F8B">
        <w:rPr>
          <w:rFonts w:eastAsia="Arial"/>
          <w:color w:val="000000" w:themeColor="text1"/>
        </w:rPr>
        <w:t>English language proficiency</w:t>
      </w:r>
      <w:r w:rsidRPr="00C35F8B">
        <w:rPr>
          <w:rFonts w:eastAsia="Arial"/>
          <w:color w:val="000000" w:themeColor="text1"/>
        </w:rPr>
        <w:t xml:space="preserve"> for students whose primary language is a language other than English and who have been found eligible for alternate assessments by their individualized education program team. </w:t>
      </w:r>
    </w:p>
    <w:p w14:paraId="520ADA30" w14:textId="77777777" w:rsidR="75C5E020" w:rsidRPr="00C35F8B" w:rsidRDefault="02F7A313" w:rsidP="00FD0F1A">
      <w:pPr>
        <w:spacing w:after="240"/>
        <w:rPr>
          <w:rFonts w:eastAsia="Arial"/>
          <w:color w:val="000000" w:themeColor="text1"/>
        </w:rPr>
      </w:pPr>
      <w:r w:rsidRPr="00C35F8B">
        <w:rPr>
          <w:rFonts w:eastAsia="Arial"/>
          <w:color w:val="000000" w:themeColor="text1"/>
        </w:rPr>
        <w:t>In May 2019, the SBE approved the Alternate ELPAC high-level test design</w:t>
      </w:r>
      <w:r w:rsidR="00227836" w:rsidRPr="00C35F8B">
        <w:rPr>
          <w:rFonts w:eastAsia="Arial"/>
          <w:color w:val="000000" w:themeColor="text1"/>
        </w:rPr>
        <w:t xml:space="preserve"> (HLTD)</w:t>
      </w:r>
      <w:r w:rsidR="006C3BBF" w:rsidRPr="00C35F8B">
        <w:rPr>
          <w:rFonts w:eastAsia="Arial"/>
          <w:color w:val="000000" w:themeColor="text1"/>
        </w:rPr>
        <w:t xml:space="preserve"> for the I</w:t>
      </w:r>
      <w:r w:rsidR="004D1C98" w:rsidRPr="00C35F8B">
        <w:rPr>
          <w:rFonts w:eastAsia="Arial"/>
          <w:color w:val="000000" w:themeColor="text1"/>
        </w:rPr>
        <w:t xml:space="preserve">nitial and Summative Alternate ELPAC. In May 2020, the SBE approved the </w:t>
      </w:r>
      <w:r w:rsidR="00892465" w:rsidRPr="00C35F8B">
        <w:rPr>
          <w:rFonts w:eastAsia="Arial"/>
          <w:color w:val="000000" w:themeColor="text1"/>
        </w:rPr>
        <w:t xml:space="preserve">blueprint </w:t>
      </w:r>
      <w:r w:rsidR="005D6CE0" w:rsidRPr="00C35F8B">
        <w:rPr>
          <w:rFonts w:eastAsia="Arial"/>
          <w:color w:val="000000" w:themeColor="text1"/>
        </w:rPr>
        <w:t>that will be used</w:t>
      </w:r>
      <w:r w:rsidRPr="00C35F8B">
        <w:rPr>
          <w:rFonts w:eastAsia="Arial"/>
          <w:color w:val="000000" w:themeColor="text1"/>
        </w:rPr>
        <w:t xml:space="preserve"> </w:t>
      </w:r>
      <w:r w:rsidR="002D0531" w:rsidRPr="00C35F8B">
        <w:rPr>
          <w:rFonts w:eastAsia="Arial"/>
          <w:color w:val="000000" w:themeColor="text1"/>
        </w:rPr>
        <w:t xml:space="preserve">to develop test forms </w:t>
      </w:r>
      <w:r w:rsidRPr="00C35F8B">
        <w:rPr>
          <w:rFonts w:eastAsia="Arial"/>
          <w:color w:val="000000" w:themeColor="text1"/>
        </w:rPr>
        <w:t xml:space="preserve">for </w:t>
      </w:r>
      <w:r w:rsidR="002E221F" w:rsidRPr="00C35F8B">
        <w:rPr>
          <w:rFonts w:eastAsia="Arial"/>
          <w:color w:val="000000" w:themeColor="text1"/>
        </w:rPr>
        <w:t xml:space="preserve">both </w:t>
      </w:r>
      <w:r w:rsidRPr="00C35F8B">
        <w:rPr>
          <w:rFonts w:eastAsia="Arial"/>
          <w:color w:val="000000" w:themeColor="text1"/>
        </w:rPr>
        <w:t xml:space="preserve">the Initial Alternate ELPAC and the Summative Alternate ELPAC. National experts, along with the CDE and </w:t>
      </w:r>
      <w:r w:rsidR="652E2C6E" w:rsidRPr="00C35F8B">
        <w:rPr>
          <w:rFonts w:eastAsia="Arial"/>
          <w:color w:val="000000" w:themeColor="text1"/>
        </w:rPr>
        <w:t xml:space="preserve">testing contractor </w:t>
      </w:r>
      <w:r w:rsidRPr="00C35F8B">
        <w:rPr>
          <w:rFonts w:eastAsia="Arial"/>
          <w:color w:val="000000" w:themeColor="text1"/>
        </w:rPr>
        <w:t>ETS</w:t>
      </w:r>
      <w:r w:rsidR="2ECAE76E" w:rsidRPr="00C35F8B">
        <w:rPr>
          <w:rFonts w:eastAsia="Arial"/>
          <w:color w:val="000000" w:themeColor="text1"/>
        </w:rPr>
        <w:t>,</w:t>
      </w:r>
      <w:r w:rsidRPr="00C35F8B">
        <w:rPr>
          <w:rFonts w:eastAsia="Arial"/>
          <w:color w:val="000000" w:themeColor="text1"/>
        </w:rPr>
        <w:t xml:space="preserve"> determined this to be appropriate because both assessments </w:t>
      </w:r>
      <w:r w:rsidR="2F8018F2" w:rsidRPr="00C35F8B">
        <w:rPr>
          <w:rFonts w:eastAsia="Arial"/>
          <w:color w:val="000000" w:themeColor="text1"/>
        </w:rPr>
        <w:t xml:space="preserve">use </w:t>
      </w:r>
      <w:r w:rsidRPr="00C35F8B">
        <w:rPr>
          <w:rFonts w:eastAsia="Arial"/>
          <w:color w:val="000000" w:themeColor="text1"/>
        </w:rPr>
        <w:t>the same score reporting categories and the same performance level descriptors.</w:t>
      </w:r>
      <w:r w:rsidRPr="00C35F8B">
        <w:rPr>
          <w:rFonts w:eastAsia="Arial"/>
        </w:rPr>
        <w:t xml:space="preserve"> </w:t>
      </w:r>
    </w:p>
    <w:p w14:paraId="05615795" w14:textId="36D78056" w:rsidR="00AB2BAC" w:rsidRPr="00C35F8B" w:rsidRDefault="65D5E191" w:rsidP="00FD0F1A">
      <w:pPr>
        <w:spacing w:after="240"/>
      </w:pPr>
      <w:r w:rsidRPr="00C35F8B">
        <w:t xml:space="preserve">In its April 2022 Information Memorandum to the SBE, the CDE provided an update on the standard setting plan for the 2022 Alternate ELPAC standard setting workshop to establish the proposed threshold scores. </w:t>
      </w:r>
      <w:r w:rsidR="0137C794" w:rsidRPr="00C35F8B">
        <w:rPr>
          <w:rFonts w:eastAsia="Arial"/>
          <w:color w:val="000000" w:themeColor="text1"/>
        </w:rPr>
        <w:t xml:space="preserve">At the workshop, educators provided standard setting judgments on all items administered in the operational field test. The final panel-recommended threshold scores for Level 2 </w:t>
      </w:r>
      <w:r w:rsidR="41EA37AB" w:rsidRPr="00C35F8B">
        <w:rPr>
          <w:rFonts w:eastAsia="Arial"/>
          <w:color w:val="000000" w:themeColor="text1"/>
        </w:rPr>
        <w:t>(Intermediate English Learner) and Level 3 (Fluent English Proficient)</w:t>
      </w:r>
      <w:r w:rsidR="0137C794" w:rsidRPr="00C35F8B">
        <w:rPr>
          <w:rFonts w:eastAsia="Arial"/>
          <w:color w:val="000000" w:themeColor="text1"/>
        </w:rPr>
        <w:t xml:space="preserve"> are based on the bank of items used to assemble both the Initial Alternate ELPAC and Summative Alternate ELPAC and can</w:t>
      </w:r>
      <w:r w:rsidR="00AB2BAC" w:rsidRPr="00C35F8B">
        <w:rPr>
          <w:rFonts w:eastAsia="Arial"/>
          <w:color w:val="000000" w:themeColor="text1"/>
        </w:rPr>
        <w:t>,</w:t>
      </w:r>
      <w:r w:rsidR="0137C794" w:rsidRPr="00C35F8B">
        <w:rPr>
          <w:rFonts w:eastAsia="Arial"/>
          <w:color w:val="000000" w:themeColor="text1"/>
        </w:rPr>
        <w:t xml:space="preserve"> therefore</w:t>
      </w:r>
      <w:r w:rsidR="00AB2BAC" w:rsidRPr="00C35F8B">
        <w:rPr>
          <w:rFonts w:eastAsia="Arial"/>
          <w:color w:val="000000" w:themeColor="text1"/>
        </w:rPr>
        <w:t>,</w:t>
      </w:r>
      <w:r w:rsidR="0137C794" w:rsidRPr="00C35F8B">
        <w:rPr>
          <w:rFonts w:eastAsia="Arial"/>
          <w:color w:val="000000" w:themeColor="text1"/>
        </w:rPr>
        <w:t xml:space="preserve"> be applied to both assessments.</w:t>
      </w:r>
      <w:r w:rsidR="41EA37AB" w:rsidRPr="00C35F8B">
        <w:rPr>
          <w:rFonts w:eastAsia="Arial"/>
          <w:color w:val="000000" w:themeColor="text1"/>
        </w:rPr>
        <w:t xml:space="preserve"> </w:t>
      </w:r>
      <w:r w:rsidR="7D95C1AF" w:rsidRPr="00C35F8B">
        <w:t xml:space="preserve">The Memorandum can be found at </w:t>
      </w:r>
      <w:hyperlink r:id="rId15" w:tooltip="This link opens the April 2022 SBE Information Memorandum." w:history="1">
        <w:r w:rsidR="00B563E4" w:rsidRPr="00C35F8B">
          <w:rPr>
            <w:rStyle w:val="Hyperlink"/>
          </w:rPr>
          <w:t>https://www.cde.ca.gov/be/pn/im/documents/apr22memoadad01.docx</w:t>
        </w:r>
      </w:hyperlink>
      <w:r w:rsidR="7D95C1AF" w:rsidRPr="00C35F8B">
        <w:t xml:space="preserve">. </w:t>
      </w:r>
    </w:p>
    <w:p w14:paraId="02699113" w14:textId="231BDE6B" w:rsidR="65D5E191" w:rsidRPr="00C35F8B" w:rsidRDefault="54880987" w:rsidP="212CC939">
      <w:pPr>
        <w:spacing w:after="240"/>
        <w:rPr>
          <w:rFonts w:eastAsia="Arial"/>
          <w:color w:val="000000" w:themeColor="text1"/>
        </w:rPr>
      </w:pPr>
      <w:r w:rsidRPr="00C35F8B">
        <w:t xml:space="preserve">The standard setting workshop was conducted from February 22 through March </w:t>
      </w:r>
      <w:r w:rsidR="668DC5E1" w:rsidRPr="00C35F8B">
        <w:t>3</w:t>
      </w:r>
      <w:r w:rsidRPr="00C35F8B">
        <w:t xml:space="preserve">, 2022. The </w:t>
      </w:r>
      <w:r w:rsidR="04AA0E72" w:rsidRPr="00C35F8B">
        <w:t>44</w:t>
      </w:r>
      <w:r w:rsidR="6AED61BD" w:rsidRPr="00C35F8B">
        <w:t xml:space="preserve"> </w:t>
      </w:r>
      <w:r w:rsidRPr="00C35F8B">
        <w:t xml:space="preserve">standard setting panelists were a diverse group of educators, familiar with the </w:t>
      </w:r>
      <w:r w:rsidRPr="00C35F8B">
        <w:rPr>
          <w:rFonts w:eastAsia="Arial"/>
        </w:rPr>
        <w:t>2012 E</w:t>
      </w:r>
      <w:r w:rsidR="471635BE" w:rsidRPr="00C35F8B">
        <w:rPr>
          <w:rFonts w:eastAsia="Arial"/>
        </w:rPr>
        <w:t>nglish Language Development</w:t>
      </w:r>
      <w:r w:rsidRPr="00C35F8B">
        <w:rPr>
          <w:rFonts w:eastAsia="Arial"/>
        </w:rPr>
        <w:t xml:space="preserve"> Standards, the </w:t>
      </w:r>
      <w:r w:rsidR="772B437F" w:rsidRPr="00C35F8B">
        <w:rPr>
          <w:rFonts w:eastAsia="Arial"/>
        </w:rPr>
        <w:t xml:space="preserve">English Language Development </w:t>
      </w:r>
      <w:r w:rsidRPr="00C35F8B">
        <w:rPr>
          <w:rFonts w:eastAsia="Arial"/>
        </w:rPr>
        <w:t>Connectors, and experienced in teaching English learner</w:t>
      </w:r>
      <w:r w:rsidR="00B03AC1" w:rsidRPr="00C35F8B">
        <w:rPr>
          <w:rFonts w:eastAsia="Arial"/>
        </w:rPr>
        <w:t xml:space="preserve"> student</w:t>
      </w:r>
      <w:r w:rsidRPr="00C35F8B">
        <w:rPr>
          <w:rFonts w:eastAsia="Arial"/>
        </w:rPr>
        <w:t xml:space="preserve">s with </w:t>
      </w:r>
      <w:r w:rsidR="3D5B08B3" w:rsidRPr="00C35F8B">
        <w:rPr>
          <w:rFonts w:eastAsia="Arial"/>
        </w:rPr>
        <w:t xml:space="preserve">the most </w:t>
      </w:r>
      <w:r w:rsidRPr="00C35F8B">
        <w:rPr>
          <w:rFonts w:eastAsia="Arial"/>
        </w:rPr>
        <w:t>significant cognitive disabilities</w:t>
      </w:r>
      <w:r w:rsidRPr="00C35F8B">
        <w:t xml:space="preserve"> (see Attachment </w:t>
      </w:r>
      <w:r w:rsidR="69ADA065" w:rsidRPr="00C35F8B">
        <w:t>6</w:t>
      </w:r>
      <w:r w:rsidR="6AED61BD" w:rsidRPr="00C35F8B">
        <w:t>).</w:t>
      </w:r>
      <w:r w:rsidR="04AA0E72" w:rsidRPr="00C35F8B">
        <w:t xml:space="preserve"> Nine educators participated on </w:t>
      </w:r>
      <w:r w:rsidR="28DC1458" w:rsidRPr="00C35F8B">
        <w:t xml:space="preserve">more than one </w:t>
      </w:r>
      <w:r w:rsidR="04AA0E72" w:rsidRPr="00C35F8B">
        <w:t>grade level panel.</w:t>
      </w:r>
    </w:p>
    <w:p w14:paraId="26EF443F" w14:textId="0A115079" w:rsidR="75C5E020" w:rsidRPr="00C35F8B" w:rsidRDefault="65D5E191" w:rsidP="00FD0F1A">
      <w:pPr>
        <w:spacing w:after="240"/>
      </w:pPr>
      <w:r w:rsidRPr="00C35F8B">
        <w:lastRenderedPageBreak/>
        <w:t xml:space="preserve">The CDE recommends that the SBE adopt the proposed threshold scores informed by the 2022 Alternate ELPAC standard setting workshop. Table 1 and </w:t>
      </w:r>
      <w:r w:rsidR="00540477" w:rsidRPr="00C35F8B">
        <w:t>t</w:t>
      </w:r>
      <w:r w:rsidRPr="00C35F8B">
        <w:t xml:space="preserve">able 2 in Attachment </w:t>
      </w:r>
      <w:r w:rsidR="005C0397" w:rsidRPr="00C35F8B">
        <w:t xml:space="preserve">4 </w:t>
      </w:r>
      <w:r w:rsidRPr="00C35F8B">
        <w:t xml:space="preserve">provides the </w:t>
      </w:r>
      <w:r w:rsidRPr="00C35F8B">
        <w:rPr>
          <w:rFonts w:eastAsia="Arial"/>
        </w:rPr>
        <w:t xml:space="preserve">State Superintendent of Public Instruction’s recommended threshold scores for the specific grade level and grade span by overall scale score based on the general performance level descriptors approved by the SBE in May 2019. Table </w:t>
      </w:r>
      <w:r w:rsidR="1C0BB500" w:rsidRPr="00C35F8B">
        <w:rPr>
          <w:rFonts w:eastAsia="Arial"/>
        </w:rPr>
        <w:t>1</w:t>
      </w:r>
      <w:r w:rsidRPr="00C35F8B">
        <w:rPr>
          <w:rFonts w:eastAsia="Arial"/>
        </w:rPr>
        <w:t xml:space="preserve"> and </w:t>
      </w:r>
      <w:r w:rsidR="00FB4F9B" w:rsidRPr="00C35F8B">
        <w:rPr>
          <w:rFonts w:eastAsia="Arial"/>
        </w:rPr>
        <w:t>t</w:t>
      </w:r>
      <w:r w:rsidRPr="00C35F8B">
        <w:rPr>
          <w:rFonts w:eastAsia="Arial"/>
        </w:rPr>
        <w:t xml:space="preserve">able 2 in Attachment </w:t>
      </w:r>
      <w:r w:rsidR="008E6408" w:rsidRPr="00C35F8B">
        <w:rPr>
          <w:rFonts w:eastAsia="Arial"/>
        </w:rPr>
        <w:t xml:space="preserve">5 </w:t>
      </w:r>
      <w:r w:rsidRPr="00C35F8B">
        <w:rPr>
          <w:rFonts w:eastAsia="Arial"/>
        </w:rPr>
        <w:t xml:space="preserve">provide the </w:t>
      </w:r>
      <w:r w:rsidR="5246AB9E" w:rsidRPr="00C35F8B">
        <w:rPr>
          <w:rFonts w:eastAsia="Arial"/>
        </w:rPr>
        <w:t>standard setting</w:t>
      </w:r>
      <w:r w:rsidRPr="00C35F8B">
        <w:rPr>
          <w:rFonts w:eastAsia="Arial"/>
        </w:rPr>
        <w:t xml:space="preserve"> panel’s recommended </w:t>
      </w:r>
      <w:r w:rsidR="10CC62C8" w:rsidRPr="00C35F8B">
        <w:rPr>
          <w:rFonts w:eastAsia="Arial"/>
        </w:rPr>
        <w:t>judgments</w:t>
      </w:r>
      <w:r w:rsidRPr="00C35F8B">
        <w:rPr>
          <w:rFonts w:eastAsia="Arial"/>
        </w:rPr>
        <w:t xml:space="preserve"> </w:t>
      </w:r>
      <w:r w:rsidR="465E896C" w:rsidRPr="00C35F8B">
        <w:rPr>
          <w:rFonts w:eastAsia="Arial"/>
        </w:rPr>
        <w:t>that were reviewed by CDE staff and</w:t>
      </w:r>
      <w:r w:rsidR="0049115B" w:rsidRPr="00C35F8B">
        <w:rPr>
          <w:rFonts w:eastAsia="Arial"/>
        </w:rPr>
        <w:t xml:space="preserve"> </w:t>
      </w:r>
      <w:r w:rsidR="652B94BA" w:rsidRPr="00C35F8B">
        <w:rPr>
          <w:rFonts w:eastAsia="Arial"/>
        </w:rPr>
        <w:t xml:space="preserve">ELPAC Technical Advisory Group (TAG) members, </w:t>
      </w:r>
      <w:r w:rsidRPr="00C35F8B">
        <w:rPr>
          <w:rFonts w:eastAsia="Arial"/>
        </w:rPr>
        <w:t xml:space="preserve">for the specific grade levels and grade spans by overall scale score. The State Superintendent of Public Instruction’s recommendations in Attachment </w:t>
      </w:r>
      <w:r w:rsidR="005330EF" w:rsidRPr="00C35F8B">
        <w:rPr>
          <w:rFonts w:eastAsia="Arial"/>
        </w:rPr>
        <w:t xml:space="preserve">4 </w:t>
      </w:r>
      <w:r w:rsidRPr="00C35F8B">
        <w:rPr>
          <w:rFonts w:eastAsia="Arial"/>
        </w:rPr>
        <w:t>were based on</w:t>
      </w:r>
      <w:r w:rsidR="0640C633" w:rsidRPr="00C35F8B">
        <w:rPr>
          <w:rFonts w:eastAsia="Arial"/>
        </w:rPr>
        <w:t xml:space="preserve"> </w:t>
      </w:r>
      <w:r w:rsidR="00FB4F9B" w:rsidRPr="00C35F8B">
        <w:rPr>
          <w:rFonts w:eastAsia="Arial"/>
        </w:rPr>
        <w:t xml:space="preserve">the </w:t>
      </w:r>
      <w:r w:rsidR="0640C633" w:rsidRPr="00C35F8B">
        <w:rPr>
          <w:rFonts w:eastAsia="Arial"/>
        </w:rPr>
        <w:t>standard setting</w:t>
      </w:r>
      <w:r w:rsidRPr="00C35F8B">
        <w:rPr>
          <w:rFonts w:eastAsia="Arial"/>
        </w:rPr>
        <w:t xml:space="preserve"> panel</w:t>
      </w:r>
      <w:r w:rsidR="1E5C4A7C" w:rsidRPr="00C35F8B">
        <w:rPr>
          <w:rFonts w:eastAsia="Arial"/>
        </w:rPr>
        <w:t>’s</w:t>
      </w:r>
      <w:r w:rsidRPr="00C35F8B">
        <w:rPr>
          <w:rFonts w:eastAsia="Arial"/>
        </w:rPr>
        <w:t xml:space="preserve"> recommended </w:t>
      </w:r>
      <w:r w:rsidR="7479B2D3" w:rsidRPr="00C35F8B">
        <w:rPr>
          <w:rFonts w:eastAsia="Arial"/>
        </w:rPr>
        <w:t>judgments,</w:t>
      </w:r>
      <w:r w:rsidRPr="00C35F8B">
        <w:rPr>
          <w:rFonts w:eastAsia="Arial"/>
        </w:rPr>
        <w:t xml:space="preserve"> as described in the April 2022 Memorandum. To maintain fidelity with the work of the standard setting panel, the thresholds presented in Attachment </w:t>
      </w:r>
      <w:r w:rsidR="005330EF" w:rsidRPr="00C35F8B">
        <w:rPr>
          <w:rFonts w:eastAsia="Arial"/>
        </w:rPr>
        <w:t xml:space="preserve">4 </w:t>
      </w:r>
      <w:r w:rsidRPr="00C35F8B">
        <w:rPr>
          <w:rFonts w:eastAsia="Arial"/>
        </w:rPr>
        <w:t xml:space="preserve">are within </w:t>
      </w:r>
      <w:r w:rsidR="40C62F6C" w:rsidRPr="00C35F8B">
        <w:rPr>
          <w:rFonts w:eastAsia="Arial"/>
        </w:rPr>
        <w:t xml:space="preserve">two </w:t>
      </w:r>
      <w:r w:rsidRPr="00C35F8B">
        <w:rPr>
          <w:rFonts w:eastAsia="Arial"/>
        </w:rPr>
        <w:t xml:space="preserve">conditional standard error of measurement of the panel’s recommendations. That is, all adjustments are within the natural error variance of the panel’s recommended thresholds and, therefore, reflect only slight modifications of the panel’s judgments. </w:t>
      </w:r>
    </w:p>
    <w:p w14:paraId="4419DD29" w14:textId="77777777" w:rsidR="75C5E020" w:rsidRPr="00C35F8B" w:rsidRDefault="2386B3D3" w:rsidP="00FD0F1A">
      <w:pPr>
        <w:spacing w:after="240"/>
        <w:rPr>
          <w:rFonts w:eastAsia="Arial"/>
        </w:rPr>
      </w:pPr>
      <w:r w:rsidRPr="00C35F8B">
        <w:rPr>
          <w:rFonts w:eastAsia="Arial"/>
        </w:rPr>
        <w:t xml:space="preserve">In addition, the ELPAC TAG was provided with a briefing on these recommended scores. The Statewide Assessment </w:t>
      </w:r>
      <w:r w:rsidR="3609DE73" w:rsidRPr="00C35F8B">
        <w:rPr>
          <w:rFonts w:eastAsia="Arial"/>
        </w:rPr>
        <w:t>Interest Holder</w:t>
      </w:r>
      <w:r w:rsidRPr="00C35F8B">
        <w:rPr>
          <w:rFonts w:eastAsia="Arial"/>
        </w:rPr>
        <w:t xml:space="preserve"> members, representing California educational associations, also were provided a briefing on the recommended scores. If approved, the proposed threshold scores will be applied beginning with the 2021</w:t>
      </w:r>
      <w:r w:rsidRPr="00C35F8B">
        <w:rPr>
          <w:rFonts w:eastAsia="Arial"/>
          <w:color w:val="000000" w:themeColor="text1"/>
        </w:rPr>
        <w:t>–22</w:t>
      </w:r>
      <w:r w:rsidRPr="00C35F8B">
        <w:rPr>
          <w:rFonts w:eastAsia="Arial"/>
        </w:rPr>
        <w:t xml:space="preserve"> administration of the Alternate ELPAC operational field test and used in the production of the </w:t>
      </w:r>
      <w:r w:rsidR="4E825E39" w:rsidRPr="00C35F8B">
        <w:rPr>
          <w:rFonts w:eastAsia="Arial"/>
        </w:rPr>
        <w:t xml:space="preserve">Summative </w:t>
      </w:r>
      <w:r w:rsidRPr="00C35F8B">
        <w:rPr>
          <w:rFonts w:eastAsia="Arial"/>
        </w:rPr>
        <w:t xml:space="preserve">Alternate ELPAC Student Score Reports (SSRs) and the aggregate reports found on the Test Results for California's Assessments website at </w:t>
      </w:r>
      <w:hyperlink r:id="rId16" w:tooltip="This link opens the Test Results on California's Assessments website.">
        <w:r w:rsidRPr="00C35F8B">
          <w:rPr>
            <w:rStyle w:val="Hyperlink"/>
            <w:rFonts w:eastAsia="Arial"/>
          </w:rPr>
          <w:t>https://caaspp-elpac.cde.ca.gov/elpac/Default</w:t>
        </w:r>
      </w:hyperlink>
      <w:r w:rsidRPr="00C35F8B">
        <w:rPr>
          <w:rFonts w:eastAsia="Arial"/>
        </w:rPr>
        <w:t>.</w:t>
      </w:r>
    </w:p>
    <w:p w14:paraId="2F46482F" w14:textId="77777777" w:rsidR="75C5E020" w:rsidRPr="00C35F8B" w:rsidRDefault="75C5E020" w:rsidP="000B2855">
      <w:pPr>
        <w:pStyle w:val="Heading4"/>
      </w:pPr>
      <w:r w:rsidRPr="00C35F8B">
        <w:t>Next Steps</w:t>
      </w:r>
    </w:p>
    <w:p w14:paraId="364C0832" w14:textId="6EEDABB7" w:rsidR="75C5E020" w:rsidRPr="00C35F8B" w:rsidRDefault="65D5E191" w:rsidP="00FD0F1A">
      <w:pPr>
        <w:spacing w:after="240"/>
        <w:rPr>
          <w:rFonts w:eastAsia="Arial"/>
        </w:rPr>
      </w:pPr>
      <w:r w:rsidRPr="00C35F8B">
        <w:rPr>
          <w:rFonts w:eastAsia="Arial"/>
        </w:rPr>
        <w:t>Contingent on the SBE’s approval of the Alternate ELPAC threshold scores, the CDE will notify LEA superintendents and charter school administrators of the approved threshold scores for the 2021</w:t>
      </w:r>
      <w:r w:rsidRPr="00C35F8B">
        <w:rPr>
          <w:rFonts w:eastAsia="Arial"/>
          <w:color w:val="000000" w:themeColor="text1"/>
        </w:rPr>
        <w:t>–22</w:t>
      </w:r>
      <w:r w:rsidRPr="00C35F8B">
        <w:rPr>
          <w:rFonts w:eastAsia="Arial"/>
        </w:rPr>
        <w:t xml:space="preserve"> school year. Prior to the release of the </w:t>
      </w:r>
      <w:r w:rsidR="500166CD" w:rsidRPr="00C35F8B">
        <w:rPr>
          <w:rFonts w:eastAsia="Arial"/>
        </w:rPr>
        <w:t xml:space="preserve">Summative </w:t>
      </w:r>
      <w:r w:rsidRPr="00C35F8B">
        <w:rPr>
          <w:rFonts w:eastAsia="Arial"/>
        </w:rPr>
        <w:t xml:space="preserve">Alternate ELPAC SSRs, ETS and the CDE will perform </w:t>
      </w:r>
      <w:r w:rsidRPr="00C35F8B">
        <w:rPr>
          <w:rFonts w:eastAsia="Arial"/>
          <w:color w:val="000000" w:themeColor="text1"/>
        </w:rPr>
        <w:t>an internal quality control process to verify that the SSRs are error free. The quality control process will include evaluating</w:t>
      </w:r>
      <w:r w:rsidRPr="00C35F8B">
        <w:rPr>
          <w:rFonts w:eastAsia="Arial"/>
        </w:rPr>
        <w:t xml:space="preserve"> Alternate ELPAC student score data at both the individual and aggregate levels and producing a small sample of SSRs to ensure that all information reported is accurate for each performance level and student. The SSRs are anticipated to be generated and delivered to LEAs to share with parents</w:t>
      </w:r>
      <w:r w:rsidR="36497C2B" w:rsidRPr="00C35F8B">
        <w:rPr>
          <w:rFonts w:eastAsia="Arial"/>
        </w:rPr>
        <w:t xml:space="preserve"> and </w:t>
      </w:r>
      <w:r w:rsidRPr="00C35F8B">
        <w:rPr>
          <w:rFonts w:eastAsia="Arial"/>
        </w:rPr>
        <w:t xml:space="preserve">guardians in July 2022. </w:t>
      </w:r>
      <w:r w:rsidR="366339EC" w:rsidRPr="00C35F8B">
        <w:rPr>
          <w:rFonts w:eastAsia="Arial"/>
        </w:rPr>
        <w:t>Two separate validation studies will be conducted in 2022</w:t>
      </w:r>
      <w:r w:rsidRPr="00C35F8B">
        <w:rPr>
          <w:rFonts w:eastAsia="Arial"/>
          <w:color w:val="000000" w:themeColor="text1"/>
        </w:rPr>
        <w:t>–</w:t>
      </w:r>
      <w:r w:rsidR="366339EC" w:rsidRPr="00C35F8B">
        <w:rPr>
          <w:rFonts w:eastAsia="Arial"/>
        </w:rPr>
        <w:t xml:space="preserve">23 for </w:t>
      </w:r>
      <w:r w:rsidR="00FB653B" w:rsidRPr="00C35F8B">
        <w:rPr>
          <w:rFonts w:eastAsia="Arial"/>
        </w:rPr>
        <w:t xml:space="preserve">the </w:t>
      </w:r>
      <w:r w:rsidR="366339EC" w:rsidRPr="00C35F8B">
        <w:rPr>
          <w:rFonts w:eastAsia="Arial"/>
        </w:rPr>
        <w:t xml:space="preserve">Initial and Summative Alternate ELPAC. More information will be brought to the </w:t>
      </w:r>
      <w:r w:rsidR="00383C3D" w:rsidRPr="00C35F8B">
        <w:rPr>
          <w:rFonts w:eastAsia="Arial"/>
        </w:rPr>
        <w:t xml:space="preserve">SBE </w:t>
      </w:r>
      <w:r w:rsidR="366339EC" w:rsidRPr="00C35F8B">
        <w:rPr>
          <w:rFonts w:eastAsia="Arial"/>
        </w:rPr>
        <w:t xml:space="preserve">when </w:t>
      </w:r>
      <w:r w:rsidR="00383C3D" w:rsidRPr="00C35F8B">
        <w:rPr>
          <w:rFonts w:eastAsia="Arial"/>
        </w:rPr>
        <w:t xml:space="preserve">it becomes </w:t>
      </w:r>
      <w:r w:rsidR="366339EC" w:rsidRPr="00C35F8B">
        <w:rPr>
          <w:rFonts w:eastAsia="Arial"/>
        </w:rPr>
        <w:t>available.</w:t>
      </w:r>
    </w:p>
    <w:p w14:paraId="1DE326D4" w14:textId="77777777" w:rsidR="008410B7" w:rsidRPr="00C35F8B" w:rsidRDefault="008410B7" w:rsidP="008737C3">
      <w:pPr>
        <w:pStyle w:val="Heading3"/>
      </w:pPr>
      <w:r w:rsidRPr="00C35F8B">
        <w:rPr>
          <w:rFonts w:eastAsia="Arial"/>
        </w:rPr>
        <w:t>Updates on Assessment Program Activities</w:t>
      </w:r>
      <w:r w:rsidRPr="00C35F8B">
        <w:t xml:space="preserve"> </w:t>
      </w:r>
    </w:p>
    <w:p w14:paraId="2E55637D" w14:textId="3B7660C8" w:rsidR="00265263" w:rsidRPr="00C35F8B" w:rsidRDefault="2F066EF5" w:rsidP="003D106C">
      <w:pPr>
        <w:spacing w:after="240"/>
      </w:pPr>
      <w:r w:rsidRPr="00C35F8B">
        <w:t xml:space="preserve">The following sections detail assessment program updates about the Smarter Balanced Demonstration of Concept Study, the California Educator Reporting System </w:t>
      </w:r>
      <w:r w:rsidR="00F335C6" w:rsidRPr="00C35F8B">
        <w:t xml:space="preserve">(CERS) </w:t>
      </w:r>
      <w:r w:rsidRPr="00C35F8B">
        <w:t>training, interim and formative assessment trainings, Science instructional resources, Tools for Teachers summer workshops, and national and international assessments.</w:t>
      </w:r>
    </w:p>
    <w:p w14:paraId="1CD68F66" w14:textId="77777777" w:rsidR="00120A9E" w:rsidRPr="00C35F8B" w:rsidRDefault="3C999DED" w:rsidP="2F066EF5">
      <w:pPr>
        <w:pStyle w:val="Heading4"/>
      </w:pPr>
      <w:r w:rsidRPr="00C35F8B">
        <w:lastRenderedPageBreak/>
        <w:t>Smarter B</w:t>
      </w:r>
      <w:r w:rsidR="45E57D6E" w:rsidRPr="00C35F8B">
        <w:t xml:space="preserve">alanced Demonstration of Concept Study </w:t>
      </w:r>
    </w:p>
    <w:p w14:paraId="6E47FF7D" w14:textId="77777777" w:rsidR="00120A9E" w:rsidRPr="00C35F8B" w:rsidRDefault="5B24F675" w:rsidP="00FD0F1A">
      <w:pPr>
        <w:spacing w:after="240"/>
      </w:pPr>
      <w:r w:rsidRPr="00C35F8B">
        <w:t>In January and March</w:t>
      </w:r>
      <w:r w:rsidR="00EC6405" w:rsidRPr="00C35F8B">
        <w:t xml:space="preserve"> 2022</w:t>
      </w:r>
      <w:r w:rsidRPr="00C35F8B">
        <w:t xml:space="preserve">, the CDE provided the SBE with information about a study </w:t>
      </w:r>
      <w:r w:rsidR="4E2FFFF3" w:rsidRPr="00C35F8B">
        <w:t xml:space="preserve">being </w:t>
      </w:r>
      <w:r w:rsidRPr="00C35F8B">
        <w:t xml:space="preserve">conducted by the Smarter Balanced Assessment Consortium in partnership with the New Teacher Center (NTC). The study </w:t>
      </w:r>
      <w:r w:rsidR="0E5BF529" w:rsidRPr="00C35F8B">
        <w:t xml:space="preserve">is </w:t>
      </w:r>
      <w:r w:rsidR="00D9460E" w:rsidRPr="00C35F8B">
        <w:t xml:space="preserve">(1) </w:t>
      </w:r>
      <w:r w:rsidR="0E5BF529" w:rsidRPr="00C35F8B">
        <w:t>examining how</w:t>
      </w:r>
      <w:r w:rsidR="503FCCFF" w:rsidRPr="00C35F8B">
        <w:t xml:space="preserve"> Smarter Balanced Interim Assessment</w:t>
      </w:r>
      <w:r w:rsidRPr="00C35F8B">
        <w:t xml:space="preserve"> </w:t>
      </w:r>
      <w:r w:rsidR="002B06CE" w:rsidRPr="00C35F8B">
        <w:t>performance</w:t>
      </w:r>
      <w:r w:rsidRPr="00C35F8B">
        <w:t xml:space="preserve"> tasks can be i</w:t>
      </w:r>
      <w:r w:rsidR="39378ACF" w:rsidRPr="00C35F8B">
        <w:t xml:space="preserve">ncorporated into classroom </w:t>
      </w:r>
      <w:r w:rsidR="44BDCDD2" w:rsidRPr="00C35F8B">
        <w:t>instruction</w:t>
      </w:r>
      <w:r w:rsidR="00D9460E" w:rsidRPr="00C35F8B">
        <w:t>;</w:t>
      </w:r>
      <w:r w:rsidR="44BDCDD2" w:rsidRPr="00C35F8B">
        <w:t xml:space="preserve"> and </w:t>
      </w:r>
      <w:r w:rsidR="00D9460E" w:rsidRPr="00C35F8B">
        <w:t xml:space="preserve">(2) </w:t>
      </w:r>
      <w:r w:rsidR="44BDCDD2" w:rsidRPr="00C35F8B">
        <w:t>building</w:t>
      </w:r>
      <w:r w:rsidR="59108836" w:rsidRPr="00C35F8B">
        <w:t xml:space="preserve"> collective knowledge on how Smarter Balanced performance tasks may be embedded during instruction as part of the summative assessment process. </w:t>
      </w:r>
    </w:p>
    <w:p w14:paraId="5B214A88" w14:textId="77777777" w:rsidR="00120A9E" w:rsidRPr="00C35F8B" w:rsidRDefault="3B50A332" w:rsidP="00FD0F1A">
      <w:pPr>
        <w:spacing w:after="240"/>
        <w:rPr>
          <w:rFonts w:eastAsia="Arial"/>
          <w:color w:val="000000" w:themeColor="text1"/>
        </w:rPr>
      </w:pPr>
      <w:r w:rsidRPr="00C35F8B">
        <w:t>Since March, the two LEAs</w:t>
      </w:r>
      <w:r w:rsidR="00D9460E" w:rsidRPr="00C35F8B">
        <w:t xml:space="preserve"> participating in the study</w:t>
      </w:r>
      <w:r w:rsidR="56B163E9" w:rsidRPr="00C35F8B">
        <w:rPr>
          <w:rFonts w:eastAsia="Arial"/>
          <w:color w:val="000000" w:themeColor="text1"/>
        </w:rPr>
        <w:t>—</w:t>
      </w:r>
      <w:r w:rsidR="6A5F1916" w:rsidRPr="00C35F8B">
        <w:rPr>
          <w:rFonts w:eastAsia="Arial"/>
          <w:color w:val="000000" w:themeColor="text1"/>
        </w:rPr>
        <w:t xml:space="preserve">Upper Lake </w:t>
      </w:r>
      <w:r w:rsidR="4B0E9E63" w:rsidRPr="00C35F8B">
        <w:rPr>
          <w:rFonts w:eastAsia="Arial"/>
          <w:color w:val="000000" w:themeColor="text1"/>
        </w:rPr>
        <w:t>Unified and Val Verde Unified</w:t>
      </w:r>
      <w:r w:rsidR="63F4D5A8" w:rsidRPr="00C35F8B">
        <w:rPr>
          <w:rFonts w:eastAsia="Arial"/>
          <w:color w:val="000000" w:themeColor="text1"/>
        </w:rPr>
        <w:t>, both from California</w:t>
      </w:r>
      <w:r w:rsidR="33FE37E1" w:rsidRPr="00C35F8B">
        <w:rPr>
          <w:rFonts w:eastAsia="Arial"/>
          <w:color w:val="000000" w:themeColor="text1"/>
        </w:rPr>
        <w:t>—</w:t>
      </w:r>
      <w:r w:rsidR="421EF74C" w:rsidRPr="00C35F8B">
        <w:rPr>
          <w:rFonts w:eastAsia="Arial"/>
          <w:color w:val="000000" w:themeColor="text1"/>
        </w:rPr>
        <w:t xml:space="preserve">have </w:t>
      </w:r>
      <w:r w:rsidR="00663D25" w:rsidRPr="00C35F8B">
        <w:rPr>
          <w:rFonts w:eastAsia="Arial"/>
          <w:color w:val="000000" w:themeColor="text1"/>
        </w:rPr>
        <w:t>completed</w:t>
      </w:r>
      <w:r w:rsidR="1C8D9B97" w:rsidRPr="00C35F8B">
        <w:rPr>
          <w:rFonts w:eastAsia="Arial"/>
          <w:color w:val="000000" w:themeColor="text1"/>
        </w:rPr>
        <w:t xml:space="preserve"> </w:t>
      </w:r>
      <w:r w:rsidR="421EF74C" w:rsidRPr="00C35F8B">
        <w:rPr>
          <w:rFonts w:eastAsia="Arial"/>
          <w:color w:val="000000" w:themeColor="text1"/>
        </w:rPr>
        <w:t>the following</w:t>
      </w:r>
      <w:r w:rsidR="265C01C5" w:rsidRPr="00C35F8B">
        <w:rPr>
          <w:rFonts w:eastAsia="Arial"/>
          <w:color w:val="000000" w:themeColor="text1"/>
        </w:rPr>
        <w:t xml:space="preserve"> activities</w:t>
      </w:r>
      <w:r w:rsidR="421EF74C" w:rsidRPr="00C35F8B">
        <w:rPr>
          <w:rFonts w:eastAsia="Arial"/>
          <w:color w:val="000000" w:themeColor="text1"/>
        </w:rPr>
        <w:t>:</w:t>
      </w:r>
    </w:p>
    <w:p w14:paraId="27352171" w14:textId="77777777" w:rsidR="005E1A83" w:rsidRPr="00C35F8B" w:rsidRDefault="5A0359E1" w:rsidP="00FD0F1A">
      <w:pPr>
        <w:pStyle w:val="ListParagraph"/>
        <w:numPr>
          <w:ilvl w:val="0"/>
          <w:numId w:val="1"/>
        </w:numPr>
        <w:spacing w:after="240"/>
        <w:contextualSpacing w:val="0"/>
        <w:rPr>
          <w:rFonts w:asciiTheme="minorHAnsi" w:eastAsiaTheme="minorEastAsia" w:hAnsiTheme="minorHAnsi" w:cstheme="minorBidi"/>
          <w:color w:val="000000" w:themeColor="text1"/>
        </w:rPr>
      </w:pPr>
      <w:r w:rsidRPr="00C35F8B">
        <w:rPr>
          <w:rFonts w:eastAsia="Arial"/>
          <w:color w:val="000000" w:themeColor="text1"/>
        </w:rPr>
        <w:t>P</w:t>
      </w:r>
      <w:r w:rsidR="08BBDFED" w:rsidRPr="00C35F8B">
        <w:rPr>
          <w:rFonts w:eastAsia="Arial"/>
          <w:color w:val="000000" w:themeColor="text1"/>
        </w:rPr>
        <w:t>rofessional learning sessions</w:t>
      </w:r>
    </w:p>
    <w:p w14:paraId="3C50C451" w14:textId="77777777" w:rsidR="005E1A83" w:rsidRPr="00C35F8B" w:rsidRDefault="5A0359E1" w:rsidP="00FD0F1A">
      <w:pPr>
        <w:pStyle w:val="ListParagraph"/>
        <w:numPr>
          <w:ilvl w:val="0"/>
          <w:numId w:val="1"/>
        </w:numPr>
        <w:spacing w:after="240"/>
        <w:contextualSpacing w:val="0"/>
        <w:rPr>
          <w:rFonts w:asciiTheme="minorHAnsi" w:eastAsiaTheme="minorEastAsia" w:hAnsiTheme="minorHAnsi" w:cstheme="minorBidi"/>
          <w:color w:val="000000" w:themeColor="text1"/>
        </w:rPr>
      </w:pPr>
      <w:r w:rsidRPr="00C35F8B">
        <w:rPr>
          <w:rFonts w:eastAsia="Arial"/>
          <w:color w:val="000000" w:themeColor="text1"/>
        </w:rPr>
        <w:t>I</w:t>
      </w:r>
      <w:r w:rsidR="0E9E3F45" w:rsidRPr="00C35F8B">
        <w:rPr>
          <w:rFonts w:eastAsia="Arial"/>
          <w:color w:val="000000" w:themeColor="text1"/>
        </w:rPr>
        <w:t>mplementation of the</w:t>
      </w:r>
      <w:r w:rsidR="18B17885" w:rsidRPr="00C35F8B">
        <w:rPr>
          <w:rFonts w:eastAsia="Arial"/>
          <w:color w:val="000000" w:themeColor="text1"/>
        </w:rPr>
        <w:t xml:space="preserve"> </w:t>
      </w:r>
      <w:r w:rsidR="4FDCC8B7" w:rsidRPr="00C35F8B">
        <w:rPr>
          <w:rFonts w:eastAsia="Arial"/>
          <w:color w:val="000000" w:themeColor="text1"/>
        </w:rPr>
        <w:t>interim assessment performance task support activity</w:t>
      </w:r>
    </w:p>
    <w:p w14:paraId="01883038" w14:textId="77777777" w:rsidR="00120A9E" w:rsidRPr="00C35F8B" w:rsidRDefault="00663D25" w:rsidP="00FD0F1A">
      <w:pPr>
        <w:pStyle w:val="ListParagraph"/>
        <w:numPr>
          <w:ilvl w:val="0"/>
          <w:numId w:val="1"/>
        </w:numPr>
        <w:spacing w:after="240"/>
        <w:contextualSpacing w:val="0"/>
        <w:rPr>
          <w:color w:val="000000" w:themeColor="text1"/>
        </w:rPr>
      </w:pPr>
      <w:r w:rsidRPr="00C35F8B">
        <w:rPr>
          <w:color w:val="000000" w:themeColor="text1"/>
        </w:rPr>
        <w:t>A</w:t>
      </w:r>
      <w:r w:rsidR="10C5AA7C" w:rsidRPr="00C35F8B">
        <w:rPr>
          <w:color w:val="000000" w:themeColor="text1"/>
        </w:rPr>
        <w:t xml:space="preserve">dministration of the interim assessment performance task </w:t>
      </w:r>
    </w:p>
    <w:p w14:paraId="60AE912F" w14:textId="77777777" w:rsidR="10C5AA7C" w:rsidRPr="00C35F8B" w:rsidRDefault="10C5AA7C" w:rsidP="00FD0F1A">
      <w:pPr>
        <w:pStyle w:val="ListParagraph"/>
        <w:numPr>
          <w:ilvl w:val="0"/>
          <w:numId w:val="1"/>
        </w:numPr>
        <w:spacing w:after="240"/>
        <w:contextualSpacing w:val="0"/>
        <w:rPr>
          <w:color w:val="000000" w:themeColor="text1"/>
        </w:rPr>
      </w:pPr>
      <w:r w:rsidRPr="00C35F8B">
        <w:rPr>
          <w:color w:val="000000" w:themeColor="text1"/>
        </w:rPr>
        <w:t xml:space="preserve">Collaborative scoring of the performance tasks </w:t>
      </w:r>
    </w:p>
    <w:p w14:paraId="2404A4CC" w14:textId="77777777" w:rsidR="10C5AA7C" w:rsidRPr="00C35F8B" w:rsidRDefault="10C5AA7C" w:rsidP="00FD0F1A">
      <w:pPr>
        <w:pStyle w:val="ListParagraph"/>
        <w:numPr>
          <w:ilvl w:val="0"/>
          <w:numId w:val="1"/>
        </w:numPr>
        <w:spacing w:after="240"/>
        <w:contextualSpacing w:val="0"/>
        <w:rPr>
          <w:color w:val="000000" w:themeColor="text1"/>
        </w:rPr>
      </w:pPr>
      <w:r w:rsidRPr="00C35F8B">
        <w:rPr>
          <w:color w:val="000000" w:themeColor="text1"/>
        </w:rPr>
        <w:t>Planning for instruction and adapta</w:t>
      </w:r>
      <w:r w:rsidR="474EF792" w:rsidRPr="00C35F8B">
        <w:rPr>
          <w:color w:val="000000" w:themeColor="text1"/>
        </w:rPr>
        <w:t>tions to curriculum</w:t>
      </w:r>
      <w:r w:rsidRPr="00C35F8B">
        <w:rPr>
          <w:color w:val="000000" w:themeColor="text1"/>
        </w:rPr>
        <w:t xml:space="preserve"> based on data gathered from the performance tasks</w:t>
      </w:r>
    </w:p>
    <w:p w14:paraId="6132FA8D" w14:textId="77777777" w:rsidR="79598719" w:rsidRPr="00C35F8B" w:rsidRDefault="22494E0D" w:rsidP="00FD0F1A">
      <w:pPr>
        <w:spacing w:after="240"/>
        <w:rPr>
          <w:color w:val="000000" w:themeColor="text1"/>
        </w:rPr>
      </w:pPr>
      <w:r w:rsidRPr="00C35F8B">
        <w:rPr>
          <w:color w:val="000000" w:themeColor="text1"/>
        </w:rPr>
        <w:t>T</w:t>
      </w:r>
      <w:r w:rsidR="04A08A61" w:rsidRPr="00C35F8B">
        <w:rPr>
          <w:color w:val="000000" w:themeColor="text1"/>
        </w:rPr>
        <w:t xml:space="preserve">hroughout the professional learning sessions, </w:t>
      </w:r>
      <w:r w:rsidR="055B3037" w:rsidRPr="00C35F8B">
        <w:rPr>
          <w:color w:val="000000" w:themeColor="text1"/>
        </w:rPr>
        <w:t xml:space="preserve">Smarter Balanced and </w:t>
      </w:r>
      <w:r w:rsidR="00D9460E" w:rsidRPr="00C35F8B">
        <w:rPr>
          <w:color w:val="000000" w:themeColor="text1"/>
        </w:rPr>
        <w:t xml:space="preserve">the </w:t>
      </w:r>
      <w:r w:rsidR="055B3037" w:rsidRPr="00C35F8B">
        <w:rPr>
          <w:color w:val="000000" w:themeColor="text1"/>
        </w:rPr>
        <w:t xml:space="preserve">NTC asked participants to share information, </w:t>
      </w:r>
      <w:r w:rsidR="04A08A61" w:rsidRPr="00C35F8B">
        <w:rPr>
          <w:color w:val="000000" w:themeColor="text1"/>
        </w:rPr>
        <w:t>including student</w:t>
      </w:r>
      <w:r w:rsidR="00D9460E" w:rsidRPr="00C35F8B">
        <w:rPr>
          <w:color w:val="000000" w:themeColor="text1"/>
        </w:rPr>
        <w:t>s’</w:t>
      </w:r>
      <w:r w:rsidR="04A08A61" w:rsidRPr="00C35F8B">
        <w:rPr>
          <w:color w:val="000000" w:themeColor="text1"/>
        </w:rPr>
        <w:t xml:space="preserve"> responses from </w:t>
      </w:r>
      <w:r w:rsidR="00D9460E" w:rsidRPr="00C35F8B">
        <w:rPr>
          <w:color w:val="000000" w:themeColor="text1"/>
        </w:rPr>
        <w:t xml:space="preserve">the </w:t>
      </w:r>
      <w:r w:rsidR="04A08A61" w:rsidRPr="00C35F8B">
        <w:rPr>
          <w:color w:val="000000" w:themeColor="text1"/>
        </w:rPr>
        <w:t>classroom activities and feedback from teachers regarding student</w:t>
      </w:r>
      <w:r w:rsidR="00D9460E" w:rsidRPr="00C35F8B">
        <w:rPr>
          <w:color w:val="000000" w:themeColor="text1"/>
        </w:rPr>
        <w:t>s’</w:t>
      </w:r>
      <w:r w:rsidR="04A08A61" w:rsidRPr="00C35F8B">
        <w:rPr>
          <w:color w:val="000000" w:themeColor="text1"/>
        </w:rPr>
        <w:t xml:space="preserve"> progress </w:t>
      </w:r>
      <w:r w:rsidR="005D1DA6" w:rsidRPr="00C35F8B">
        <w:rPr>
          <w:color w:val="000000" w:themeColor="text1"/>
        </w:rPr>
        <w:t xml:space="preserve">in order </w:t>
      </w:r>
      <w:r w:rsidR="5A216B6D" w:rsidRPr="00C35F8B">
        <w:rPr>
          <w:color w:val="000000" w:themeColor="text1"/>
        </w:rPr>
        <w:t>to draft a</w:t>
      </w:r>
      <w:r w:rsidR="3ED444EE" w:rsidRPr="00C35F8B">
        <w:rPr>
          <w:color w:val="000000" w:themeColor="text1"/>
        </w:rPr>
        <w:t xml:space="preserve"> preliminary analysis</w:t>
      </w:r>
      <w:r w:rsidR="1A5A8CCF" w:rsidRPr="00C35F8B">
        <w:rPr>
          <w:color w:val="000000" w:themeColor="text1"/>
        </w:rPr>
        <w:t xml:space="preserve"> </w:t>
      </w:r>
      <w:r w:rsidR="11D23425" w:rsidRPr="00C35F8B">
        <w:rPr>
          <w:color w:val="000000" w:themeColor="text1"/>
        </w:rPr>
        <w:t xml:space="preserve">for </w:t>
      </w:r>
      <w:r w:rsidR="1A5A8CCF" w:rsidRPr="00C35F8B">
        <w:rPr>
          <w:color w:val="000000" w:themeColor="text1"/>
        </w:rPr>
        <w:t>the study</w:t>
      </w:r>
      <w:r w:rsidR="3ED444EE" w:rsidRPr="00C35F8B">
        <w:rPr>
          <w:color w:val="000000" w:themeColor="text1"/>
        </w:rPr>
        <w:t>.</w:t>
      </w:r>
      <w:r w:rsidR="2BD8594A" w:rsidRPr="00C35F8B">
        <w:rPr>
          <w:color w:val="000000" w:themeColor="text1"/>
        </w:rPr>
        <w:t xml:space="preserve"> </w:t>
      </w:r>
      <w:r w:rsidR="6199F511" w:rsidRPr="00C35F8B">
        <w:rPr>
          <w:color w:val="000000" w:themeColor="text1"/>
        </w:rPr>
        <w:t>A preliminary report</w:t>
      </w:r>
      <w:r w:rsidR="68F42F1F" w:rsidRPr="00C35F8B">
        <w:rPr>
          <w:color w:val="000000" w:themeColor="text1"/>
        </w:rPr>
        <w:t xml:space="preserve">, including </w:t>
      </w:r>
      <w:r w:rsidR="005D1DA6" w:rsidRPr="00C35F8B">
        <w:rPr>
          <w:color w:val="000000" w:themeColor="text1"/>
        </w:rPr>
        <w:t xml:space="preserve">the </w:t>
      </w:r>
      <w:r w:rsidR="68F42F1F" w:rsidRPr="00C35F8B">
        <w:rPr>
          <w:color w:val="000000" w:themeColor="text1"/>
        </w:rPr>
        <w:t xml:space="preserve">benefits and challenges </w:t>
      </w:r>
      <w:r w:rsidR="2E604B23" w:rsidRPr="00C35F8B">
        <w:rPr>
          <w:color w:val="000000" w:themeColor="text1"/>
        </w:rPr>
        <w:t xml:space="preserve">of </w:t>
      </w:r>
      <w:r w:rsidR="172614EB" w:rsidRPr="00C35F8B">
        <w:rPr>
          <w:color w:val="000000" w:themeColor="text1"/>
        </w:rPr>
        <w:t>embedding performance tasks into classroom instruction</w:t>
      </w:r>
      <w:r w:rsidR="68F42F1F" w:rsidRPr="00C35F8B">
        <w:rPr>
          <w:color w:val="000000" w:themeColor="text1"/>
        </w:rPr>
        <w:t>,</w:t>
      </w:r>
      <w:r w:rsidR="172614EB" w:rsidRPr="00C35F8B">
        <w:rPr>
          <w:color w:val="000000" w:themeColor="text1"/>
        </w:rPr>
        <w:t xml:space="preserve"> </w:t>
      </w:r>
      <w:r w:rsidR="6199F511" w:rsidRPr="00C35F8B">
        <w:rPr>
          <w:color w:val="000000" w:themeColor="text1"/>
        </w:rPr>
        <w:t>is expected later this year.</w:t>
      </w:r>
    </w:p>
    <w:p w14:paraId="7BC2E842" w14:textId="77777777" w:rsidR="00120A9E" w:rsidRPr="00C35F8B" w:rsidRDefault="4C4C13D2" w:rsidP="00EB50C5">
      <w:pPr>
        <w:pStyle w:val="Heading4"/>
        <w:rPr>
          <w:color w:val="000000" w:themeColor="text1"/>
        </w:rPr>
      </w:pPr>
      <w:r w:rsidRPr="00C35F8B">
        <w:t xml:space="preserve">2022–23 </w:t>
      </w:r>
      <w:r w:rsidR="0FF52F48" w:rsidRPr="00C35F8B">
        <w:t>California Educator Reporting System Training</w:t>
      </w:r>
    </w:p>
    <w:p w14:paraId="7F552189" w14:textId="096686EB" w:rsidR="00DF414B" w:rsidRPr="00C35F8B" w:rsidRDefault="001B175F" w:rsidP="00FD0F1A">
      <w:pPr>
        <w:spacing w:after="240"/>
        <w:rPr>
          <w:rFonts w:eastAsia="Arial"/>
          <w:color w:val="000000" w:themeColor="text1"/>
        </w:rPr>
      </w:pPr>
      <w:r w:rsidRPr="00C35F8B">
        <w:rPr>
          <w:rFonts w:eastAsia="Arial"/>
          <w:color w:val="000000" w:themeColor="text1"/>
        </w:rPr>
        <w:t>T</w:t>
      </w:r>
      <w:r w:rsidR="0FF52F48" w:rsidRPr="00C35F8B">
        <w:rPr>
          <w:rFonts w:eastAsia="Arial"/>
          <w:color w:val="000000" w:themeColor="text1"/>
        </w:rPr>
        <w:t xml:space="preserve">he CERS </w:t>
      </w:r>
      <w:r w:rsidR="001F36F6" w:rsidRPr="00C35F8B">
        <w:rPr>
          <w:rFonts w:eastAsia="Arial"/>
          <w:color w:val="000000" w:themeColor="text1"/>
        </w:rPr>
        <w:t>provides</w:t>
      </w:r>
      <w:r w:rsidR="0FF52F48" w:rsidRPr="00C35F8B">
        <w:rPr>
          <w:rFonts w:eastAsia="Arial"/>
          <w:color w:val="000000" w:themeColor="text1"/>
        </w:rPr>
        <w:t xml:space="preserve"> LEA staff </w:t>
      </w:r>
      <w:r w:rsidR="00D3181D" w:rsidRPr="00C35F8B">
        <w:rPr>
          <w:rFonts w:eastAsia="Arial"/>
          <w:color w:val="000000" w:themeColor="text1"/>
        </w:rPr>
        <w:t xml:space="preserve">the earliest access to </w:t>
      </w:r>
      <w:r w:rsidR="0FF52F48" w:rsidRPr="00C35F8B">
        <w:rPr>
          <w:rFonts w:eastAsia="Arial"/>
          <w:color w:val="000000" w:themeColor="text1"/>
        </w:rPr>
        <w:t xml:space="preserve">individual and aggregate student results from CAASPP and ELPAC summative assessments as well as from Smarter Balanced Interim Assessments. </w:t>
      </w:r>
      <w:r w:rsidR="001B57BA" w:rsidRPr="00C35F8B">
        <w:rPr>
          <w:rFonts w:eastAsia="Arial"/>
          <w:color w:val="000000" w:themeColor="text1"/>
        </w:rPr>
        <w:t>On behalf of t</w:t>
      </w:r>
      <w:r w:rsidR="24CFBB11" w:rsidRPr="00C35F8B">
        <w:rPr>
          <w:rFonts w:eastAsia="Arial"/>
          <w:color w:val="000000" w:themeColor="text1"/>
        </w:rPr>
        <w:t xml:space="preserve">he CDE, the Sacramento County Office of Education </w:t>
      </w:r>
      <w:r w:rsidR="00F901DF" w:rsidRPr="00C35F8B">
        <w:rPr>
          <w:rFonts w:eastAsia="Arial"/>
          <w:color w:val="000000" w:themeColor="text1"/>
        </w:rPr>
        <w:t>is d</w:t>
      </w:r>
      <w:r w:rsidR="00A25F1F" w:rsidRPr="00C35F8B">
        <w:rPr>
          <w:rFonts w:eastAsia="Arial"/>
          <w:color w:val="000000" w:themeColor="text1"/>
        </w:rPr>
        <w:t>eveloping</w:t>
      </w:r>
      <w:r w:rsidR="00F901DF" w:rsidRPr="00C35F8B">
        <w:rPr>
          <w:rFonts w:eastAsia="Arial"/>
          <w:color w:val="000000" w:themeColor="text1"/>
        </w:rPr>
        <w:t xml:space="preserve"> </w:t>
      </w:r>
      <w:r w:rsidR="24CFBB11" w:rsidRPr="00C35F8B">
        <w:rPr>
          <w:rFonts w:eastAsia="Arial"/>
          <w:color w:val="000000" w:themeColor="text1"/>
        </w:rPr>
        <w:t xml:space="preserve">new </w:t>
      </w:r>
      <w:r w:rsidR="5DC7880F" w:rsidRPr="00C35F8B">
        <w:rPr>
          <w:rFonts w:eastAsia="Arial"/>
          <w:color w:val="000000" w:themeColor="text1"/>
        </w:rPr>
        <w:t xml:space="preserve">online </w:t>
      </w:r>
      <w:r w:rsidR="00CD23F4" w:rsidRPr="00C35F8B">
        <w:rPr>
          <w:rFonts w:eastAsia="Arial"/>
          <w:color w:val="000000" w:themeColor="text1"/>
        </w:rPr>
        <w:t>CERS</w:t>
      </w:r>
      <w:r w:rsidR="69570484" w:rsidRPr="00C35F8B">
        <w:rPr>
          <w:rFonts w:eastAsia="Arial"/>
          <w:color w:val="000000" w:themeColor="text1"/>
        </w:rPr>
        <w:t xml:space="preserve"> training sessions</w:t>
      </w:r>
      <w:r w:rsidR="00CD23F4" w:rsidRPr="00C35F8B">
        <w:rPr>
          <w:rFonts w:eastAsia="Arial"/>
          <w:color w:val="000000" w:themeColor="text1"/>
        </w:rPr>
        <w:t xml:space="preserve"> </w:t>
      </w:r>
      <w:r w:rsidR="00F901DF" w:rsidRPr="00C35F8B">
        <w:rPr>
          <w:rFonts w:eastAsia="Arial"/>
          <w:color w:val="000000" w:themeColor="text1"/>
        </w:rPr>
        <w:t xml:space="preserve">that will be offered </w:t>
      </w:r>
      <w:r w:rsidR="00CD23F4" w:rsidRPr="00C35F8B">
        <w:rPr>
          <w:rFonts w:eastAsia="Arial"/>
          <w:color w:val="000000" w:themeColor="text1"/>
        </w:rPr>
        <w:t xml:space="preserve">throughout 2022–23. </w:t>
      </w:r>
      <w:r w:rsidR="002E55A8" w:rsidRPr="00C35F8B">
        <w:rPr>
          <w:rFonts w:eastAsia="Arial"/>
          <w:color w:val="000000" w:themeColor="text1"/>
        </w:rPr>
        <w:t xml:space="preserve">The first </w:t>
      </w:r>
      <w:r w:rsidR="00CD23F4" w:rsidRPr="00C35F8B">
        <w:rPr>
          <w:rFonts w:eastAsia="Arial"/>
          <w:color w:val="000000" w:themeColor="text1"/>
        </w:rPr>
        <w:t>sessions</w:t>
      </w:r>
      <w:r w:rsidR="002E55A8" w:rsidRPr="00C35F8B">
        <w:rPr>
          <w:rFonts w:eastAsia="Arial"/>
          <w:color w:val="000000" w:themeColor="text1"/>
        </w:rPr>
        <w:t xml:space="preserve">, which will begin in </w:t>
      </w:r>
      <w:r w:rsidR="00087E20" w:rsidRPr="00C35F8B">
        <w:rPr>
          <w:rFonts w:eastAsia="Arial"/>
          <w:color w:val="000000" w:themeColor="text1"/>
        </w:rPr>
        <w:t>July</w:t>
      </w:r>
      <w:r w:rsidR="00DC09BC" w:rsidRPr="00C35F8B">
        <w:rPr>
          <w:rFonts w:eastAsia="Arial"/>
          <w:color w:val="000000" w:themeColor="text1"/>
        </w:rPr>
        <w:t xml:space="preserve"> 2022</w:t>
      </w:r>
      <w:r w:rsidR="00087E20" w:rsidRPr="00C35F8B">
        <w:rPr>
          <w:rFonts w:eastAsia="Arial"/>
          <w:color w:val="000000" w:themeColor="text1"/>
        </w:rPr>
        <w:t>,</w:t>
      </w:r>
      <w:r w:rsidR="00CD23F4" w:rsidRPr="00C35F8B">
        <w:rPr>
          <w:rFonts w:eastAsia="Arial"/>
          <w:color w:val="000000" w:themeColor="text1"/>
        </w:rPr>
        <w:t xml:space="preserve"> </w:t>
      </w:r>
      <w:r w:rsidR="00DC09BC" w:rsidRPr="00C35F8B">
        <w:rPr>
          <w:rFonts w:eastAsia="Arial"/>
          <w:color w:val="000000" w:themeColor="text1"/>
        </w:rPr>
        <w:t>are</w:t>
      </w:r>
      <w:r w:rsidR="00CD23F4" w:rsidRPr="00C35F8B">
        <w:rPr>
          <w:rFonts w:eastAsia="Arial"/>
          <w:color w:val="000000" w:themeColor="text1"/>
        </w:rPr>
        <w:t xml:space="preserve"> </w:t>
      </w:r>
      <w:r w:rsidR="00260DEB" w:rsidRPr="00C35F8B">
        <w:rPr>
          <w:rFonts w:eastAsia="Arial"/>
          <w:color w:val="000000" w:themeColor="text1"/>
        </w:rPr>
        <w:t xml:space="preserve">designed </w:t>
      </w:r>
      <w:r w:rsidR="69570484" w:rsidRPr="00C35F8B">
        <w:rPr>
          <w:rFonts w:eastAsia="Arial"/>
          <w:color w:val="000000" w:themeColor="text1"/>
        </w:rPr>
        <w:t xml:space="preserve">for assessment coordinators and administrators to </w:t>
      </w:r>
      <w:r w:rsidR="00CD23F4" w:rsidRPr="00C35F8B">
        <w:rPr>
          <w:rFonts w:eastAsia="Arial"/>
          <w:color w:val="000000" w:themeColor="text1"/>
        </w:rPr>
        <w:t>gain familiarity</w:t>
      </w:r>
      <w:r w:rsidR="4108287B" w:rsidRPr="00C35F8B">
        <w:rPr>
          <w:rFonts w:eastAsia="Arial"/>
          <w:color w:val="000000" w:themeColor="text1"/>
        </w:rPr>
        <w:t xml:space="preserve"> with CERS features</w:t>
      </w:r>
      <w:r w:rsidR="001F3E31" w:rsidRPr="00C35F8B">
        <w:rPr>
          <w:rFonts w:eastAsia="Arial"/>
          <w:color w:val="000000" w:themeColor="text1"/>
        </w:rPr>
        <w:t xml:space="preserve">, including features </w:t>
      </w:r>
      <w:r w:rsidR="006555B4" w:rsidRPr="00C35F8B">
        <w:rPr>
          <w:rFonts w:eastAsia="Arial"/>
          <w:color w:val="000000" w:themeColor="text1"/>
        </w:rPr>
        <w:t>specifically for</w:t>
      </w:r>
      <w:r w:rsidR="006105B3" w:rsidRPr="00C35F8B">
        <w:rPr>
          <w:rFonts w:eastAsia="Arial"/>
          <w:color w:val="000000" w:themeColor="text1"/>
        </w:rPr>
        <w:t xml:space="preserve"> CERS user</w:t>
      </w:r>
      <w:r w:rsidR="00F23A7F" w:rsidRPr="00C35F8B">
        <w:rPr>
          <w:rFonts w:eastAsia="Arial"/>
          <w:color w:val="000000" w:themeColor="text1"/>
        </w:rPr>
        <w:t>s with administrator-level roles.</w:t>
      </w:r>
      <w:r w:rsidR="4108287B" w:rsidRPr="00C35F8B">
        <w:rPr>
          <w:rFonts w:eastAsia="Arial"/>
          <w:color w:val="000000" w:themeColor="text1"/>
        </w:rPr>
        <w:t xml:space="preserve"> </w:t>
      </w:r>
      <w:r w:rsidR="006555B4" w:rsidRPr="00C35F8B">
        <w:rPr>
          <w:rFonts w:eastAsia="Arial"/>
          <w:color w:val="000000" w:themeColor="text1"/>
        </w:rPr>
        <w:t>In addition, participants will</w:t>
      </w:r>
      <w:r w:rsidR="4108287B" w:rsidRPr="00C35F8B">
        <w:rPr>
          <w:rFonts w:eastAsia="Arial"/>
          <w:color w:val="000000" w:themeColor="text1"/>
        </w:rPr>
        <w:t xml:space="preserve"> </w:t>
      </w:r>
      <w:r w:rsidR="003C164F" w:rsidRPr="00C35F8B">
        <w:rPr>
          <w:rFonts w:eastAsia="Arial"/>
          <w:color w:val="000000" w:themeColor="text1"/>
        </w:rPr>
        <w:t>learn ways</w:t>
      </w:r>
      <w:r w:rsidR="4108287B" w:rsidRPr="00C35F8B">
        <w:rPr>
          <w:rFonts w:eastAsia="Arial"/>
          <w:color w:val="000000" w:themeColor="text1"/>
        </w:rPr>
        <w:t xml:space="preserve"> to </w:t>
      </w:r>
      <w:r w:rsidR="00260DEB" w:rsidRPr="00C35F8B">
        <w:rPr>
          <w:rFonts w:eastAsia="Arial"/>
          <w:color w:val="000000" w:themeColor="text1"/>
        </w:rPr>
        <w:t xml:space="preserve">promote and </w:t>
      </w:r>
      <w:r w:rsidR="4108287B" w:rsidRPr="00C35F8B">
        <w:rPr>
          <w:rFonts w:eastAsia="Arial"/>
          <w:color w:val="000000" w:themeColor="text1"/>
        </w:rPr>
        <w:t>support educator access and use of the system</w:t>
      </w:r>
      <w:r w:rsidR="00A336C3" w:rsidRPr="00C35F8B">
        <w:rPr>
          <w:rFonts w:eastAsia="Arial"/>
          <w:color w:val="000000" w:themeColor="text1"/>
        </w:rPr>
        <w:t xml:space="preserve"> locally</w:t>
      </w:r>
      <w:r w:rsidR="4108287B" w:rsidRPr="00C35F8B">
        <w:rPr>
          <w:rFonts w:eastAsia="Arial"/>
          <w:color w:val="000000" w:themeColor="text1"/>
        </w:rPr>
        <w:t>. Th</w:t>
      </w:r>
      <w:r w:rsidR="0028614B" w:rsidRPr="00C35F8B">
        <w:rPr>
          <w:rFonts w:eastAsia="Arial"/>
          <w:color w:val="000000" w:themeColor="text1"/>
        </w:rPr>
        <w:t>ese</w:t>
      </w:r>
      <w:r w:rsidR="75A776D0" w:rsidRPr="00C35F8B">
        <w:rPr>
          <w:rFonts w:eastAsia="Arial"/>
          <w:color w:val="000000" w:themeColor="text1"/>
        </w:rPr>
        <w:t xml:space="preserve"> </w:t>
      </w:r>
      <w:r w:rsidR="00CD23F4" w:rsidRPr="00C35F8B">
        <w:rPr>
          <w:rFonts w:eastAsia="Arial"/>
          <w:color w:val="000000" w:themeColor="text1"/>
        </w:rPr>
        <w:t>three</w:t>
      </w:r>
      <w:r w:rsidR="00E56E71" w:rsidRPr="00C35F8B">
        <w:rPr>
          <w:rFonts w:eastAsia="Arial"/>
          <w:color w:val="000000" w:themeColor="text1"/>
        </w:rPr>
        <w:t>-</w:t>
      </w:r>
      <w:r w:rsidR="00CD23F4" w:rsidRPr="00C35F8B">
        <w:rPr>
          <w:rFonts w:eastAsia="Arial"/>
          <w:color w:val="000000" w:themeColor="text1"/>
        </w:rPr>
        <w:t xml:space="preserve">hour </w:t>
      </w:r>
      <w:r w:rsidR="75A776D0" w:rsidRPr="00C35F8B">
        <w:rPr>
          <w:rFonts w:eastAsia="Arial"/>
          <w:color w:val="000000" w:themeColor="text1"/>
        </w:rPr>
        <w:t xml:space="preserve">training </w:t>
      </w:r>
      <w:r w:rsidR="0028614B" w:rsidRPr="00C35F8B">
        <w:rPr>
          <w:rFonts w:eastAsia="Arial"/>
          <w:color w:val="000000" w:themeColor="text1"/>
        </w:rPr>
        <w:t xml:space="preserve">sessions </w:t>
      </w:r>
      <w:r w:rsidR="00CD23F4" w:rsidRPr="00C35F8B">
        <w:rPr>
          <w:rFonts w:eastAsia="Arial"/>
          <w:color w:val="000000" w:themeColor="text1"/>
        </w:rPr>
        <w:t xml:space="preserve">for coordinators and administrators </w:t>
      </w:r>
      <w:r w:rsidR="75A776D0" w:rsidRPr="00C35F8B">
        <w:rPr>
          <w:rFonts w:eastAsia="Arial"/>
          <w:color w:val="000000" w:themeColor="text1"/>
        </w:rPr>
        <w:t xml:space="preserve">will </w:t>
      </w:r>
      <w:r w:rsidR="00A336C3" w:rsidRPr="00C35F8B">
        <w:rPr>
          <w:rFonts w:eastAsia="Arial"/>
          <w:color w:val="000000" w:themeColor="text1"/>
        </w:rPr>
        <w:t>include an</w:t>
      </w:r>
      <w:r w:rsidR="00CD23F4" w:rsidRPr="00C35F8B">
        <w:rPr>
          <w:rFonts w:eastAsia="Arial"/>
          <w:color w:val="000000" w:themeColor="text1"/>
        </w:rPr>
        <w:t xml:space="preserve"> optional lab session </w:t>
      </w:r>
      <w:r w:rsidR="008904A3" w:rsidRPr="00C35F8B">
        <w:rPr>
          <w:rFonts w:eastAsia="Arial"/>
          <w:color w:val="000000" w:themeColor="text1"/>
        </w:rPr>
        <w:t xml:space="preserve">for participants to practice and learn more </w:t>
      </w:r>
      <w:r w:rsidR="00335EE9" w:rsidRPr="00C35F8B">
        <w:rPr>
          <w:rFonts w:eastAsia="Arial"/>
          <w:color w:val="000000" w:themeColor="text1"/>
        </w:rPr>
        <w:t>about managing</w:t>
      </w:r>
      <w:r w:rsidR="0070378C" w:rsidRPr="00C35F8B">
        <w:rPr>
          <w:rFonts w:eastAsia="Arial"/>
          <w:color w:val="000000" w:themeColor="text1"/>
        </w:rPr>
        <w:t xml:space="preserve"> rosters</w:t>
      </w:r>
      <w:r w:rsidR="000301B5" w:rsidRPr="00C35F8B">
        <w:rPr>
          <w:rFonts w:eastAsia="Arial"/>
          <w:color w:val="000000" w:themeColor="text1"/>
        </w:rPr>
        <w:t xml:space="preserve"> in CERS.</w:t>
      </w:r>
    </w:p>
    <w:p w14:paraId="7A8EA0FB" w14:textId="6E8FA46D" w:rsidR="00DF414B" w:rsidRPr="00C35F8B" w:rsidRDefault="4EC857CC" w:rsidP="6B05EBAF">
      <w:pPr>
        <w:pStyle w:val="paragraph"/>
        <w:spacing w:before="0" w:beforeAutospacing="0" w:after="240" w:afterAutospacing="0"/>
        <w:rPr>
          <w:rFonts w:eastAsia="Arial"/>
          <w:color w:val="000000" w:themeColor="text1"/>
        </w:rPr>
      </w:pPr>
      <w:r w:rsidRPr="00C35F8B">
        <w:rPr>
          <w:rFonts w:eastAsia="Arial"/>
          <w:color w:val="000000" w:themeColor="text1"/>
        </w:rPr>
        <w:t>Subsequent training sessions</w:t>
      </w:r>
      <w:r w:rsidR="00AB4E27" w:rsidRPr="00C35F8B">
        <w:rPr>
          <w:rFonts w:eastAsia="Arial"/>
          <w:color w:val="000000" w:themeColor="text1"/>
        </w:rPr>
        <w:t xml:space="preserve"> designed </w:t>
      </w:r>
      <w:r w:rsidRPr="00C35F8B">
        <w:rPr>
          <w:rFonts w:eastAsia="Arial"/>
          <w:color w:val="000000" w:themeColor="text1"/>
        </w:rPr>
        <w:t>for all users of CERS</w:t>
      </w:r>
      <w:r w:rsidR="00260DEB" w:rsidRPr="00C35F8B">
        <w:rPr>
          <w:rFonts w:eastAsia="Arial"/>
          <w:color w:val="000000" w:themeColor="text1"/>
        </w:rPr>
        <w:t>, including teachers,</w:t>
      </w:r>
      <w:r w:rsidRPr="00C35F8B">
        <w:rPr>
          <w:rFonts w:eastAsia="Arial"/>
          <w:color w:val="000000" w:themeColor="text1"/>
        </w:rPr>
        <w:t xml:space="preserve"> will </w:t>
      </w:r>
      <w:r w:rsidR="00A50F93" w:rsidRPr="00C35F8B">
        <w:rPr>
          <w:rFonts w:eastAsia="Arial"/>
          <w:color w:val="000000" w:themeColor="text1"/>
        </w:rPr>
        <w:t>begin</w:t>
      </w:r>
      <w:r w:rsidR="004D555B" w:rsidRPr="00C35F8B">
        <w:rPr>
          <w:rFonts w:eastAsia="Arial"/>
          <w:color w:val="000000" w:themeColor="text1"/>
        </w:rPr>
        <w:t xml:space="preserve"> in August</w:t>
      </w:r>
      <w:r w:rsidRPr="00C35F8B">
        <w:rPr>
          <w:rFonts w:eastAsia="Arial"/>
          <w:color w:val="000000" w:themeColor="text1"/>
        </w:rPr>
        <w:t xml:space="preserve"> </w:t>
      </w:r>
      <w:r w:rsidR="00260DEB" w:rsidRPr="00C35F8B">
        <w:rPr>
          <w:rFonts w:eastAsia="Arial"/>
          <w:color w:val="000000" w:themeColor="text1"/>
        </w:rPr>
        <w:t>2022.</w:t>
      </w:r>
      <w:r w:rsidRPr="00C35F8B">
        <w:rPr>
          <w:rFonts w:eastAsia="Arial"/>
          <w:color w:val="000000" w:themeColor="text1"/>
        </w:rPr>
        <w:t xml:space="preserve"> </w:t>
      </w:r>
      <w:r w:rsidR="00DF414B" w:rsidRPr="00C35F8B">
        <w:rPr>
          <w:rStyle w:val="normaltextrun"/>
          <w:rFonts w:eastAsiaTheme="majorEastAsia"/>
          <w:color w:val="000000"/>
          <w:shd w:val="clear" w:color="auto" w:fill="FFFFFF"/>
        </w:rPr>
        <w:t>These two-hour introductory training sessions w</w:t>
      </w:r>
      <w:r w:rsidR="00DF414B" w:rsidRPr="00C35F8B">
        <w:rPr>
          <w:rFonts w:eastAsia="Arial"/>
          <w:color w:val="000000" w:themeColor="text1"/>
        </w:rPr>
        <w:t xml:space="preserve">ill be offered to </w:t>
      </w:r>
      <w:r w:rsidR="00C37BB4" w:rsidRPr="00C35F8B">
        <w:rPr>
          <w:rFonts w:eastAsia="Arial"/>
          <w:color w:val="000000" w:themeColor="text1"/>
        </w:rPr>
        <w:t>familiarize LEA</w:t>
      </w:r>
      <w:r w:rsidR="00962BFC" w:rsidRPr="00C35F8B">
        <w:rPr>
          <w:rFonts w:eastAsia="Arial"/>
          <w:color w:val="000000" w:themeColor="text1"/>
        </w:rPr>
        <w:t xml:space="preserve"> staff</w:t>
      </w:r>
      <w:r w:rsidR="00DF414B" w:rsidRPr="00C35F8B">
        <w:rPr>
          <w:rFonts w:eastAsia="Arial"/>
          <w:color w:val="000000" w:themeColor="text1"/>
        </w:rPr>
        <w:t xml:space="preserve"> with CERS features and </w:t>
      </w:r>
      <w:r w:rsidR="00962BFC" w:rsidRPr="00C35F8B">
        <w:rPr>
          <w:rFonts w:eastAsia="Arial"/>
          <w:color w:val="000000" w:themeColor="text1"/>
        </w:rPr>
        <w:t>provide</w:t>
      </w:r>
      <w:r w:rsidR="00DF414B" w:rsidRPr="00C35F8B">
        <w:rPr>
          <w:rFonts w:eastAsia="Arial"/>
          <w:color w:val="000000" w:themeColor="text1"/>
        </w:rPr>
        <w:t xml:space="preserve"> </w:t>
      </w:r>
      <w:r w:rsidR="00041688" w:rsidRPr="00C35F8B">
        <w:rPr>
          <w:rFonts w:eastAsia="Arial"/>
          <w:color w:val="000000" w:themeColor="text1"/>
        </w:rPr>
        <w:t>guidance on</w:t>
      </w:r>
      <w:r w:rsidR="00DF414B" w:rsidRPr="00C35F8B">
        <w:rPr>
          <w:rFonts w:eastAsia="Arial"/>
          <w:color w:val="000000" w:themeColor="text1"/>
        </w:rPr>
        <w:t xml:space="preserve"> viewing </w:t>
      </w:r>
      <w:r w:rsidR="0028614B" w:rsidRPr="00C35F8B">
        <w:rPr>
          <w:rFonts w:eastAsia="Arial"/>
          <w:color w:val="000000" w:themeColor="text1"/>
        </w:rPr>
        <w:t xml:space="preserve">summative </w:t>
      </w:r>
      <w:r w:rsidR="0028614B" w:rsidRPr="00C35F8B">
        <w:rPr>
          <w:rFonts w:eastAsia="Arial"/>
          <w:color w:val="000000" w:themeColor="text1"/>
        </w:rPr>
        <w:lastRenderedPageBreak/>
        <w:t xml:space="preserve">and interim assessment </w:t>
      </w:r>
      <w:r w:rsidR="00DF414B" w:rsidRPr="00C35F8B">
        <w:rPr>
          <w:rFonts w:eastAsia="Arial"/>
          <w:color w:val="000000" w:themeColor="text1"/>
        </w:rPr>
        <w:t>results</w:t>
      </w:r>
      <w:r w:rsidR="0028614B" w:rsidRPr="00C35F8B">
        <w:rPr>
          <w:rFonts w:eastAsia="Arial"/>
          <w:color w:val="000000" w:themeColor="text1"/>
        </w:rPr>
        <w:t xml:space="preserve"> within the system</w:t>
      </w:r>
      <w:r w:rsidR="00DF414B" w:rsidRPr="00C35F8B">
        <w:rPr>
          <w:rFonts w:eastAsia="Arial"/>
          <w:color w:val="000000" w:themeColor="text1"/>
        </w:rPr>
        <w:t xml:space="preserve">. </w:t>
      </w:r>
      <w:r w:rsidR="00EB7478" w:rsidRPr="00C35F8B">
        <w:rPr>
          <w:rFonts w:eastAsia="Arial"/>
          <w:color w:val="000000" w:themeColor="text1"/>
        </w:rPr>
        <w:t>Further information about the 2022–</w:t>
      </w:r>
      <w:r w:rsidR="00490E3C" w:rsidRPr="00C35F8B">
        <w:rPr>
          <w:rFonts w:eastAsia="Arial"/>
          <w:color w:val="000000" w:themeColor="text1"/>
        </w:rPr>
        <w:t>23 CERS training, including available session dates</w:t>
      </w:r>
      <w:r w:rsidR="00CB1FC3" w:rsidRPr="00C35F8B">
        <w:rPr>
          <w:rFonts w:eastAsia="Arial"/>
          <w:color w:val="000000" w:themeColor="text1"/>
        </w:rPr>
        <w:t>,</w:t>
      </w:r>
      <w:r w:rsidR="00490E3C" w:rsidRPr="00C35F8B">
        <w:rPr>
          <w:rFonts w:eastAsia="Arial"/>
          <w:color w:val="000000" w:themeColor="text1"/>
        </w:rPr>
        <w:t xml:space="preserve"> can be found on the CAASPP Upcoming Training Opportunities we</w:t>
      </w:r>
      <w:r w:rsidR="007D5613" w:rsidRPr="00C35F8B">
        <w:rPr>
          <w:rFonts w:eastAsia="Arial"/>
          <w:color w:val="000000" w:themeColor="text1"/>
        </w:rPr>
        <w:t>b page at</w:t>
      </w:r>
      <w:r w:rsidR="00EB7478" w:rsidRPr="00C35F8B">
        <w:rPr>
          <w:rFonts w:eastAsia="Arial"/>
          <w:color w:val="000000" w:themeColor="text1"/>
        </w:rPr>
        <w:t xml:space="preserve"> </w:t>
      </w:r>
      <w:hyperlink r:id="rId17" w:tooltip="This link opens the CAASPP Upcoming Training Opportunities web page." w:history="1">
        <w:r w:rsidR="00EB7478" w:rsidRPr="00C35F8B">
          <w:rPr>
            <w:rStyle w:val="Hyperlink"/>
            <w:rFonts w:eastAsia="Arial"/>
          </w:rPr>
          <w:t>https://www.caaspp.org/training/training-opportunities.html</w:t>
        </w:r>
        <w:r w:rsidR="5FA4B3D6" w:rsidRPr="00C35F8B">
          <w:rPr>
            <w:rFonts w:eastAsia="Arial"/>
          </w:rPr>
          <w:t xml:space="preserve"> and on the ELPAC Upcoming Training and Opportunities web page at </w:t>
        </w:r>
      </w:hyperlink>
      <w:hyperlink r:id="rId18" w:tooltip="This link opens the ELPAC Upcoming Training and Opportunities web page.">
        <w:r w:rsidR="5FA4B3D6" w:rsidRPr="00C35F8B">
          <w:rPr>
            <w:rStyle w:val="Hyperlink"/>
            <w:rFonts w:eastAsia="Arial"/>
          </w:rPr>
          <w:t>https://www.elpac.org/training/training-opportunities/</w:t>
        </w:r>
      </w:hyperlink>
      <w:r w:rsidR="6B05EBAF" w:rsidRPr="00C35F8B">
        <w:rPr>
          <w:rFonts w:eastAsia="Arial"/>
          <w:color w:val="000000" w:themeColor="text1"/>
        </w:rPr>
        <w:t>.</w:t>
      </w:r>
    </w:p>
    <w:p w14:paraId="62985676" w14:textId="00BA7593" w:rsidR="00120A9E" w:rsidRPr="00C35F8B" w:rsidRDefault="541E32B2" w:rsidP="00FD0F1A">
      <w:pPr>
        <w:spacing w:after="240"/>
        <w:rPr>
          <w:rFonts w:eastAsia="Arial"/>
          <w:color w:val="000000" w:themeColor="text1"/>
        </w:rPr>
      </w:pPr>
      <w:r w:rsidRPr="00C35F8B">
        <w:rPr>
          <w:rFonts w:eastAsia="Arial"/>
          <w:color w:val="000000" w:themeColor="text1"/>
        </w:rPr>
        <w:t xml:space="preserve">A recording of the </w:t>
      </w:r>
      <w:r w:rsidR="0028614B" w:rsidRPr="00C35F8B">
        <w:rPr>
          <w:rFonts w:eastAsia="Arial"/>
          <w:color w:val="000000" w:themeColor="text1"/>
        </w:rPr>
        <w:t xml:space="preserve">CERS </w:t>
      </w:r>
      <w:r w:rsidRPr="00C35F8B">
        <w:rPr>
          <w:rFonts w:eastAsia="Arial"/>
          <w:color w:val="000000" w:themeColor="text1"/>
        </w:rPr>
        <w:t xml:space="preserve">training sessions, along with the PowerPoint presentations, will be posted </w:t>
      </w:r>
      <w:r w:rsidR="00456985" w:rsidRPr="00C35F8B">
        <w:rPr>
          <w:rFonts w:eastAsia="Arial"/>
          <w:color w:val="000000" w:themeColor="text1"/>
        </w:rPr>
        <w:t>on</w:t>
      </w:r>
      <w:r w:rsidRPr="00C35F8B">
        <w:rPr>
          <w:rFonts w:eastAsia="Arial"/>
          <w:color w:val="000000" w:themeColor="text1"/>
        </w:rPr>
        <w:t xml:space="preserve"> the CAASPP Past Training Opportunities and Materials web page at </w:t>
      </w:r>
      <w:hyperlink r:id="rId19" w:tooltip="This link opens the CAASPP Pasting Training Opportunities and Materials web page.">
        <w:r w:rsidR="146ADB43" w:rsidRPr="00C35F8B">
          <w:rPr>
            <w:rStyle w:val="Hyperlink"/>
            <w:rFonts w:eastAsia="Arial"/>
          </w:rPr>
          <w:t>https://www.caaspp.org/training/training-opportunities-archive.html</w:t>
        </w:r>
      </w:hyperlink>
      <w:r w:rsidR="3526AF6F" w:rsidRPr="00C35F8B">
        <w:rPr>
          <w:rFonts w:eastAsia="Arial"/>
        </w:rPr>
        <w:t xml:space="preserve"> and on the ELPAC Past Training </w:t>
      </w:r>
      <w:r w:rsidR="28F039D5" w:rsidRPr="00C35F8B">
        <w:rPr>
          <w:rFonts w:eastAsia="Arial"/>
        </w:rPr>
        <w:t xml:space="preserve">Opportunities and Materials web page at </w:t>
      </w:r>
      <w:hyperlink r:id="rId20" w:tooltip="This link opens the ELPAC Pasting Training Opportunities and Materials web page.">
        <w:r w:rsidR="28F039D5" w:rsidRPr="00C35F8B">
          <w:rPr>
            <w:rStyle w:val="Hyperlink"/>
            <w:rFonts w:eastAsia="Arial"/>
          </w:rPr>
          <w:t>https://www.elpac.org/training/training-opportunities-archive/</w:t>
        </w:r>
      </w:hyperlink>
      <w:r w:rsidR="28F039D5" w:rsidRPr="00C35F8B">
        <w:rPr>
          <w:rFonts w:eastAsia="Arial"/>
        </w:rPr>
        <w:t>.</w:t>
      </w:r>
    </w:p>
    <w:p w14:paraId="0939D58C" w14:textId="77777777" w:rsidR="00120A9E" w:rsidRPr="00C35F8B" w:rsidRDefault="541E32B2" w:rsidP="008D71EF">
      <w:pPr>
        <w:pStyle w:val="Heading4"/>
        <w:rPr>
          <w:i/>
          <w:color w:val="000000" w:themeColor="text1"/>
        </w:rPr>
      </w:pPr>
      <w:r w:rsidRPr="00C35F8B">
        <w:t>Interim and Formative Assessment Training Series for Teachers and LEA Staff</w:t>
      </w:r>
    </w:p>
    <w:p w14:paraId="0AC205D3" w14:textId="77777777" w:rsidR="00120A9E" w:rsidRPr="00C35F8B" w:rsidRDefault="0BCCD014" w:rsidP="00FD0F1A">
      <w:pPr>
        <w:spacing w:after="240"/>
        <w:rPr>
          <w:rFonts w:eastAsia="Arial"/>
          <w:color w:val="000000" w:themeColor="text1"/>
        </w:rPr>
      </w:pPr>
      <w:r w:rsidRPr="00C35F8B">
        <w:rPr>
          <w:rFonts w:eastAsia="Arial"/>
          <w:color w:val="000000" w:themeColor="text1"/>
        </w:rPr>
        <w:t xml:space="preserve">On behalf of the </w:t>
      </w:r>
      <w:r w:rsidR="331FBA4C" w:rsidRPr="00C35F8B">
        <w:rPr>
          <w:rFonts w:eastAsia="Arial"/>
          <w:color w:val="000000" w:themeColor="text1"/>
        </w:rPr>
        <w:t xml:space="preserve">CDE, ETS and </w:t>
      </w:r>
      <w:r w:rsidRPr="00C35F8B">
        <w:rPr>
          <w:rFonts w:eastAsia="Arial"/>
          <w:color w:val="000000" w:themeColor="text1"/>
        </w:rPr>
        <w:t>WestEd</w:t>
      </w:r>
      <w:r w:rsidR="331FBA4C" w:rsidRPr="00C35F8B">
        <w:rPr>
          <w:rFonts w:eastAsia="Arial"/>
          <w:color w:val="000000" w:themeColor="text1"/>
        </w:rPr>
        <w:t xml:space="preserve"> will </w:t>
      </w:r>
      <w:r w:rsidR="77CFE0A8" w:rsidRPr="00C35F8B">
        <w:rPr>
          <w:rFonts w:eastAsia="Arial"/>
          <w:color w:val="000000" w:themeColor="text1"/>
        </w:rPr>
        <w:t xml:space="preserve">develop and </w:t>
      </w:r>
      <w:r w:rsidR="331FBA4C" w:rsidRPr="00C35F8B">
        <w:rPr>
          <w:rFonts w:eastAsia="Arial"/>
          <w:color w:val="000000" w:themeColor="text1"/>
        </w:rPr>
        <w:t>off</w:t>
      </w:r>
      <w:r w:rsidR="0326CC4B" w:rsidRPr="00C35F8B">
        <w:rPr>
          <w:rFonts w:eastAsia="Arial"/>
          <w:color w:val="000000" w:themeColor="text1"/>
        </w:rPr>
        <w:t>er</w:t>
      </w:r>
      <w:r w:rsidR="331FBA4C" w:rsidRPr="00C35F8B">
        <w:rPr>
          <w:rFonts w:eastAsia="Arial"/>
          <w:color w:val="000000" w:themeColor="text1"/>
        </w:rPr>
        <w:t xml:space="preserve"> the Interim and Formative Assessment Training Series</w:t>
      </w:r>
      <w:r w:rsidR="0062282B" w:rsidRPr="00C35F8B">
        <w:rPr>
          <w:rFonts w:eastAsia="Arial"/>
          <w:color w:val="000000" w:themeColor="text1"/>
        </w:rPr>
        <w:t>,</w:t>
      </w:r>
      <w:r w:rsidR="19FD2AA1" w:rsidRPr="00C35F8B">
        <w:rPr>
          <w:rFonts w:eastAsia="Arial"/>
          <w:color w:val="000000" w:themeColor="text1"/>
        </w:rPr>
        <w:t xml:space="preserve"> which</w:t>
      </w:r>
      <w:r w:rsidR="00456985" w:rsidRPr="00C35F8B">
        <w:rPr>
          <w:rFonts w:eastAsia="Arial"/>
          <w:color w:val="000000" w:themeColor="text1"/>
        </w:rPr>
        <w:t xml:space="preserve"> will</w:t>
      </w:r>
      <w:r w:rsidR="19FD2AA1" w:rsidRPr="00C35F8B">
        <w:rPr>
          <w:rFonts w:eastAsia="Arial"/>
          <w:color w:val="000000" w:themeColor="text1"/>
        </w:rPr>
        <w:t xml:space="preserve"> </w:t>
      </w:r>
      <w:r w:rsidR="753AD1CE" w:rsidRPr="00C35F8B">
        <w:rPr>
          <w:rFonts w:eastAsia="Arial"/>
          <w:color w:val="000000" w:themeColor="text1"/>
        </w:rPr>
        <w:t>include</w:t>
      </w:r>
      <w:r w:rsidR="331FBA4C" w:rsidRPr="00C35F8B">
        <w:rPr>
          <w:rFonts w:eastAsia="Arial"/>
          <w:color w:val="000000" w:themeColor="text1"/>
        </w:rPr>
        <w:t xml:space="preserve"> three</w:t>
      </w:r>
      <w:r w:rsidR="00456985" w:rsidRPr="00C35F8B">
        <w:rPr>
          <w:rFonts w:eastAsia="Arial"/>
          <w:color w:val="000000" w:themeColor="text1"/>
        </w:rPr>
        <w:t xml:space="preserve"> </w:t>
      </w:r>
      <w:r w:rsidR="331FBA4C" w:rsidRPr="00C35F8B">
        <w:rPr>
          <w:rFonts w:eastAsia="Arial"/>
          <w:color w:val="000000" w:themeColor="text1"/>
        </w:rPr>
        <w:t xml:space="preserve">modules of </w:t>
      </w:r>
      <w:r w:rsidR="3D252ECE" w:rsidRPr="00C35F8B">
        <w:rPr>
          <w:rFonts w:eastAsia="Arial"/>
          <w:color w:val="000000" w:themeColor="text1"/>
        </w:rPr>
        <w:t xml:space="preserve">live </w:t>
      </w:r>
      <w:r w:rsidR="331FBA4C" w:rsidRPr="00C35F8B">
        <w:rPr>
          <w:rFonts w:eastAsia="Arial"/>
          <w:color w:val="000000" w:themeColor="text1"/>
        </w:rPr>
        <w:t>online trainings for teachers and other LEA staff who work directly with students. This series will begin in summer</w:t>
      </w:r>
      <w:r w:rsidR="0062282B" w:rsidRPr="00C35F8B">
        <w:rPr>
          <w:rFonts w:eastAsia="Arial"/>
          <w:color w:val="000000" w:themeColor="text1"/>
        </w:rPr>
        <w:t xml:space="preserve"> 2022</w:t>
      </w:r>
      <w:r w:rsidR="331FBA4C" w:rsidRPr="00C35F8B">
        <w:rPr>
          <w:rFonts w:eastAsia="Arial"/>
          <w:color w:val="000000" w:themeColor="text1"/>
        </w:rPr>
        <w:t xml:space="preserve"> and continue through the fall. </w:t>
      </w:r>
      <w:r w:rsidR="00D15A57" w:rsidRPr="00C35F8B">
        <w:rPr>
          <w:rFonts w:eastAsia="Arial"/>
          <w:color w:val="000000" w:themeColor="text1"/>
        </w:rPr>
        <w:t>As with</w:t>
      </w:r>
      <w:r w:rsidR="006B2F50" w:rsidRPr="00C35F8B">
        <w:rPr>
          <w:rFonts w:eastAsia="Arial"/>
          <w:color w:val="000000" w:themeColor="text1"/>
        </w:rPr>
        <w:t xml:space="preserve"> last</w:t>
      </w:r>
      <w:r w:rsidR="77CFE0A8" w:rsidRPr="00C35F8B">
        <w:rPr>
          <w:rFonts w:eastAsia="Arial"/>
          <w:color w:val="000000" w:themeColor="text1"/>
        </w:rPr>
        <w:t xml:space="preserve"> year’s training series, e</w:t>
      </w:r>
      <w:r w:rsidR="331FBA4C" w:rsidRPr="00C35F8B">
        <w:rPr>
          <w:rFonts w:eastAsia="Arial"/>
          <w:color w:val="000000" w:themeColor="text1"/>
        </w:rPr>
        <w:t>ach module will have a unique focus:</w:t>
      </w:r>
    </w:p>
    <w:p w14:paraId="50661856" w14:textId="77777777" w:rsidR="00120A9E" w:rsidRPr="00C35F8B" w:rsidRDefault="0D3EF9AB" w:rsidP="00FD0F1A">
      <w:pPr>
        <w:pStyle w:val="ListParagraph"/>
        <w:numPr>
          <w:ilvl w:val="0"/>
          <w:numId w:val="3"/>
        </w:numPr>
        <w:spacing w:after="240"/>
        <w:contextualSpacing w:val="0"/>
        <w:rPr>
          <w:rFonts w:eastAsiaTheme="minorEastAsia"/>
          <w:color w:val="000000" w:themeColor="text1"/>
        </w:rPr>
      </w:pPr>
      <w:r w:rsidRPr="00C35F8B">
        <w:rPr>
          <w:rFonts w:eastAsia="Arial"/>
          <w:color w:val="000000" w:themeColor="text1"/>
        </w:rPr>
        <w:t>Module One will focus on the purposes of different types of assessment, including formative assessment and such resources as Tools for Teachers and how they work together to support learning.</w:t>
      </w:r>
    </w:p>
    <w:p w14:paraId="77C08D48" w14:textId="1F78B9D1" w:rsidR="00120A9E" w:rsidRPr="00C35F8B" w:rsidRDefault="0D3EF9AB" w:rsidP="00FD0F1A">
      <w:pPr>
        <w:pStyle w:val="ListParagraph"/>
        <w:numPr>
          <w:ilvl w:val="0"/>
          <w:numId w:val="3"/>
        </w:numPr>
        <w:spacing w:after="240"/>
        <w:contextualSpacing w:val="0"/>
        <w:rPr>
          <w:rFonts w:eastAsiaTheme="minorEastAsia"/>
          <w:color w:val="000000" w:themeColor="text1"/>
        </w:rPr>
      </w:pPr>
      <w:r w:rsidRPr="00C35F8B">
        <w:rPr>
          <w:rFonts w:eastAsia="Arial"/>
          <w:color w:val="000000" w:themeColor="text1"/>
        </w:rPr>
        <w:t xml:space="preserve">Module Two will focus on how the Smarter Balanced Interim Assessments </w:t>
      </w:r>
      <w:r w:rsidR="009C16B7" w:rsidRPr="00C35F8B">
        <w:rPr>
          <w:rFonts w:eastAsia="Arial"/>
          <w:color w:val="000000" w:themeColor="text1"/>
        </w:rPr>
        <w:t>and</w:t>
      </w:r>
      <w:r w:rsidR="0078149D" w:rsidRPr="00C35F8B">
        <w:rPr>
          <w:rFonts w:eastAsia="Arial"/>
          <w:color w:val="000000" w:themeColor="text1"/>
        </w:rPr>
        <w:t xml:space="preserve"> results from them </w:t>
      </w:r>
      <w:r w:rsidRPr="00C35F8B">
        <w:rPr>
          <w:rFonts w:eastAsia="Arial"/>
          <w:color w:val="000000" w:themeColor="text1"/>
        </w:rPr>
        <w:t>can be used for classroom application.</w:t>
      </w:r>
    </w:p>
    <w:p w14:paraId="30F8EE88" w14:textId="7D51209B" w:rsidR="00120A9E" w:rsidRPr="00C35F8B" w:rsidRDefault="0D3EF9AB" w:rsidP="00FD0F1A">
      <w:pPr>
        <w:pStyle w:val="ListParagraph"/>
        <w:numPr>
          <w:ilvl w:val="0"/>
          <w:numId w:val="3"/>
        </w:numPr>
        <w:spacing w:after="240"/>
        <w:contextualSpacing w:val="0"/>
        <w:rPr>
          <w:rFonts w:eastAsiaTheme="minorEastAsia"/>
          <w:color w:val="000000" w:themeColor="text1"/>
        </w:rPr>
      </w:pPr>
      <w:r w:rsidRPr="00C35F8B">
        <w:rPr>
          <w:rFonts w:eastAsia="Arial"/>
          <w:color w:val="000000" w:themeColor="text1"/>
        </w:rPr>
        <w:t>Module Three will focus on using hand scoring to analyze interim assessment written responses, understand expectations, and determine next steps to support learning.</w:t>
      </w:r>
    </w:p>
    <w:p w14:paraId="58E3961F" w14:textId="65B8CD04" w:rsidR="0027241E" w:rsidRPr="00C35F8B" w:rsidRDefault="541E32B2" w:rsidP="00FD0F1A">
      <w:pPr>
        <w:spacing w:after="240"/>
        <w:rPr>
          <w:rFonts w:eastAsia="Arial"/>
          <w:color w:val="000000" w:themeColor="text1"/>
        </w:rPr>
      </w:pPr>
      <w:r w:rsidRPr="00C35F8B">
        <w:rPr>
          <w:rFonts w:eastAsia="Arial"/>
          <w:color w:val="000000" w:themeColor="text1"/>
        </w:rPr>
        <w:t xml:space="preserve">All three modules are approximately three hours in length. Module Three will consist of </w:t>
      </w:r>
      <w:r w:rsidR="00E1102F" w:rsidRPr="00C35F8B">
        <w:rPr>
          <w:rFonts w:eastAsia="Arial"/>
          <w:color w:val="000000" w:themeColor="text1"/>
        </w:rPr>
        <w:t>separate</w:t>
      </w:r>
      <w:r w:rsidR="2A09C69C" w:rsidRPr="00C35F8B">
        <w:rPr>
          <w:rFonts w:eastAsia="Arial"/>
          <w:color w:val="000000" w:themeColor="text1"/>
        </w:rPr>
        <w:t xml:space="preserve"> sessions </w:t>
      </w:r>
      <w:r w:rsidRPr="00C35F8B">
        <w:rPr>
          <w:rFonts w:eastAsia="Arial"/>
          <w:color w:val="000000" w:themeColor="text1"/>
        </w:rPr>
        <w:t xml:space="preserve">for ELA and mathematics. </w:t>
      </w:r>
      <w:r w:rsidR="00F50896" w:rsidRPr="00C35F8B">
        <w:rPr>
          <w:rFonts w:eastAsia="Arial"/>
          <w:color w:val="000000" w:themeColor="text1"/>
        </w:rPr>
        <w:t>Each module is designed to be independent of the other modules; therefore, the understanding of content from one module is not dependent on participation in another. Educators can customize their participation on the basis of the area(s) in which they want further professional development.</w:t>
      </w:r>
    </w:p>
    <w:p w14:paraId="2E02FE60" w14:textId="77777777" w:rsidR="00120A9E" w:rsidRPr="00C35F8B" w:rsidRDefault="00456985" w:rsidP="5B77583F">
      <w:pPr>
        <w:spacing w:after="240"/>
        <w:rPr>
          <w:rFonts w:eastAsia="Arial"/>
          <w:color w:val="000000" w:themeColor="text1"/>
        </w:rPr>
      </w:pPr>
      <w:r w:rsidRPr="00C35F8B">
        <w:rPr>
          <w:rFonts w:eastAsia="Arial"/>
          <w:color w:val="000000" w:themeColor="text1"/>
        </w:rPr>
        <w:t xml:space="preserve">All </w:t>
      </w:r>
      <w:r w:rsidR="00F50896" w:rsidRPr="00C35F8B">
        <w:rPr>
          <w:rFonts w:eastAsia="Arial"/>
          <w:color w:val="000000" w:themeColor="text1"/>
        </w:rPr>
        <w:t>module</w:t>
      </w:r>
      <w:r w:rsidRPr="00C35F8B">
        <w:rPr>
          <w:rFonts w:eastAsia="Arial"/>
          <w:color w:val="000000" w:themeColor="text1"/>
        </w:rPr>
        <w:t>s</w:t>
      </w:r>
      <w:r w:rsidR="00F50896" w:rsidRPr="00C35F8B">
        <w:rPr>
          <w:rFonts w:eastAsia="Arial"/>
          <w:color w:val="000000" w:themeColor="text1"/>
        </w:rPr>
        <w:t xml:space="preserve"> will be offered multiple times via live online trainings. Fall sessions will include asynchronous options for educators who cannot attend the live offerings.</w:t>
      </w:r>
      <w:r w:rsidR="5B77583F" w:rsidRPr="00C35F8B">
        <w:rPr>
          <w:rFonts w:eastAsia="Arial"/>
          <w:color w:val="000000" w:themeColor="text1"/>
        </w:rPr>
        <w:t xml:space="preserve"> </w:t>
      </w:r>
      <w:r w:rsidR="00F50896" w:rsidRPr="00C35F8B">
        <w:rPr>
          <w:rFonts w:eastAsia="Arial"/>
          <w:color w:val="000000" w:themeColor="text1"/>
        </w:rPr>
        <w:t xml:space="preserve">In addition, training materials and recordings will be made available on the CAASPP Past Training Opportunities and Materials web page. </w:t>
      </w:r>
      <w:r w:rsidRPr="00C35F8B">
        <w:rPr>
          <w:rFonts w:eastAsia="Arial"/>
          <w:color w:val="000000" w:themeColor="text1"/>
        </w:rPr>
        <w:t>Training dates</w:t>
      </w:r>
      <w:r w:rsidR="331FBA4C" w:rsidRPr="00C35F8B">
        <w:rPr>
          <w:rFonts w:eastAsia="Arial"/>
          <w:color w:val="000000" w:themeColor="text1"/>
        </w:rPr>
        <w:t xml:space="preserve"> </w:t>
      </w:r>
      <w:r w:rsidRPr="00C35F8B">
        <w:rPr>
          <w:rFonts w:eastAsia="Arial"/>
          <w:color w:val="000000" w:themeColor="text1"/>
        </w:rPr>
        <w:t>will be announced and registration will</w:t>
      </w:r>
      <w:r w:rsidR="331FBA4C" w:rsidRPr="00C35F8B">
        <w:rPr>
          <w:rFonts w:eastAsia="Arial"/>
          <w:color w:val="000000" w:themeColor="text1"/>
        </w:rPr>
        <w:t xml:space="preserve"> open </w:t>
      </w:r>
      <w:r w:rsidR="3D23EA4D" w:rsidRPr="00C35F8B">
        <w:rPr>
          <w:rFonts w:eastAsia="Arial"/>
          <w:color w:val="000000" w:themeColor="text1"/>
        </w:rPr>
        <w:t>in May 2022</w:t>
      </w:r>
      <w:r w:rsidR="331FBA4C" w:rsidRPr="00C35F8B">
        <w:rPr>
          <w:rFonts w:eastAsia="Arial"/>
          <w:color w:val="000000" w:themeColor="text1"/>
        </w:rPr>
        <w:t>.</w:t>
      </w:r>
      <w:r w:rsidR="008411E3" w:rsidRPr="00C35F8B">
        <w:rPr>
          <w:rFonts w:eastAsia="Arial"/>
          <w:color w:val="000000" w:themeColor="text1"/>
        </w:rPr>
        <w:t xml:space="preserve"> </w:t>
      </w:r>
    </w:p>
    <w:p w14:paraId="43E57DEB" w14:textId="77777777" w:rsidR="00DC29C7" w:rsidRPr="00C35F8B" w:rsidDel="00C91F86" w:rsidRDefault="00DC29C7" w:rsidP="008D71EF">
      <w:pPr>
        <w:pStyle w:val="Heading4"/>
      </w:pPr>
      <w:r w:rsidRPr="00C35F8B" w:rsidDel="00C91F86">
        <w:lastRenderedPageBreak/>
        <w:t xml:space="preserve">Science Instructional Resources in Tools for Teachers </w:t>
      </w:r>
    </w:p>
    <w:p w14:paraId="561C806E" w14:textId="651A09DF" w:rsidR="00DC29C7" w:rsidRPr="00C35F8B" w:rsidDel="00C91F86" w:rsidRDefault="00DC29C7" w:rsidP="00DC29C7">
      <w:pPr>
        <w:spacing w:after="240"/>
      </w:pPr>
      <w:r w:rsidRPr="00C35F8B" w:rsidDel="00C91F86">
        <w:t xml:space="preserve">The CDE continues to work with California science educators to develop science instructional resources to be added to the Tools for Teachers website, which is located at </w:t>
      </w:r>
      <w:hyperlink r:id="rId21" w:tooltip="This opens the link for Smarter Balanced Tools for Teachers' home web page.">
        <w:r w:rsidRPr="00C35F8B" w:rsidDel="00C91F86">
          <w:rPr>
            <w:rStyle w:val="Hyperlink"/>
          </w:rPr>
          <w:t>https://www.smartertoolsforteachers.org/</w:t>
        </w:r>
      </w:hyperlink>
      <w:r w:rsidRPr="00C35F8B" w:rsidDel="00C91F86">
        <w:t xml:space="preserve">. The CDE has completed four workshops with California science educators to develop kindergarten through high school science resources for Tools for Teachers. </w:t>
      </w:r>
      <w:r w:rsidRPr="00C35F8B">
        <w:t>Currently,</w:t>
      </w:r>
      <w:r w:rsidRPr="00C35F8B" w:rsidDel="00C91F86">
        <w:t xml:space="preserve"> </w:t>
      </w:r>
      <w:r w:rsidR="00E27015" w:rsidRPr="00C35F8B">
        <w:t>59</w:t>
      </w:r>
      <w:r w:rsidRPr="00C35F8B" w:rsidDel="00C91F86">
        <w:t xml:space="preserve"> science resources </w:t>
      </w:r>
      <w:r w:rsidR="00E16F8A" w:rsidRPr="00C35F8B" w:rsidDel="00C91F86">
        <w:t xml:space="preserve">are available </w:t>
      </w:r>
      <w:r w:rsidR="00E16F8A" w:rsidRPr="00C35F8B">
        <w:t>o</w:t>
      </w:r>
      <w:r w:rsidR="00E16F8A" w:rsidRPr="00C35F8B" w:rsidDel="00C91F86">
        <w:t>n the website</w:t>
      </w:r>
      <w:r w:rsidR="00E16F8A" w:rsidRPr="00C35F8B">
        <w:t xml:space="preserve">. These resources </w:t>
      </w:r>
      <w:r w:rsidR="005C4838" w:rsidRPr="00C35F8B">
        <w:t>span all three science domains</w:t>
      </w:r>
      <w:r w:rsidR="003E7FB7" w:rsidRPr="00C35F8B">
        <w:t xml:space="preserve"> (i.e., Earth and Space Sciences, Life Sciences, and Physical Sciences)</w:t>
      </w:r>
      <w:r w:rsidR="00E24102" w:rsidRPr="00C35F8B">
        <w:t xml:space="preserve"> and include </w:t>
      </w:r>
      <w:r w:rsidR="005C4838" w:rsidRPr="00C35F8B">
        <w:t>Engineering</w:t>
      </w:r>
      <w:r w:rsidR="00346FA3" w:rsidRPr="00C35F8B">
        <w:t>, Technology</w:t>
      </w:r>
      <w:r w:rsidR="00935D09" w:rsidRPr="00C35F8B">
        <w:t>,</w:t>
      </w:r>
      <w:r w:rsidR="00346FA3" w:rsidRPr="00C35F8B">
        <w:t xml:space="preserve"> and Applications of Science</w:t>
      </w:r>
      <w:r w:rsidRPr="00C35F8B" w:rsidDel="00C91F86">
        <w:t>.</w:t>
      </w:r>
    </w:p>
    <w:p w14:paraId="1E77D08F" w14:textId="16624E46" w:rsidR="00DC29C7" w:rsidRPr="00C35F8B" w:rsidDel="00C91F86" w:rsidRDefault="00DC29C7" w:rsidP="00DC29C7">
      <w:pPr>
        <w:spacing w:after="240"/>
      </w:pPr>
      <w:r w:rsidRPr="00C35F8B">
        <w:t xml:space="preserve">In July 2022, the CDE will conduct an in-person workshop in Sacramento with California science educators to develop 15 additional science instructional resources for inclusion in Tools for Teachers. The workshop will include 5 educators with experience in developing these science resources, who will work as team leads, and 15 educators who will work as developers. In addition, staff from the CDE Assessment Development and Administration Division will work as trainers and coaches to assist the educators. The workshop will include the same peer review process as </w:t>
      </w:r>
      <w:r w:rsidR="00FB653B" w:rsidRPr="00C35F8B">
        <w:t xml:space="preserve">was </w:t>
      </w:r>
      <w:r w:rsidRPr="00C35F8B">
        <w:t>used in previous workshops to ensure the inclusion of the formative and accessibility strategies and alignment with the California Next Generation Science Standards. The CDE anticipates that the resources developed in this workshop will be posted in Tools for Teachers in fall 2022.</w:t>
      </w:r>
    </w:p>
    <w:p w14:paraId="7588B432" w14:textId="77777777" w:rsidR="00120A9E" w:rsidRPr="00C35F8B" w:rsidRDefault="0FF52F48" w:rsidP="008D71EF">
      <w:pPr>
        <w:pStyle w:val="Heading4"/>
      </w:pPr>
      <w:r w:rsidRPr="00C35F8B">
        <w:t xml:space="preserve">Smarter Balanced Tools for Teachers </w:t>
      </w:r>
      <w:r w:rsidR="43A83EDD" w:rsidRPr="00C35F8B">
        <w:t>Summer Workshops</w:t>
      </w:r>
    </w:p>
    <w:p w14:paraId="1875CF7D" w14:textId="6F4BEB2C" w:rsidR="005360B3" w:rsidRPr="00C35F8B" w:rsidRDefault="16A51466" w:rsidP="00FD0F1A">
      <w:pPr>
        <w:spacing w:after="240"/>
      </w:pPr>
      <w:r w:rsidRPr="00C35F8B">
        <w:t xml:space="preserve">Smarter Balanced will conduct two workshops </w:t>
      </w:r>
      <w:r w:rsidR="002E1ABE" w:rsidRPr="00C35F8B">
        <w:t xml:space="preserve">in July 2022 </w:t>
      </w:r>
      <w:r w:rsidR="7A83545A" w:rsidRPr="00C35F8B">
        <w:t xml:space="preserve">for </w:t>
      </w:r>
      <w:r w:rsidR="043DB228" w:rsidRPr="00C35F8B">
        <w:t xml:space="preserve">members of the </w:t>
      </w:r>
      <w:r w:rsidR="7A83545A" w:rsidRPr="00C35F8B">
        <w:t xml:space="preserve">State Network of Educators (SNE) </w:t>
      </w:r>
      <w:r w:rsidRPr="00C35F8B">
        <w:t>to develop E</w:t>
      </w:r>
      <w:r w:rsidR="6D0FFFE0" w:rsidRPr="00C35F8B">
        <w:t xml:space="preserve">LA and mathematics </w:t>
      </w:r>
      <w:r w:rsidR="3F9012E8" w:rsidRPr="00C35F8B">
        <w:t xml:space="preserve">instructional resources for </w:t>
      </w:r>
      <w:r w:rsidR="7A850D21" w:rsidRPr="00C35F8B">
        <w:t>inclusion in the</w:t>
      </w:r>
      <w:r w:rsidR="3F9012E8" w:rsidRPr="00C35F8B">
        <w:t xml:space="preserve"> </w:t>
      </w:r>
      <w:r w:rsidR="49413CFF" w:rsidRPr="00C35F8B">
        <w:t xml:space="preserve">Tools for </w:t>
      </w:r>
      <w:r w:rsidR="3F9012E8" w:rsidRPr="00C35F8B">
        <w:t>Teachers website</w:t>
      </w:r>
      <w:r w:rsidR="61ABABE7" w:rsidRPr="00C35F8B">
        <w:rPr>
          <w:rFonts w:eastAsia="Arial"/>
          <w:color w:val="000000" w:themeColor="text1"/>
        </w:rPr>
        <w:t>.</w:t>
      </w:r>
      <w:r w:rsidR="3A45F8E4" w:rsidRPr="00C35F8B">
        <w:t xml:space="preserve"> </w:t>
      </w:r>
      <w:r w:rsidR="1B8E9315" w:rsidRPr="00C35F8B">
        <w:t xml:space="preserve">SNE members consist of a team of educators from Smarter Balanced member states who are trained to develop </w:t>
      </w:r>
      <w:r w:rsidR="69228411" w:rsidRPr="00C35F8B">
        <w:t xml:space="preserve">ELA and mathematics </w:t>
      </w:r>
      <w:r w:rsidR="10C2A97B" w:rsidRPr="00C35F8B">
        <w:t xml:space="preserve">instructional </w:t>
      </w:r>
      <w:r w:rsidR="1B8E9315" w:rsidRPr="00C35F8B">
        <w:t xml:space="preserve">resources and vet those of their peers </w:t>
      </w:r>
      <w:r w:rsidR="25DDB7A6" w:rsidRPr="00C35F8B">
        <w:t>during</w:t>
      </w:r>
      <w:r w:rsidR="5916FFCF" w:rsidRPr="00C35F8B">
        <w:t xml:space="preserve"> the SNE </w:t>
      </w:r>
      <w:r w:rsidR="76C4D2DA" w:rsidRPr="00C35F8B">
        <w:t>w</w:t>
      </w:r>
      <w:r w:rsidR="5916FFCF" w:rsidRPr="00C35F8B">
        <w:t>orkshops</w:t>
      </w:r>
      <w:r w:rsidR="305EC33B" w:rsidRPr="00C35F8B">
        <w:t>.</w:t>
      </w:r>
    </w:p>
    <w:p w14:paraId="7AA5A27B" w14:textId="77777777" w:rsidR="000808AF" w:rsidRPr="00C35F8B" w:rsidRDefault="6AC8DF95" w:rsidP="00FD0F1A">
      <w:pPr>
        <w:spacing w:after="240"/>
        <w:rPr>
          <w:rFonts w:eastAsia="Arial"/>
          <w:color w:val="000000" w:themeColor="text1"/>
        </w:rPr>
      </w:pPr>
      <w:r w:rsidRPr="00C35F8B">
        <w:t>Smarter Balanced plans to host approximately 80</w:t>
      </w:r>
      <w:r w:rsidR="0109769A" w:rsidRPr="00C35F8B">
        <w:t xml:space="preserve"> educators as</w:t>
      </w:r>
      <w:r w:rsidRPr="00C35F8B">
        <w:t xml:space="preserve"> resource authors</w:t>
      </w:r>
      <w:r w:rsidR="63A290CA" w:rsidRPr="00C35F8B">
        <w:t xml:space="preserve"> for both workshops</w:t>
      </w:r>
      <w:r w:rsidR="00014876" w:rsidRPr="00C35F8B">
        <w:t>,</w:t>
      </w:r>
      <w:r w:rsidR="63A290CA" w:rsidRPr="00C35F8B">
        <w:t xml:space="preserve"> </w:t>
      </w:r>
      <w:r w:rsidR="00014876" w:rsidRPr="00C35F8B">
        <w:t>including</w:t>
      </w:r>
      <w:r w:rsidR="63A290CA" w:rsidRPr="00C35F8B">
        <w:t xml:space="preserve"> </w:t>
      </w:r>
      <w:r w:rsidR="006E7777" w:rsidRPr="00C35F8B">
        <w:rPr>
          <w:rFonts w:eastAsia="Arial"/>
          <w:color w:val="000000" w:themeColor="text1"/>
        </w:rPr>
        <w:t xml:space="preserve">23 </w:t>
      </w:r>
      <w:r w:rsidR="00014876" w:rsidRPr="00C35F8B">
        <w:rPr>
          <w:rFonts w:eastAsia="Arial"/>
          <w:color w:val="000000" w:themeColor="text1"/>
        </w:rPr>
        <w:t>educators</w:t>
      </w:r>
      <w:r w:rsidR="1EC9D12F" w:rsidRPr="00C35F8B">
        <w:rPr>
          <w:rFonts w:eastAsia="Arial"/>
          <w:color w:val="000000" w:themeColor="text1"/>
        </w:rPr>
        <w:t xml:space="preserve"> </w:t>
      </w:r>
      <w:r w:rsidR="3E3E0BE9" w:rsidRPr="00C35F8B">
        <w:rPr>
          <w:rFonts w:eastAsia="Arial"/>
          <w:color w:val="000000" w:themeColor="text1"/>
        </w:rPr>
        <w:t>from California</w:t>
      </w:r>
      <w:r w:rsidR="00014876" w:rsidRPr="00C35F8B">
        <w:rPr>
          <w:rFonts w:eastAsia="Arial"/>
          <w:color w:val="000000" w:themeColor="text1"/>
        </w:rPr>
        <w:t>.</w:t>
      </w:r>
      <w:r w:rsidR="3E3E0BE9" w:rsidRPr="00C35F8B">
        <w:rPr>
          <w:rFonts w:eastAsia="Arial"/>
          <w:color w:val="000000" w:themeColor="text1"/>
        </w:rPr>
        <w:t xml:space="preserve"> </w:t>
      </w:r>
      <w:r w:rsidR="00014876" w:rsidRPr="00C35F8B">
        <w:rPr>
          <w:rFonts w:eastAsia="Arial"/>
          <w:color w:val="000000" w:themeColor="text1"/>
        </w:rPr>
        <w:t>In addition,</w:t>
      </w:r>
      <w:r w:rsidR="3E3E0BE9" w:rsidRPr="00C35F8B">
        <w:rPr>
          <w:rFonts w:eastAsia="Arial"/>
          <w:color w:val="000000" w:themeColor="text1"/>
        </w:rPr>
        <w:t xml:space="preserve"> three </w:t>
      </w:r>
      <w:r w:rsidR="000557B4" w:rsidRPr="00C35F8B">
        <w:rPr>
          <w:rFonts w:eastAsia="Arial"/>
          <w:color w:val="000000" w:themeColor="text1"/>
        </w:rPr>
        <w:t xml:space="preserve">staff </w:t>
      </w:r>
      <w:r w:rsidR="3E3E0BE9" w:rsidRPr="00C35F8B">
        <w:rPr>
          <w:rFonts w:eastAsia="Arial"/>
          <w:color w:val="000000" w:themeColor="text1"/>
        </w:rPr>
        <w:t xml:space="preserve">members </w:t>
      </w:r>
      <w:r w:rsidR="6F9205EA" w:rsidRPr="00C35F8B">
        <w:rPr>
          <w:rFonts w:eastAsia="Arial"/>
          <w:color w:val="000000" w:themeColor="text1"/>
        </w:rPr>
        <w:t xml:space="preserve">from CDE’s Assessment Development and Administration Division </w:t>
      </w:r>
      <w:r w:rsidR="000557B4" w:rsidRPr="00C35F8B">
        <w:rPr>
          <w:rFonts w:eastAsia="Arial"/>
          <w:color w:val="000000" w:themeColor="text1"/>
        </w:rPr>
        <w:t xml:space="preserve">will attend as State Leadership Team members </w:t>
      </w:r>
      <w:r w:rsidR="00CB7AAB" w:rsidRPr="00C35F8B">
        <w:rPr>
          <w:rFonts w:eastAsia="Arial"/>
          <w:color w:val="000000" w:themeColor="text1"/>
        </w:rPr>
        <w:t xml:space="preserve">to </w:t>
      </w:r>
      <w:r w:rsidR="6F9205EA" w:rsidRPr="00C35F8B">
        <w:rPr>
          <w:rFonts w:eastAsia="Arial"/>
          <w:color w:val="000000" w:themeColor="text1"/>
        </w:rPr>
        <w:t xml:space="preserve">provide guidance to </w:t>
      </w:r>
      <w:r w:rsidR="00793532" w:rsidRPr="00C35F8B">
        <w:rPr>
          <w:rFonts w:eastAsia="Arial"/>
          <w:color w:val="000000" w:themeColor="text1"/>
        </w:rPr>
        <w:t xml:space="preserve">participating </w:t>
      </w:r>
      <w:r w:rsidR="6F9205EA" w:rsidRPr="00C35F8B">
        <w:rPr>
          <w:rFonts w:eastAsia="Arial"/>
          <w:color w:val="000000" w:themeColor="text1"/>
        </w:rPr>
        <w:t>SNE members. The goal</w:t>
      </w:r>
      <w:r w:rsidR="63A290CA" w:rsidRPr="00C35F8B">
        <w:t xml:space="preserve"> </w:t>
      </w:r>
      <w:r w:rsidR="00CB7AAB" w:rsidRPr="00C35F8B">
        <w:t xml:space="preserve">will be </w:t>
      </w:r>
      <w:r w:rsidR="63A290CA" w:rsidRPr="00C35F8B">
        <w:t xml:space="preserve">to develop </w:t>
      </w:r>
      <w:r w:rsidR="76C4D2DA" w:rsidRPr="00C35F8B">
        <w:t>over</w:t>
      </w:r>
      <w:r w:rsidR="00CB7AAB" w:rsidRPr="00C35F8B">
        <w:t xml:space="preserve"> </w:t>
      </w:r>
      <w:r w:rsidR="76C4D2DA" w:rsidRPr="00C35F8B">
        <w:t>150</w:t>
      </w:r>
      <w:r w:rsidR="63A290CA" w:rsidRPr="00C35F8B">
        <w:t xml:space="preserve"> instructional resources </w:t>
      </w:r>
      <w:r w:rsidR="76C4D2DA" w:rsidRPr="00C35F8B">
        <w:rPr>
          <w:rFonts w:eastAsia="Arial"/>
          <w:color w:val="000000" w:themeColor="text1"/>
        </w:rPr>
        <w:t>for ELA and mathematics for use by educators to supplement instruction</w:t>
      </w:r>
      <w:r w:rsidR="2BA30EBE" w:rsidRPr="00C35F8B">
        <w:rPr>
          <w:rFonts w:eastAsia="Arial"/>
          <w:color w:val="000000" w:themeColor="text1"/>
        </w:rPr>
        <w:t>.</w:t>
      </w:r>
      <w:r w:rsidR="00C203DE" w:rsidRPr="00C35F8B">
        <w:rPr>
          <w:rFonts w:eastAsia="Arial"/>
          <w:color w:val="000000" w:themeColor="text1"/>
        </w:rPr>
        <w:t xml:space="preserve"> This year, development will </w:t>
      </w:r>
      <w:r w:rsidR="00C05E84" w:rsidRPr="00C35F8B">
        <w:rPr>
          <w:rFonts w:eastAsia="Arial"/>
          <w:color w:val="000000" w:themeColor="text1"/>
        </w:rPr>
        <w:t xml:space="preserve">expand to </w:t>
      </w:r>
      <w:r w:rsidR="00C203DE" w:rsidRPr="00C35F8B">
        <w:rPr>
          <w:rFonts w:eastAsia="Arial"/>
          <w:color w:val="000000" w:themeColor="text1"/>
        </w:rPr>
        <w:t>include ELA resources for kindergarten through grade two</w:t>
      </w:r>
      <w:r w:rsidR="00ED5052" w:rsidRPr="00C35F8B">
        <w:rPr>
          <w:rFonts w:eastAsia="Arial"/>
          <w:color w:val="000000" w:themeColor="text1"/>
        </w:rPr>
        <w:t>.</w:t>
      </w:r>
    </w:p>
    <w:p w14:paraId="3F57521A" w14:textId="77777777" w:rsidR="00120A9E" w:rsidRPr="00C35F8B" w:rsidRDefault="61ABABE7" w:rsidP="00FD0F1A">
      <w:pPr>
        <w:spacing w:after="240"/>
        <w:rPr>
          <w:rFonts w:eastAsia="Arial"/>
          <w:color w:val="000000" w:themeColor="text1"/>
        </w:rPr>
      </w:pPr>
      <w:r w:rsidRPr="00C35F8B">
        <w:rPr>
          <w:rFonts w:eastAsia="Arial"/>
          <w:color w:val="000000" w:themeColor="text1"/>
        </w:rPr>
        <w:t>All resources developed during the</w:t>
      </w:r>
      <w:r w:rsidR="00CB7AAB" w:rsidRPr="00C35F8B">
        <w:rPr>
          <w:rFonts w:eastAsia="Arial"/>
          <w:color w:val="000000" w:themeColor="text1"/>
        </w:rPr>
        <w:t>se</w:t>
      </w:r>
      <w:r w:rsidR="001373C0" w:rsidRPr="00C35F8B">
        <w:rPr>
          <w:rFonts w:eastAsia="Arial"/>
          <w:color w:val="000000" w:themeColor="text1"/>
        </w:rPr>
        <w:t xml:space="preserve"> </w:t>
      </w:r>
      <w:r w:rsidRPr="00C35F8B">
        <w:rPr>
          <w:rFonts w:eastAsia="Arial"/>
          <w:color w:val="000000" w:themeColor="text1"/>
        </w:rPr>
        <w:t xml:space="preserve">workshops will support teachers in implementing formative assessment practices during classroom instruction and are part of </w:t>
      </w:r>
      <w:r w:rsidR="6591BE38" w:rsidRPr="00C35F8B">
        <w:rPr>
          <w:rFonts w:eastAsia="Arial"/>
          <w:color w:val="000000" w:themeColor="text1"/>
        </w:rPr>
        <w:t>the consortium’s</w:t>
      </w:r>
      <w:r w:rsidRPr="00C35F8B">
        <w:rPr>
          <w:rFonts w:eastAsia="Arial"/>
          <w:color w:val="000000" w:themeColor="text1"/>
        </w:rPr>
        <w:t xml:space="preserve"> ongoing efforts to provide teachers with grade-level resources aligned with the Common Core State Standards.</w:t>
      </w:r>
    </w:p>
    <w:p w14:paraId="13F58E62" w14:textId="77777777" w:rsidR="003E4DF7" w:rsidRPr="00C35F8B" w:rsidRDefault="7DB205BF" w:rsidP="009D448D">
      <w:pPr>
        <w:pStyle w:val="Heading4"/>
      </w:pPr>
      <w:r w:rsidRPr="00C35F8B">
        <w:rPr>
          <w:rFonts w:eastAsia="Arial"/>
        </w:rPr>
        <w:lastRenderedPageBreak/>
        <w:t xml:space="preserve">National and International Assessments Update </w:t>
      </w:r>
    </w:p>
    <w:p w14:paraId="4E63FE66" w14:textId="77777777" w:rsidR="003E4DF7" w:rsidRPr="00C35F8B" w:rsidRDefault="1C1AAA9A" w:rsidP="00FD0F1A">
      <w:pPr>
        <w:spacing w:after="240"/>
      </w:pPr>
      <w:r w:rsidRPr="00C35F8B">
        <w:rPr>
          <w:rFonts w:eastAsia="Arial"/>
        </w:rPr>
        <w:t>California public schools participate in several national and international assessments annually. For the 2021–22 school year, a sample of California public schools participated in the National Assessment of Educational Progress (NAEP), a field test for the International Computer and Information Literacy Study</w:t>
      </w:r>
      <w:r w:rsidR="23EDC553" w:rsidRPr="00C35F8B">
        <w:rPr>
          <w:rFonts w:eastAsia="Arial"/>
        </w:rPr>
        <w:t xml:space="preserve"> (ICILS)</w:t>
      </w:r>
      <w:r w:rsidRPr="00C35F8B">
        <w:rPr>
          <w:rFonts w:eastAsia="Arial"/>
        </w:rPr>
        <w:t>, a field test for the Program for International Student Assessment</w:t>
      </w:r>
      <w:r w:rsidR="23EDC553" w:rsidRPr="00C35F8B">
        <w:rPr>
          <w:rFonts w:eastAsia="Arial"/>
        </w:rPr>
        <w:t xml:space="preserve"> (PISA)</w:t>
      </w:r>
      <w:r w:rsidRPr="00C35F8B">
        <w:rPr>
          <w:rFonts w:eastAsia="Arial"/>
        </w:rPr>
        <w:t>, the Progress in International Reading Literacy Survey</w:t>
      </w:r>
      <w:r w:rsidR="23EDC553" w:rsidRPr="00C35F8B">
        <w:rPr>
          <w:rFonts w:eastAsia="Arial"/>
        </w:rPr>
        <w:t xml:space="preserve"> (PIRLS)</w:t>
      </w:r>
      <w:r w:rsidRPr="00C35F8B">
        <w:rPr>
          <w:rFonts w:eastAsia="Arial"/>
        </w:rPr>
        <w:t>, and a field test for the Trends in International Mathematics and Science Study</w:t>
      </w:r>
      <w:r w:rsidR="23EDC553" w:rsidRPr="00C35F8B">
        <w:rPr>
          <w:rFonts w:eastAsia="Arial"/>
        </w:rPr>
        <w:t xml:space="preserve"> (TIMSS)</w:t>
      </w:r>
      <w:r w:rsidRPr="00C35F8B">
        <w:rPr>
          <w:rFonts w:eastAsia="Arial"/>
        </w:rPr>
        <w:t>. These assessments are conducted by field staff under contract with the National Center for Education Statistics (NCES), within the U.S. Department of Education’s Institute of Education Sciences.</w:t>
      </w:r>
    </w:p>
    <w:p w14:paraId="6D235CC1" w14:textId="77777777" w:rsidR="003E4DF7" w:rsidRPr="00C35F8B" w:rsidRDefault="7DB205BF" w:rsidP="009D448D">
      <w:pPr>
        <w:pStyle w:val="Heading5"/>
      </w:pPr>
      <w:r w:rsidRPr="00C35F8B">
        <w:t>National Assessment of Educational Progress</w:t>
      </w:r>
    </w:p>
    <w:p w14:paraId="00AA3FD1" w14:textId="584249E5" w:rsidR="003E4DF7" w:rsidRPr="00C35F8B" w:rsidRDefault="7DB205BF" w:rsidP="00044688">
      <w:pPr>
        <w:spacing w:after="240"/>
      </w:pPr>
      <w:r w:rsidRPr="00C35F8B">
        <w:rPr>
          <w:rFonts w:eastAsia="Arial"/>
          <w:color w:val="333333"/>
        </w:rPr>
        <w:t>NAEP, which also is known as “The Nation’s Report Card,” is a congressionally mandated project of the NCES since 1969. It is the largest nationally representative and continuing assessment of what students in the United States know and can do, providing a common measure of student achievement in mathematics, reading, science, and other subjects.</w:t>
      </w:r>
    </w:p>
    <w:p w14:paraId="1E5EF764" w14:textId="77777777" w:rsidR="003E4DF7" w:rsidRPr="00C35F8B" w:rsidRDefault="7DB205BF" w:rsidP="00044688">
      <w:pPr>
        <w:spacing w:after="240"/>
      </w:pPr>
      <w:r w:rsidRPr="00C35F8B">
        <w:rPr>
          <w:rFonts w:eastAsia="Arial"/>
          <w:color w:val="333333"/>
        </w:rPr>
        <w:t>Depending on the assessment, NAEP report cards provide national, state, and some district-level results—in California, for Los Angeles and San Diego Unified School Districts—as well as results for different demographic student groups. NAEP data also is used in special studies conducted by the NCES, including comparisons of proficiency standards across state assessments; insights from high school transcripts, including courses taken and credits earned; and in-depth studies of how different demographic groups perform across different types of schools.</w:t>
      </w:r>
    </w:p>
    <w:p w14:paraId="3C456F3A" w14:textId="0F580ED4" w:rsidR="003E4DF7" w:rsidRPr="00C35F8B" w:rsidRDefault="7DB205BF" w:rsidP="00044688">
      <w:pPr>
        <w:spacing w:after="240"/>
      </w:pPr>
      <w:r w:rsidRPr="00C35F8B">
        <w:rPr>
          <w:rFonts w:eastAsia="Arial"/>
        </w:rPr>
        <w:t>NAEP 2022 included the following assessments: grade four mathematics and reading; grade eight mathematics, reading, civics, and U.S. history; and age nine long-term trend (LTT) mathematics and reading. A representative sample of schools—in California, approximately 520 schools—were selected by NAEP on the basis of location, size, demographics, and achievement. Approximately 50 students were randomly selected from each school. Each student took a portion of the assessment in a single subject. NAEP testing takes students approximately two hours</w:t>
      </w:r>
      <w:r w:rsidR="00FB653B" w:rsidRPr="00C35F8B">
        <w:rPr>
          <w:rFonts w:eastAsia="Arial"/>
        </w:rPr>
        <w:t xml:space="preserve"> to complete</w:t>
      </w:r>
      <w:r w:rsidRPr="00C35F8B">
        <w:rPr>
          <w:rFonts w:eastAsia="Arial"/>
        </w:rPr>
        <w:t xml:space="preserve">. </w:t>
      </w:r>
    </w:p>
    <w:p w14:paraId="4EC8D661" w14:textId="77777777" w:rsidR="003E4DF7" w:rsidRPr="00C35F8B" w:rsidRDefault="7DB205BF" w:rsidP="00044688">
      <w:pPr>
        <w:spacing w:after="240"/>
      </w:pPr>
      <w:r w:rsidRPr="00C35F8B">
        <w:rPr>
          <w:rFonts w:eastAsia="Arial"/>
        </w:rPr>
        <w:t>The assessment window for regular NAEP testing was January 25 through March 31, 2022, and the LTT assessment window was January 10 through March 18, 2022. NAEP 2022 results are expected by spring 2023.</w:t>
      </w:r>
    </w:p>
    <w:p w14:paraId="09D5225B" w14:textId="77777777" w:rsidR="003E4DF7" w:rsidRPr="00C35F8B" w:rsidRDefault="7DB205BF" w:rsidP="00044688">
      <w:pPr>
        <w:spacing w:after="240"/>
      </w:pPr>
      <w:r w:rsidRPr="00C35F8B">
        <w:rPr>
          <w:rFonts w:eastAsia="Arial"/>
        </w:rPr>
        <w:t xml:space="preserve">Participation in NAEP grades four and eight mathematics and reading is required for district Title I compliance. All other NAEP assessments (including LTT) are voluntary. Additional information about NAEP can be found on the Nation’s Report Card website at </w:t>
      </w:r>
      <w:hyperlink r:id="rId22" w:tooltip="This link opens to the Nation’s Report Card on the National Center for Education Statistics. ">
        <w:r w:rsidRPr="00C35F8B">
          <w:rPr>
            <w:rStyle w:val="Hyperlink"/>
            <w:rFonts w:eastAsia="Arial"/>
          </w:rPr>
          <w:t>https://nces.ed.gov/nationsreportcard/</w:t>
        </w:r>
      </w:hyperlink>
      <w:r w:rsidRPr="00C35F8B">
        <w:rPr>
          <w:rFonts w:eastAsia="Arial"/>
        </w:rPr>
        <w:t>.</w:t>
      </w:r>
    </w:p>
    <w:p w14:paraId="5093ABBD" w14:textId="77777777" w:rsidR="003E4DF7" w:rsidRPr="00C35F8B" w:rsidRDefault="7DB205BF" w:rsidP="009D448D">
      <w:pPr>
        <w:pStyle w:val="Heading5"/>
        <w:rPr>
          <w:i/>
        </w:rPr>
      </w:pPr>
      <w:r w:rsidRPr="00C35F8B">
        <w:lastRenderedPageBreak/>
        <w:t>International Computer and Information Literacy Study</w:t>
      </w:r>
    </w:p>
    <w:p w14:paraId="4C3051B8" w14:textId="3822501F" w:rsidR="003E4DF7" w:rsidRPr="00C35F8B" w:rsidRDefault="1C1AAA9A" w:rsidP="00044688">
      <w:pPr>
        <w:spacing w:after="240"/>
      </w:pPr>
      <w:r w:rsidRPr="00C35F8B">
        <w:rPr>
          <w:rFonts w:eastAsia="Arial"/>
        </w:rPr>
        <w:t>ICILS is an international assessment and research project designed to measure computer and information literacy achievement at the eighth grade as well as school and teacher practices related to instruction. It is coordinated by the International Association for the Evaluation of Educational Achievement (IEA), managed in the United States by the NCES, and administered every five years</w:t>
      </w:r>
      <w:r w:rsidR="00FB653B" w:rsidRPr="00C35F8B">
        <w:rPr>
          <w:rFonts w:eastAsia="Arial"/>
        </w:rPr>
        <w:t xml:space="preserve"> since 2013</w:t>
      </w:r>
      <w:r w:rsidRPr="00C35F8B">
        <w:rPr>
          <w:rFonts w:eastAsia="Arial"/>
        </w:rPr>
        <w:t>. The next operational round of ICILS, planned for spring 2023, will draw students from approximately 30 countries and education systems around the world.</w:t>
      </w:r>
    </w:p>
    <w:p w14:paraId="74BBD46F" w14:textId="459C2C39" w:rsidR="003E4DF7" w:rsidRPr="00C35F8B" w:rsidRDefault="1C1AAA9A" w:rsidP="00044688">
      <w:pPr>
        <w:spacing w:after="240"/>
      </w:pPr>
      <w:r w:rsidRPr="00C35F8B">
        <w:rPr>
          <w:rFonts w:eastAsia="Arial"/>
        </w:rPr>
        <w:t>In spring 2022, ICILS plans to conduct a field test (a small-scale, trial run of the</w:t>
      </w:r>
      <w:r w:rsidR="00050765" w:rsidRPr="00C35F8B">
        <w:rPr>
          <w:rFonts w:eastAsia="Arial"/>
        </w:rPr>
        <w:t xml:space="preserve"> </w:t>
      </w:r>
      <w:r w:rsidRPr="00C35F8B">
        <w:rPr>
          <w:rFonts w:eastAsia="Arial"/>
        </w:rPr>
        <w:t xml:space="preserve">assessment) to determine whether any of the test questions are biased because of national, social, </w:t>
      </w:r>
      <w:r w:rsidR="74BE096C" w:rsidRPr="00C35F8B">
        <w:rPr>
          <w:rFonts w:eastAsia="Arial"/>
        </w:rPr>
        <w:t xml:space="preserve">or </w:t>
      </w:r>
      <w:r w:rsidRPr="00C35F8B">
        <w:rPr>
          <w:rFonts w:eastAsia="Arial"/>
        </w:rPr>
        <w:t xml:space="preserve">cultural differences and whether field operations work as intended. Approximately five California public schools have volunteered to represent the United States in the ICILS field test, and up to two classes of </w:t>
      </w:r>
      <w:r w:rsidR="092DFD3E" w:rsidRPr="00C35F8B">
        <w:rPr>
          <w:rFonts w:eastAsia="Arial"/>
        </w:rPr>
        <w:t xml:space="preserve">grade </w:t>
      </w:r>
      <w:r w:rsidRPr="00C35F8B">
        <w:rPr>
          <w:rFonts w:eastAsia="Arial"/>
        </w:rPr>
        <w:t xml:space="preserve">eight students will be assessed from each school. Participation in ICILS is voluntary. Additional information about ICILS can be found on the NCES ICILS web page at </w:t>
      </w:r>
      <w:hyperlink r:id="rId23" w:tooltip="This link opens the NCES ICILS web page.">
        <w:r w:rsidRPr="00C35F8B">
          <w:rPr>
            <w:rStyle w:val="Hyperlink"/>
            <w:rFonts w:eastAsia="Arial"/>
          </w:rPr>
          <w:t>https://nces.ed.gov/surveys/icils/</w:t>
        </w:r>
      </w:hyperlink>
      <w:r w:rsidRPr="00C35F8B">
        <w:rPr>
          <w:rFonts w:eastAsia="Arial"/>
        </w:rPr>
        <w:t xml:space="preserve">. </w:t>
      </w:r>
    </w:p>
    <w:p w14:paraId="64D1A94C" w14:textId="77777777" w:rsidR="003E4DF7" w:rsidRPr="00C35F8B" w:rsidRDefault="7DB205BF" w:rsidP="009D448D">
      <w:pPr>
        <w:pStyle w:val="Heading5"/>
        <w:rPr>
          <w:i/>
        </w:rPr>
      </w:pPr>
      <w:r w:rsidRPr="00C35F8B">
        <w:t xml:space="preserve">Program for International Student Assessment </w:t>
      </w:r>
    </w:p>
    <w:p w14:paraId="5A58B5EE" w14:textId="70CE5F13" w:rsidR="003E4DF7" w:rsidRPr="00C35F8B" w:rsidRDefault="1C1AAA9A" w:rsidP="00044688">
      <w:pPr>
        <w:spacing w:after="240"/>
      </w:pPr>
      <w:r w:rsidRPr="00C35F8B">
        <w:rPr>
          <w:rFonts w:eastAsia="Arial"/>
        </w:rPr>
        <w:t>PISA is an international assessment of fifteen-year-old students that measures how well these students apply their knowledge and skills in reading, mathematics, science, and financial literacy to problems set in real-life contexts. It is coordinated by the Organization for Economic Cooperation and Development, managed in the United States by the NCES, and administered every three years</w:t>
      </w:r>
      <w:r w:rsidR="006C4A4A" w:rsidRPr="00C35F8B">
        <w:rPr>
          <w:rFonts w:eastAsia="Arial"/>
        </w:rPr>
        <w:t xml:space="preserve"> since 2000</w:t>
      </w:r>
      <w:r w:rsidRPr="00C35F8B">
        <w:rPr>
          <w:rFonts w:eastAsia="Arial"/>
        </w:rPr>
        <w:t xml:space="preserve">. The next operational round of PISA, planned for October 2022, will draw students from more than 80 countries and education systems around the world. </w:t>
      </w:r>
    </w:p>
    <w:p w14:paraId="184845D4" w14:textId="2B3A34B6" w:rsidR="003E4DF7" w:rsidRPr="00C35F8B" w:rsidRDefault="7DB205BF" w:rsidP="00044688">
      <w:pPr>
        <w:spacing w:after="240"/>
      </w:pPr>
      <w:r w:rsidRPr="00C35F8B">
        <w:rPr>
          <w:rFonts w:eastAsia="Arial"/>
        </w:rPr>
        <w:t xml:space="preserve">In fall 2021, PISA conducted a field test in every participating country to determine whether any of the test questions are biased because of national, social, or cultural differences and whether field operations work as intended. Approximately ten California public schools were selected to represent the United States in the PISA field test, and up to 60 fifteen-year-old students were assessed from each school. PISA testing takes students approximately four hours, including breaks. Participation in PISA is voluntary. Additional information about PISA can be found on the NCES PISA web page at </w:t>
      </w:r>
      <w:hyperlink r:id="rId24" w:tooltip="This link opens the NCES PISA web page.">
        <w:r w:rsidRPr="00C35F8B">
          <w:rPr>
            <w:rStyle w:val="Hyperlink"/>
            <w:rFonts w:eastAsia="Arial"/>
          </w:rPr>
          <w:t>https://nces.ed.gov/surveys/pisa/</w:t>
        </w:r>
      </w:hyperlink>
      <w:r w:rsidRPr="00C35F8B">
        <w:rPr>
          <w:rFonts w:eastAsia="Arial"/>
        </w:rPr>
        <w:t>.</w:t>
      </w:r>
    </w:p>
    <w:p w14:paraId="27AB8BBE" w14:textId="77777777" w:rsidR="003E4DF7" w:rsidRPr="00C35F8B" w:rsidRDefault="7DB205BF" w:rsidP="009D448D">
      <w:pPr>
        <w:pStyle w:val="Heading5"/>
        <w:rPr>
          <w:i/>
        </w:rPr>
      </w:pPr>
      <w:r w:rsidRPr="00C35F8B">
        <w:t>Progress in International Reading Literacy Survey</w:t>
      </w:r>
    </w:p>
    <w:p w14:paraId="7B1CB490" w14:textId="027C2CC6" w:rsidR="003E4DF7" w:rsidRPr="00C35F8B" w:rsidRDefault="1C1AAA9A" w:rsidP="00044688">
      <w:pPr>
        <w:spacing w:after="240"/>
      </w:pPr>
      <w:r w:rsidRPr="00C35F8B">
        <w:rPr>
          <w:rFonts w:eastAsia="Arial"/>
        </w:rPr>
        <w:t>PIRLS documents worldwide trends in the reading knowledge of grade four students as well as school and teacher practices related to instruction. It is coordinated by the IEA, managed in the United States by the NCES, and administered every five years</w:t>
      </w:r>
      <w:r w:rsidR="006C4A4A" w:rsidRPr="00C35F8B">
        <w:rPr>
          <w:rFonts w:eastAsia="Arial"/>
        </w:rPr>
        <w:t xml:space="preserve"> since 2001</w:t>
      </w:r>
      <w:r w:rsidRPr="00C35F8B">
        <w:rPr>
          <w:rFonts w:eastAsia="Arial"/>
        </w:rPr>
        <w:t>. The most recent round of PIRLS, administered in fall 2021, drew students from more than 50 countries and education systems around the world. Results</w:t>
      </w:r>
      <w:r w:rsidR="2471F775" w:rsidRPr="00C35F8B">
        <w:rPr>
          <w:rFonts w:eastAsia="Arial"/>
        </w:rPr>
        <w:t xml:space="preserve"> from that round</w:t>
      </w:r>
      <w:r w:rsidRPr="00C35F8B">
        <w:rPr>
          <w:rFonts w:eastAsia="Arial"/>
        </w:rPr>
        <w:t xml:space="preserve"> are expected in December 2022.</w:t>
      </w:r>
    </w:p>
    <w:p w14:paraId="1747EF87" w14:textId="1CC9A333" w:rsidR="003E4DF7" w:rsidRPr="00C35F8B" w:rsidRDefault="1C1AAA9A" w:rsidP="00044688">
      <w:pPr>
        <w:spacing w:after="240"/>
      </w:pPr>
      <w:r w:rsidRPr="00C35F8B">
        <w:rPr>
          <w:rFonts w:eastAsia="Arial"/>
        </w:rPr>
        <w:lastRenderedPageBreak/>
        <w:t xml:space="preserve">PIRLS 2021 was the first large-scale international assessment since the </w:t>
      </w:r>
      <w:r w:rsidR="2471F775" w:rsidRPr="00C35F8B">
        <w:rPr>
          <w:rFonts w:eastAsia="Arial"/>
        </w:rPr>
        <w:t>novel coronavirus 2019</w:t>
      </w:r>
      <w:r w:rsidRPr="00C35F8B">
        <w:rPr>
          <w:rFonts w:eastAsia="Arial"/>
        </w:rPr>
        <w:t xml:space="preserve"> pandemic began. Approximately 30 California public schools were selected to represent the United States by participating in PIRLS 2021; up to two classrooms per school were assessed. PIRLS testing takes students approximately three hours, including breaks. </w:t>
      </w:r>
      <w:r w:rsidR="1E5D0EFE" w:rsidRPr="00C35F8B">
        <w:rPr>
          <w:rFonts w:eastAsia="Arial"/>
        </w:rPr>
        <w:t xml:space="preserve">Participation in PIRLS is voluntary. </w:t>
      </w:r>
      <w:r w:rsidRPr="00C35F8B">
        <w:rPr>
          <w:rFonts w:eastAsia="Arial"/>
        </w:rPr>
        <w:t xml:space="preserve">Additional information about PIRLS can be found on the NCES PIRLS web page at </w:t>
      </w:r>
      <w:hyperlink r:id="rId25" w:tooltip="This link opens the NCES PIRLS web page.">
        <w:r w:rsidRPr="00C35F8B">
          <w:rPr>
            <w:rStyle w:val="Hyperlink"/>
            <w:rFonts w:eastAsia="Arial"/>
          </w:rPr>
          <w:t>https://nces.ed.gov/surveys/pirls/index.asp</w:t>
        </w:r>
      </w:hyperlink>
      <w:r w:rsidRPr="00C35F8B">
        <w:rPr>
          <w:rFonts w:eastAsia="Arial"/>
        </w:rPr>
        <w:t xml:space="preserve">. </w:t>
      </w:r>
    </w:p>
    <w:p w14:paraId="3DBCC138" w14:textId="77777777" w:rsidR="003E4DF7" w:rsidRPr="00C35F8B" w:rsidRDefault="7DB205BF" w:rsidP="009D448D">
      <w:pPr>
        <w:pStyle w:val="Heading5"/>
        <w:rPr>
          <w:i/>
        </w:rPr>
      </w:pPr>
      <w:r w:rsidRPr="00C35F8B">
        <w:t>Trends in International Mathematics and Science Study</w:t>
      </w:r>
    </w:p>
    <w:p w14:paraId="0D4D5D82" w14:textId="59328744" w:rsidR="003E4DF7" w:rsidRPr="00C35F8B" w:rsidRDefault="1C1AAA9A" w:rsidP="00044688">
      <w:pPr>
        <w:spacing w:after="240"/>
      </w:pPr>
      <w:r w:rsidRPr="00C35F8B">
        <w:rPr>
          <w:rFonts w:eastAsia="Arial"/>
        </w:rPr>
        <w:t>TIMSS is an international assessment and research project designed to measure trends in the mathematics and science achievement of students in grades four and eight as well as school and teacher practices related to instruction. It is coordinated by the IEA, managed in the United States by the NCES, and administered every four years</w:t>
      </w:r>
      <w:r w:rsidR="006C4A4A" w:rsidRPr="00C35F8B">
        <w:rPr>
          <w:rFonts w:eastAsia="Arial"/>
        </w:rPr>
        <w:t xml:space="preserve"> since 1995</w:t>
      </w:r>
      <w:r w:rsidRPr="00C35F8B">
        <w:rPr>
          <w:rFonts w:eastAsia="Arial"/>
        </w:rPr>
        <w:t xml:space="preserve">. The next operational round of TIMSS, planned for spring 2023, will involve students from approximately 65 countries and educational systems throughout the world. </w:t>
      </w:r>
    </w:p>
    <w:p w14:paraId="6C0907BC" w14:textId="77777777" w:rsidR="003E4DF7" w:rsidRPr="00C35F8B" w:rsidRDefault="7DB205BF" w:rsidP="00044688">
      <w:pPr>
        <w:spacing w:after="240"/>
      </w:pPr>
      <w:r w:rsidRPr="00C35F8B">
        <w:rPr>
          <w:rFonts w:eastAsia="Arial"/>
        </w:rPr>
        <w:t xml:space="preserve">In spring 2022, TIMSS plans to conduct a field test to allow assessment developers to try out new test items to determine how well they perform when administered to students internationally. The results of the field test administered to students in the United States will help inform the assessment development process. The field test also will provide an opportunity for the United States to fine tune operational procedures in preparation for the 2023 assessment. Approximately 10 California public schools have been selected to represent the United States for the field test, and students from up to two classrooms from each of those schools will be administered the field test. </w:t>
      </w:r>
    </w:p>
    <w:p w14:paraId="317AAA63" w14:textId="269E1331" w:rsidR="00227836" w:rsidRPr="00C35F8B" w:rsidRDefault="1C1AAA9A" w:rsidP="00227836">
      <w:pPr>
        <w:spacing w:after="480"/>
      </w:pPr>
      <w:r w:rsidRPr="00C35F8B">
        <w:rPr>
          <w:rFonts w:eastAsia="Arial"/>
        </w:rPr>
        <w:t xml:space="preserve">The TIMSS assessment takes students approximately three hours, including breaks, to complete. Participation in TIMSS is voluntary. Additional information about TIMSS can be found on the NCES TIMSS web page at </w:t>
      </w:r>
      <w:hyperlink r:id="rId26" w:tooltip="This link opens the NCES TIMSS web page.">
        <w:r w:rsidRPr="00C35F8B">
          <w:rPr>
            <w:rStyle w:val="Hyperlink"/>
            <w:rFonts w:eastAsia="Arial"/>
          </w:rPr>
          <w:t>https://nces.ed.gov/timss/</w:t>
        </w:r>
      </w:hyperlink>
      <w:r w:rsidR="2471F775" w:rsidRPr="00C35F8B">
        <w:t>.</w:t>
      </w:r>
    </w:p>
    <w:p w14:paraId="49E771CE" w14:textId="77777777" w:rsidR="003E4DF7" w:rsidRPr="00C35F8B" w:rsidRDefault="003E4DF7" w:rsidP="009D448D">
      <w:pPr>
        <w:pStyle w:val="Heading2"/>
      </w:pPr>
      <w:r w:rsidRPr="00C35F8B">
        <w:t>Summary of Previous State Board of Education Discussion and Action</w:t>
      </w:r>
    </w:p>
    <w:p w14:paraId="4F05BD82" w14:textId="77777777" w:rsidR="00E06A57" w:rsidRPr="00C35F8B" w:rsidRDefault="38AA6D0E" w:rsidP="00FD0F1A">
      <w:pPr>
        <w:spacing w:after="240"/>
        <w:rPr>
          <w:rFonts w:eastAsia="Arial"/>
        </w:rPr>
      </w:pPr>
      <w:r w:rsidRPr="00C35F8B">
        <w:rPr>
          <w:rFonts w:eastAsia="Arial"/>
        </w:rPr>
        <w:t>In April 2022, the CDE provided the SBE with an Information Memorandum that gave an update on the Alternate ELPAC Standard Setting Plan</w:t>
      </w:r>
      <w:r w:rsidR="5DEF947F" w:rsidRPr="00C35F8B">
        <w:rPr>
          <w:rFonts w:eastAsia="Arial"/>
        </w:rPr>
        <w:t xml:space="preserve"> (</w:t>
      </w:r>
      <w:hyperlink r:id="rId27" w:tooltip="This link opens the April 2022 SBE Information Memorandum.">
        <w:r w:rsidR="00B21205" w:rsidRPr="00C35F8B">
          <w:rPr>
            <w:rStyle w:val="Hyperlink"/>
          </w:rPr>
          <w:t>https://www.cde.ca.gov/be/pn/im/documents/apr22memoadad01.docx</w:t>
        </w:r>
      </w:hyperlink>
      <w:r w:rsidR="009726B3" w:rsidRPr="00C35F8B">
        <w:rPr>
          <w:rFonts w:eastAsia="Arial"/>
        </w:rPr>
        <w:t>).</w:t>
      </w:r>
      <w:r w:rsidR="2DD3DD18" w:rsidRPr="00C35F8B">
        <w:rPr>
          <w:rFonts w:eastAsia="Arial"/>
        </w:rPr>
        <w:t xml:space="preserve"> </w:t>
      </w:r>
    </w:p>
    <w:p w14:paraId="2A43FD9E" w14:textId="77777777" w:rsidR="09AF0571" w:rsidRPr="00C35F8B" w:rsidRDefault="09AF0571" w:rsidP="00FD0F1A">
      <w:pPr>
        <w:spacing w:after="240"/>
        <w:rPr>
          <w:rFonts w:eastAsia="Arial"/>
        </w:rPr>
      </w:pPr>
      <w:r w:rsidRPr="00C35F8B">
        <w:rPr>
          <w:rFonts w:eastAsia="Arial"/>
        </w:rPr>
        <w:t>In September 2021, the CDE provided the SBE with a national and international assessments update (</w:t>
      </w:r>
      <w:hyperlink r:id="rId28" w:tooltip="This link opens the September 2021 SBE Agenda Item.">
        <w:r w:rsidR="7DB205BF" w:rsidRPr="00C35F8B">
          <w:rPr>
            <w:rStyle w:val="Hyperlink"/>
            <w:rFonts w:eastAsia="Arial"/>
          </w:rPr>
          <w:t>https://www.cde.ca.gov/be/ag/ag/yr21/documents/sep21item02.docx</w:t>
        </w:r>
      </w:hyperlink>
      <w:r w:rsidR="7DB205BF" w:rsidRPr="00C35F8B">
        <w:rPr>
          <w:rFonts w:eastAsia="Arial"/>
        </w:rPr>
        <w:t xml:space="preserve">). </w:t>
      </w:r>
    </w:p>
    <w:p w14:paraId="0D6564A1" w14:textId="77777777" w:rsidR="004C4EA7" w:rsidRPr="00C35F8B" w:rsidRDefault="004C4EA7" w:rsidP="003D106C">
      <w:pPr>
        <w:spacing w:after="240"/>
        <w:rPr>
          <w:rFonts w:eastAsia="Arial"/>
        </w:rPr>
      </w:pPr>
      <w:r w:rsidRPr="00C35F8B">
        <w:rPr>
          <w:rFonts w:eastAsia="Arial"/>
        </w:rPr>
        <w:t xml:space="preserve">In May 2021, the CDE presented for approval the proposed 2020–2021 apportionment rates for the California Assessment of Student Performance and Progress (CAASPP) </w:t>
      </w:r>
      <w:r w:rsidRPr="00C35F8B">
        <w:rPr>
          <w:rFonts w:eastAsia="Arial"/>
        </w:rPr>
        <w:lastRenderedPageBreak/>
        <w:t>and the English Language Proficiency Assessments for California (ELPAC) (</w:t>
      </w:r>
      <w:hyperlink r:id="rId29" w:tooltip="This link opens the May 2021 SBE Agenda Item." w:history="1">
        <w:r w:rsidRPr="00C35F8B">
          <w:rPr>
            <w:rStyle w:val="Hyperlink"/>
            <w:rFonts w:eastAsia="Arial"/>
          </w:rPr>
          <w:t>https://www.cde.ca.gov/be/ag/ag/yr21/documents/may21item03.docx</w:t>
        </w:r>
      </w:hyperlink>
      <w:r w:rsidRPr="00C35F8B">
        <w:rPr>
          <w:rFonts w:eastAsia="Arial"/>
        </w:rPr>
        <w:t>).</w:t>
      </w:r>
    </w:p>
    <w:p w14:paraId="05D219E2" w14:textId="77777777" w:rsidR="09AF0571" w:rsidRPr="00C35F8B" w:rsidRDefault="09AF0571" w:rsidP="00FD0F1A">
      <w:pPr>
        <w:spacing w:after="240"/>
        <w:rPr>
          <w:rFonts w:eastAsia="Arial"/>
        </w:rPr>
      </w:pPr>
      <w:r w:rsidRPr="00C35F8B">
        <w:rPr>
          <w:rFonts w:eastAsia="Arial"/>
        </w:rPr>
        <w:t>In May 2020, the CDE provided the SBE with the proposed test blueprints for the Initial Alternate and Summative Alternate ELPAC (</w:t>
      </w:r>
      <w:hyperlink r:id="rId30" w:tooltip="This link opens the May 2020 SBE Agenda Item.">
        <w:r w:rsidR="6EE890B3" w:rsidRPr="00C35F8B">
          <w:rPr>
            <w:rStyle w:val="Hyperlink"/>
            <w:rFonts w:eastAsia="Arial"/>
          </w:rPr>
          <w:t>https://www.cde.ca.gov/be/ag/ag/yr20/documents/may20item01.docx</w:t>
        </w:r>
      </w:hyperlink>
      <w:r w:rsidR="6EE890B3" w:rsidRPr="00C35F8B">
        <w:rPr>
          <w:rFonts w:eastAsia="Arial"/>
        </w:rPr>
        <w:t>).</w:t>
      </w:r>
    </w:p>
    <w:p w14:paraId="683798B7" w14:textId="77777777" w:rsidR="3008E2A2" w:rsidRPr="00C35F8B" w:rsidRDefault="4049EB30" w:rsidP="00FD0F1A">
      <w:pPr>
        <w:spacing w:after="480"/>
      </w:pPr>
      <w:r w:rsidRPr="00C35F8B">
        <w:rPr>
          <w:rFonts w:eastAsia="Arial"/>
        </w:rPr>
        <w:t>In May 2019, the CDE provided the SBE with updates on the CAASPP System and ELPAC activities. The SBE approved the proposed HLTD for the transition of the Initial and Summative ELPAC to computer-based tests, the proposed HLTD for the development of the computer-based Initial and Summative Alternate ELPAC, and proposed revisions to the computer-based Summative ELPAC blueprints (</w:t>
      </w:r>
      <w:hyperlink r:id="rId31" w:tooltip="This link opens the California State Board of Education May 2019 Agenda Item.">
        <w:r w:rsidRPr="00C35F8B">
          <w:rPr>
            <w:rStyle w:val="Hyperlink"/>
            <w:rFonts w:eastAsia="Arial"/>
          </w:rPr>
          <w:t>https://www.cde.ca.gov/be/ag/ag/yr19/documents/may19item01.docx</w:t>
        </w:r>
      </w:hyperlink>
      <w:r w:rsidRPr="00C35F8B">
        <w:rPr>
          <w:rFonts w:eastAsia="Arial"/>
        </w:rPr>
        <w:t>).</w:t>
      </w:r>
    </w:p>
    <w:p w14:paraId="37EA855D" w14:textId="77777777" w:rsidR="003E4DF7" w:rsidRPr="00C35F8B" w:rsidRDefault="003E4DF7" w:rsidP="00675031">
      <w:pPr>
        <w:pStyle w:val="Heading2"/>
      </w:pPr>
      <w:r w:rsidRPr="00C35F8B">
        <w:t>Fiscal Analysis (as appropriate)</w:t>
      </w:r>
    </w:p>
    <w:p w14:paraId="2DAED03E" w14:textId="77777777" w:rsidR="002266D1" w:rsidRPr="00C35F8B" w:rsidRDefault="002266D1" w:rsidP="002266D1">
      <w:pPr>
        <w:spacing w:after="240"/>
        <w:rPr>
          <w:color w:val="000000" w:themeColor="text1"/>
        </w:rPr>
      </w:pPr>
      <w:r w:rsidRPr="00C35F8B">
        <w:rPr>
          <w:color w:val="000000" w:themeColor="text1"/>
        </w:rPr>
        <w:t>The 2021–22 Budget Act includes the funding necessary for 2021–22 CAASPP and ELPAC administration contract activities. Funding for 2022–23 and beyond will be contingent on an annual appropriation being made available from the Legislature for future fiscal years.</w:t>
      </w:r>
    </w:p>
    <w:p w14:paraId="26779F16" w14:textId="77777777" w:rsidR="002266D1" w:rsidRPr="00C35F8B" w:rsidRDefault="002266D1" w:rsidP="002266D1">
      <w:pPr>
        <w:spacing w:after="240"/>
        <w:rPr>
          <w:color w:val="000000"/>
        </w:rPr>
      </w:pPr>
      <w:r w:rsidRPr="00C35F8B">
        <w:rPr>
          <w:color w:val="000000" w:themeColor="text1"/>
        </w:rPr>
        <w:t xml:space="preserve">For fiscal year 2021–22, $25.3 million was appropriated for assessment apportionments for 2020–21 testing. The CDE provided the Department of Finance with estimated costs per test for statewide assessment apportionments to be administered in 2021–22, including approximately $16.2 million for the CAASPP System, $6.9 million for the ELPAC, and $1.1 million for the grade two diagnostics, totaling $24.2 million for the development of the proposed 2022–23 Governor’s Budget. Attachment 3 provides the estimated number of pupils tested per grade, by assessment, and the estimated apportionment cost. </w:t>
      </w:r>
    </w:p>
    <w:p w14:paraId="561ECA2F" w14:textId="77777777" w:rsidR="002266D1" w:rsidRPr="00C35F8B" w:rsidRDefault="002266D1" w:rsidP="002266D1">
      <w:pPr>
        <w:spacing w:after="240"/>
        <w:rPr>
          <w:color w:val="000000"/>
        </w:rPr>
      </w:pPr>
      <w:r w:rsidRPr="00C35F8B">
        <w:rPr>
          <w:color w:val="000000" w:themeColor="text1"/>
        </w:rPr>
        <w:t>The 2021–22 Budget Act provides a total of $86,977,000 in multiple CAASPP System contract costs, which includes $76,896,000 in funding for the ETS CAASPP contract activities and $531,000 for the University of California, Santa Cruz (UCSC) CERS contract activities.</w:t>
      </w:r>
    </w:p>
    <w:p w14:paraId="763F59F1" w14:textId="3414AE27" w:rsidR="00AE4241" w:rsidRPr="00C35F8B" w:rsidRDefault="002266D1" w:rsidP="002266D1">
      <w:pPr>
        <w:spacing w:after="480"/>
        <w:rPr>
          <w:color w:val="000000" w:themeColor="text1"/>
        </w:rPr>
      </w:pPr>
      <w:r w:rsidRPr="00C35F8B">
        <w:rPr>
          <w:color w:val="000000" w:themeColor="text1"/>
        </w:rPr>
        <w:t>The 2021–22 Budget provides a total of $23,205,000 in funding for ELPAC contract costs, which includes $22,919,000 for the ETS ELPAC contract activities and $286,000 for the UCSC CERS contract activities.</w:t>
      </w:r>
      <w:r w:rsidR="00AE4241" w:rsidRPr="00C35F8B">
        <w:rPr>
          <w:color w:val="000000" w:themeColor="text1"/>
        </w:rPr>
        <w:br w:type="page"/>
      </w:r>
    </w:p>
    <w:p w14:paraId="197FB020" w14:textId="77777777" w:rsidR="00406F50" w:rsidRPr="00C35F8B" w:rsidRDefault="00406F50" w:rsidP="00675031">
      <w:pPr>
        <w:pStyle w:val="Heading2"/>
      </w:pPr>
      <w:r w:rsidRPr="00C35F8B">
        <w:lastRenderedPageBreak/>
        <w:t>Attachment(s)</w:t>
      </w:r>
    </w:p>
    <w:p w14:paraId="52948CC6" w14:textId="77777777" w:rsidR="002D4BFF" w:rsidRPr="00C35F8B" w:rsidRDefault="002D4BFF" w:rsidP="00FD0F1A">
      <w:pPr>
        <w:pStyle w:val="ListParagraph"/>
        <w:numPr>
          <w:ilvl w:val="0"/>
          <w:numId w:val="12"/>
        </w:numPr>
        <w:spacing w:after="240"/>
        <w:contextualSpacing w:val="0"/>
        <w:rPr>
          <w:rFonts w:eastAsiaTheme="minorEastAsia"/>
        </w:rPr>
      </w:pPr>
      <w:r w:rsidRPr="00C35F8B">
        <w:rPr>
          <w:rFonts w:eastAsia="Arial"/>
        </w:rPr>
        <w:t>Attachment 1: Outreach and Professional Development Activities (</w:t>
      </w:r>
      <w:r w:rsidR="00EE55D6" w:rsidRPr="00C35F8B">
        <w:rPr>
          <w:rFonts w:eastAsia="Arial"/>
        </w:rPr>
        <w:t>3</w:t>
      </w:r>
      <w:r w:rsidRPr="00C35F8B">
        <w:rPr>
          <w:rFonts w:eastAsia="Arial"/>
        </w:rPr>
        <w:t xml:space="preserve"> Pages)</w:t>
      </w:r>
    </w:p>
    <w:p w14:paraId="27E956E8" w14:textId="77777777" w:rsidR="00D50F99" w:rsidRPr="00C35F8B" w:rsidRDefault="00D50F99" w:rsidP="00FD0F1A">
      <w:pPr>
        <w:pStyle w:val="ListParagraph"/>
        <w:numPr>
          <w:ilvl w:val="0"/>
          <w:numId w:val="12"/>
        </w:numPr>
        <w:spacing w:after="240"/>
        <w:contextualSpacing w:val="0"/>
        <w:rPr>
          <w:rFonts w:eastAsiaTheme="minorEastAsia"/>
        </w:rPr>
      </w:pPr>
      <w:r w:rsidRPr="00C35F8B">
        <w:rPr>
          <w:rFonts w:eastAsiaTheme="minorEastAsia"/>
        </w:rPr>
        <w:t>Attachment 2: Proposed per-Pupil Apportionment Rates (2 Pages)</w:t>
      </w:r>
    </w:p>
    <w:p w14:paraId="3DB7C6FE" w14:textId="77777777" w:rsidR="00D50F99" w:rsidRPr="00C35F8B" w:rsidRDefault="00D50F99" w:rsidP="00FD0F1A">
      <w:pPr>
        <w:pStyle w:val="ListParagraph"/>
        <w:numPr>
          <w:ilvl w:val="0"/>
          <w:numId w:val="12"/>
        </w:numPr>
        <w:spacing w:after="240"/>
        <w:contextualSpacing w:val="0"/>
      </w:pPr>
      <w:r w:rsidRPr="00C35F8B">
        <w:t>Attachment 3: Estimated Apportionment Costs (2 Pages)</w:t>
      </w:r>
    </w:p>
    <w:p w14:paraId="4E59C767" w14:textId="77777777" w:rsidR="02930CE9" w:rsidRPr="00C35F8B" w:rsidRDefault="02930CE9" w:rsidP="00FD0F1A">
      <w:pPr>
        <w:pStyle w:val="ListParagraph"/>
        <w:numPr>
          <w:ilvl w:val="0"/>
          <w:numId w:val="12"/>
        </w:numPr>
        <w:spacing w:after="240"/>
        <w:contextualSpacing w:val="0"/>
        <w:rPr>
          <w:rFonts w:eastAsiaTheme="minorEastAsia"/>
        </w:rPr>
      </w:pPr>
      <w:r w:rsidRPr="00C35F8B">
        <w:rPr>
          <w:rFonts w:eastAsia="Arial"/>
        </w:rPr>
        <w:t xml:space="preserve">Attachment </w:t>
      </w:r>
      <w:r w:rsidR="00D50F99" w:rsidRPr="00C35F8B">
        <w:rPr>
          <w:rFonts w:eastAsia="Arial"/>
        </w:rPr>
        <w:t>4</w:t>
      </w:r>
      <w:r w:rsidRPr="00C35F8B">
        <w:rPr>
          <w:rFonts w:eastAsia="Arial"/>
        </w:rPr>
        <w:t xml:space="preserve">: </w:t>
      </w:r>
      <w:r w:rsidR="009E1EDF" w:rsidRPr="00C35F8B">
        <w:rPr>
          <w:rFonts w:eastAsia="SimSun"/>
          <w:lang w:eastAsia="zh-CN"/>
        </w:rPr>
        <w:t>State Superintendent of Public Instruction’s</w:t>
      </w:r>
      <w:r w:rsidR="436F681E" w:rsidRPr="00C35F8B">
        <w:rPr>
          <w:rFonts w:eastAsia="Arial"/>
        </w:rPr>
        <w:t xml:space="preserve"> </w:t>
      </w:r>
      <w:r w:rsidRPr="00C35F8B">
        <w:rPr>
          <w:rFonts w:eastAsia="Arial"/>
        </w:rPr>
        <w:t xml:space="preserve">Alternate ELPAC Threshold Score Recommendations </w:t>
      </w:r>
      <w:r w:rsidR="695BC0DD" w:rsidRPr="00C35F8B">
        <w:rPr>
          <w:rFonts w:eastAsia="Arial"/>
        </w:rPr>
        <w:t>(</w:t>
      </w:r>
      <w:r w:rsidR="008723EF" w:rsidRPr="00C35F8B">
        <w:rPr>
          <w:rFonts w:eastAsia="Arial"/>
        </w:rPr>
        <w:t>2</w:t>
      </w:r>
      <w:r w:rsidR="695BC0DD" w:rsidRPr="00C35F8B">
        <w:rPr>
          <w:rFonts w:eastAsia="Arial"/>
        </w:rPr>
        <w:t xml:space="preserve"> Pages)</w:t>
      </w:r>
    </w:p>
    <w:p w14:paraId="65439F0B" w14:textId="77777777" w:rsidR="02930CE9" w:rsidRPr="00C35F8B" w:rsidRDefault="188B7CC4" w:rsidP="2F066EF5">
      <w:pPr>
        <w:pStyle w:val="ListParagraph"/>
        <w:numPr>
          <w:ilvl w:val="0"/>
          <w:numId w:val="12"/>
        </w:numPr>
        <w:spacing w:after="240"/>
        <w:contextualSpacing w:val="0"/>
        <w:rPr>
          <w:rFonts w:eastAsiaTheme="minorEastAsia"/>
        </w:rPr>
      </w:pPr>
      <w:r w:rsidRPr="00C35F8B">
        <w:rPr>
          <w:rFonts w:eastAsia="Arial"/>
        </w:rPr>
        <w:t xml:space="preserve">Attachment </w:t>
      </w:r>
      <w:r w:rsidR="00D50F99" w:rsidRPr="00C35F8B">
        <w:rPr>
          <w:rFonts w:eastAsia="Arial"/>
        </w:rPr>
        <w:t>5</w:t>
      </w:r>
      <w:r w:rsidRPr="00C35F8B">
        <w:rPr>
          <w:rFonts w:eastAsia="Arial"/>
        </w:rPr>
        <w:t xml:space="preserve">: </w:t>
      </w:r>
      <w:r w:rsidR="79051DD2" w:rsidRPr="00C35F8B">
        <w:rPr>
          <w:rFonts w:eastAsia="Arial"/>
        </w:rPr>
        <w:t>Standard Setting</w:t>
      </w:r>
      <w:r w:rsidR="45C45364" w:rsidRPr="00C35F8B">
        <w:rPr>
          <w:rFonts w:eastAsia="Arial"/>
        </w:rPr>
        <w:t xml:space="preserve"> Panel</w:t>
      </w:r>
      <w:r w:rsidR="7E3A3232" w:rsidRPr="00C35F8B">
        <w:rPr>
          <w:rFonts w:eastAsia="Arial"/>
        </w:rPr>
        <w:t>’s</w:t>
      </w:r>
      <w:r w:rsidR="45C45364" w:rsidRPr="00C35F8B">
        <w:rPr>
          <w:rFonts w:eastAsia="Arial"/>
        </w:rPr>
        <w:t xml:space="preserve"> </w:t>
      </w:r>
      <w:r w:rsidR="7DEE5EE7" w:rsidRPr="00C35F8B">
        <w:rPr>
          <w:rFonts w:eastAsia="Arial"/>
        </w:rPr>
        <w:t xml:space="preserve">Recommended </w:t>
      </w:r>
      <w:r w:rsidR="6F03E663" w:rsidRPr="00C35F8B">
        <w:rPr>
          <w:rFonts w:eastAsia="Arial"/>
        </w:rPr>
        <w:t>Judgments for the Alternate ELPAC</w:t>
      </w:r>
      <w:r w:rsidR="736C0AD1" w:rsidRPr="00C35F8B">
        <w:rPr>
          <w:rFonts w:eastAsia="Arial"/>
        </w:rPr>
        <w:t xml:space="preserve"> </w:t>
      </w:r>
      <w:r w:rsidR="6F594F5F" w:rsidRPr="00C35F8B">
        <w:rPr>
          <w:rFonts w:eastAsia="Arial"/>
        </w:rPr>
        <w:t>(</w:t>
      </w:r>
      <w:r w:rsidR="0CD613F8" w:rsidRPr="00C35F8B">
        <w:rPr>
          <w:rFonts w:eastAsia="Arial"/>
        </w:rPr>
        <w:t>2</w:t>
      </w:r>
      <w:r w:rsidR="02930CE9" w:rsidRPr="00C35F8B">
        <w:rPr>
          <w:rFonts w:eastAsia="Arial"/>
        </w:rPr>
        <w:t xml:space="preserve"> Pages)</w:t>
      </w:r>
    </w:p>
    <w:p w14:paraId="6E396706" w14:textId="77777777" w:rsidR="52E64F3E" w:rsidRPr="00C35F8B" w:rsidRDefault="52E64F3E" w:rsidP="4A97009B">
      <w:pPr>
        <w:pStyle w:val="ListParagraph"/>
        <w:numPr>
          <w:ilvl w:val="0"/>
          <w:numId w:val="12"/>
        </w:numPr>
        <w:spacing w:after="240"/>
      </w:pPr>
      <w:r w:rsidRPr="00C35F8B">
        <w:rPr>
          <w:rFonts w:eastAsia="Arial"/>
        </w:rPr>
        <w:t xml:space="preserve">Attachment </w:t>
      </w:r>
      <w:r w:rsidR="00D50F99" w:rsidRPr="00C35F8B">
        <w:rPr>
          <w:rFonts w:eastAsia="Arial"/>
        </w:rPr>
        <w:t>6</w:t>
      </w:r>
      <w:r w:rsidRPr="00C35F8B">
        <w:rPr>
          <w:rFonts w:eastAsia="Arial"/>
        </w:rPr>
        <w:t xml:space="preserve">: Alternate ELPAC </w:t>
      </w:r>
      <w:r w:rsidR="33DAD80B" w:rsidRPr="00C35F8B">
        <w:rPr>
          <w:rFonts w:eastAsia="Arial"/>
        </w:rPr>
        <w:t xml:space="preserve">Standard Setting </w:t>
      </w:r>
      <w:r w:rsidRPr="00C35F8B">
        <w:rPr>
          <w:rFonts w:eastAsia="Arial"/>
        </w:rPr>
        <w:t xml:space="preserve">Panelist Composition </w:t>
      </w:r>
      <w:r w:rsidR="291BF5D6" w:rsidRPr="00C35F8B">
        <w:rPr>
          <w:rFonts w:eastAsia="Arial"/>
        </w:rPr>
        <w:t>(3 Pages)</w:t>
      </w:r>
    </w:p>
    <w:p w14:paraId="2B323EF4" w14:textId="77777777" w:rsidR="002D4BFF" w:rsidRPr="00C35F8B" w:rsidRDefault="002D4BFF" w:rsidP="002D4BFF">
      <w:pPr>
        <w:spacing w:after="480"/>
        <w:sectPr w:rsidR="002D4BFF" w:rsidRPr="00C35F8B" w:rsidSect="00407E9B">
          <w:headerReference w:type="default" r:id="rId32"/>
          <w:footerReference w:type="default" r:id="rId33"/>
          <w:type w:val="continuous"/>
          <w:pgSz w:w="12240" w:h="15840"/>
          <w:pgMar w:top="720" w:right="1440" w:bottom="1440" w:left="1440" w:header="720" w:footer="720" w:gutter="0"/>
          <w:cols w:space="720"/>
          <w:docGrid w:linePitch="360"/>
        </w:sectPr>
      </w:pPr>
    </w:p>
    <w:p w14:paraId="41A5CE2A" w14:textId="77777777" w:rsidR="009C6FF3" w:rsidRPr="00C35F8B" w:rsidRDefault="009C6FF3" w:rsidP="00675031">
      <w:pPr>
        <w:pStyle w:val="Heading2"/>
      </w:pPr>
      <w:r w:rsidRPr="00C35F8B">
        <w:lastRenderedPageBreak/>
        <w:t>Outreach and Professional Development Activities</w:t>
      </w:r>
    </w:p>
    <w:p w14:paraId="10E2EB97" w14:textId="77777777" w:rsidR="009C6FF3" w:rsidRPr="00C35F8B" w:rsidRDefault="009C6FF3" w:rsidP="00D2291A">
      <w:pPr>
        <w:spacing w:after="240"/>
      </w:pPr>
      <w:r w:rsidRPr="00C35F8B">
        <w:t xml:space="preserve">The California Department of Education (CDE), in coordination with California Assessment of Student Performance and Progress (CAASPP) and English Language Proficiency Assessments for California (ELPAC) contractors ETS and the Sacramento County Office of Education (SCOE), has provided a variety of virtual outreach activities, including workshops, focus group meetings, and presentations to prepare local educational agencies (LEAs) for the administration of the CAASPP System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w:t>
      </w:r>
      <w:r w:rsidR="00C22120" w:rsidRPr="00C35F8B">
        <w:t>March</w:t>
      </w:r>
      <w:r w:rsidRPr="00C35F8B">
        <w:t xml:space="preserve"> and </w:t>
      </w:r>
      <w:r w:rsidR="00C22120" w:rsidRPr="00C35F8B">
        <w:t>April</w:t>
      </w:r>
      <w:r w:rsidRPr="00C35F8B">
        <w:t xml:space="preserve"> 2022.</w:t>
      </w:r>
    </w:p>
    <w:p w14:paraId="6C74BA86" w14:textId="77777777" w:rsidR="009C6FF3" w:rsidRPr="00C35F8B" w:rsidRDefault="009C6FF3" w:rsidP="00D2291A">
      <w:pPr>
        <w:keepNext/>
        <w:keepLines/>
        <w:spacing w:before="240" w:after="240"/>
        <w:outlineLvl w:val="1"/>
        <w:rPr>
          <w:rFonts w:eastAsiaTheme="majorEastAsia"/>
          <w:b/>
        </w:rPr>
      </w:pPr>
      <w:r w:rsidRPr="00C35F8B">
        <w:rPr>
          <w:rFonts w:eastAsiaTheme="majorEastAsia"/>
          <w:b/>
        </w:rPr>
        <w:t>Table 1. Trainings</w:t>
      </w:r>
    </w:p>
    <w:tbl>
      <w:tblPr>
        <w:tblStyle w:val="TableGrid"/>
        <w:tblW w:w="958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29"/>
        <w:gridCol w:w="1439"/>
        <w:gridCol w:w="5452"/>
      </w:tblGrid>
      <w:tr w:rsidR="009C6FF3" w:rsidRPr="00C35F8B" w14:paraId="1ED5DDDD" w14:textId="77777777" w:rsidTr="421522DD">
        <w:trPr>
          <w:cantSplit/>
          <w:tblHeader/>
        </w:trPr>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8922" w14:textId="77777777" w:rsidR="009C6FF3" w:rsidRPr="00C35F8B" w:rsidRDefault="009C6FF3">
            <w:pPr>
              <w:spacing w:before="120" w:after="120"/>
              <w:jc w:val="center"/>
              <w:rPr>
                <w:b/>
                <w:bCs/>
              </w:rPr>
            </w:pPr>
            <w:r w:rsidRPr="00C35F8B">
              <w:rPr>
                <w:b/>
                <w:bCs/>
              </w:rPr>
              <w:t>Date(s)</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DD143" w14:textId="77777777" w:rsidR="009C6FF3" w:rsidRPr="00C35F8B" w:rsidRDefault="009C6FF3">
            <w:pPr>
              <w:spacing w:before="120" w:after="120"/>
              <w:jc w:val="center"/>
              <w:rPr>
                <w:b/>
                <w:bCs/>
              </w:rPr>
            </w:pPr>
            <w:r w:rsidRPr="00C35F8B">
              <w:rPr>
                <w:b/>
                <w:bCs/>
              </w:rPr>
              <w:t>Location</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1F778" w14:textId="77777777" w:rsidR="009C6FF3" w:rsidRPr="00C35F8B" w:rsidRDefault="009C6FF3">
            <w:pPr>
              <w:spacing w:before="120" w:after="120"/>
              <w:jc w:val="center"/>
              <w:rPr>
                <w:color w:val="000000"/>
                <w:lang w:val="en"/>
              </w:rPr>
            </w:pPr>
            <w:r w:rsidRPr="00C35F8B">
              <w:rPr>
                <w:b/>
                <w:bCs/>
              </w:rPr>
              <w:t>Estimated Number of Attendees</w:t>
            </w:r>
          </w:p>
        </w:tc>
        <w:tc>
          <w:tcPr>
            <w:tcW w:w="5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F8173" w14:textId="77777777" w:rsidR="009C6FF3" w:rsidRPr="00C35F8B" w:rsidRDefault="009C6FF3">
            <w:pPr>
              <w:spacing w:before="120" w:after="120"/>
              <w:jc w:val="center"/>
              <w:rPr>
                <w:b/>
                <w:bCs/>
              </w:rPr>
            </w:pPr>
            <w:r w:rsidRPr="00C35F8B">
              <w:rPr>
                <w:b/>
                <w:bCs/>
              </w:rPr>
              <w:t>Description</w:t>
            </w:r>
          </w:p>
        </w:tc>
      </w:tr>
      <w:tr w:rsidR="009C6FF3" w:rsidRPr="00C35F8B" w14:paraId="4A7A2EE4" w14:textId="77777777" w:rsidTr="421522DD">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0DAD2CE6" w14:textId="77777777" w:rsidR="009C6FF3" w:rsidRPr="00C35F8B" w:rsidRDefault="003E0101">
            <w:pPr>
              <w:spacing w:before="120" w:after="120" w:line="256" w:lineRule="auto"/>
              <w:jc w:val="center"/>
            </w:pPr>
            <w:r w:rsidRPr="00C35F8B">
              <w:t>3/1</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7A01D37" w14:textId="77777777" w:rsidR="009C6FF3" w:rsidRPr="00C35F8B" w:rsidRDefault="003E0101">
            <w:pPr>
              <w:spacing w:before="120" w:after="120"/>
              <w:jc w:val="center"/>
            </w:pPr>
            <w:r w:rsidRPr="00C35F8B">
              <w:t>Virtual</w:t>
            </w:r>
          </w:p>
        </w:tc>
        <w:tc>
          <w:tcPr>
            <w:tcW w:w="1439" w:type="dxa"/>
            <w:tcBorders>
              <w:top w:val="single" w:sz="4" w:space="0" w:color="auto"/>
              <w:left w:val="single" w:sz="4" w:space="0" w:color="auto"/>
              <w:bottom w:val="single" w:sz="4" w:space="0" w:color="auto"/>
              <w:right w:val="single" w:sz="4" w:space="0" w:color="auto"/>
            </w:tcBorders>
            <w:vAlign w:val="center"/>
            <w:hideMark/>
          </w:tcPr>
          <w:p w14:paraId="648DA085" w14:textId="77777777" w:rsidR="009C6FF3" w:rsidRPr="00C35F8B" w:rsidRDefault="00233898">
            <w:pPr>
              <w:spacing w:before="120" w:after="120" w:line="256" w:lineRule="auto"/>
              <w:jc w:val="center"/>
            </w:pPr>
            <w:r w:rsidRPr="00C35F8B">
              <w:t>700</w:t>
            </w:r>
          </w:p>
        </w:tc>
        <w:tc>
          <w:tcPr>
            <w:tcW w:w="5452" w:type="dxa"/>
            <w:tcBorders>
              <w:top w:val="single" w:sz="4" w:space="0" w:color="auto"/>
              <w:left w:val="single" w:sz="4" w:space="0" w:color="auto"/>
              <w:bottom w:val="single" w:sz="4" w:space="0" w:color="auto"/>
              <w:right w:val="single" w:sz="4" w:space="0" w:color="auto"/>
            </w:tcBorders>
            <w:hideMark/>
          </w:tcPr>
          <w:p w14:paraId="2853EA7B" w14:textId="77777777" w:rsidR="003E0101" w:rsidRPr="00C35F8B" w:rsidRDefault="003E0101">
            <w:pPr>
              <w:spacing w:before="120" w:after="120"/>
              <w:rPr>
                <w:shd w:val="clear" w:color="auto" w:fill="FFFFFF"/>
              </w:rPr>
            </w:pPr>
            <w:r w:rsidRPr="00C35F8B">
              <w:rPr>
                <w:shd w:val="clear" w:color="auto" w:fill="FFFFFF"/>
              </w:rPr>
              <w:t>A Teacher’s Best Kept Secret: Interim Assessments and Tools for Teachers</w:t>
            </w:r>
          </w:p>
          <w:p w14:paraId="36573432" w14:textId="77777777" w:rsidR="003E0101" w:rsidRPr="00C35F8B" w:rsidRDefault="003E0101">
            <w:pPr>
              <w:spacing w:before="120" w:after="120"/>
              <w:rPr>
                <w:shd w:val="clear" w:color="auto" w:fill="FFFFFF"/>
              </w:rPr>
            </w:pPr>
            <w:r w:rsidRPr="00C35F8B">
              <w:rPr>
                <w:shd w:val="clear" w:color="auto" w:fill="FFFFFF"/>
              </w:rPr>
              <w:t>Hosted by the CDE and SCOE, this webinar was offered for educators and other LEA staff as the fifth webinar in the Tools for Teachers Shared Practices Webinar Series. LEA representatives shared specific ways they use Smarter Balanced Interim Assessments and Tools for Teachers resources in their classrooms.</w:t>
            </w:r>
          </w:p>
        </w:tc>
      </w:tr>
      <w:tr w:rsidR="009C6FF3" w:rsidRPr="00C35F8B" w14:paraId="061FC335" w14:textId="77777777" w:rsidTr="421522DD">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4C65BAAB" w14:textId="77777777" w:rsidR="009C6FF3" w:rsidRPr="00C35F8B" w:rsidRDefault="003E0101">
            <w:pPr>
              <w:spacing w:before="120" w:after="120" w:line="256" w:lineRule="auto"/>
              <w:jc w:val="center"/>
            </w:pPr>
            <w:r w:rsidRPr="00C35F8B">
              <w:t>3/11</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5B703CA" w14:textId="77777777" w:rsidR="009C6FF3" w:rsidRPr="00C35F8B" w:rsidRDefault="003E0101">
            <w:pPr>
              <w:spacing w:before="120" w:after="120"/>
              <w:jc w:val="center"/>
            </w:pPr>
            <w:r w:rsidRPr="00C35F8B">
              <w:t>Virtual</w:t>
            </w:r>
          </w:p>
        </w:tc>
        <w:tc>
          <w:tcPr>
            <w:tcW w:w="1439" w:type="dxa"/>
            <w:tcBorders>
              <w:top w:val="single" w:sz="4" w:space="0" w:color="auto"/>
              <w:left w:val="single" w:sz="4" w:space="0" w:color="auto"/>
              <w:bottom w:val="single" w:sz="4" w:space="0" w:color="auto"/>
              <w:right w:val="single" w:sz="4" w:space="0" w:color="auto"/>
            </w:tcBorders>
            <w:vAlign w:val="center"/>
            <w:hideMark/>
          </w:tcPr>
          <w:p w14:paraId="09195C24" w14:textId="77777777" w:rsidR="009C6FF3" w:rsidRPr="00C35F8B" w:rsidRDefault="3911D53B" w:rsidP="3911D53B">
            <w:pPr>
              <w:spacing w:before="120" w:after="120" w:line="256" w:lineRule="auto"/>
              <w:jc w:val="center"/>
            </w:pPr>
            <w:r w:rsidRPr="00C35F8B">
              <w:t>420</w:t>
            </w:r>
          </w:p>
        </w:tc>
        <w:tc>
          <w:tcPr>
            <w:tcW w:w="5452" w:type="dxa"/>
            <w:tcBorders>
              <w:top w:val="single" w:sz="4" w:space="0" w:color="auto"/>
              <w:left w:val="single" w:sz="4" w:space="0" w:color="auto"/>
              <w:bottom w:val="single" w:sz="4" w:space="0" w:color="auto"/>
              <w:right w:val="single" w:sz="4" w:space="0" w:color="auto"/>
            </w:tcBorders>
            <w:hideMark/>
          </w:tcPr>
          <w:p w14:paraId="2CF07904" w14:textId="77777777" w:rsidR="003E0101" w:rsidRPr="00C35F8B" w:rsidRDefault="003E0101" w:rsidP="003E0101">
            <w:pPr>
              <w:spacing w:before="120" w:after="120"/>
            </w:pPr>
            <w:r w:rsidRPr="00C35F8B">
              <w:t>CAASPP and ELPAC Coffee Session</w:t>
            </w:r>
          </w:p>
          <w:p w14:paraId="205F612D" w14:textId="77777777" w:rsidR="009C6FF3" w:rsidRPr="00C35F8B" w:rsidRDefault="003E0101">
            <w:pPr>
              <w:spacing w:before="120" w:after="120"/>
            </w:pPr>
            <w:r w:rsidRPr="00C35F8B">
              <w:t>Hosted by the CDE and ETS, this virtual Coffee Session offered LEA staff an opportunity to ask questions and receive answers about assessments, trainings, resources, and assessment-related developments.</w:t>
            </w:r>
          </w:p>
        </w:tc>
      </w:tr>
      <w:tr w:rsidR="009C6FF3" w:rsidRPr="00C35F8B" w14:paraId="40A1B503" w14:textId="77777777" w:rsidTr="421522DD">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0B908327" w14:textId="77777777" w:rsidR="009C6FF3" w:rsidRPr="00C35F8B" w:rsidRDefault="003E0101">
            <w:pPr>
              <w:spacing w:before="120" w:after="120" w:line="256" w:lineRule="auto"/>
              <w:jc w:val="center"/>
            </w:pPr>
            <w:r w:rsidRPr="00C35F8B">
              <w:t>4/8</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20419CD" w14:textId="77777777" w:rsidR="009C6FF3" w:rsidRPr="00C35F8B" w:rsidRDefault="00132DB2">
            <w:pPr>
              <w:spacing w:before="120" w:after="120"/>
              <w:jc w:val="center"/>
            </w:pPr>
            <w:r w:rsidRPr="00C35F8B">
              <w:t>Virtual</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25EB4E0" w14:textId="77777777" w:rsidR="009C6FF3" w:rsidRPr="00C35F8B" w:rsidRDefault="496EA637" w:rsidP="496EA637">
            <w:pPr>
              <w:spacing w:before="120" w:after="120" w:line="256" w:lineRule="auto"/>
              <w:jc w:val="center"/>
            </w:pPr>
            <w:r w:rsidRPr="00C35F8B">
              <w:t>425</w:t>
            </w:r>
          </w:p>
        </w:tc>
        <w:tc>
          <w:tcPr>
            <w:tcW w:w="5452" w:type="dxa"/>
            <w:tcBorders>
              <w:top w:val="single" w:sz="4" w:space="0" w:color="auto"/>
              <w:left w:val="single" w:sz="4" w:space="0" w:color="auto"/>
              <w:bottom w:val="single" w:sz="4" w:space="0" w:color="auto"/>
              <w:right w:val="single" w:sz="4" w:space="0" w:color="auto"/>
            </w:tcBorders>
            <w:hideMark/>
          </w:tcPr>
          <w:p w14:paraId="764DC253" w14:textId="77777777" w:rsidR="003E0101" w:rsidRPr="00C35F8B" w:rsidRDefault="003E0101" w:rsidP="003E0101">
            <w:pPr>
              <w:spacing w:before="120" w:after="120"/>
            </w:pPr>
            <w:r w:rsidRPr="00C35F8B">
              <w:t>CAASPP and ELPAC Coffee Session</w:t>
            </w:r>
          </w:p>
          <w:p w14:paraId="2024D8E6" w14:textId="77777777" w:rsidR="009C6FF3" w:rsidRPr="00C35F8B" w:rsidRDefault="003E0101" w:rsidP="003E0101">
            <w:pPr>
              <w:spacing w:before="120" w:after="120"/>
            </w:pPr>
            <w:r w:rsidRPr="00C35F8B">
              <w:t>Hosted by the CDE and ETS, this virtual Coffee Session offered LEA staff an opportunity to ask questions and receive answers about assessments, trainings, resources, and assessment-related developments.</w:t>
            </w:r>
          </w:p>
        </w:tc>
      </w:tr>
      <w:tr w:rsidR="009C6FF3" w:rsidRPr="00C35F8B" w14:paraId="633F61AE" w14:textId="77777777" w:rsidTr="421522DD">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16AA1C8B" w14:textId="77777777" w:rsidR="009C6FF3" w:rsidRPr="00C35F8B" w:rsidRDefault="003E0101">
            <w:pPr>
              <w:spacing w:before="120" w:after="120" w:line="256" w:lineRule="auto"/>
              <w:jc w:val="center"/>
            </w:pPr>
            <w:r w:rsidRPr="00C35F8B">
              <w:lastRenderedPageBreak/>
              <w:t>4/21</w:t>
            </w:r>
          </w:p>
        </w:tc>
        <w:tc>
          <w:tcPr>
            <w:tcW w:w="1529" w:type="dxa"/>
            <w:tcBorders>
              <w:top w:val="single" w:sz="4" w:space="0" w:color="auto"/>
              <w:left w:val="single" w:sz="4" w:space="0" w:color="auto"/>
              <w:bottom w:val="single" w:sz="4" w:space="0" w:color="auto"/>
              <w:right w:val="single" w:sz="4" w:space="0" w:color="auto"/>
            </w:tcBorders>
            <w:vAlign w:val="center"/>
            <w:hideMark/>
          </w:tcPr>
          <w:p w14:paraId="1715BBEB" w14:textId="77777777" w:rsidR="009C6FF3" w:rsidRPr="00C35F8B" w:rsidRDefault="003E0101">
            <w:pPr>
              <w:spacing w:before="120" w:after="120"/>
              <w:jc w:val="center"/>
            </w:pPr>
            <w:r w:rsidRPr="00C35F8B">
              <w:t>Virtual</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7D6DB6C" w14:textId="77777777" w:rsidR="009C6FF3" w:rsidRPr="00C35F8B" w:rsidRDefault="00B40396">
            <w:pPr>
              <w:spacing w:before="120" w:after="120" w:line="256" w:lineRule="auto"/>
              <w:jc w:val="center"/>
            </w:pPr>
            <w:r w:rsidRPr="00C35F8B">
              <w:t>250</w:t>
            </w:r>
          </w:p>
        </w:tc>
        <w:tc>
          <w:tcPr>
            <w:tcW w:w="5452" w:type="dxa"/>
            <w:tcBorders>
              <w:top w:val="single" w:sz="4" w:space="0" w:color="auto"/>
              <w:left w:val="single" w:sz="4" w:space="0" w:color="auto"/>
              <w:bottom w:val="single" w:sz="4" w:space="0" w:color="auto"/>
              <w:right w:val="single" w:sz="4" w:space="0" w:color="auto"/>
            </w:tcBorders>
            <w:hideMark/>
          </w:tcPr>
          <w:p w14:paraId="48AC88CA" w14:textId="77777777" w:rsidR="009C6FF3" w:rsidRPr="00C35F8B" w:rsidRDefault="003E0101">
            <w:pPr>
              <w:spacing w:before="120" w:after="120"/>
            </w:pPr>
            <w:r w:rsidRPr="00C35F8B">
              <w:t>New Coordinator Webinar #5</w:t>
            </w:r>
          </w:p>
          <w:p w14:paraId="1E087CF6" w14:textId="77777777" w:rsidR="003E0101" w:rsidRPr="00C35F8B" w:rsidRDefault="003E0101" w:rsidP="003E0101">
            <w:pPr>
              <w:spacing w:before="120" w:after="120"/>
            </w:pPr>
            <w:r w:rsidRPr="00C35F8B">
              <w:t xml:space="preserve">This webinar, hosted by the </w:t>
            </w:r>
            <w:r w:rsidR="00F177EF" w:rsidRPr="00C35F8B">
              <w:t>SCOE</w:t>
            </w:r>
            <w:r w:rsidRPr="00C35F8B">
              <w:t>, provide</w:t>
            </w:r>
            <w:r w:rsidR="006B4BEB" w:rsidRPr="00C35F8B">
              <w:t>d</w:t>
            </w:r>
            <w:r w:rsidRPr="00C35F8B">
              <w:t xml:space="preserve"> the following:</w:t>
            </w:r>
          </w:p>
          <w:p w14:paraId="46AE9919" w14:textId="77777777" w:rsidR="003E0101" w:rsidRPr="00C35F8B" w:rsidRDefault="003E0101" w:rsidP="00F177EF">
            <w:pPr>
              <w:pStyle w:val="ListParagraph"/>
              <w:numPr>
                <w:ilvl w:val="0"/>
                <w:numId w:val="15"/>
              </w:numPr>
              <w:spacing w:before="120" w:after="120"/>
            </w:pPr>
            <w:r w:rsidRPr="00C35F8B">
              <w:t>A review of upcoming coordinator checklist tasks</w:t>
            </w:r>
          </w:p>
          <w:p w14:paraId="3334229C" w14:textId="77777777" w:rsidR="003E0101" w:rsidRPr="00C35F8B" w:rsidRDefault="006B4BEB" w:rsidP="00F177EF">
            <w:pPr>
              <w:pStyle w:val="ListParagraph"/>
              <w:numPr>
                <w:ilvl w:val="0"/>
                <w:numId w:val="15"/>
              </w:numPr>
              <w:spacing w:before="120" w:after="120"/>
            </w:pPr>
            <w:r w:rsidRPr="00C35F8B">
              <w:t>The details of</w:t>
            </w:r>
            <w:r w:rsidR="003E0101" w:rsidRPr="00C35F8B">
              <w:t xml:space="preserve"> </w:t>
            </w:r>
            <w:r w:rsidRPr="00C35F8B">
              <w:t>p</w:t>
            </w:r>
            <w:r w:rsidR="003E0101" w:rsidRPr="00C35F8B">
              <w:t xml:space="preserve">reparing for </w:t>
            </w:r>
            <w:r w:rsidRPr="00C35F8B">
              <w:t>s</w:t>
            </w:r>
            <w:r w:rsidR="003E0101" w:rsidRPr="00C35F8B">
              <w:t xml:space="preserve">ummative </w:t>
            </w:r>
            <w:r w:rsidRPr="00C35F8B">
              <w:t>a</w:t>
            </w:r>
            <w:r w:rsidR="003E0101" w:rsidRPr="00C35F8B">
              <w:t xml:space="preserve">ssessment </w:t>
            </w:r>
            <w:r w:rsidRPr="00C35F8B">
              <w:t>r</w:t>
            </w:r>
            <w:r w:rsidR="003E0101" w:rsidRPr="00C35F8B">
              <w:t>esults</w:t>
            </w:r>
          </w:p>
          <w:p w14:paraId="72207BEF" w14:textId="77777777" w:rsidR="003E0101" w:rsidRPr="00C35F8B" w:rsidRDefault="003E0101" w:rsidP="00F177EF">
            <w:pPr>
              <w:pStyle w:val="ListParagraph"/>
              <w:numPr>
                <w:ilvl w:val="0"/>
                <w:numId w:val="15"/>
              </w:numPr>
              <w:spacing w:before="120" w:after="120"/>
            </w:pPr>
            <w:r w:rsidRPr="00C35F8B">
              <w:t xml:space="preserve">Question and </w:t>
            </w:r>
            <w:r w:rsidR="006B4BEB" w:rsidRPr="00C35F8B">
              <w:t>a</w:t>
            </w:r>
            <w:r w:rsidRPr="00C35F8B">
              <w:t>nswer session with experienced coordinators</w:t>
            </w:r>
          </w:p>
        </w:tc>
      </w:tr>
    </w:tbl>
    <w:p w14:paraId="119332BF" w14:textId="77777777" w:rsidR="009C6FF3" w:rsidRPr="00C35F8B" w:rsidRDefault="009C6FF3" w:rsidP="009C6FF3">
      <w:pPr>
        <w:spacing w:before="240" w:after="240"/>
        <w:outlineLvl w:val="1"/>
        <w:rPr>
          <w:b/>
        </w:rPr>
      </w:pPr>
      <w:r w:rsidRPr="00C35F8B">
        <w:rPr>
          <w:b/>
        </w:rPr>
        <w:t xml:space="preserve">Table 2. </w:t>
      </w:r>
      <w:r w:rsidRPr="00C35F8B">
        <w:rPr>
          <w:rFonts w:eastAsiaTheme="majorEastAsia"/>
          <w:b/>
        </w:rPr>
        <w:t>Advisory Panel/Review Committee Meetings</w:t>
      </w:r>
    </w:p>
    <w:tbl>
      <w:tblPr>
        <w:tblStyle w:val="TableGrid"/>
        <w:tblW w:w="958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advisory panel/review committe meetings."/>
      </w:tblPr>
      <w:tblGrid>
        <w:gridCol w:w="1165"/>
        <w:gridCol w:w="1529"/>
        <w:gridCol w:w="1439"/>
        <w:gridCol w:w="5452"/>
      </w:tblGrid>
      <w:tr w:rsidR="009C6FF3" w:rsidRPr="00C35F8B" w14:paraId="65A7C02F" w14:textId="77777777" w:rsidTr="1ECB9BA0">
        <w:trPr>
          <w:cantSplit/>
          <w:tblHeader/>
        </w:trPr>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E7764" w14:textId="77777777" w:rsidR="009C6FF3" w:rsidRPr="00C35F8B" w:rsidRDefault="009C6FF3">
            <w:pPr>
              <w:spacing w:before="120" w:after="120"/>
              <w:jc w:val="center"/>
              <w:rPr>
                <w:b/>
                <w:bCs/>
              </w:rPr>
            </w:pPr>
            <w:r w:rsidRPr="00C35F8B">
              <w:rPr>
                <w:b/>
                <w:bCs/>
              </w:rPr>
              <w:t>Date(s)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072565" w14:textId="77777777" w:rsidR="009C6FF3" w:rsidRPr="00C35F8B" w:rsidRDefault="009C6FF3">
            <w:pPr>
              <w:spacing w:before="120" w:after="120"/>
              <w:jc w:val="center"/>
              <w:rPr>
                <w:b/>
                <w:bCs/>
              </w:rPr>
            </w:pPr>
            <w:r w:rsidRPr="00C35F8B">
              <w:rPr>
                <w:b/>
                <w:bCs/>
              </w:rPr>
              <w:t>Location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328D5F" w14:textId="77777777" w:rsidR="009C6FF3" w:rsidRPr="00C35F8B" w:rsidRDefault="009C6FF3">
            <w:pPr>
              <w:spacing w:before="120" w:after="120"/>
              <w:jc w:val="center"/>
              <w:rPr>
                <w:color w:val="000000"/>
                <w:lang w:val="en"/>
              </w:rPr>
            </w:pPr>
            <w:r w:rsidRPr="00C35F8B">
              <w:rPr>
                <w:b/>
                <w:bCs/>
              </w:rPr>
              <w:t>Estimated Number of Attendees</w:t>
            </w:r>
          </w:p>
        </w:tc>
        <w:tc>
          <w:tcPr>
            <w:tcW w:w="5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6751E" w14:textId="77777777" w:rsidR="009C6FF3" w:rsidRPr="00C35F8B" w:rsidRDefault="009C6FF3">
            <w:pPr>
              <w:spacing w:before="120" w:after="120"/>
              <w:jc w:val="center"/>
              <w:rPr>
                <w:b/>
                <w:bCs/>
              </w:rPr>
            </w:pPr>
            <w:r w:rsidRPr="00C35F8B">
              <w:rPr>
                <w:b/>
                <w:bCs/>
              </w:rPr>
              <w:t>Description</w:t>
            </w:r>
          </w:p>
        </w:tc>
      </w:tr>
      <w:tr w:rsidR="009C6FF3" w:rsidRPr="00C35F8B" w14:paraId="42ADE708" w14:textId="77777777" w:rsidTr="1ECB9BA0">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6F84C56E" w14:textId="77777777" w:rsidR="009C6FF3" w:rsidRPr="00C35F8B" w:rsidRDefault="001C6AFA" w:rsidP="009E378D">
            <w:pPr>
              <w:spacing w:before="120" w:after="120" w:line="256" w:lineRule="auto"/>
              <w:jc w:val="center"/>
            </w:pPr>
            <w:r w:rsidRPr="00C35F8B">
              <w:t>3/1</w:t>
            </w:r>
            <w:r w:rsidR="006B4BEB" w:rsidRPr="00C35F8B">
              <w:t>–</w:t>
            </w:r>
            <w:r w:rsidRPr="00C35F8B">
              <w:t>3/3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396FE8D" w14:textId="77777777" w:rsidR="009C6FF3" w:rsidRPr="00C35F8B" w:rsidRDefault="001C6AFA" w:rsidP="009E378D">
            <w:pPr>
              <w:spacing w:before="120" w:after="120"/>
              <w:jc w:val="center"/>
            </w:pPr>
            <w:r w:rsidRPr="00C35F8B">
              <w:t>Virtual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B04F25" w14:textId="77777777" w:rsidR="009C6FF3" w:rsidRPr="00C35F8B" w:rsidRDefault="12B2D58B" w:rsidP="1ECB9BA0">
            <w:pPr>
              <w:spacing w:before="120" w:after="120" w:line="256" w:lineRule="auto"/>
              <w:jc w:val="center"/>
            </w:pPr>
            <w:r w:rsidRPr="00C35F8B">
              <w:t>31</w:t>
            </w:r>
          </w:p>
        </w:tc>
        <w:tc>
          <w:tcPr>
            <w:tcW w:w="5456" w:type="dxa"/>
            <w:tcBorders>
              <w:top w:val="single" w:sz="4" w:space="0" w:color="auto"/>
              <w:left w:val="single" w:sz="4" w:space="0" w:color="auto"/>
              <w:bottom w:val="single" w:sz="4" w:space="0" w:color="auto"/>
              <w:right w:val="single" w:sz="4" w:space="0" w:color="auto"/>
            </w:tcBorders>
            <w:hideMark/>
          </w:tcPr>
          <w:p w14:paraId="20D93C2C" w14:textId="77777777" w:rsidR="009C6FF3" w:rsidRPr="00C35F8B" w:rsidRDefault="001C6AFA" w:rsidP="009E378D">
            <w:pPr>
              <w:spacing w:before="120" w:after="120"/>
            </w:pPr>
            <w:r w:rsidRPr="00C35F8B">
              <w:t>Alt</w:t>
            </w:r>
            <w:r w:rsidR="00F177EF" w:rsidRPr="00C35F8B">
              <w:t>ernate</w:t>
            </w:r>
            <w:r w:rsidRPr="00C35F8B">
              <w:t xml:space="preserve"> ELPAC Standard Setting Workshop (Upper Grades)</w:t>
            </w:r>
          </w:p>
          <w:p w14:paraId="48E635E1" w14:textId="77777777" w:rsidR="001C6AFA" w:rsidRPr="00C35F8B" w:rsidRDefault="22C93E05" w:rsidP="1ECB9BA0">
            <w:pPr>
              <w:spacing w:before="120" w:after="120"/>
            </w:pPr>
            <w:r w:rsidRPr="00C35F8B">
              <w:t xml:space="preserve">Educators collaborated to develop recommended threshold scores to be approved by the </w:t>
            </w:r>
            <w:r w:rsidR="006B4BEB" w:rsidRPr="00C35F8B">
              <w:t>California State Board of Education (</w:t>
            </w:r>
            <w:r w:rsidR="292FD469" w:rsidRPr="00C35F8B">
              <w:t>SBE</w:t>
            </w:r>
            <w:r w:rsidR="006B4BEB" w:rsidRPr="00C35F8B">
              <w:t>)</w:t>
            </w:r>
            <w:r w:rsidR="292FD469" w:rsidRPr="00C35F8B">
              <w:t>.</w:t>
            </w:r>
          </w:p>
        </w:tc>
      </w:tr>
      <w:tr w:rsidR="009C6FF3" w:rsidRPr="00C35F8B" w14:paraId="01E9C2DF" w14:textId="77777777" w:rsidTr="1ECB9BA0">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24850622" w14:textId="77777777" w:rsidR="009C6FF3" w:rsidRPr="00C35F8B" w:rsidRDefault="009E378D" w:rsidP="009E378D">
            <w:pPr>
              <w:spacing w:before="120" w:after="120" w:line="256" w:lineRule="auto"/>
              <w:jc w:val="center"/>
            </w:pPr>
            <w:r w:rsidRPr="00C35F8B">
              <w:t>3/3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E49133B" w14:textId="77777777" w:rsidR="009C6FF3" w:rsidRPr="00C35F8B" w:rsidRDefault="009E378D" w:rsidP="009E378D">
            <w:pPr>
              <w:spacing w:before="120" w:after="120"/>
              <w:jc w:val="center"/>
            </w:pPr>
            <w:r w:rsidRPr="00C35F8B">
              <w:t>Virtual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4737FD8" w14:textId="77777777" w:rsidR="009C6FF3" w:rsidRPr="00C35F8B" w:rsidRDefault="01CB0A75" w:rsidP="1ECB9BA0">
            <w:pPr>
              <w:spacing w:before="120" w:after="120" w:line="256" w:lineRule="auto"/>
              <w:jc w:val="center"/>
            </w:pPr>
            <w:r w:rsidRPr="00C35F8B">
              <w:t>25</w:t>
            </w:r>
          </w:p>
        </w:tc>
        <w:tc>
          <w:tcPr>
            <w:tcW w:w="5456" w:type="dxa"/>
            <w:tcBorders>
              <w:top w:val="single" w:sz="4" w:space="0" w:color="auto"/>
              <w:left w:val="single" w:sz="4" w:space="0" w:color="auto"/>
              <w:bottom w:val="single" w:sz="4" w:space="0" w:color="auto"/>
              <w:right w:val="single" w:sz="4" w:space="0" w:color="auto"/>
            </w:tcBorders>
            <w:hideMark/>
          </w:tcPr>
          <w:p w14:paraId="0DFC7144" w14:textId="77777777" w:rsidR="001C6AFA" w:rsidRPr="00C35F8B" w:rsidRDefault="1A79C90B" w:rsidP="009E378D">
            <w:pPr>
              <w:spacing w:before="120" w:after="120"/>
              <w:rPr>
                <w:color w:val="000000"/>
              </w:rPr>
            </w:pPr>
            <w:r w:rsidRPr="00C35F8B">
              <w:rPr>
                <w:color w:val="000000" w:themeColor="text1"/>
              </w:rPr>
              <w:t>Alternate</w:t>
            </w:r>
            <w:r w:rsidR="40C12579" w:rsidRPr="00C35F8B">
              <w:rPr>
                <w:color w:val="000000" w:themeColor="text1"/>
              </w:rPr>
              <w:t xml:space="preserve"> ELPAC Standard Setting Workshop (Vertical Articulation) </w:t>
            </w:r>
          </w:p>
          <w:p w14:paraId="2891F17B" w14:textId="77777777" w:rsidR="009C6FF3" w:rsidRPr="00C35F8B" w:rsidRDefault="165302B8" w:rsidP="1ECB9BA0">
            <w:pPr>
              <w:spacing w:before="120" w:after="120"/>
            </w:pPr>
            <w:r w:rsidRPr="00C35F8B">
              <w:t>Educators collaborated to develop recommended threshold scores to be approved by the SBE.</w:t>
            </w:r>
          </w:p>
        </w:tc>
      </w:tr>
      <w:tr w:rsidR="009C6FF3" w:rsidRPr="00C35F8B" w14:paraId="50655A53" w14:textId="77777777" w:rsidTr="1ECB9BA0">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7FE5878D" w14:textId="77777777" w:rsidR="009C6FF3" w:rsidRPr="00C35F8B" w:rsidRDefault="009E378D" w:rsidP="009E378D">
            <w:pPr>
              <w:spacing w:before="120" w:after="120" w:line="256" w:lineRule="auto"/>
              <w:jc w:val="center"/>
            </w:pPr>
            <w:r w:rsidRPr="00C35F8B">
              <w:t>3/15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38E2250" w14:textId="77777777" w:rsidR="009C6FF3" w:rsidRPr="00C35F8B" w:rsidRDefault="00F177EF" w:rsidP="009E378D">
            <w:pPr>
              <w:spacing w:before="120" w:after="120"/>
              <w:jc w:val="center"/>
            </w:pPr>
            <w:r w:rsidRPr="00C35F8B">
              <w:t>Virtual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EC72BCF" w14:textId="77777777" w:rsidR="009C6FF3" w:rsidRPr="00C35F8B" w:rsidRDefault="008A1ED6" w:rsidP="009E378D">
            <w:pPr>
              <w:spacing w:before="120" w:after="120" w:line="256" w:lineRule="auto"/>
              <w:jc w:val="center"/>
            </w:pPr>
            <w:r w:rsidRPr="00C35F8B">
              <w:t>40</w:t>
            </w:r>
          </w:p>
        </w:tc>
        <w:tc>
          <w:tcPr>
            <w:tcW w:w="5456" w:type="dxa"/>
            <w:tcBorders>
              <w:top w:val="single" w:sz="4" w:space="0" w:color="auto"/>
              <w:left w:val="single" w:sz="4" w:space="0" w:color="auto"/>
              <w:bottom w:val="single" w:sz="4" w:space="0" w:color="auto"/>
              <w:right w:val="single" w:sz="4" w:space="0" w:color="auto"/>
            </w:tcBorders>
            <w:hideMark/>
          </w:tcPr>
          <w:p w14:paraId="59E86862" w14:textId="77777777" w:rsidR="00F177EF" w:rsidRPr="00C35F8B" w:rsidRDefault="00F177EF" w:rsidP="00F177EF">
            <w:pPr>
              <w:spacing w:before="120" w:after="120"/>
            </w:pPr>
            <w:r w:rsidRPr="00C35F8B">
              <w:t>ELPAC Technical Advisory Group (TAG) Meeting</w:t>
            </w:r>
          </w:p>
          <w:p w14:paraId="43F95CAE" w14:textId="77777777" w:rsidR="009C6FF3" w:rsidRPr="00C35F8B" w:rsidRDefault="00F177EF" w:rsidP="009E378D">
            <w:pPr>
              <w:spacing w:before="120" w:after="120"/>
            </w:pPr>
            <w:r w:rsidRPr="00C35F8B">
              <w:t>The ELPAC TAG met to review psychometric topics related to the ELPAC.</w:t>
            </w:r>
          </w:p>
        </w:tc>
      </w:tr>
      <w:tr w:rsidR="009C6FF3" w:rsidRPr="00C35F8B" w14:paraId="2A350D24" w14:textId="77777777" w:rsidTr="1ECB9BA0">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5B46F732" w14:textId="77777777" w:rsidR="009C6FF3" w:rsidRPr="00C35F8B" w:rsidRDefault="009E378D" w:rsidP="009E378D">
            <w:pPr>
              <w:spacing w:before="120" w:after="120" w:line="256" w:lineRule="auto"/>
              <w:jc w:val="center"/>
            </w:pPr>
            <w:r w:rsidRPr="00C35F8B">
              <w:t>3/16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C861939" w14:textId="77777777" w:rsidR="009C6FF3" w:rsidRPr="00C35F8B" w:rsidRDefault="00FB304A" w:rsidP="009E378D">
            <w:pPr>
              <w:spacing w:before="120" w:after="120"/>
              <w:jc w:val="center"/>
            </w:pPr>
            <w:r w:rsidRPr="00C35F8B">
              <w:t>Virtual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F82744D" w14:textId="77777777" w:rsidR="009C6FF3" w:rsidRPr="00C35F8B" w:rsidRDefault="008A1ED6" w:rsidP="009E378D">
            <w:pPr>
              <w:spacing w:before="120" w:after="120" w:line="256" w:lineRule="auto"/>
              <w:jc w:val="center"/>
            </w:pPr>
            <w:r w:rsidRPr="00C35F8B">
              <w:t>50</w:t>
            </w:r>
          </w:p>
        </w:tc>
        <w:tc>
          <w:tcPr>
            <w:tcW w:w="5456" w:type="dxa"/>
            <w:tcBorders>
              <w:top w:val="single" w:sz="4" w:space="0" w:color="auto"/>
              <w:left w:val="single" w:sz="4" w:space="0" w:color="auto"/>
              <w:bottom w:val="single" w:sz="4" w:space="0" w:color="auto"/>
              <w:right w:val="single" w:sz="4" w:space="0" w:color="auto"/>
            </w:tcBorders>
            <w:hideMark/>
          </w:tcPr>
          <w:p w14:paraId="5AB48A95" w14:textId="77777777" w:rsidR="00FB304A" w:rsidRPr="00C35F8B" w:rsidRDefault="00FB304A" w:rsidP="00FB304A">
            <w:pPr>
              <w:spacing w:before="120" w:after="120"/>
            </w:pPr>
            <w:r w:rsidRPr="00C35F8B">
              <w:t>CAASPP TAG Meeting</w:t>
            </w:r>
          </w:p>
          <w:p w14:paraId="5B356373" w14:textId="77777777" w:rsidR="009C6FF3" w:rsidRPr="00C35F8B" w:rsidRDefault="00FB304A" w:rsidP="00FB304A">
            <w:pPr>
              <w:spacing w:before="120" w:after="120"/>
            </w:pPr>
            <w:r w:rsidRPr="00C35F8B">
              <w:t>The CAASPP TAG met to review psychometric topics related to CAASPP.</w:t>
            </w:r>
          </w:p>
        </w:tc>
      </w:tr>
      <w:tr w:rsidR="009C6FF3" w:rsidRPr="00C35F8B" w14:paraId="38E8F325" w14:textId="77777777" w:rsidTr="1ECB9BA0">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5045FA2A" w14:textId="77777777" w:rsidR="009C6FF3" w:rsidRPr="00C35F8B" w:rsidRDefault="009E378D" w:rsidP="009E378D">
            <w:pPr>
              <w:spacing w:before="120" w:after="120" w:line="256" w:lineRule="auto"/>
              <w:jc w:val="center"/>
            </w:pPr>
            <w:r w:rsidRPr="00C35F8B">
              <w:lastRenderedPageBreak/>
              <w:t>3/17</w:t>
            </w:r>
            <w:r w:rsidR="006B4BEB" w:rsidRPr="00C35F8B">
              <w:t>–</w:t>
            </w:r>
            <w:r w:rsidRPr="00C35F8B">
              <w:t>3/18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79B002A" w14:textId="77777777" w:rsidR="009C6FF3" w:rsidRPr="00C35F8B" w:rsidRDefault="009E378D" w:rsidP="009E378D">
            <w:pPr>
              <w:spacing w:before="120" w:after="120"/>
              <w:jc w:val="center"/>
            </w:pPr>
            <w:r w:rsidRPr="00C35F8B">
              <w:t>Virtual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621C1C" w14:textId="77777777" w:rsidR="009C6FF3" w:rsidRPr="00C35F8B" w:rsidRDefault="4C42D24A" w:rsidP="009E378D">
            <w:pPr>
              <w:spacing w:before="120" w:after="120" w:line="256" w:lineRule="auto"/>
              <w:jc w:val="center"/>
            </w:pPr>
            <w:r w:rsidRPr="00C35F8B">
              <w:t>22</w:t>
            </w:r>
          </w:p>
        </w:tc>
        <w:tc>
          <w:tcPr>
            <w:tcW w:w="5456" w:type="dxa"/>
            <w:tcBorders>
              <w:top w:val="single" w:sz="4" w:space="0" w:color="auto"/>
              <w:left w:val="single" w:sz="4" w:space="0" w:color="auto"/>
              <w:bottom w:val="single" w:sz="4" w:space="0" w:color="auto"/>
              <w:right w:val="single" w:sz="4" w:space="0" w:color="auto"/>
            </w:tcBorders>
            <w:hideMark/>
          </w:tcPr>
          <w:p w14:paraId="4EDD1146" w14:textId="77777777" w:rsidR="009E378D" w:rsidRPr="00C35F8B" w:rsidRDefault="009E378D" w:rsidP="009E378D">
            <w:pPr>
              <w:spacing w:before="120" w:after="120"/>
              <w:rPr>
                <w:color w:val="000000"/>
              </w:rPr>
            </w:pPr>
            <w:r w:rsidRPr="00C35F8B">
              <w:rPr>
                <w:color w:val="000000"/>
              </w:rPr>
              <w:t>Alt</w:t>
            </w:r>
            <w:r w:rsidR="00FB304A" w:rsidRPr="00C35F8B">
              <w:rPr>
                <w:color w:val="000000"/>
              </w:rPr>
              <w:t>ernate</w:t>
            </w:r>
            <w:r w:rsidRPr="00C35F8B">
              <w:rPr>
                <w:color w:val="000000"/>
              </w:rPr>
              <w:t xml:space="preserve"> ELPAC Data Review Meeting (2</w:t>
            </w:r>
            <w:r w:rsidR="00B05C49" w:rsidRPr="00C35F8B">
              <w:rPr>
                <w:color w:val="000000"/>
              </w:rPr>
              <w:t xml:space="preserve"> </w:t>
            </w:r>
            <w:r w:rsidRPr="00C35F8B">
              <w:rPr>
                <w:color w:val="000000"/>
              </w:rPr>
              <w:t>days)</w:t>
            </w:r>
          </w:p>
          <w:p w14:paraId="11EC7FA1" w14:textId="77777777" w:rsidR="009C6FF3" w:rsidRPr="00C35F8B" w:rsidRDefault="00FB304A" w:rsidP="009E378D">
            <w:pPr>
              <w:spacing w:before="120" w:after="120"/>
            </w:pPr>
            <w:r w:rsidRPr="00C35F8B">
              <w:t xml:space="preserve">California educators </w:t>
            </w:r>
            <w:r w:rsidR="00B05C49" w:rsidRPr="00C35F8B">
              <w:t>met virtually</w:t>
            </w:r>
            <w:r w:rsidRPr="00C35F8B">
              <w:t xml:space="preserve"> to review ELPAC test items for content, bias, and sensitivity.</w:t>
            </w:r>
          </w:p>
        </w:tc>
      </w:tr>
    </w:tbl>
    <w:p w14:paraId="5BC499FF" w14:textId="77777777" w:rsidR="009C6FF3" w:rsidRPr="00C35F8B" w:rsidRDefault="009C6FF3" w:rsidP="009C6FF3">
      <w:pPr>
        <w:keepNext/>
        <w:spacing w:before="240" w:after="240"/>
        <w:outlineLvl w:val="1"/>
        <w:rPr>
          <w:b/>
        </w:rPr>
      </w:pPr>
      <w:r w:rsidRPr="00C35F8B">
        <w:rPr>
          <w:b/>
        </w:rPr>
        <w:t>Table 3. Presentations by CDE Staff</w:t>
      </w:r>
    </w:p>
    <w:tbl>
      <w:tblPr>
        <w:tblStyle w:val="TableGrid"/>
        <w:tblW w:w="962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presentation by CDE staff."/>
      </w:tblPr>
      <w:tblGrid>
        <w:gridCol w:w="1165"/>
        <w:gridCol w:w="1619"/>
        <w:gridCol w:w="1439"/>
        <w:gridCol w:w="5402"/>
      </w:tblGrid>
      <w:tr w:rsidR="009C6FF3" w:rsidRPr="00C35F8B" w14:paraId="206C8E7E" w14:textId="77777777" w:rsidTr="00181204">
        <w:trPr>
          <w:cantSplit/>
          <w:tblHeader/>
        </w:trPr>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54B763" w14:textId="77777777" w:rsidR="009C6FF3" w:rsidRPr="00C35F8B" w:rsidRDefault="009C6FF3">
            <w:pPr>
              <w:keepNext/>
              <w:spacing w:before="120" w:after="120"/>
              <w:jc w:val="center"/>
              <w:rPr>
                <w:b/>
                <w:bCs/>
              </w:rPr>
            </w:pPr>
            <w:r w:rsidRPr="00C35F8B">
              <w:rPr>
                <w:b/>
                <w:bCs/>
              </w:rPr>
              <w:t>Date(s)</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C0C15" w14:textId="77777777" w:rsidR="009C6FF3" w:rsidRPr="00C35F8B" w:rsidRDefault="009C6FF3">
            <w:pPr>
              <w:keepNext/>
              <w:spacing w:before="120" w:after="120"/>
              <w:jc w:val="center"/>
              <w:rPr>
                <w:b/>
                <w:bCs/>
              </w:rPr>
            </w:pPr>
            <w:r w:rsidRPr="00C35F8B">
              <w:rPr>
                <w:b/>
                <w:bCs/>
              </w:rPr>
              <w:t>Location</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86789" w14:textId="77777777" w:rsidR="009C6FF3" w:rsidRPr="00C35F8B" w:rsidRDefault="009C6FF3">
            <w:pPr>
              <w:keepNext/>
              <w:spacing w:before="120" w:after="120"/>
              <w:jc w:val="center"/>
              <w:rPr>
                <w:color w:val="000000"/>
                <w:lang w:val="en"/>
              </w:rPr>
            </w:pPr>
            <w:r w:rsidRPr="00C35F8B">
              <w:rPr>
                <w:b/>
                <w:bCs/>
              </w:rPr>
              <w:t>Estimated Number of Attendees</w:t>
            </w:r>
          </w:p>
        </w:tc>
        <w:tc>
          <w:tcPr>
            <w:tcW w:w="5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E8A772" w14:textId="77777777" w:rsidR="009C6FF3" w:rsidRPr="00C35F8B" w:rsidRDefault="009C6FF3">
            <w:pPr>
              <w:keepNext/>
              <w:spacing w:before="120" w:after="120"/>
              <w:jc w:val="center"/>
              <w:rPr>
                <w:b/>
                <w:bCs/>
              </w:rPr>
            </w:pPr>
            <w:r w:rsidRPr="00C35F8B">
              <w:rPr>
                <w:b/>
                <w:bCs/>
              </w:rPr>
              <w:t>Description</w:t>
            </w:r>
          </w:p>
        </w:tc>
      </w:tr>
      <w:tr w:rsidR="009C6FF3" w:rsidRPr="00C35F8B" w14:paraId="5DBC9CD2" w14:textId="77777777" w:rsidTr="00181204">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7FA34C97" w14:textId="77777777" w:rsidR="009C6FF3" w:rsidRPr="00C35F8B" w:rsidRDefault="009E378D" w:rsidP="009E378D">
            <w:pPr>
              <w:spacing w:before="120" w:after="120" w:line="256" w:lineRule="auto"/>
              <w:jc w:val="center"/>
            </w:pPr>
            <w:r w:rsidRPr="00C35F8B">
              <w:t>3/16</w:t>
            </w:r>
          </w:p>
        </w:tc>
        <w:tc>
          <w:tcPr>
            <w:tcW w:w="1619" w:type="dxa"/>
            <w:tcBorders>
              <w:top w:val="single" w:sz="4" w:space="0" w:color="auto"/>
              <w:left w:val="single" w:sz="4" w:space="0" w:color="auto"/>
              <w:bottom w:val="single" w:sz="4" w:space="0" w:color="auto"/>
              <w:right w:val="single" w:sz="4" w:space="0" w:color="auto"/>
            </w:tcBorders>
            <w:vAlign w:val="center"/>
            <w:hideMark/>
          </w:tcPr>
          <w:p w14:paraId="36BE2E5F" w14:textId="77777777" w:rsidR="009C6FF3" w:rsidRPr="00C35F8B" w:rsidRDefault="009E378D" w:rsidP="009E378D">
            <w:pPr>
              <w:spacing w:before="120" w:after="120"/>
              <w:jc w:val="center"/>
            </w:pPr>
            <w:r w:rsidRPr="00C35F8B">
              <w:t>Virtual</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905D38B" w14:textId="77777777" w:rsidR="009C6FF3" w:rsidRPr="00C35F8B" w:rsidRDefault="00B40396" w:rsidP="009E378D">
            <w:pPr>
              <w:spacing w:before="120" w:after="120" w:line="256" w:lineRule="auto"/>
              <w:jc w:val="center"/>
            </w:pPr>
            <w:r w:rsidRPr="00C35F8B">
              <w:t>25</w:t>
            </w:r>
          </w:p>
        </w:tc>
        <w:tc>
          <w:tcPr>
            <w:tcW w:w="5402" w:type="dxa"/>
            <w:tcBorders>
              <w:top w:val="single" w:sz="4" w:space="0" w:color="auto"/>
              <w:left w:val="single" w:sz="4" w:space="0" w:color="auto"/>
              <w:bottom w:val="single" w:sz="4" w:space="0" w:color="auto"/>
              <w:right w:val="single" w:sz="4" w:space="0" w:color="auto"/>
            </w:tcBorders>
            <w:hideMark/>
          </w:tcPr>
          <w:p w14:paraId="2F915DF4" w14:textId="77777777" w:rsidR="009E378D" w:rsidRPr="00C35F8B" w:rsidRDefault="009E378D" w:rsidP="009E378D">
            <w:pPr>
              <w:spacing w:before="120" w:after="120"/>
            </w:pPr>
            <w:r w:rsidRPr="00C35F8B">
              <w:t>March Regional Assessment Network Meeting</w:t>
            </w:r>
          </w:p>
          <w:p w14:paraId="76CE270A" w14:textId="77777777" w:rsidR="009C6FF3" w:rsidRPr="00C35F8B" w:rsidRDefault="00B1798E" w:rsidP="009E378D">
            <w:pPr>
              <w:spacing w:before="120" w:after="120"/>
            </w:pPr>
            <w:r w:rsidRPr="00C35F8B">
              <w:t xml:space="preserve">The </w:t>
            </w:r>
            <w:r w:rsidR="009E378D" w:rsidRPr="00C35F8B">
              <w:t xml:space="preserve">Assessment Development and Administration Division </w:t>
            </w:r>
            <w:r w:rsidR="005B0682" w:rsidRPr="00C35F8B">
              <w:t xml:space="preserve">(ADAD) </w:t>
            </w:r>
            <w:r w:rsidR="009E378D" w:rsidRPr="00C35F8B">
              <w:t>provided updates on activities and test developments.</w:t>
            </w:r>
          </w:p>
        </w:tc>
      </w:tr>
      <w:tr w:rsidR="009C6FF3" w:rsidRPr="00C35F8B" w14:paraId="7F133A42" w14:textId="77777777" w:rsidTr="00181204">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27D91D9A" w14:textId="77777777" w:rsidR="009C6FF3" w:rsidRPr="00C35F8B" w:rsidRDefault="009E378D" w:rsidP="009E378D">
            <w:pPr>
              <w:spacing w:before="120" w:after="120" w:line="256" w:lineRule="auto"/>
              <w:jc w:val="center"/>
            </w:pPr>
            <w:r w:rsidRPr="00C35F8B">
              <w:t>3/17</w:t>
            </w:r>
          </w:p>
        </w:tc>
        <w:tc>
          <w:tcPr>
            <w:tcW w:w="1619" w:type="dxa"/>
            <w:tcBorders>
              <w:top w:val="single" w:sz="4" w:space="0" w:color="auto"/>
              <w:left w:val="single" w:sz="4" w:space="0" w:color="auto"/>
              <w:bottom w:val="single" w:sz="4" w:space="0" w:color="auto"/>
              <w:right w:val="single" w:sz="4" w:space="0" w:color="auto"/>
            </w:tcBorders>
            <w:vAlign w:val="center"/>
            <w:hideMark/>
          </w:tcPr>
          <w:p w14:paraId="4F515358" w14:textId="77777777" w:rsidR="009C6FF3" w:rsidRPr="00C35F8B" w:rsidRDefault="009E378D" w:rsidP="009E378D">
            <w:pPr>
              <w:spacing w:before="120" w:after="120"/>
              <w:jc w:val="center"/>
            </w:pPr>
            <w:r w:rsidRPr="00C35F8B">
              <w:t>Virtual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72BDC" w14:textId="77777777" w:rsidR="009C6FF3" w:rsidRPr="00C35F8B" w:rsidRDefault="00B40396" w:rsidP="009E378D">
            <w:pPr>
              <w:spacing w:before="120" w:after="120" w:line="256" w:lineRule="auto"/>
              <w:jc w:val="center"/>
            </w:pPr>
            <w:r w:rsidRPr="00C35F8B">
              <w:t>15</w:t>
            </w:r>
          </w:p>
        </w:tc>
        <w:tc>
          <w:tcPr>
            <w:tcW w:w="5402" w:type="dxa"/>
            <w:tcBorders>
              <w:top w:val="single" w:sz="4" w:space="0" w:color="auto"/>
              <w:left w:val="single" w:sz="4" w:space="0" w:color="auto"/>
              <w:bottom w:val="single" w:sz="4" w:space="0" w:color="auto"/>
              <w:right w:val="single" w:sz="4" w:space="0" w:color="auto"/>
            </w:tcBorders>
            <w:hideMark/>
          </w:tcPr>
          <w:p w14:paraId="0E5A8F69" w14:textId="77777777" w:rsidR="009E378D" w:rsidRPr="00C35F8B" w:rsidRDefault="009E378D" w:rsidP="009E378D">
            <w:pPr>
              <w:spacing w:before="120" w:after="120"/>
            </w:pPr>
            <w:r w:rsidRPr="00C35F8B">
              <w:t>March Statewide Assessment Stakeholders Meeting</w:t>
            </w:r>
          </w:p>
          <w:p w14:paraId="433C659E" w14:textId="77777777" w:rsidR="009C6FF3" w:rsidRPr="00C35F8B" w:rsidRDefault="003C6D0D" w:rsidP="009E378D">
            <w:pPr>
              <w:spacing w:before="120" w:after="120"/>
            </w:pPr>
            <w:r w:rsidRPr="00C35F8B">
              <w:t xml:space="preserve">The </w:t>
            </w:r>
            <w:r w:rsidR="005B0682" w:rsidRPr="00C35F8B">
              <w:t>ADAD</w:t>
            </w:r>
            <w:r w:rsidR="009E378D" w:rsidRPr="00C35F8B">
              <w:t xml:space="preserve"> provided updates on activities and test development</w:t>
            </w:r>
            <w:r w:rsidR="00AA5768" w:rsidRPr="00C35F8B">
              <w:t>.</w:t>
            </w:r>
          </w:p>
        </w:tc>
      </w:tr>
      <w:tr w:rsidR="00181204" w:rsidRPr="00C35F8B" w14:paraId="07E731BF" w14:textId="77777777" w:rsidTr="00181204">
        <w:trPr>
          <w:cantSplit/>
        </w:trPr>
        <w:tc>
          <w:tcPr>
            <w:tcW w:w="1165" w:type="dxa"/>
            <w:tcBorders>
              <w:top w:val="single" w:sz="4" w:space="0" w:color="auto"/>
              <w:left w:val="single" w:sz="4" w:space="0" w:color="auto"/>
              <w:bottom w:val="single" w:sz="4" w:space="0" w:color="auto"/>
              <w:right w:val="single" w:sz="4" w:space="0" w:color="auto"/>
            </w:tcBorders>
            <w:vAlign w:val="center"/>
          </w:tcPr>
          <w:p w14:paraId="1FAEEA58" w14:textId="77777777" w:rsidR="00181204" w:rsidRPr="00C35F8B" w:rsidRDefault="00181204" w:rsidP="009E378D">
            <w:pPr>
              <w:spacing w:before="120" w:after="120" w:line="256" w:lineRule="auto"/>
              <w:jc w:val="center"/>
            </w:pPr>
            <w:r w:rsidRPr="00C35F8B">
              <w:t>4/30</w:t>
            </w:r>
          </w:p>
        </w:tc>
        <w:tc>
          <w:tcPr>
            <w:tcW w:w="1619" w:type="dxa"/>
            <w:tcBorders>
              <w:top w:val="single" w:sz="4" w:space="0" w:color="auto"/>
              <w:left w:val="single" w:sz="4" w:space="0" w:color="auto"/>
              <w:bottom w:val="single" w:sz="4" w:space="0" w:color="auto"/>
              <w:right w:val="single" w:sz="4" w:space="0" w:color="auto"/>
            </w:tcBorders>
            <w:vAlign w:val="center"/>
          </w:tcPr>
          <w:p w14:paraId="1460E8E5" w14:textId="77777777" w:rsidR="00181204" w:rsidRPr="00C35F8B" w:rsidRDefault="00181204" w:rsidP="009E378D">
            <w:pPr>
              <w:spacing w:before="120" w:after="120"/>
              <w:jc w:val="center"/>
            </w:pPr>
            <w:r w:rsidRPr="00C35F8B">
              <w:t>Virtual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64D35223" w14:textId="77777777" w:rsidR="00181204" w:rsidRPr="00C35F8B" w:rsidRDefault="00181204" w:rsidP="009E378D">
            <w:pPr>
              <w:spacing w:before="120" w:after="120" w:line="256" w:lineRule="auto"/>
              <w:jc w:val="center"/>
            </w:pPr>
            <w:r w:rsidRPr="00C35F8B">
              <w:t>200</w:t>
            </w:r>
          </w:p>
        </w:tc>
        <w:tc>
          <w:tcPr>
            <w:tcW w:w="5402" w:type="dxa"/>
            <w:tcBorders>
              <w:top w:val="single" w:sz="4" w:space="0" w:color="auto"/>
              <w:left w:val="single" w:sz="4" w:space="0" w:color="auto"/>
              <w:bottom w:val="single" w:sz="4" w:space="0" w:color="auto"/>
              <w:right w:val="single" w:sz="4" w:space="0" w:color="auto"/>
            </w:tcBorders>
          </w:tcPr>
          <w:p w14:paraId="1A02E45B" w14:textId="77777777" w:rsidR="00181204" w:rsidRPr="00C35F8B" w:rsidRDefault="00181204" w:rsidP="009E378D">
            <w:pPr>
              <w:spacing w:before="120" w:after="120"/>
            </w:pPr>
            <w:r w:rsidRPr="00C35F8B">
              <w:t>2022 California Science Educators (CASE) Environmental Literacy Committee Poster Session</w:t>
            </w:r>
          </w:p>
          <w:p w14:paraId="7BFF3027" w14:textId="77777777" w:rsidR="00181204" w:rsidRPr="00C35F8B" w:rsidRDefault="00181204" w:rsidP="00181204">
            <w:pPr>
              <w:spacing w:before="120" w:after="120"/>
            </w:pPr>
            <w:r w:rsidRPr="00C35F8B">
              <w:t>This presentation will highlight the environmental science instructional resources, aligned with California’s Environmental Principles and Concepts, that are designed to teach environmental literacy in tandem with three-dimensional science content. These resources are available now for educators to use in Tools for Teachers.</w:t>
            </w:r>
          </w:p>
        </w:tc>
      </w:tr>
    </w:tbl>
    <w:p w14:paraId="4B6C1D51" w14:textId="77777777" w:rsidR="00D50F99" w:rsidRPr="00C35F8B" w:rsidRDefault="00D50F99" w:rsidP="002D4BFF">
      <w:pPr>
        <w:spacing w:after="480"/>
        <w:sectPr w:rsidR="00D50F99" w:rsidRPr="00C35F8B" w:rsidSect="002D4BFF">
          <w:headerReference w:type="default" r:id="rId34"/>
          <w:footerReference w:type="default" r:id="rId35"/>
          <w:pgSz w:w="12240" w:h="15840"/>
          <w:pgMar w:top="720" w:right="1440" w:bottom="1440" w:left="1440" w:header="720" w:footer="720" w:gutter="0"/>
          <w:pgNumType w:start="1"/>
          <w:cols w:space="720"/>
          <w:docGrid w:linePitch="360"/>
        </w:sectPr>
      </w:pPr>
    </w:p>
    <w:p w14:paraId="0DAD775C" w14:textId="77777777" w:rsidR="00D50F99" w:rsidRPr="00C35F8B" w:rsidRDefault="00D50F99" w:rsidP="00C40933">
      <w:pPr>
        <w:pStyle w:val="Heading2"/>
        <w:rPr>
          <w:rFonts w:eastAsia="MS Gothic"/>
        </w:rPr>
      </w:pPr>
      <w:r w:rsidRPr="00C35F8B">
        <w:rPr>
          <w:rFonts w:eastAsia="MS Gothic"/>
        </w:rPr>
        <w:lastRenderedPageBreak/>
        <w:t>Proposed per-Pupil Apportionment Rates</w:t>
      </w:r>
    </w:p>
    <w:p w14:paraId="52C8AA1C" w14:textId="77777777" w:rsidR="00D50F99" w:rsidRPr="00C35F8B" w:rsidRDefault="00D50F99" w:rsidP="00044688">
      <w:pPr>
        <w:spacing w:after="240"/>
        <w:textAlignment w:val="baseline"/>
      </w:pPr>
      <w:r w:rsidRPr="00C35F8B">
        <w:t xml:space="preserve">The California Department of Education recommends that the California State Board of Education approve the </w:t>
      </w:r>
      <w:r w:rsidR="003C6D0D" w:rsidRPr="00C35F8B">
        <w:t xml:space="preserve">proposed </w:t>
      </w:r>
      <w:r w:rsidRPr="00C35F8B">
        <w:t xml:space="preserve">2021–22 per-pupil apportionment rates, contingent on the availability of an appropriation for this purpose, for the </w:t>
      </w:r>
      <w:r w:rsidRPr="00C35F8B">
        <w:rPr>
          <w:color w:val="000000"/>
        </w:rPr>
        <w:t>California Assessment of Student Performance and Progress (CAASPP), as shown in table 1, and the English Language Proficiency Assessments for California (ELPAC), as shown in table 2</w:t>
      </w:r>
      <w:r w:rsidRPr="00C35F8B">
        <w:t>.</w:t>
      </w:r>
    </w:p>
    <w:p w14:paraId="7732DC05" w14:textId="77777777" w:rsidR="00D50F99" w:rsidRPr="00C35F8B" w:rsidRDefault="00D50F99" w:rsidP="00B10E79">
      <w:pPr>
        <w:spacing w:before="240" w:after="240"/>
        <w:ind w:left="4" w:hanging="4"/>
        <w:textAlignment w:val="baseline"/>
        <w:rPr>
          <w:b/>
        </w:rPr>
      </w:pPr>
      <w:r w:rsidRPr="00C35F8B">
        <w:rPr>
          <w:b/>
        </w:rPr>
        <w:t xml:space="preserve">Table 1. </w:t>
      </w:r>
      <w:r w:rsidRPr="00C35F8B">
        <w:rPr>
          <w:b/>
          <w:color w:val="000000" w:themeColor="text1"/>
        </w:rPr>
        <w:t>Proposed 2021</w:t>
      </w:r>
      <w:r w:rsidRPr="00C35F8B">
        <w:rPr>
          <w:b/>
        </w:rPr>
        <w:t>–</w:t>
      </w:r>
      <w:r w:rsidRPr="00C35F8B">
        <w:rPr>
          <w:b/>
          <w:color w:val="000000" w:themeColor="text1"/>
        </w:rPr>
        <w:t>22 CAASPP per-Pupil Apportionment Rates</w:t>
      </w:r>
    </w:p>
    <w:tbl>
      <w:tblPr>
        <w:tblStyle w:val="TableGrid1"/>
        <w:tblW w:w="9445" w:type="dxa"/>
        <w:tblInd w:w="0" w:type="dxa"/>
        <w:tblLook w:val="04A0" w:firstRow="1" w:lastRow="0" w:firstColumn="1" w:lastColumn="0" w:noHBand="0" w:noVBand="1"/>
        <w:tblCaption w:val="Table 1: Proposed 2021–22 CAASPP per-Pupil Apportionment Rates"/>
        <w:tblDescription w:val="Provides the description of CAASPP assessments and the proposed per-Pupil Apportionment Rates."/>
      </w:tblPr>
      <w:tblGrid>
        <w:gridCol w:w="6205"/>
        <w:gridCol w:w="3240"/>
      </w:tblGrid>
      <w:tr w:rsidR="00D50F99" w:rsidRPr="00C35F8B" w14:paraId="34580F86" w14:textId="77777777" w:rsidTr="008E7EA4">
        <w:trPr>
          <w:cantSplit/>
          <w:trHeight w:val="720"/>
          <w:tblHeader/>
        </w:trPr>
        <w:tc>
          <w:tcPr>
            <w:tcW w:w="6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2FA293" w14:textId="77777777" w:rsidR="00D50F99" w:rsidRPr="00C35F8B" w:rsidRDefault="00D50F99" w:rsidP="00B10E79">
            <w:pPr>
              <w:spacing w:before="120" w:after="120"/>
              <w:jc w:val="center"/>
              <w:textAlignment w:val="baseline"/>
            </w:pPr>
            <w:r w:rsidRPr="00C35F8B">
              <w:rPr>
                <w:rFonts w:ascii="Arial" w:hAnsi="Arial"/>
                <w:b/>
                <w:bCs/>
                <w:color w:val="000000"/>
              </w:rPr>
              <w:t>Assessment</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CDDDC" w14:textId="77777777" w:rsidR="00D50F99" w:rsidRPr="00C35F8B" w:rsidRDefault="00D50F99" w:rsidP="00B10E79">
            <w:pPr>
              <w:spacing w:before="120" w:after="120"/>
              <w:jc w:val="center"/>
              <w:textAlignment w:val="baseline"/>
            </w:pPr>
            <w:r w:rsidRPr="00C35F8B">
              <w:rPr>
                <w:rFonts w:ascii="Arial" w:hAnsi="Arial"/>
                <w:b/>
                <w:bCs/>
                <w:color w:val="000000"/>
              </w:rPr>
              <w:t>Proposed</w:t>
            </w:r>
            <w:r w:rsidRPr="00C35F8B">
              <w:rPr>
                <w:rFonts w:ascii="Arial" w:hAnsi="Arial"/>
                <w:color w:val="000000"/>
              </w:rPr>
              <w:br/>
            </w:r>
            <w:r w:rsidRPr="00C35F8B">
              <w:rPr>
                <w:rFonts w:ascii="Arial" w:hAnsi="Arial"/>
                <w:b/>
                <w:bCs/>
                <w:color w:val="000000"/>
              </w:rPr>
              <w:t>per-Pupil Apportionment Rate</w:t>
            </w:r>
          </w:p>
        </w:tc>
      </w:tr>
      <w:tr w:rsidR="00D50F99" w:rsidRPr="00C35F8B" w14:paraId="74D01AFE" w14:textId="77777777" w:rsidTr="008E7EA4">
        <w:trPr>
          <w:cantSplit/>
          <w:trHeight w:val="900"/>
        </w:trPr>
        <w:tc>
          <w:tcPr>
            <w:tcW w:w="6205" w:type="dxa"/>
            <w:tcBorders>
              <w:top w:val="single" w:sz="4" w:space="0" w:color="auto"/>
              <w:left w:val="single" w:sz="4" w:space="0" w:color="auto"/>
              <w:bottom w:val="single" w:sz="4" w:space="0" w:color="auto"/>
              <w:right w:val="single" w:sz="4" w:space="0" w:color="auto"/>
            </w:tcBorders>
            <w:vAlign w:val="center"/>
            <w:hideMark/>
          </w:tcPr>
          <w:p w14:paraId="31584FE9" w14:textId="77777777" w:rsidR="00D50F99" w:rsidRPr="00C35F8B" w:rsidRDefault="00D50F99" w:rsidP="00B10E79">
            <w:pPr>
              <w:spacing w:before="120" w:after="120"/>
              <w:textAlignment w:val="baseline"/>
            </w:pPr>
            <w:r w:rsidRPr="00C35F8B">
              <w:rPr>
                <w:rFonts w:ascii="Arial" w:hAnsi="Arial"/>
                <w:color w:val="000000"/>
              </w:rPr>
              <w:t>Smarter Balanced Summative Assessments for English Language Arts/Literacy (ELA) and</w:t>
            </w:r>
            <w:r w:rsidR="00A65341" w:rsidRPr="00C35F8B">
              <w:rPr>
                <w:rFonts w:ascii="Arial" w:hAnsi="Arial"/>
                <w:color w:val="000000"/>
              </w:rPr>
              <w:t>/or</w:t>
            </w:r>
            <w:r w:rsidRPr="00C35F8B">
              <w:rPr>
                <w:rFonts w:ascii="Arial" w:hAnsi="Arial"/>
                <w:color w:val="000000"/>
              </w:rPr>
              <w:t xml:space="preserve"> Mathematics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3FE7B62" w14:textId="77777777" w:rsidR="00D50F99" w:rsidRPr="00C35F8B" w:rsidRDefault="00D50F99" w:rsidP="00B10E79">
            <w:pPr>
              <w:spacing w:before="120" w:after="120"/>
              <w:jc w:val="center"/>
              <w:textAlignment w:val="baseline"/>
            </w:pPr>
            <w:r w:rsidRPr="00C35F8B">
              <w:rPr>
                <w:rFonts w:ascii="Arial" w:hAnsi="Arial"/>
                <w:color w:val="000000"/>
              </w:rPr>
              <w:t>$4.00</w:t>
            </w:r>
          </w:p>
        </w:tc>
      </w:tr>
      <w:tr w:rsidR="00D50F99" w:rsidRPr="00C35F8B" w14:paraId="0B555E12" w14:textId="77777777" w:rsidTr="008E7EA4">
        <w:trPr>
          <w:trHeight w:val="435"/>
        </w:trPr>
        <w:tc>
          <w:tcPr>
            <w:tcW w:w="6205" w:type="dxa"/>
            <w:tcBorders>
              <w:top w:val="single" w:sz="4" w:space="0" w:color="auto"/>
              <w:left w:val="single" w:sz="4" w:space="0" w:color="auto"/>
              <w:bottom w:val="single" w:sz="4" w:space="0" w:color="auto"/>
              <w:right w:val="single" w:sz="4" w:space="0" w:color="auto"/>
            </w:tcBorders>
            <w:vAlign w:val="center"/>
            <w:hideMark/>
          </w:tcPr>
          <w:p w14:paraId="6EA86B8C" w14:textId="77777777" w:rsidR="00D50F99" w:rsidRPr="00C35F8B" w:rsidRDefault="00D50F99" w:rsidP="00B10E79">
            <w:pPr>
              <w:spacing w:before="120" w:after="120"/>
              <w:textAlignment w:val="baseline"/>
            </w:pPr>
            <w:r w:rsidRPr="00C35F8B">
              <w:rPr>
                <w:rFonts w:ascii="Arial" w:hAnsi="Arial"/>
                <w:color w:val="000000"/>
              </w:rPr>
              <w:t>California Science Test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E32BBA4" w14:textId="77777777" w:rsidR="00D50F99" w:rsidRPr="00C35F8B" w:rsidRDefault="00D50F99" w:rsidP="00B10E79">
            <w:pPr>
              <w:spacing w:before="120" w:after="120"/>
              <w:jc w:val="center"/>
              <w:textAlignment w:val="baseline"/>
            </w:pPr>
            <w:r w:rsidRPr="00C35F8B">
              <w:rPr>
                <w:rFonts w:ascii="Arial" w:hAnsi="Arial"/>
                <w:color w:val="000000"/>
              </w:rPr>
              <w:t>$2.00</w:t>
            </w:r>
          </w:p>
        </w:tc>
      </w:tr>
      <w:tr w:rsidR="00D50F99" w:rsidRPr="00C35F8B" w14:paraId="37CB8627" w14:textId="77777777" w:rsidTr="008E7EA4">
        <w:trPr>
          <w:trHeight w:val="615"/>
        </w:trPr>
        <w:tc>
          <w:tcPr>
            <w:tcW w:w="6205" w:type="dxa"/>
            <w:tcBorders>
              <w:top w:val="single" w:sz="4" w:space="0" w:color="auto"/>
              <w:left w:val="single" w:sz="4" w:space="0" w:color="auto"/>
              <w:bottom w:val="single" w:sz="4" w:space="0" w:color="auto"/>
              <w:right w:val="single" w:sz="4" w:space="0" w:color="auto"/>
            </w:tcBorders>
            <w:vAlign w:val="center"/>
            <w:hideMark/>
          </w:tcPr>
          <w:p w14:paraId="650683B2" w14:textId="77777777" w:rsidR="00D50F99" w:rsidRPr="00C35F8B" w:rsidRDefault="00D50F99" w:rsidP="00B10E79">
            <w:pPr>
              <w:spacing w:before="120" w:after="120"/>
              <w:textAlignment w:val="baseline"/>
            </w:pPr>
            <w:r w:rsidRPr="00C35F8B">
              <w:rPr>
                <w:rFonts w:ascii="Arial" w:hAnsi="Arial"/>
                <w:color w:val="000000"/>
              </w:rPr>
              <w:t>California Spanish Assessment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5F7357B" w14:textId="77777777" w:rsidR="00D50F99" w:rsidRPr="00C35F8B" w:rsidRDefault="00D50F99" w:rsidP="00B10E79">
            <w:pPr>
              <w:spacing w:before="120" w:after="120"/>
              <w:jc w:val="center"/>
              <w:textAlignment w:val="baseline"/>
            </w:pPr>
            <w:r w:rsidRPr="00C35F8B">
              <w:rPr>
                <w:rFonts w:ascii="Arial" w:hAnsi="Arial"/>
                <w:color w:val="000000"/>
              </w:rPr>
              <w:t>$5.00</w:t>
            </w:r>
          </w:p>
        </w:tc>
      </w:tr>
      <w:tr w:rsidR="00D50F99" w:rsidRPr="00C35F8B" w14:paraId="7D9F8217" w14:textId="77777777" w:rsidTr="008E7EA4">
        <w:trPr>
          <w:trHeight w:val="300"/>
        </w:trPr>
        <w:tc>
          <w:tcPr>
            <w:tcW w:w="6205" w:type="dxa"/>
            <w:tcBorders>
              <w:top w:val="single" w:sz="4" w:space="0" w:color="auto"/>
              <w:left w:val="single" w:sz="4" w:space="0" w:color="auto"/>
              <w:bottom w:val="single" w:sz="4" w:space="0" w:color="auto"/>
              <w:right w:val="single" w:sz="4" w:space="0" w:color="auto"/>
            </w:tcBorders>
            <w:vAlign w:val="center"/>
            <w:hideMark/>
          </w:tcPr>
          <w:p w14:paraId="15E6512D" w14:textId="77777777" w:rsidR="00D50F99" w:rsidRPr="00C35F8B" w:rsidRDefault="00D50F99" w:rsidP="00B10E79">
            <w:pPr>
              <w:spacing w:before="120" w:after="120"/>
              <w:textAlignment w:val="baseline"/>
            </w:pPr>
            <w:r w:rsidRPr="00C35F8B">
              <w:rPr>
                <w:rFonts w:ascii="Arial" w:hAnsi="Arial"/>
                <w:color w:val="000000"/>
              </w:rPr>
              <w:t>California Alternate Assessments (CAAs) for ELA and</w:t>
            </w:r>
            <w:r w:rsidR="00A65341" w:rsidRPr="00C35F8B">
              <w:rPr>
                <w:rFonts w:ascii="Arial" w:hAnsi="Arial"/>
                <w:color w:val="000000"/>
              </w:rPr>
              <w:t>/or</w:t>
            </w:r>
            <w:r w:rsidRPr="00C35F8B">
              <w:rPr>
                <w:rFonts w:ascii="Arial" w:hAnsi="Arial"/>
                <w:color w:val="000000"/>
              </w:rPr>
              <w:t xml:space="preserve"> Mathematics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FC4D801" w14:textId="77777777" w:rsidR="00D50F99" w:rsidRPr="00C35F8B" w:rsidRDefault="00D50F99" w:rsidP="00B10E79">
            <w:pPr>
              <w:spacing w:before="120" w:after="120"/>
              <w:jc w:val="center"/>
              <w:textAlignment w:val="baseline"/>
            </w:pPr>
            <w:r w:rsidRPr="00C35F8B">
              <w:rPr>
                <w:rFonts w:ascii="Arial" w:hAnsi="Arial"/>
                <w:color w:val="000000"/>
              </w:rPr>
              <w:t>$5.00</w:t>
            </w:r>
          </w:p>
        </w:tc>
      </w:tr>
      <w:tr w:rsidR="00D50F99" w:rsidRPr="00C35F8B" w14:paraId="166E4F33" w14:textId="77777777" w:rsidTr="008E7EA4">
        <w:trPr>
          <w:trHeight w:val="705"/>
        </w:trPr>
        <w:tc>
          <w:tcPr>
            <w:tcW w:w="6205" w:type="dxa"/>
            <w:tcBorders>
              <w:top w:val="single" w:sz="4" w:space="0" w:color="auto"/>
              <w:left w:val="single" w:sz="4" w:space="0" w:color="auto"/>
              <w:bottom w:val="single" w:sz="4" w:space="0" w:color="auto"/>
              <w:right w:val="single" w:sz="4" w:space="0" w:color="auto"/>
            </w:tcBorders>
            <w:vAlign w:val="center"/>
            <w:hideMark/>
          </w:tcPr>
          <w:p w14:paraId="6B4EA37D" w14:textId="77777777" w:rsidR="00D50F99" w:rsidRPr="00C35F8B" w:rsidRDefault="00D50F99" w:rsidP="00B10E79">
            <w:pPr>
              <w:spacing w:before="120" w:after="120"/>
              <w:textAlignment w:val="baseline"/>
            </w:pPr>
            <w:r w:rsidRPr="00C35F8B">
              <w:rPr>
                <w:rFonts w:ascii="Arial" w:hAnsi="Arial"/>
                <w:color w:val="000000"/>
              </w:rPr>
              <w:t>CAA for Science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2E2EB6B" w14:textId="77777777" w:rsidR="00D50F99" w:rsidRPr="00C35F8B" w:rsidRDefault="00D50F99" w:rsidP="00B10E79">
            <w:pPr>
              <w:spacing w:before="120" w:after="120"/>
              <w:jc w:val="center"/>
              <w:textAlignment w:val="baseline"/>
            </w:pPr>
            <w:r w:rsidRPr="00C35F8B">
              <w:rPr>
                <w:rFonts w:ascii="Arial" w:hAnsi="Arial"/>
                <w:color w:val="000000"/>
              </w:rPr>
              <w:t>$5.00</w:t>
            </w:r>
          </w:p>
        </w:tc>
      </w:tr>
      <w:tr w:rsidR="00D50F99" w:rsidRPr="00C35F8B" w14:paraId="6C5518A7" w14:textId="77777777" w:rsidTr="008E7EA4">
        <w:trPr>
          <w:trHeight w:val="615"/>
        </w:trPr>
        <w:tc>
          <w:tcPr>
            <w:tcW w:w="6205" w:type="dxa"/>
            <w:tcBorders>
              <w:top w:val="single" w:sz="4" w:space="0" w:color="auto"/>
              <w:left w:val="single" w:sz="4" w:space="0" w:color="auto"/>
              <w:bottom w:val="single" w:sz="4" w:space="0" w:color="auto"/>
              <w:right w:val="single" w:sz="4" w:space="0" w:color="auto"/>
            </w:tcBorders>
            <w:hideMark/>
          </w:tcPr>
          <w:p w14:paraId="20E11D83" w14:textId="77777777" w:rsidR="00D50F99" w:rsidRPr="00C35F8B" w:rsidRDefault="00D50F99" w:rsidP="00B10E79">
            <w:pPr>
              <w:spacing w:before="120" w:after="120"/>
              <w:textAlignment w:val="baseline"/>
            </w:pPr>
            <w:r w:rsidRPr="00C35F8B">
              <w:rPr>
                <w:rFonts w:ascii="Arial" w:hAnsi="Arial"/>
                <w:color w:val="000000"/>
              </w:rPr>
              <w:t xml:space="preserve">Grade two diagnostic assessments for ELA </w:t>
            </w:r>
            <w:r w:rsidR="00A65341" w:rsidRPr="00C35F8B">
              <w:rPr>
                <w:rFonts w:ascii="Arial" w:hAnsi="Arial"/>
                <w:color w:val="000000"/>
              </w:rPr>
              <w:t>and/</w:t>
            </w:r>
            <w:r w:rsidRPr="00C35F8B">
              <w:rPr>
                <w:rFonts w:ascii="Arial" w:hAnsi="Arial"/>
                <w:color w:val="000000"/>
              </w:rPr>
              <w:t>or mathematics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735F717" w14:textId="77777777" w:rsidR="00D50F99" w:rsidRPr="00C35F8B" w:rsidRDefault="00D50F99" w:rsidP="00B10E79">
            <w:pPr>
              <w:spacing w:before="120" w:after="120"/>
              <w:jc w:val="center"/>
              <w:textAlignment w:val="baseline"/>
            </w:pPr>
            <w:r w:rsidRPr="00C35F8B">
              <w:rPr>
                <w:rFonts w:ascii="Arial" w:hAnsi="Arial"/>
                <w:color w:val="000000"/>
              </w:rPr>
              <w:t>$2.52</w:t>
            </w:r>
          </w:p>
        </w:tc>
      </w:tr>
      <w:tr w:rsidR="00D50F99" w:rsidRPr="00C35F8B" w14:paraId="28234EB2" w14:textId="77777777" w:rsidTr="008E7EA4">
        <w:trPr>
          <w:trHeight w:val="315"/>
        </w:trPr>
        <w:tc>
          <w:tcPr>
            <w:tcW w:w="6205" w:type="dxa"/>
            <w:tcBorders>
              <w:top w:val="single" w:sz="4" w:space="0" w:color="auto"/>
              <w:left w:val="single" w:sz="4" w:space="0" w:color="auto"/>
              <w:bottom w:val="single" w:sz="4" w:space="0" w:color="auto"/>
              <w:right w:val="single" w:sz="4" w:space="0" w:color="auto"/>
            </w:tcBorders>
            <w:vAlign w:val="center"/>
            <w:hideMark/>
          </w:tcPr>
          <w:p w14:paraId="179F9CB5" w14:textId="77777777" w:rsidR="00D50F99" w:rsidRPr="00C35F8B" w:rsidRDefault="00D50F99" w:rsidP="00B10E79">
            <w:pPr>
              <w:spacing w:before="120" w:after="120"/>
              <w:textAlignment w:val="baseline"/>
            </w:pPr>
            <w:r w:rsidRPr="00C35F8B">
              <w:rPr>
                <w:rFonts w:ascii="Arial" w:hAnsi="Arial"/>
                <w:color w:val="000000"/>
              </w:rPr>
              <w:t>Students not tested due to medical emergency or parent/guardian exemptions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14B7DBB" w14:textId="77777777" w:rsidR="00D50F99" w:rsidRPr="00C35F8B" w:rsidRDefault="00D50F99" w:rsidP="00B10E79">
            <w:pPr>
              <w:spacing w:before="120" w:after="120"/>
              <w:jc w:val="center"/>
              <w:textAlignment w:val="baseline"/>
            </w:pPr>
            <w:r w:rsidRPr="00C35F8B">
              <w:rPr>
                <w:rFonts w:ascii="Arial" w:hAnsi="Arial"/>
                <w:color w:val="000000"/>
              </w:rPr>
              <w:t>$1.00</w:t>
            </w:r>
          </w:p>
        </w:tc>
      </w:tr>
    </w:tbl>
    <w:p w14:paraId="6D8EBB62" w14:textId="77777777" w:rsidR="00D50F99" w:rsidRPr="00C35F8B" w:rsidRDefault="00D50F99" w:rsidP="00D50F99">
      <w:pPr>
        <w:spacing w:after="160" w:line="256" w:lineRule="auto"/>
        <w:rPr>
          <w:rFonts w:ascii="Segoe UI" w:hAnsi="Segoe UI" w:cs="Segoe UI"/>
          <w:color w:val="666666"/>
          <w:sz w:val="18"/>
          <w:szCs w:val="18"/>
          <w:shd w:val="clear" w:color="auto" w:fill="FFFFFF"/>
        </w:rPr>
      </w:pPr>
      <w:r w:rsidRPr="00C35F8B">
        <w:rPr>
          <w:rFonts w:ascii="Segoe UI" w:hAnsi="Segoe UI" w:cs="Segoe UI"/>
          <w:color w:val="666666"/>
          <w:sz w:val="18"/>
          <w:szCs w:val="18"/>
          <w:shd w:val="clear" w:color="auto" w:fill="FFFFFF"/>
        </w:rPr>
        <w:br w:type="page"/>
      </w:r>
    </w:p>
    <w:p w14:paraId="17B78BB3" w14:textId="77777777" w:rsidR="00D50F99" w:rsidRPr="00C35F8B" w:rsidRDefault="00D50F99" w:rsidP="00D50F99">
      <w:pPr>
        <w:spacing w:before="240" w:after="240"/>
        <w:textAlignment w:val="baseline"/>
        <w:rPr>
          <w:rFonts w:ascii="Segoe UI" w:hAnsi="Segoe UI" w:cs="Segoe UI"/>
          <w:b/>
          <w:sz w:val="18"/>
          <w:szCs w:val="18"/>
        </w:rPr>
      </w:pPr>
      <w:r w:rsidRPr="00C35F8B">
        <w:rPr>
          <w:b/>
        </w:rPr>
        <w:lastRenderedPageBreak/>
        <w:t xml:space="preserve">Table 2. </w:t>
      </w:r>
      <w:r w:rsidRPr="00C35F8B">
        <w:rPr>
          <w:b/>
          <w:color w:val="000000" w:themeColor="text1"/>
        </w:rPr>
        <w:t>Proposed 2021</w:t>
      </w:r>
      <w:r w:rsidRPr="00C35F8B">
        <w:rPr>
          <w:b/>
        </w:rPr>
        <w:t>–</w:t>
      </w:r>
      <w:r w:rsidRPr="00C35F8B">
        <w:rPr>
          <w:b/>
          <w:color w:val="000000" w:themeColor="text1"/>
        </w:rPr>
        <w:t>22 ELPAC per-Pupil Apportionment Rates</w:t>
      </w:r>
    </w:p>
    <w:tbl>
      <w:tblPr>
        <w:tblStyle w:val="TableGrid1"/>
        <w:tblW w:w="9445" w:type="dxa"/>
        <w:tblInd w:w="0" w:type="dxa"/>
        <w:tblLook w:val="04A0" w:firstRow="1" w:lastRow="0" w:firstColumn="1" w:lastColumn="0" w:noHBand="0" w:noVBand="1"/>
        <w:tblCaption w:val="Table 2. Proposed 2021–22 ELPAC per-Pupil Apportionment Rates."/>
        <w:tblDescription w:val="Provides the description of ELPAC assessments and the proposed per-Pupil Apportionment Rates."/>
      </w:tblPr>
      <w:tblGrid>
        <w:gridCol w:w="6205"/>
        <w:gridCol w:w="3240"/>
      </w:tblGrid>
      <w:tr w:rsidR="00D50F99" w:rsidRPr="00C35F8B" w14:paraId="039A6212" w14:textId="77777777" w:rsidTr="008E7EA4">
        <w:trPr>
          <w:trHeight w:val="375"/>
        </w:trPr>
        <w:tc>
          <w:tcPr>
            <w:tcW w:w="6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7177C" w14:textId="77777777" w:rsidR="00D50F99" w:rsidRPr="00C35F8B" w:rsidRDefault="00D50F99" w:rsidP="00B10E79">
            <w:pPr>
              <w:spacing w:before="120" w:after="120"/>
              <w:jc w:val="center"/>
              <w:textAlignment w:val="baseline"/>
            </w:pPr>
            <w:r w:rsidRPr="00C35F8B">
              <w:rPr>
                <w:rFonts w:ascii="Arial" w:hAnsi="Arial"/>
                <w:b/>
                <w:bCs/>
                <w:color w:val="000000"/>
              </w:rPr>
              <w:t>ELPAC Assessments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CD880" w14:textId="77777777" w:rsidR="00D50F99" w:rsidRPr="00C35F8B" w:rsidRDefault="00D50F99" w:rsidP="00B10E79">
            <w:pPr>
              <w:spacing w:before="120" w:after="120"/>
              <w:jc w:val="center"/>
              <w:textAlignment w:val="baseline"/>
            </w:pPr>
            <w:r w:rsidRPr="00C35F8B">
              <w:rPr>
                <w:rFonts w:ascii="Arial" w:hAnsi="Arial"/>
                <w:b/>
                <w:bCs/>
                <w:color w:val="000000"/>
              </w:rPr>
              <w:t>Proposed</w:t>
            </w:r>
            <w:r w:rsidRPr="00C35F8B">
              <w:rPr>
                <w:rFonts w:ascii="Arial" w:hAnsi="Arial"/>
                <w:color w:val="000000"/>
              </w:rPr>
              <w:br/>
            </w:r>
            <w:r w:rsidRPr="00C35F8B">
              <w:rPr>
                <w:rFonts w:ascii="Arial" w:hAnsi="Arial"/>
                <w:b/>
                <w:bCs/>
                <w:color w:val="000000"/>
              </w:rPr>
              <w:t>per-Pupil Apportionment Rate</w:t>
            </w:r>
          </w:p>
        </w:tc>
      </w:tr>
      <w:tr w:rsidR="00D50F99" w:rsidRPr="00C35F8B" w14:paraId="43BC2362" w14:textId="77777777" w:rsidTr="008E7EA4">
        <w:trPr>
          <w:trHeight w:val="750"/>
        </w:trPr>
        <w:tc>
          <w:tcPr>
            <w:tcW w:w="6205" w:type="dxa"/>
            <w:tcBorders>
              <w:top w:val="single" w:sz="4" w:space="0" w:color="auto"/>
              <w:left w:val="single" w:sz="4" w:space="0" w:color="auto"/>
              <w:bottom w:val="single" w:sz="4" w:space="0" w:color="auto"/>
              <w:right w:val="single" w:sz="4" w:space="0" w:color="auto"/>
            </w:tcBorders>
            <w:vAlign w:val="center"/>
            <w:hideMark/>
          </w:tcPr>
          <w:p w14:paraId="54B10F86" w14:textId="77777777" w:rsidR="00D50F99" w:rsidRPr="00C35F8B" w:rsidRDefault="00D50F99" w:rsidP="00B10E79">
            <w:pPr>
              <w:spacing w:before="120" w:after="120"/>
              <w:textAlignment w:val="baseline"/>
            </w:pPr>
            <w:r w:rsidRPr="00C35F8B">
              <w:rPr>
                <w:rFonts w:ascii="Arial" w:hAnsi="Arial"/>
                <w:color w:val="000000" w:themeColor="text1"/>
              </w:rPr>
              <w:t>Initial, kindergarten</w:t>
            </w:r>
            <w:r w:rsidR="003C6D0D" w:rsidRPr="00C35F8B">
              <w:rPr>
                <w:rFonts w:ascii="Arial" w:hAnsi="Arial"/>
                <w:color w:val="000000" w:themeColor="text1"/>
              </w:rPr>
              <w:t xml:space="preserve"> through </w:t>
            </w:r>
            <w:r w:rsidRPr="00C35F8B">
              <w:rPr>
                <w:rFonts w:ascii="Arial" w:hAnsi="Arial"/>
                <w:color w:val="000000" w:themeColor="text1"/>
              </w:rPr>
              <w:t>grade two (one-on-one administration)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7AD705B" w14:textId="77777777" w:rsidR="00D50F99" w:rsidRPr="00C35F8B" w:rsidRDefault="00D50F99" w:rsidP="00B10E79">
            <w:pPr>
              <w:spacing w:before="120" w:after="120"/>
              <w:jc w:val="center"/>
              <w:textAlignment w:val="baseline"/>
            </w:pPr>
            <w:r w:rsidRPr="00C35F8B">
              <w:rPr>
                <w:rFonts w:ascii="Arial" w:hAnsi="Arial"/>
                <w:color w:val="000000"/>
              </w:rPr>
              <w:t>$5.50</w:t>
            </w:r>
          </w:p>
        </w:tc>
      </w:tr>
      <w:tr w:rsidR="00D50F99" w:rsidRPr="00C35F8B" w14:paraId="52A40257" w14:textId="77777777" w:rsidTr="008E7EA4">
        <w:trPr>
          <w:trHeight w:val="630"/>
        </w:trPr>
        <w:tc>
          <w:tcPr>
            <w:tcW w:w="6205" w:type="dxa"/>
            <w:tcBorders>
              <w:top w:val="single" w:sz="4" w:space="0" w:color="auto"/>
              <w:left w:val="single" w:sz="4" w:space="0" w:color="auto"/>
              <w:bottom w:val="single" w:sz="4" w:space="0" w:color="auto"/>
              <w:right w:val="single" w:sz="4" w:space="0" w:color="auto"/>
            </w:tcBorders>
            <w:vAlign w:val="center"/>
            <w:hideMark/>
          </w:tcPr>
          <w:p w14:paraId="23A635A7" w14:textId="77777777" w:rsidR="00D50F99" w:rsidRPr="00C35F8B" w:rsidRDefault="00D50F99" w:rsidP="00B10E79">
            <w:pPr>
              <w:spacing w:before="120" w:after="120"/>
              <w:textAlignment w:val="baseline"/>
            </w:pPr>
            <w:r w:rsidRPr="00C35F8B">
              <w:rPr>
                <w:rFonts w:ascii="Arial" w:hAnsi="Arial"/>
                <w:color w:val="000000"/>
              </w:rPr>
              <w:t>Initial, grades three</w:t>
            </w:r>
            <w:r w:rsidR="003C6D0D" w:rsidRPr="00C35F8B">
              <w:rPr>
                <w:rFonts w:ascii="Arial" w:hAnsi="Arial"/>
                <w:color w:val="000000"/>
              </w:rPr>
              <w:t xml:space="preserve"> through </w:t>
            </w:r>
            <w:r w:rsidRPr="00C35F8B">
              <w:rPr>
                <w:rFonts w:ascii="Arial" w:hAnsi="Arial"/>
                <w:color w:val="000000"/>
              </w:rPr>
              <w:t>twelve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A651359" w14:textId="77777777" w:rsidR="00D50F99" w:rsidRPr="00C35F8B" w:rsidRDefault="00D50F99" w:rsidP="00B10E79">
            <w:pPr>
              <w:spacing w:before="120" w:after="120"/>
              <w:jc w:val="center"/>
              <w:textAlignment w:val="baseline"/>
            </w:pPr>
            <w:r w:rsidRPr="00C35F8B">
              <w:rPr>
                <w:rFonts w:ascii="Arial" w:hAnsi="Arial"/>
                <w:color w:val="000000"/>
              </w:rPr>
              <w:t>$5.00</w:t>
            </w:r>
          </w:p>
        </w:tc>
      </w:tr>
      <w:tr w:rsidR="00D50F99" w:rsidRPr="00C35F8B" w14:paraId="39E0F72B" w14:textId="77777777" w:rsidTr="008E7EA4">
        <w:trPr>
          <w:trHeight w:val="885"/>
        </w:trPr>
        <w:tc>
          <w:tcPr>
            <w:tcW w:w="6205" w:type="dxa"/>
            <w:tcBorders>
              <w:top w:val="single" w:sz="4" w:space="0" w:color="auto"/>
              <w:left w:val="single" w:sz="4" w:space="0" w:color="auto"/>
              <w:bottom w:val="single" w:sz="4" w:space="0" w:color="auto"/>
              <w:right w:val="single" w:sz="4" w:space="0" w:color="auto"/>
            </w:tcBorders>
            <w:vAlign w:val="center"/>
            <w:hideMark/>
          </w:tcPr>
          <w:p w14:paraId="78FAA89B" w14:textId="77777777" w:rsidR="00D50F99" w:rsidRPr="00C35F8B" w:rsidRDefault="00D50F99" w:rsidP="00B10E79">
            <w:pPr>
              <w:spacing w:before="120" w:after="120"/>
              <w:textAlignment w:val="baseline"/>
            </w:pPr>
            <w:r w:rsidRPr="00C35F8B">
              <w:rPr>
                <w:rFonts w:ascii="Arial" w:hAnsi="Arial"/>
                <w:color w:val="000000" w:themeColor="text1"/>
              </w:rPr>
              <w:t>Initial Rotating Score Validation Process, kindergarten</w:t>
            </w:r>
            <w:r w:rsidR="00B80A87" w:rsidRPr="00C35F8B">
              <w:rPr>
                <w:rFonts w:ascii="Arial" w:hAnsi="Arial"/>
                <w:color w:val="000000" w:themeColor="text1"/>
              </w:rPr>
              <w:t xml:space="preserve"> through </w:t>
            </w:r>
            <w:r w:rsidRPr="00C35F8B">
              <w:rPr>
                <w:rFonts w:ascii="Arial" w:hAnsi="Arial"/>
                <w:color w:val="000000" w:themeColor="text1"/>
              </w:rPr>
              <w:t>grade twelve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3233CD1" w14:textId="77777777" w:rsidR="00D50F99" w:rsidRPr="00C35F8B" w:rsidRDefault="00D50F99" w:rsidP="00B10E79">
            <w:pPr>
              <w:spacing w:before="120" w:after="120"/>
              <w:jc w:val="center"/>
              <w:textAlignment w:val="baseline"/>
            </w:pPr>
            <w:r w:rsidRPr="00C35F8B">
              <w:rPr>
                <w:rFonts w:ascii="Arial" w:hAnsi="Arial"/>
                <w:color w:val="000000"/>
              </w:rPr>
              <w:t>$0.50</w:t>
            </w:r>
          </w:p>
        </w:tc>
      </w:tr>
      <w:tr w:rsidR="00D50F99" w:rsidRPr="00C35F8B" w14:paraId="054CB0CF" w14:textId="77777777" w:rsidTr="008E7EA4">
        <w:trPr>
          <w:trHeight w:val="435"/>
        </w:trPr>
        <w:tc>
          <w:tcPr>
            <w:tcW w:w="6205" w:type="dxa"/>
            <w:tcBorders>
              <w:top w:val="single" w:sz="4" w:space="0" w:color="auto"/>
              <w:left w:val="single" w:sz="4" w:space="0" w:color="auto"/>
              <w:bottom w:val="single" w:sz="4" w:space="0" w:color="auto"/>
              <w:right w:val="single" w:sz="4" w:space="0" w:color="auto"/>
            </w:tcBorders>
            <w:vAlign w:val="center"/>
            <w:hideMark/>
          </w:tcPr>
          <w:p w14:paraId="0676ECEA" w14:textId="77777777" w:rsidR="00D50F99" w:rsidRPr="00C35F8B" w:rsidRDefault="00D50F99" w:rsidP="00B10E79">
            <w:pPr>
              <w:spacing w:before="120" w:after="120"/>
              <w:textAlignment w:val="baseline"/>
            </w:pPr>
            <w:r w:rsidRPr="00C35F8B">
              <w:rPr>
                <w:rFonts w:ascii="Arial" w:hAnsi="Arial"/>
                <w:color w:val="000000"/>
              </w:rPr>
              <w:t>Summative, kindergarten</w:t>
            </w:r>
            <w:r w:rsidR="003C6D0D" w:rsidRPr="00C35F8B">
              <w:rPr>
                <w:rFonts w:ascii="Arial" w:hAnsi="Arial"/>
                <w:color w:val="000000"/>
              </w:rPr>
              <w:t xml:space="preserve"> through </w:t>
            </w:r>
            <w:r w:rsidRPr="00C35F8B">
              <w:rPr>
                <w:rFonts w:ascii="Arial" w:hAnsi="Arial"/>
                <w:color w:val="000000"/>
              </w:rPr>
              <w:t>grade two (one-on-one administration)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B6B7AA4" w14:textId="77777777" w:rsidR="00D50F99" w:rsidRPr="00C35F8B" w:rsidRDefault="00D50F99" w:rsidP="00B10E79">
            <w:pPr>
              <w:spacing w:before="120" w:after="120"/>
              <w:jc w:val="center"/>
              <w:textAlignment w:val="baseline"/>
            </w:pPr>
            <w:r w:rsidRPr="00C35F8B">
              <w:rPr>
                <w:rFonts w:ascii="Arial" w:hAnsi="Arial"/>
                <w:color w:val="000000"/>
              </w:rPr>
              <w:t>$5.50</w:t>
            </w:r>
          </w:p>
        </w:tc>
      </w:tr>
      <w:tr w:rsidR="00D50F99" w:rsidRPr="00C35F8B" w14:paraId="2C487927" w14:textId="77777777" w:rsidTr="008E7EA4">
        <w:trPr>
          <w:trHeight w:val="300"/>
        </w:trPr>
        <w:tc>
          <w:tcPr>
            <w:tcW w:w="6205" w:type="dxa"/>
            <w:tcBorders>
              <w:top w:val="single" w:sz="4" w:space="0" w:color="auto"/>
              <w:left w:val="single" w:sz="4" w:space="0" w:color="auto"/>
              <w:bottom w:val="single" w:sz="4" w:space="0" w:color="auto"/>
              <w:right w:val="single" w:sz="4" w:space="0" w:color="auto"/>
            </w:tcBorders>
            <w:vAlign w:val="center"/>
            <w:hideMark/>
          </w:tcPr>
          <w:p w14:paraId="6A27B6C2" w14:textId="77777777" w:rsidR="00D50F99" w:rsidRPr="00C35F8B" w:rsidRDefault="00D50F99" w:rsidP="00B10E79">
            <w:pPr>
              <w:spacing w:before="120" w:after="120"/>
              <w:textAlignment w:val="baseline"/>
            </w:pPr>
            <w:r w:rsidRPr="00C35F8B">
              <w:rPr>
                <w:rFonts w:ascii="Arial" w:hAnsi="Arial"/>
                <w:color w:val="000000"/>
              </w:rPr>
              <w:t>Summative, grades three</w:t>
            </w:r>
            <w:r w:rsidR="003C6D0D" w:rsidRPr="00C35F8B">
              <w:rPr>
                <w:rFonts w:ascii="Arial" w:hAnsi="Arial"/>
                <w:color w:val="000000"/>
              </w:rPr>
              <w:t xml:space="preserve"> through </w:t>
            </w:r>
            <w:r w:rsidRPr="00C35F8B">
              <w:rPr>
                <w:rFonts w:ascii="Arial" w:hAnsi="Arial"/>
                <w:color w:val="000000"/>
              </w:rPr>
              <w:t>twelve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09B2E36" w14:textId="77777777" w:rsidR="00D50F99" w:rsidRPr="00C35F8B" w:rsidRDefault="00D50F99" w:rsidP="00B10E79">
            <w:pPr>
              <w:spacing w:before="120" w:after="120"/>
              <w:jc w:val="center"/>
              <w:textAlignment w:val="baseline"/>
            </w:pPr>
            <w:r w:rsidRPr="00C35F8B">
              <w:rPr>
                <w:rFonts w:ascii="Arial" w:hAnsi="Arial"/>
                <w:color w:val="000000"/>
              </w:rPr>
              <w:t>$5.00</w:t>
            </w:r>
          </w:p>
        </w:tc>
      </w:tr>
      <w:tr w:rsidR="007C1E73" w:rsidRPr="00C35F8B" w14:paraId="01A14BA8" w14:textId="77777777" w:rsidTr="008E7EA4">
        <w:trPr>
          <w:trHeight w:val="300"/>
        </w:trPr>
        <w:tc>
          <w:tcPr>
            <w:tcW w:w="6205" w:type="dxa"/>
            <w:tcBorders>
              <w:top w:val="single" w:sz="4" w:space="0" w:color="auto"/>
              <w:left w:val="single" w:sz="4" w:space="0" w:color="auto"/>
              <w:bottom w:val="single" w:sz="4" w:space="0" w:color="auto"/>
              <w:right w:val="single" w:sz="4" w:space="0" w:color="auto"/>
            </w:tcBorders>
            <w:vAlign w:val="center"/>
          </w:tcPr>
          <w:p w14:paraId="735C9519" w14:textId="77777777" w:rsidR="007C1E73" w:rsidRPr="00C35F8B" w:rsidRDefault="00CA2E89" w:rsidP="00B10E79">
            <w:pPr>
              <w:spacing w:before="120" w:after="120"/>
              <w:textAlignment w:val="baseline"/>
              <w:rPr>
                <w:color w:val="000000"/>
              </w:rPr>
            </w:pPr>
            <w:r w:rsidRPr="00C35F8B">
              <w:rPr>
                <w:rFonts w:ascii="Arial" w:hAnsi="Arial"/>
                <w:color w:val="000000" w:themeColor="text1"/>
              </w:rPr>
              <w:t>Alternate ELPAC operational field test, kindergarten through grade twelve (one-on-one administration)</w:t>
            </w:r>
          </w:p>
        </w:tc>
        <w:tc>
          <w:tcPr>
            <w:tcW w:w="3240" w:type="dxa"/>
            <w:tcBorders>
              <w:top w:val="single" w:sz="4" w:space="0" w:color="auto"/>
              <w:left w:val="single" w:sz="4" w:space="0" w:color="auto"/>
              <w:bottom w:val="single" w:sz="4" w:space="0" w:color="auto"/>
              <w:right w:val="single" w:sz="4" w:space="0" w:color="auto"/>
            </w:tcBorders>
            <w:vAlign w:val="center"/>
          </w:tcPr>
          <w:p w14:paraId="41D0C84F" w14:textId="77777777" w:rsidR="007C1E73" w:rsidRPr="00C35F8B" w:rsidRDefault="00CA2E89" w:rsidP="00B10E79">
            <w:pPr>
              <w:spacing w:before="120" w:after="120"/>
              <w:jc w:val="center"/>
              <w:textAlignment w:val="baseline"/>
              <w:rPr>
                <w:rFonts w:ascii="Arial" w:hAnsi="Arial"/>
                <w:color w:val="000000"/>
              </w:rPr>
            </w:pPr>
            <w:r w:rsidRPr="00C35F8B">
              <w:rPr>
                <w:rFonts w:ascii="Arial" w:hAnsi="Arial"/>
                <w:color w:val="000000"/>
              </w:rPr>
              <w:t>$5.50</w:t>
            </w:r>
          </w:p>
        </w:tc>
      </w:tr>
    </w:tbl>
    <w:p w14:paraId="23E00E0D" w14:textId="77777777" w:rsidR="00D50F99" w:rsidRPr="00C35F8B" w:rsidRDefault="00D50F99" w:rsidP="00D50F99">
      <w:pPr>
        <w:keepNext/>
        <w:keepLines/>
        <w:spacing w:before="240" w:after="240"/>
        <w:jc w:val="center"/>
        <w:outlineLvl w:val="1"/>
        <w:rPr>
          <w:rFonts w:eastAsia="MS Gothic"/>
          <w:b/>
          <w:sz w:val="36"/>
          <w:szCs w:val="36"/>
        </w:rPr>
        <w:sectPr w:rsidR="00D50F99" w:rsidRPr="00C35F8B" w:rsidSect="007C7F1A">
          <w:headerReference w:type="default" r:id="rId36"/>
          <w:footerReference w:type="default" r:id="rId37"/>
          <w:type w:val="continuous"/>
          <w:pgSz w:w="12240" w:h="15840"/>
          <w:pgMar w:top="720" w:right="1440" w:bottom="1440" w:left="1440" w:header="720" w:footer="720" w:gutter="0"/>
          <w:pgNumType w:start="1"/>
          <w:cols w:space="720"/>
          <w:docGrid w:linePitch="360"/>
        </w:sectPr>
      </w:pPr>
    </w:p>
    <w:p w14:paraId="6587CE08" w14:textId="77777777" w:rsidR="00D50F99" w:rsidRPr="00C35F8B" w:rsidRDefault="00D50F99" w:rsidP="00C40933">
      <w:pPr>
        <w:pStyle w:val="Heading2"/>
        <w:rPr>
          <w:rFonts w:eastAsia="MS Gothic"/>
        </w:rPr>
      </w:pPr>
      <w:r w:rsidRPr="00C35F8B">
        <w:rPr>
          <w:rFonts w:eastAsia="MS Gothic"/>
        </w:rPr>
        <w:lastRenderedPageBreak/>
        <w:t>Estimated Apportionment Costs</w:t>
      </w:r>
    </w:p>
    <w:p w14:paraId="25F7EEEC" w14:textId="77777777" w:rsidR="00D50F99" w:rsidRPr="00C35F8B" w:rsidRDefault="00D50F99" w:rsidP="00B10E79">
      <w:pPr>
        <w:spacing w:after="240"/>
        <w:textAlignment w:val="baseline"/>
        <w:rPr>
          <w:rFonts w:ascii="Segoe UI" w:hAnsi="Segoe UI" w:cs="Segoe UI"/>
          <w:sz w:val="18"/>
          <w:szCs w:val="18"/>
        </w:rPr>
      </w:pPr>
      <w:r w:rsidRPr="00C35F8B">
        <w:t xml:space="preserve">Tables 1 and 2 provide estimated 2021–22 apportionment costs for the </w:t>
      </w:r>
      <w:r w:rsidRPr="00C35F8B">
        <w:rPr>
          <w:color w:val="000000"/>
        </w:rPr>
        <w:t>California Assessment of Student Performance and Progress</w:t>
      </w:r>
      <w:r w:rsidRPr="00C35F8B">
        <w:t xml:space="preserve"> (CAASPP) and the English Language Proficiency Assessments for California (ELPAC), respectively, if the California State Board of Education elects to approve the California Department of Education’s recommended per-pupil apportionment rates.</w:t>
      </w:r>
    </w:p>
    <w:p w14:paraId="3395A602" w14:textId="77777777" w:rsidR="00D50F99" w:rsidRPr="00C35F8B" w:rsidRDefault="00D50F99" w:rsidP="00CA47E5">
      <w:pPr>
        <w:keepNext/>
        <w:spacing w:before="240" w:after="240"/>
        <w:textAlignment w:val="baseline"/>
        <w:rPr>
          <w:rFonts w:ascii="Segoe UI" w:hAnsi="Segoe UI" w:cs="Segoe UI"/>
          <w:b/>
          <w:sz w:val="18"/>
          <w:szCs w:val="18"/>
        </w:rPr>
      </w:pPr>
      <w:r w:rsidRPr="00C35F8B">
        <w:rPr>
          <w:b/>
        </w:rPr>
        <w:t xml:space="preserve">Table 1. </w:t>
      </w:r>
      <w:r w:rsidRPr="00C35F8B">
        <w:rPr>
          <w:b/>
          <w:color w:val="000000"/>
        </w:rPr>
        <w:t>Proposed 2021</w:t>
      </w:r>
      <w:r w:rsidRPr="00C35F8B">
        <w:rPr>
          <w:b/>
        </w:rPr>
        <w:t>–</w:t>
      </w:r>
      <w:r w:rsidRPr="00C35F8B">
        <w:rPr>
          <w:b/>
          <w:color w:val="000000"/>
        </w:rPr>
        <w:t>22 CAASPP per-Pupil Apportionment Rates</w:t>
      </w:r>
      <w:r w:rsidR="006638EF" w:rsidRPr="00C35F8B">
        <w:rPr>
          <w:b/>
          <w:color w:val="000000"/>
        </w:rPr>
        <w:t>, Estimated Pupil Population,</w:t>
      </w:r>
      <w:r w:rsidRPr="00C35F8B">
        <w:rPr>
          <w:b/>
          <w:color w:val="000000"/>
        </w:rPr>
        <w:t xml:space="preserve"> and </w:t>
      </w:r>
      <w:r w:rsidR="006638EF" w:rsidRPr="00C35F8B">
        <w:rPr>
          <w:b/>
          <w:color w:val="000000"/>
        </w:rPr>
        <w:t xml:space="preserve">Estimated Apportionment </w:t>
      </w:r>
      <w:r w:rsidRPr="00C35F8B">
        <w:rPr>
          <w:b/>
          <w:color w:val="000000"/>
        </w:rPr>
        <w:t>Costs</w:t>
      </w:r>
    </w:p>
    <w:tbl>
      <w:tblPr>
        <w:tblStyle w:val="TableGrid1"/>
        <w:tblW w:w="9985" w:type="dxa"/>
        <w:jc w:val="center"/>
        <w:tblInd w:w="0" w:type="dxa"/>
        <w:tblLayout w:type="fixed"/>
        <w:tblLook w:val="04A0" w:firstRow="1" w:lastRow="0" w:firstColumn="1" w:lastColumn="0" w:noHBand="0" w:noVBand="1"/>
        <w:tblDescription w:val="Table 1. Proposed 2021–22 CAASPP per-pupil apportionment rates, estimated pupil population, and estimated apportionment cost."/>
      </w:tblPr>
      <w:tblGrid>
        <w:gridCol w:w="3415"/>
        <w:gridCol w:w="2430"/>
        <w:gridCol w:w="2070"/>
        <w:gridCol w:w="2070"/>
      </w:tblGrid>
      <w:tr w:rsidR="00D50F99" w:rsidRPr="00C35F8B" w14:paraId="46F734B2" w14:textId="77777777" w:rsidTr="0C2B62A3">
        <w:trPr>
          <w:cantSplit/>
          <w:trHeight w:val="720"/>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E5F24" w14:textId="77777777" w:rsidR="00D50F99" w:rsidRPr="00C35F8B" w:rsidRDefault="00D50F99" w:rsidP="00CA47E5">
            <w:pPr>
              <w:keepNext/>
              <w:spacing w:before="120" w:after="120"/>
              <w:jc w:val="center"/>
              <w:textAlignment w:val="baseline"/>
              <w:rPr>
                <w:rFonts w:ascii="Arial" w:hAnsi="Arial"/>
              </w:rPr>
            </w:pPr>
            <w:r w:rsidRPr="00C35F8B">
              <w:rPr>
                <w:rFonts w:ascii="Arial" w:hAnsi="Arial"/>
                <w:b/>
                <w:bCs/>
                <w:color w:val="000000"/>
              </w:rPr>
              <w:t>Assessment</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649556" w14:textId="77777777" w:rsidR="00D50F99" w:rsidRPr="00C35F8B" w:rsidRDefault="00D50F99" w:rsidP="00CA47E5">
            <w:pPr>
              <w:keepNext/>
              <w:spacing w:before="120" w:after="120"/>
              <w:jc w:val="center"/>
              <w:textAlignment w:val="baseline"/>
              <w:rPr>
                <w:rFonts w:ascii="Arial" w:hAnsi="Arial"/>
              </w:rPr>
            </w:pPr>
            <w:r w:rsidRPr="00C35F8B">
              <w:rPr>
                <w:rFonts w:ascii="Arial" w:hAnsi="Arial"/>
                <w:b/>
                <w:bCs/>
                <w:color w:val="000000"/>
              </w:rPr>
              <w:t xml:space="preserve">Proposed </w:t>
            </w:r>
            <w:r w:rsidR="002C3EA8" w:rsidRPr="00C35F8B">
              <w:rPr>
                <w:rFonts w:ascii="Arial" w:hAnsi="Arial"/>
                <w:b/>
                <w:bCs/>
                <w:color w:val="000000"/>
              </w:rPr>
              <w:br/>
            </w:r>
            <w:r w:rsidRPr="00C35F8B">
              <w:rPr>
                <w:rFonts w:ascii="Arial" w:hAnsi="Arial"/>
                <w:b/>
                <w:bCs/>
                <w:color w:val="000000"/>
              </w:rPr>
              <w:t xml:space="preserve">per-Pupil </w:t>
            </w:r>
            <w:r w:rsidR="002C3EA8" w:rsidRPr="00C35F8B">
              <w:rPr>
                <w:rFonts w:ascii="Arial" w:hAnsi="Arial"/>
                <w:b/>
                <w:bCs/>
                <w:color w:val="000000"/>
              </w:rPr>
              <w:br/>
            </w:r>
            <w:r w:rsidRPr="00C35F8B">
              <w:rPr>
                <w:rFonts w:ascii="Arial" w:hAnsi="Arial"/>
                <w:b/>
                <w:bCs/>
                <w:color w:val="000000"/>
              </w:rPr>
              <w:t>Rate</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1D2FD" w14:textId="77777777" w:rsidR="00D50F99" w:rsidRPr="00C35F8B" w:rsidRDefault="00D50F99" w:rsidP="00CA47E5">
            <w:pPr>
              <w:keepNext/>
              <w:spacing w:before="120" w:after="120"/>
              <w:jc w:val="center"/>
              <w:textAlignment w:val="baseline"/>
              <w:rPr>
                <w:rFonts w:ascii="Arial" w:hAnsi="Arial"/>
              </w:rPr>
            </w:pPr>
            <w:r w:rsidRPr="00C35F8B">
              <w:rPr>
                <w:rFonts w:ascii="Arial" w:hAnsi="Arial"/>
                <w:b/>
                <w:bCs/>
                <w:color w:val="000000"/>
              </w:rPr>
              <w:t>Estimated 2021</w:t>
            </w:r>
            <w:r w:rsidRPr="00C35F8B">
              <w:rPr>
                <w:rFonts w:ascii="Arial" w:hAnsi="Arial"/>
                <w:b/>
                <w:bCs/>
              </w:rPr>
              <w:t>–</w:t>
            </w:r>
            <w:r w:rsidRPr="00C35F8B">
              <w:rPr>
                <w:rFonts w:ascii="Arial" w:hAnsi="Arial"/>
                <w:b/>
                <w:bCs/>
                <w:color w:val="000000"/>
              </w:rPr>
              <w:t>22 Pupil Population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83072" w14:textId="77777777" w:rsidR="00D50F99" w:rsidRPr="00C35F8B" w:rsidRDefault="00D50F99" w:rsidP="00CA47E5">
            <w:pPr>
              <w:keepNext/>
              <w:spacing w:before="120" w:after="120"/>
              <w:jc w:val="center"/>
              <w:textAlignment w:val="baseline"/>
              <w:rPr>
                <w:rFonts w:ascii="Arial" w:hAnsi="Arial"/>
              </w:rPr>
            </w:pPr>
            <w:r w:rsidRPr="00C35F8B">
              <w:rPr>
                <w:rFonts w:ascii="Arial" w:hAnsi="Arial"/>
                <w:b/>
                <w:bCs/>
                <w:color w:val="000000"/>
              </w:rPr>
              <w:t>Estimated Apportionment Cost</w:t>
            </w:r>
          </w:p>
        </w:tc>
      </w:tr>
      <w:tr w:rsidR="00D50F99" w:rsidRPr="00C35F8B" w14:paraId="569C6D52" w14:textId="77777777" w:rsidTr="0C2B62A3">
        <w:trPr>
          <w:cantSplit/>
          <w:trHeight w:val="900"/>
          <w:tblHeade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14AD5BBF" w14:textId="77777777" w:rsidR="00D50F99" w:rsidRPr="00C35F8B" w:rsidRDefault="00D50F99" w:rsidP="00B10E79">
            <w:pPr>
              <w:spacing w:before="120" w:after="120"/>
              <w:textAlignment w:val="baseline"/>
              <w:rPr>
                <w:rFonts w:ascii="Arial" w:hAnsi="Arial"/>
              </w:rPr>
            </w:pPr>
            <w:r w:rsidRPr="00C35F8B">
              <w:rPr>
                <w:rFonts w:ascii="Arial" w:hAnsi="Arial"/>
                <w:color w:val="000000"/>
              </w:rPr>
              <w:t>Smarter Balanced Summative Assessments for English Language Arts/Literacy (ELA) and</w:t>
            </w:r>
            <w:r w:rsidR="00A65341" w:rsidRPr="00C35F8B">
              <w:rPr>
                <w:rFonts w:ascii="Arial" w:hAnsi="Arial"/>
                <w:color w:val="000000"/>
              </w:rPr>
              <w:t>/or</w:t>
            </w:r>
            <w:r w:rsidRPr="00C35F8B">
              <w:rPr>
                <w:rFonts w:ascii="Arial" w:hAnsi="Arial"/>
                <w:color w:val="000000"/>
              </w:rPr>
              <w:t xml:space="preserve"> Mathematics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9A56203" w14:textId="77777777" w:rsidR="00D50F99" w:rsidRPr="00C35F8B" w:rsidRDefault="00D50F99" w:rsidP="00643416">
            <w:pPr>
              <w:tabs>
                <w:tab w:val="decimal" w:pos="1066"/>
              </w:tabs>
              <w:spacing w:before="120" w:after="120"/>
              <w:textAlignment w:val="baseline"/>
              <w:rPr>
                <w:rFonts w:ascii="Arial" w:hAnsi="Arial"/>
              </w:rPr>
            </w:pPr>
            <w:r w:rsidRPr="00C35F8B">
              <w:rPr>
                <w:rFonts w:ascii="Arial" w:hAnsi="Arial"/>
                <w:color w:val="000000"/>
              </w:rPr>
              <w:t>$4.00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8ADECB3" w14:textId="77777777" w:rsidR="00D50F99" w:rsidRPr="00C35F8B" w:rsidRDefault="007A36B2" w:rsidP="00643416">
            <w:pPr>
              <w:tabs>
                <w:tab w:val="decimal" w:pos="1516"/>
              </w:tabs>
              <w:spacing w:before="120" w:after="120"/>
              <w:textAlignment w:val="baseline"/>
              <w:rPr>
                <w:rFonts w:ascii="Arial" w:hAnsi="Arial"/>
              </w:rPr>
            </w:pPr>
            <w:r w:rsidRPr="00C35F8B">
              <w:rPr>
                <w:rFonts w:ascii="Arial" w:hAnsi="Arial"/>
                <w:color w:val="000000"/>
              </w:rPr>
              <w:t>3,190,100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35E602E" w14:textId="77777777" w:rsidR="00D50F99" w:rsidRPr="00C35F8B" w:rsidRDefault="00D50F99" w:rsidP="00643416">
            <w:pPr>
              <w:tabs>
                <w:tab w:val="decimal" w:pos="1216"/>
              </w:tabs>
              <w:spacing w:before="120" w:after="120"/>
              <w:jc w:val="center"/>
              <w:textAlignment w:val="baseline"/>
              <w:rPr>
                <w:rFonts w:ascii="Arial" w:hAnsi="Arial"/>
              </w:rPr>
            </w:pPr>
            <w:r w:rsidRPr="00C35F8B">
              <w:rPr>
                <w:rFonts w:ascii="Arial" w:hAnsi="Arial"/>
                <w:color w:val="000000"/>
              </w:rPr>
              <w:t>$</w:t>
            </w:r>
            <w:r w:rsidR="00E96D77" w:rsidRPr="00C35F8B">
              <w:rPr>
                <w:rFonts w:ascii="Arial" w:hAnsi="Arial"/>
                <w:color w:val="000000"/>
              </w:rPr>
              <w:t>12,760,400</w:t>
            </w:r>
          </w:p>
        </w:tc>
      </w:tr>
      <w:tr w:rsidR="00D50F99" w:rsidRPr="00C35F8B" w14:paraId="532E9F79" w14:textId="77777777" w:rsidTr="0C2B62A3">
        <w:trPr>
          <w:cantSplit/>
          <w:trHeight w:val="435"/>
          <w:tblHeade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4A1ACDDC" w14:textId="77777777" w:rsidR="00D50F99" w:rsidRPr="00C35F8B" w:rsidRDefault="00D50F99" w:rsidP="00B10E79">
            <w:pPr>
              <w:spacing w:before="120" w:after="120"/>
              <w:textAlignment w:val="baseline"/>
              <w:rPr>
                <w:rFonts w:ascii="Arial" w:hAnsi="Arial"/>
              </w:rPr>
            </w:pPr>
            <w:r w:rsidRPr="00C35F8B">
              <w:rPr>
                <w:rFonts w:ascii="Arial" w:hAnsi="Arial"/>
                <w:color w:val="000000"/>
              </w:rPr>
              <w:t>California Science Test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158606B" w14:textId="77777777" w:rsidR="00D50F99" w:rsidRPr="00C35F8B" w:rsidRDefault="00D50F99" w:rsidP="00643416">
            <w:pPr>
              <w:tabs>
                <w:tab w:val="decimal" w:pos="1066"/>
              </w:tabs>
              <w:spacing w:before="120" w:after="120"/>
              <w:textAlignment w:val="baseline"/>
              <w:rPr>
                <w:rFonts w:ascii="Arial" w:hAnsi="Arial"/>
              </w:rPr>
            </w:pPr>
            <w:r w:rsidRPr="00C35F8B">
              <w:rPr>
                <w:rFonts w:ascii="Arial" w:hAnsi="Arial"/>
                <w:color w:val="000000"/>
              </w:rPr>
              <w:t>$2.00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677A723" w14:textId="77777777" w:rsidR="00D50F99" w:rsidRPr="00C35F8B" w:rsidRDefault="00D50F99" w:rsidP="00643416">
            <w:pPr>
              <w:tabs>
                <w:tab w:val="decimal" w:pos="1516"/>
              </w:tabs>
              <w:spacing w:before="120" w:after="120"/>
              <w:textAlignment w:val="baseline"/>
              <w:rPr>
                <w:rFonts w:ascii="Arial" w:hAnsi="Arial"/>
              </w:rPr>
            </w:pPr>
            <w:r w:rsidRPr="00C35F8B">
              <w:rPr>
                <w:rFonts w:ascii="Arial" w:hAnsi="Arial"/>
                <w:color w:val="000000"/>
              </w:rPr>
              <w:t>1,</w:t>
            </w:r>
            <w:r w:rsidR="00F25A2E" w:rsidRPr="00C35F8B">
              <w:rPr>
                <w:rFonts w:ascii="Arial" w:hAnsi="Arial"/>
                <w:color w:val="000000"/>
              </w:rPr>
              <w:t>504</w:t>
            </w:r>
            <w:r w:rsidR="00595BF2" w:rsidRPr="00C35F8B">
              <w:rPr>
                <w:rFonts w:ascii="Arial" w:hAnsi="Arial"/>
                <w:color w:val="000000"/>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753C162" w14:textId="77777777" w:rsidR="00D50F99" w:rsidRPr="00C35F8B" w:rsidRDefault="00D50F99" w:rsidP="00643416">
            <w:pPr>
              <w:tabs>
                <w:tab w:val="decimal" w:pos="1216"/>
              </w:tabs>
              <w:spacing w:before="120" w:after="120"/>
              <w:jc w:val="center"/>
              <w:textAlignment w:val="baseline"/>
              <w:rPr>
                <w:rFonts w:ascii="Arial" w:hAnsi="Arial"/>
              </w:rPr>
            </w:pPr>
            <w:r w:rsidRPr="00C35F8B">
              <w:rPr>
                <w:rFonts w:ascii="Arial" w:hAnsi="Arial"/>
                <w:color w:val="000000"/>
              </w:rPr>
              <w:t>$</w:t>
            </w:r>
            <w:r w:rsidR="00F25A2E" w:rsidRPr="00C35F8B">
              <w:rPr>
                <w:rFonts w:ascii="Arial" w:hAnsi="Arial"/>
                <w:color w:val="000000"/>
              </w:rPr>
              <w:t>3,008</w:t>
            </w:r>
            <w:r w:rsidR="00595BF2" w:rsidRPr="00C35F8B">
              <w:rPr>
                <w:rFonts w:ascii="Arial" w:hAnsi="Arial"/>
                <w:color w:val="000000"/>
              </w:rPr>
              <w:t>,000</w:t>
            </w:r>
          </w:p>
        </w:tc>
      </w:tr>
      <w:tr w:rsidR="00D50F99" w:rsidRPr="00C35F8B" w14:paraId="266EB952" w14:textId="77777777" w:rsidTr="0C2B62A3">
        <w:trPr>
          <w:cantSplit/>
          <w:trHeight w:val="615"/>
          <w:tblHeade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3EA8BAC0" w14:textId="77777777" w:rsidR="00D50F99" w:rsidRPr="00C35F8B" w:rsidRDefault="00D50F99" w:rsidP="00B10E79">
            <w:pPr>
              <w:spacing w:before="120" w:after="120"/>
              <w:textAlignment w:val="baseline"/>
              <w:rPr>
                <w:rFonts w:ascii="Arial" w:hAnsi="Arial"/>
              </w:rPr>
            </w:pPr>
            <w:r w:rsidRPr="00C35F8B">
              <w:rPr>
                <w:rFonts w:ascii="Arial" w:hAnsi="Arial"/>
                <w:color w:val="000000"/>
              </w:rPr>
              <w:t>California Spanish Assessment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A1130C3" w14:textId="77777777" w:rsidR="00D50F99" w:rsidRPr="00C35F8B" w:rsidRDefault="00D50F99" w:rsidP="00643416">
            <w:pPr>
              <w:tabs>
                <w:tab w:val="decimal" w:pos="1066"/>
              </w:tabs>
              <w:spacing w:before="120" w:after="120"/>
              <w:textAlignment w:val="baseline"/>
              <w:rPr>
                <w:rFonts w:ascii="Arial" w:hAnsi="Arial"/>
              </w:rPr>
            </w:pPr>
            <w:r w:rsidRPr="00C35F8B">
              <w:rPr>
                <w:rFonts w:ascii="Arial" w:hAnsi="Arial"/>
                <w:color w:val="000000"/>
              </w:rPr>
              <w:t>$5.00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088A0F3" w14:textId="77777777" w:rsidR="00D50F99" w:rsidRPr="00C35F8B" w:rsidRDefault="00B70D24" w:rsidP="00643416">
            <w:pPr>
              <w:tabs>
                <w:tab w:val="decimal" w:pos="1516"/>
              </w:tabs>
              <w:spacing w:before="120" w:after="120"/>
              <w:textAlignment w:val="baseline"/>
              <w:rPr>
                <w:rFonts w:ascii="Arial" w:hAnsi="Arial"/>
                <w:color w:val="000000" w:themeColor="text1"/>
              </w:rPr>
            </w:pPr>
            <w:r w:rsidRPr="00C35F8B">
              <w:rPr>
                <w:rFonts w:ascii="Arial" w:hAnsi="Arial"/>
                <w:color w:val="000000" w:themeColor="text1"/>
              </w:rPr>
              <w:t>30</w:t>
            </w:r>
            <w:r w:rsidR="00D50F99" w:rsidRPr="00C35F8B">
              <w:rPr>
                <w:rFonts w:ascii="Arial" w:hAnsi="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4936AA4" w14:textId="77777777" w:rsidR="00D50F99" w:rsidRPr="00C35F8B" w:rsidRDefault="00D50F99" w:rsidP="00643416">
            <w:pPr>
              <w:tabs>
                <w:tab w:val="decimal" w:pos="1216"/>
              </w:tabs>
              <w:spacing w:before="120" w:after="120"/>
              <w:jc w:val="center"/>
              <w:textAlignment w:val="baseline"/>
              <w:rPr>
                <w:rFonts w:ascii="Arial" w:hAnsi="Arial"/>
              </w:rPr>
            </w:pPr>
            <w:r w:rsidRPr="00C35F8B">
              <w:rPr>
                <w:rFonts w:ascii="Arial" w:hAnsi="Arial"/>
                <w:color w:val="000000"/>
              </w:rPr>
              <w:t>$</w:t>
            </w:r>
            <w:r w:rsidR="00E96D77" w:rsidRPr="00C35F8B">
              <w:rPr>
                <w:rFonts w:ascii="Arial" w:hAnsi="Arial"/>
                <w:color w:val="000000"/>
              </w:rPr>
              <w:t>150</w:t>
            </w:r>
            <w:r w:rsidRPr="00C35F8B">
              <w:rPr>
                <w:rFonts w:ascii="Arial" w:hAnsi="Arial"/>
                <w:color w:val="000000"/>
              </w:rPr>
              <w:t>,000</w:t>
            </w:r>
          </w:p>
        </w:tc>
      </w:tr>
      <w:tr w:rsidR="00D50F99" w:rsidRPr="00C35F8B" w14:paraId="20ECB8CD" w14:textId="77777777" w:rsidTr="0C2B62A3">
        <w:trPr>
          <w:cantSplit/>
          <w:trHeight w:val="300"/>
          <w:tblHeade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00C84AEC" w14:textId="77777777" w:rsidR="00D50F99" w:rsidRPr="00C35F8B" w:rsidRDefault="00D50F99" w:rsidP="00B10E79">
            <w:pPr>
              <w:spacing w:before="120" w:after="120"/>
              <w:textAlignment w:val="baseline"/>
              <w:rPr>
                <w:rFonts w:ascii="Arial" w:hAnsi="Arial"/>
              </w:rPr>
            </w:pPr>
            <w:r w:rsidRPr="00C35F8B">
              <w:rPr>
                <w:rFonts w:ascii="Arial" w:hAnsi="Arial"/>
                <w:color w:val="000000"/>
              </w:rPr>
              <w:t>California Alternate Assessments (CAAs) for ELA and</w:t>
            </w:r>
            <w:r w:rsidR="00A65341" w:rsidRPr="00C35F8B">
              <w:rPr>
                <w:rFonts w:ascii="Arial" w:hAnsi="Arial"/>
                <w:color w:val="000000"/>
              </w:rPr>
              <w:t>/or</w:t>
            </w:r>
            <w:r w:rsidRPr="00C35F8B">
              <w:rPr>
                <w:rFonts w:ascii="Arial" w:hAnsi="Arial"/>
                <w:color w:val="000000"/>
              </w:rPr>
              <w:t xml:space="preserve"> Mathematics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EEEE1D4" w14:textId="77777777" w:rsidR="00D50F99" w:rsidRPr="00C35F8B" w:rsidRDefault="00D50F99" w:rsidP="00643416">
            <w:pPr>
              <w:tabs>
                <w:tab w:val="decimal" w:pos="1066"/>
              </w:tabs>
              <w:spacing w:before="120" w:after="120"/>
              <w:textAlignment w:val="baseline"/>
              <w:rPr>
                <w:rFonts w:ascii="Arial" w:hAnsi="Arial"/>
              </w:rPr>
            </w:pPr>
            <w:r w:rsidRPr="00C35F8B">
              <w:rPr>
                <w:rFonts w:ascii="Arial" w:hAnsi="Arial"/>
                <w:color w:val="000000"/>
              </w:rPr>
              <w:t>$5.00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D5A4E4B" w14:textId="77777777" w:rsidR="00D50F99" w:rsidRPr="00C35F8B" w:rsidRDefault="00595BF2" w:rsidP="00643416">
            <w:pPr>
              <w:tabs>
                <w:tab w:val="decimal" w:pos="1516"/>
              </w:tabs>
              <w:spacing w:before="120" w:after="120"/>
              <w:textAlignment w:val="baseline"/>
              <w:rPr>
                <w:rFonts w:ascii="Arial" w:hAnsi="Arial"/>
                <w:color w:val="000000" w:themeColor="text1"/>
              </w:rPr>
            </w:pPr>
            <w:r w:rsidRPr="00C35F8B">
              <w:rPr>
                <w:rFonts w:ascii="Arial" w:hAnsi="Arial"/>
                <w:color w:val="000000" w:themeColor="text1"/>
              </w:rPr>
              <w:t>32</w:t>
            </w:r>
            <w:r w:rsidR="00A563CD" w:rsidRPr="00C35F8B">
              <w:rPr>
                <w:rFonts w:ascii="Arial" w:hAnsi="Arial"/>
                <w:color w:val="000000" w:themeColor="text1"/>
              </w:rPr>
              <w:t>,</w:t>
            </w:r>
            <w:r w:rsidRPr="00C35F8B">
              <w:rPr>
                <w:rFonts w:ascii="Arial" w:hAnsi="Arial"/>
                <w:color w:val="000000" w:themeColor="text1"/>
              </w:rPr>
              <w:t>0</w:t>
            </w:r>
            <w:r w:rsidR="002E58B6" w:rsidRPr="00C35F8B">
              <w:rPr>
                <w:rFonts w:ascii="Arial" w:hAnsi="Arial"/>
                <w:color w:val="000000" w:themeColor="text1"/>
              </w:rPr>
              <w:t>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C7A7524" w14:textId="77777777" w:rsidR="00D50F99" w:rsidRPr="00C35F8B" w:rsidRDefault="00D50F99" w:rsidP="00643416">
            <w:pPr>
              <w:tabs>
                <w:tab w:val="decimal" w:pos="1216"/>
              </w:tabs>
              <w:spacing w:before="120" w:after="120"/>
              <w:jc w:val="center"/>
              <w:textAlignment w:val="baseline"/>
              <w:rPr>
                <w:rFonts w:ascii="Arial" w:hAnsi="Arial"/>
              </w:rPr>
            </w:pPr>
            <w:r w:rsidRPr="00C35F8B">
              <w:rPr>
                <w:rFonts w:ascii="Arial" w:hAnsi="Arial"/>
                <w:color w:val="000000"/>
              </w:rPr>
              <w:t>$</w:t>
            </w:r>
            <w:r w:rsidR="005D75DA" w:rsidRPr="00C35F8B">
              <w:rPr>
                <w:rFonts w:ascii="Arial" w:hAnsi="Arial"/>
                <w:color w:val="000000"/>
              </w:rPr>
              <w:t>160,000</w:t>
            </w:r>
          </w:p>
        </w:tc>
      </w:tr>
      <w:tr w:rsidR="00D50F99" w:rsidRPr="00C35F8B" w14:paraId="74416173" w14:textId="77777777" w:rsidTr="0C2B62A3">
        <w:trPr>
          <w:cantSplit/>
          <w:trHeight w:val="705"/>
          <w:tblHeade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347A5854" w14:textId="77777777" w:rsidR="00D50F99" w:rsidRPr="00C35F8B" w:rsidRDefault="00D50F99" w:rsidP="00B10E79">
            <w:pPr>
              <w:spacing w:before="120" w:after="120"/>
              <w:textAlignment w:val="baseline"/>
              <w:rPr>
                <w:rFonts w:ascii="Arial" w:hAnsi="Arial"/>
              </w:rPr>
            </w:pPr>
            <w:r w:rsidRPr="00C35F8B">
              <w:rPr>
                <w:rFonts w:ascii="Arial" w:hAnsi="Arial"/>
                <w:color w:val="000000"/>
              </w:rPr>
              <w:t>CAA for Science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49B6FC6" w14:textId="77777777" w:rsidR="00D50F99" w:rsidRPr="00C35F8B" w:rsidRDefault="00D50F99" w:rsidP="00643416">
            <w:pPr>
              <w:tabs>
                <w:tab w:val="decimal" w:pos="1066"/>
              </w:tabs>
              <w:spacing w:before="120" w:after="120"/>
              <w:textAlignment w:val="baseline"/>
              <w:rPr>
                <w:rFonts w:ascii="Arial" w:hAnsi="Arial"/>
              </w:rPr>
            </w:pPr>
            <w:r w:rsidRPr="00C35F8B">
              <w:rPr>
                <w:rFonts w:ascii="Arial" w:hAnsi="Arial"/>
                <w:color w:val="000000"/>
              </w:rPr>
              <w:t>$5.00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A1BCFED" w14:textId="75A4E765" w:rsidR="00D50F99" w:rsidRPr="00C35F8B" w:rsidRDefault="707287A5" w:rsidP="00643416">
            <w:pPr>
              <w:tabs>
                <w:tab w:val="decimal" w:pos="1516"/>
              </w:tabs>
              <w:spacing w:before="120" w:after="120"/>
              <w:textAlignment w:val="baseline"/>
              <w:rPr>
                <w:rFonts w:ascii="Arial" w:hAnsi="Arial"/>
              </w:rPr>
            </w:pPr>
            <w:r w:rsidRPr="00C35F8B">
              <w:rPr>
                <w:rFonts w:ascii="Arial" w:hAnsi="Arial"/>
                <w:color w:val="000000" w:themeColor="text1"/>
              </w:rPr>
              <w:t>15,500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8049E80" w14:textId="77777777" w:rsidR="00D50F99" w:rsidRPr="00C35F8B" w:rsidRDefault="00D50F99" w:rsidP="00643416">
            <w:pPr>
              <w:tabs>
                <w:tab w:val="decimal" w:pos="1216"/>
              </w:tabs>
              <w:spacing w:before="120" w:after="120"/>
              <w:jc w:val="center"/>
              <w:textAlignment w:val="baseline"/>
              <w:rPr>
                <w:rFonts w:ascii="Arial" w:hAnsi="Arial"/>
              </w:rPr>
            </w:pPr>
            <w:r w:rsidRPr="00C35F8B">
              <w:rPr>
                <w:rFonts w:ascii="Arial" w:hAnsi="Arial"/>
                <w:color w:val="000000"/>
              </w:rPr>
              <w:t>$77,500</w:t>
            </w:r>
          </w:p>
        </w:tc>
      </w:tr>
      <w:tr w:rsidR="00D50F99" w:rsidRPr="00C35F8B" w14:paraId="02FCAC0D" w14:textId="77777777" w:rsidTr="0C2B62A3">
        <w:trPr>
          <w:cantSplit/>
          <w:trHeight w:val="615"/>
          <w:tblHeade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0B446786" w14:textId="77777777" w:rsidR="00D50F99" w:rsidRPr="00C35F8B" w:rsidRDefault="00D50F99" w:rsidP="00B10E79">
            <w:pPr>
              <w:spacing w:before="120" w:after="120"/>
              <w:textAlignment w:val="baseline"/>
              <w:rPr>
                <w:rFonts w:ascii="Arial" w:hAnsi="Arial"/>
              </w:rPr>
            </w:pPr>
            <w:r w:rsidRPr="00C35F8B">
              <w:rPr>
                <w:rFonts w:ascii="Arial" w:hAnsi="Arial"/>
                <w:color w:val="000000"/>
              </w:rPr>
              <w:t xml:space="preserve">Grade two diagnostic assessments for ELA </w:t>
            </w:r>
            <w:r w:rsidR="003B6C5B" w:rsidRPr="00C35F8B">
              <w:rPr>
                <w:rFonts w:ascii="Arial" w:hAnsi="Arial"/>
                <w:color w:val="000000"/>
              </w:rPr>
              <w:t>and/</w:t>
            </w:r>
            <w:r w:rsidRPr="00C35F8B">
              <w:rPr>
                <w:rFonts w:ascii="Arial" w:hAnsi="Arial"/>
                <w:color w:val="000000"/>
              </w:rPr>
              <w:t>or mathematics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A444523" w14:textId="77777777" w:rsidR="00D50F99" w:rsidRPr="00C35F8B" w:rsidRDefault="00D50F99" w:rsidP="00643416">
            <w:pPr>
              <w:tabs>
                <w:tab w:val="decimal" w:pos="1066"/>
              </w:tabs>
              <w:spacing w:before="120" w:after="120"/>
              <w:textAlignment w:val="baseline"/>
              <w:rPr>
                <w:rFonts w:ascii="Arial" w:hAnsi="Arial"/>
              </w:rPr>
            </w:pPr>
            <w:r w:rsidRPr="00C35F8B">
              <w:rPr>
                <w:rFonts w:ascii="Arial" w:hAnsi="Arial"/>
                <w:color w:val="000000"/>
              </w:rPr>
              <w:t>$2.52</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81D382B" w14:textId="77777777" w:rsidR="00D50F99" w:rsidRPr="00C35F8B" w:rsidRDefault="00D50F99" w:rsidP="00643416">
            <w:pPr>
              <w:tabs>
                <w:tab w:val="decimal" w:pos="1516"/>
              </w:tabs>
              <w:spacing w:before="120" w:after="120"/>
              <w:textAlignment w:val="baseline"/>
              <w:rPr>
                <w:rFonts w:ascii="Arial" w:hAnsi="Arial"/>
              </w:rPr>
            </w:pPr>
            <w:r w:rsidRPr="00C35F8B">
              <w:rPr>
                <w:rFonts w:ascii="Arial" w:hAnsi="Arial"/>
                <w:color w:val="000000"/>
              </w:rPr>
              <w:t>4</w:t>
            </w:r>
            <w:r w:rsidR="000E5214" w:rsidRPr="00C35F8B">
              <w:rPr>
                <w:rFonts w:ascii="Arial" w:hAnsi="Arial"/>
                <w:color w:val="000000"/>
              </w:rPr>
              <w:t>23</w:t>
            </w:r>
            <w:r w:rsidRPr="00C35F8B">
              <w:rPr>
                <w:rFonts w:ascii="Arial" w:hAnsi="Arial"/>
                <w:color w:val="000000"/>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400850A" w14:textId="77777777" w:rsidR="00D50F99" w:rsidRPr="00C35F8B" w:rsidRDefault="00D50F99" w:rsidP="00643416">
            <w:pPr>
              <w:tabs>
                <w:tab w:val="decimal" w:pos="1216"/>
              </w:tabs>
              <w:spacing w:before="120" w:after="120"/>
              <w:jc w:val="center"/>
              <w:textAlignment w:val="baseline"/>
              <w:rPr>
                <w:rFonts w:ascii="Arial" w:hAnsi="Arial"/>
              </w:rPr>
            </w:pPr>
            <w:r w:rsidRPr="00C35F8B">
              <w:rPr>
                <w:rFonts w:ascii="Arial" w:hAnsi="Arial"/>
                <w:color w:val="000000"/>
              </w:rPr>
              <w:t>$1,</w:t>
            </w:r>
            <w:r w:rsidR="00C307E1" w:rsidRPr="00C35F8B">
              <w:rPr>
                <w:rFonts w:ascii="Arial" w:hAnsi="Arial"/>
                <w:color w:val="000000"/>
              </w:rPr>
              <w:t>065,960</w:t>
            </w:r>
          </w:p>
        </w:tc>
      </w:tr>
      <w:tr w:rsidR="00D50F99" w:rsidRPr="00C35F8B" w14:paraId="74891C7D" w14:textId="77777777" w:rsidTr="0C2B62A3">
        <w:trPr>
          <w:cantSplit/>
          <w:trHeight w:val="315"/>
          <w:tblHeade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326112EA" w14:textId="77777777" w:rsidR="00D50F99" w:rsidRPr="00C35F8B" w:rsidRDefault="00D50F99" w:rsidP="00B10E79">
            <w:pPr>
              <w:spacing w:before="120" w:after="120"/>
              <w:textAlignment w:val="baseline"/>
              <w:rPr>
                <w:rFonts w:ascii="Arial" w:hAnsi="Arial"/>
              </w:rPr>
            </w:pPr>
            <w:r w:rsidRPr="00C35F8B">
              <w:rPr>
                <w:rFonts w:ascii="Arial" w:hAnsi="Arial"/>
                <w:color w:val="000000"/>
              </w:rPr>
              <w:t>Students not tested due to medical emergency or parent/guardian exemptions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11F6A95" w14:textId="77777777" w:rsidR="00D50F99" w:rsidRPr="00C35F8B" w:rsidRDefault="00D50F99" w:rsidP="00643416">
            <w:pPr>
              <w:tabs>
                <w:tab w:val="decimal" w:pos="1066"/>
              </w:tabs>
              <w:spacing w:before="120" w:after="120"/>
              <w:textAlignment w:val="baseline"/>
              <w:rPr>
                <w:rFonts w:ascii="Arial" w:hAnsi="Arial"/>
              </w:rPr>
            </w:pPr>
            <w:r w:rsidRPr="00C35F8B">
              <w:rPr>
                <w:rFonts w:ascii="Arial" w:hAnsi="Arial"/>
                <w:color w:val="000000"/>
              </w:rPr>
              <w:t>$1.00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D48C33A" w14:textId="77777777" w:rsidR="00D50F99" w:rsidRPr="00C35F8B" w:rsidRDefault="00D50F99" w:rsidP="00643416">
            <w:pPr>
              <w:tabs>
                <w:tab w:val="decimal" w:pos="1516"/>
              </w:tabs>
              <w:spacing w:before="120" w:after="120"/>
              <w:textAlignment w:val="baseline"/>
              <w:rPr>
                <w:rFonts w:ascii="Arial" w:hAnsi="Arial"/>
              </w:rPr>
            </w:pPr>
            <w:r w:rsidRPr="00C35F8B">
              <w:rPr>
                <w:rFonts w:ascii="Arial" w:hAnsi="Arial"/>
                <w:color w:val="000000"/>
              </w:rPr>
              <w:t>24,000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B764D88" w14:textId="77777777" w:rsidR="00D50F99" w:rsidRPr="00C35F8B" w:rsidRDefault="00D50F99" w:rsidP="00643416">
            <w:pPr>
              <w:tabs>
                <w:tab w:val="decimal" w:pos="1216"/>
              </w:tabs>
              <w:spacing w:before="120" w:after="120"/>
              <w:jc w:val="center"/>
              <w:textAlignment w:val="baseline"/>
              <w:rPr>
                <w:rFonts w:ascii="Arial" w:hAnsi="Arial"/>
              </w:rPr>
            </w:pPr>
            <w:r w:rsidRPr="00C35F8B">
              <w:rPr>
                <w:rFonts w:ascii="Arial" w:hAnsi="Arial"/>
                <w:color w:val="000000"/>
              </w:rPr>
              <w:t>$24,000</w:t>
            </w:r>
          </w:p>
        </w:tc>
      </w:tr>
      <w:tr w:rsidR="00D50F99" w:rsidRPr="00C35F8B" w14:paraId="613D0E30" w14:textId="77777777" w:rsidTr="0C2B62A3">
        <w:trPr>
          <w:cantSplit/>
          <w:trHeight w:val="315"/>
          <w:tblHeade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4B16EF8E" w14:textId="77777777" w:rsidR="00D50F99" w:rsidRPr="00C35F8B" w:rsidRDefault="00D50F99" w:rsidP="00B10E79">
            <w:pPr>
              <w:spacing w:before="120" w:after="120"/>
              <w:textAlignment w:val="baseline"/>
              <w:rPr>
                <w:rFonts w:ascii="Arial" w:hAnsi="Arial"/>
              </w:rPr>
            </w:pPr>
            <w:r w:rsidRPr="00C35F8B">
              <w:rPr>
                <w:rFonts w:ascii="Arial" w:hAnsi="Arial"/>
                <w:b/>
                <w:bCs/>
                <w:color w:val="000000"/>
              </w:rPr>
              <w:t>Total:</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9F0F613" w14:textId="77777777" w:rsidR="00D50F99" w:rsidRPr="00C35F8B" w:rsidRDefault="00D50F99" w:rsidP="00B10E79">
            <w:pPr>
              <w:spacing w:before="120" w:after="120"/>
              <w:jc w:val="center"/>
              <w:textAlignment w:val="baseline"/>
              <w:rPr>
                <w:rFonts w:ascii="Arial" w:hAnsi="Arial"/>
              </w:rPr>
            </w:pPr>
            <w:r w:rsidRPr="00C35F8B">
              <w:rPr>
                <w:rFonts w:ascii="Arial" w:hAnsi="Arial"/>
                <w:color w:val="000000"/>
              </w:rPr>
              <w: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C1D086D" w14:textId="77777777" w:rsidR="00D50F99" w:rsidRPr="00C35F8B" w:rsidRDefault="00D50F99" w:rsidP="00B10E79">
            <w:pPr>
              <w:spacing w:before="120" w:after="120"/>
              <w:jc w:val="center"/>
              <w:textAlignment w:val="baseline"/>
              <w:rPr>
                <w:rFonts w:ascii="Arial" w:hAnsi="Arial"/>
              </w:rPr>
            </w:pPr>
            <w:r w:rsidRPr="00C35F8B">
              <w:rPr>
                <w:rFonts w:ascii="Arial" w:hAnsi="Arial"/>
                <w:color w:val="000000"/>
              </w:rPr>
              <w: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0D9090D" w14:textId="77777777" w:rsidR="00D50F99" w:rsidRPr="00C35F8B" w:rsidRDefault="00D50F99" w:rsidP="00643416">
            <w:pPr>
              <w:tabs>
                <w:tab w:val="decimal" w:pos="1216"/>
              </w:tabs>
              <w:spacing w:before="120" w:after="120"/>
              <w:jc w:val="center"/>
              <w:textAlignment w:val="baseline"/>
              <w:rPr>
                <w:rFonts w:ascii="Arial" w:hAnsi="Arial"/>
              </w:rPr>
            </w:pPr>
            <w:r w:rsidRPr="00C35F8B">
              <w:rPr>
                <w:rFonts w:ascii="Arial" w:hAnsi="Arial"/>
                <w:b/>
                <w:color w:val="000000" w:themeColor="text1"/>
              </w:rPr>
              <w:t>$17,</w:t>
            </w:r>
            <w:r w:rsidR="005D75DA" w:rsidRPr="00C35F8B">
              <w:rPr>
                <w:rFonts w:ascii="Arial" w:hAnsi="Arial"/>
                <w:b/>
                <w:bCs/>
                <w:color w:val="000000" w:themeColor="text1"/>
              </w:rPr>
              <w:t>245</w:t>
            </w:r>
            <w:r w:rsidR="005D75DA" w:rsidRPr="00C35F8B">
              <w:rPr>
                <w:rFonts w:ascii="Arial" w:hAnsi="Arial"/>
                <w:b/>
                <w:color w:val="000000" w:themeColor="text1"/>
              </w:rPr>
              <w:t>,860</w:t>
            </w:r>
          </w:p>
        </w:tc>
      </w:tr>
    </w:tbl>
    <w:p w14:paraId="7E5638CD" w14:textId="77777777" w:rsidR="00D50F99" w:rsidRPr="00C35F8B" w:rsidRDefault="00D50F99" w:rsidP="00D50F99">
      <w:pPr>
        <w:spacing w:before="240" w:after="240"/>
        <w:ind w:left="-630"/>
        <w:textAlignment w:val="baseline"/>
        <w:rPr>
          <w:rFonts w:ascii="Segoe UI" w:hAnsi="Segoe UI" w:cs="Segoe UI"/>
          <w:sz w:val="18"/>
          <w:szCs w:val="18"/>
        </w:rPr>
      </w:pPr>
      <w:r w:rsidRPr="00C35F8B">
        <w:rPr>
          <w:rFonts w:ascii="Segoe UI" w:hAnsi="Segoe UI" w:cs="Segoe UI"/>
          <w:sz w:val="18"/>
          <w:szCs w:val="18"/>
        </w:rPr>
        <w:br w:type="page"/>
      </w:r>
    </w:p>
    <w:p w14:paraId="4CCE09DB" w14:textId="77777777" w:rsidR="00903F88" w:rsidRPr="00C35F8B" w:rsidRDefault="00D50F99" w:rsidP="00487036">
      <w:pPr>
        <w:spacing w:before="240" w:after="240"/>
        <w:textAlignment w:val="baseline"/>
      </w:pPr>
      <w:r w:rsidRPr="00C35F8B">
        <w:rPr>
          <w:b/>
        </w:rPr>
        <w:lastRenderedPageBreak/>
        <w:t xml:space="preserve">Table 2. </w:t>
      </w:r>
      <w:r w:rsidRPr="00C35F8B">
        <w:rPr>
          <w:b/>
          <w:color w:val="000000"/>
        </w:rPr>
        <w:t>Proposed 2021</w:t>
      </w:r>
      <w:r w:rsidRPr="00C35F8B">
        <w:rPr>
          <w:b/>
        </w:rPr>
        <w:t>–</w:t>
      </w:r>
      <w:r w:rsidRPr="00C35F8B">
        <w:rPr>
          <w:b/>
          <w:color w:val="000000"/>
        </w:rPr>
        <w:t>22 ELPAC per-Pupil Apportionment Rates</w:t>
      </w:r>
      <w:r w:rsidR="006638EF" w:rsidRPr="00C35F8B">
        <w:rPr>
          <w:b/>
          <w:color w:val="000000"/>
        </w:rPr>
        <w:t>, Estimated Pupil Population,</w:t>
      </w:r>
      <w:r w:rsidRPr="00C35F8B">
        <w:rPr>
          <w:b/>
          <w:color w:val="000000"/>
        </w:rPr>
        <w:t xml:space="preserve"> and </w:t>
      </w:r>
      <w:r w:rsidR="006638EF" w:rsidRPr="00C35F8B">
        <w:rPr>
          <w:b/>
          <w:color w:val="000000"/>
        </w:rPr>
        <w:t xml:space="preserve">Estimated Apportionment </w:t>
      </w:r>
      <w:r w:rsidRPr="00C35F8B">
        <w:rPr>
          <w:b/>
          <w:color w:val="000000"/>
        </w:rPr>
        <w:t>Costs</w:t>
      </w:r>
    </w:p>
    <w:tbl>
      <w:tblPr>
        <w:tblStyle w:val="TableGrid1"/>
        <w:tblW w:w="9625" w:type="dxa"/>
        <w:tblInd w:w="0" w:type="dxa"/>
        <w:tblLayout w:type="fixed"/>
        <w:tblLook w:val="04A0" w:firstRow="1" w:lastRow="0" w:firstColumn="1" w:lastColumn="0" w:noHBand="0" w:noVBand="1"/>
        <w:tblDescription w:val="Table 2. Proposed 2021–22 ELPAC per-pupil apportionment rates, estimated pupil population, and estimated apportionment cost."/>
      </w:tblPr>
      <w:tblGrid>
        <w:gridCol w:w="2965"/>
        <w:gridCol w:w="2430"/>
        <w:gridCol w:w="2160"/>
        <w:gridCol w:w="2070"/>
      </w:tblGrid>
      <w:tr w:rsidR="00A510BA" w:rsidRPr="00C35F8B" w14:paraId="529CA8AE" w14:textId="77777777" w:rsidTr="0C2B62A3">
        <w:trPr>
          <w:cantSplit/>
          <w:trHeight w:val="20"/>
          <w:tblHead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5CFA4A" w14:textId="77777777" w:rsidR="00D50F99" w:rsidRPr="00C35F8B" w:rsidRDefault="00D50F99" w:rsidP="00B10E79">
            <w:pPr>
              <w:spacing w:before="120" w:after="120"/>
              <w:jc w:val="center"/>
              <w:textAlignment w:val="baseline"/>
              <w:rPr>
                <w:rFonts w:ascii="Arial" w:hAnsi="Arial"/>
              </w:rPr>
            </w:pPr>
            <w:r w:rsidRPr="00C35F8B">
              <w:rPr>
                <w:rFonts w:ascii="Arial" w:hAnsi="Arial"/>
                <w:b/>
                <w:bCs/>
                <w:color w:val="000000"/>
              </w:rPr>
              <w:t>ELPAC Assessments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FAB9A7" w14:textId="77777777" w:rsidR="00D50F99" w:rsidRPr="00C35F8B" w:rsidRDefault="00D50F99" w:rsidP="00B10E79">
            <w:pPr>
              <w:spacing w:before="120" w:after="120"/>
              <w:jc w:val="center"/>
              <w:textAlignment w:val="baseline"/>
              <w:rPr>
                <w:rFonts w:ascii="Arial" w:hAnsi="Arial"/>
              </w:rPr>
            </w:pPr>
            <w:r w:rsidRPr="00C35F8B">
              <w:rPr>
                <w:rFonts w:ascii="Arial" w:hAnsi="Arial"/>
                <w:b/>
                <w:bCs/>
                <w:color w:val="000000"/>
              </w:rPr>
              <w:t>Proposed per-Pupil Rate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B13488" w14:textId="77777777" w:rsidR="00D50F99" w:rsidRPr="00C35F8B" w:rsidRDefault="00D50F99" w:rsidP="00B10E79">
            <w:pPr>
              <w:spacing w:before="120" w:after="120"/>
              <w:jc w:val="center"/>
              <w:textAlignment w:val="baseline"/>
              <w:rPr>
                <w:rFonts w:ascii="Arial" w:hAnsi="Arial"/>
              </w:rPr>
            </w:pPr>
            <w:r w:rsidRPr="00C35F8B">
              <w:rPr>
                <w:rFonts w:ascii="Arial" w:hAnsi="Arial"/>
                <w:b/>
                <w:bCs/>
                <w:color w:val="000000"/>
              </w:rPr>
              <w:t>Estimated</w:t>
            </w:r>
            <w:r w:rsidR="00903F88" w:rsidRPr="00C35F8B">
              <w:rPr>
                <w:rFonts w:ascii="Arial" w:hAnsi="Arial"/>
                <w:b/>
                <w:bCs/>
                <w:color w:val="000000"/>
              </w:rPr>
              <w:br/>
            </w:r>
            <w:r w:rsidRPr="00C35F8B">
              <w:rPr>
                <w:rFonts w:ascii="Arial" w:hAnsi="Arial"/>
                <w:b/>
                <w:bCs/>
                <w:color w:val="000000"/>
              </w:rPr>
              <w:t>2021</w:t>
            </w:r>
            <w:r w:rsidRPr="00C35F8B">
              <w:rPr>
                <w:rFonts w:ascii="Arial" w:hAnsi="Arial"/>
                <w:b/>
                <w:bCs/>
              </w:rPr>
              <w:t>–</w:t>
            </w:r>
            <w:r w:rsidRPr="00C35F8B">
              <w:rPr>
                <w:rFonts w:ascii="Arial" w:hAnsi="Arial"/>
                <w:b/>
                <w:bCs/>
                <w:color w:val="000000"/>
              </w:rPr>
              <w:t xml:space="preserve">22 </w:t>
            </w:r>
            <w:r w:rsidR="004D721B" w:rsidRPr="00C35F8B">
              <w:rPr>
                <w:rFonts w:ascii="Arial" w:hAnsi="Arial"/>
                <w:b/>
                <w:bCs/>
                <w:color w:val="000000"/>
              </w:rPr>
              <w:t>Pupil</w:t>
            </w:r>
            <w:r w:rsidR="00E1136D" w:rsidRPr="00C35F8B">
              <w:rPr>
                <w:rFonts w:ascii="Arial" w:hAnsi="Arial"/>
                <w:b/>
                <w:bCs/>
                <w:color w:val="000000"/>
              </w:rPr>
              <w:t xml:space="preserve"> </w:t>
            </w:r>
            <w:r w:rsidRPr="00C35F8B">
              <w:rPr>
                <w:rFonts w:ascii="Arial" w:hAnsi="Arial"/>
                <w:b/>
                <w:bCs/>
                <w:color w:val="000000"/>
              </w:rPr>
              <w:t>Population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8F85D" w14:textId="77777777" w:rsidR="00D50F99" w:rsidRPr="00C35F8B" w:rsidRDefault="00D50F99" w:rsidP="00B10E79">
            <w:pPr>
              <w:spacing w:before="120" w:after="120"/>
              <w:jc w:val="center"/>
              <w:textAlignment w:val="baseline"/>
              <w:rPr>
                <w:rFonts w:ascii="Arial" w:hAnsi="Arial"/>
              </w:rPr>
            </w:pPr>
            <w:r w:rsidRPr="00C35F8B">
              <w:rPr>
                <w:rFonts w:ascii="Arial" w:hAnsi="Arial"/>
                <w:b/>
                <w:bCs/>
                <w:color w:val="000000"/>
              </w:rPr>
              <w:t>Estimated Apportionment Cost</w:t>
            </w:r>
          </w:p>
        </w:tc>
      </w:tr>
      <w:tr w:rsidR="002D7AE8" w:rsidRPr="00C35F8B" w14:paraId="3A454285" w14:textId="77777777" w:rsidTr="0C2B62A3">
        <w:trPr>
          <w:cantSplit/>
          <w:trHeight w:val="750"/>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5F000214" w14:textId="77777777" w:rsidR="00D50F99" w:rsidRPr="00C35F8B" w:rsidRDefault="00D50F99" w:rsidP="00B10E79">
            <w:pPr>
              <w:spacing w:before="120" w:after="120"/>
              <w:textAlignment w:val="baseline"/>
              <w:rPr>
                <w:rFonts w:ascii="Arial" w:hAnsi="Arial"/>
              </w:rPr>
            </w:pPr>
            <w:r w:rsidRPr="00C35F8B">
              <w:rPr>
                <w:rFonts w:ascii="Arial" w:hAnsi="Arial"/>
                <w:color w:val="000000"/>
              </w:rPr>
              <w:t>Initial</w:t>
            </w:r>
            <w:r w:rsidR="006278F0" w:rsidRPr="00C35F8B">
              <w:rPr>
                <w:rFonts w:ascii="Arial" w:hAnsi="Arial"/>
                <w:color w:val="000000"/>
              </w:rPr>
              <w:t>,</w:t>
            </w:r>
            <w:r w:rsidRPr="00C35F8B">
              <w:rPr>
                <w:rFonts w:ascii="Arial" w:hAnsi="Arial"/>
                <w:color w:val="000000"/>
              </w:rPr>
              <w:t xml:space="preserve"> kindergarten</w:t>
            </w:r>
            <w:r w:rsidR="006278F0" w:rsidRPr="00C35F8B">
              <w:rPr>
                <w:rFonts w:ascii="Arial" w:hAnsi="Arial"/>
                <w:color w:val="000000"/>
              </w:rPr>
              <w:t xml:space="preserve"> through </w:t>
            </w:r>
            <w:r w:rsidRPr="00C35F8B">
              <w:rPr>
                <w:rFonts w:ascii="Arial" w:hAnsi="Arial"/>
                <w:color w:val="000000"/>
              </w:rPr>
              <w:t>grade two (one-on-one administration)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E5C92E2" w14:textId="77777777" w:rsidR="00D50F99" w:rsidRPr="00C35F8B" w:rsidRDefault="00D50F99" w:rsidP="001C5093">
            <w:pPr>
              <w:tabs>
                <w:tab w:val="decimal" w:pos="1066"/>
              </w:tabs>
              <w:spacing w:before="120" w:after="120"/>
              <w:textAlignment w:val="baseline"/>
              <w:rPr>
                <w:rFonts w:ascii="Arial" w:hAnsi="Arial"/>
              </w:rPr>
            </w:pPr>
            <w:r w:rsidRPr="00C35F8B">
              <w:rPr>
                <w:rFonts w:ascii="Arial" w:hAnsi="Arial"/>
                <w:color w:val="000000"/>
              </w:rPr>
              <w:t>$5.50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07BA4DE" w14:textId="77777777" w:rsidR="00D50F99" w:rsidRPr="00C35F8B" w:rsidRDefault="00007B2D" w:rsidP="001C5093">
            <w:pPr>
              <w:tabs>
                <w:tab w:val="decimal" w:pos="1516"/>
              </w:tabs>
              <w:spacing w:before="120" w:after="120"/>
              <w:textAlignment w:val="baseline"/>
              <w:rPr>
                <w:rFonts w:ascii="Arial" w:hAnsi="Arial"/>
              </w:rPr>
            </w:pPr>
            <w:r w:rsidRPr="00C35F8B">
              <w:rPr>
                <w:rFonts w:ascii="Arial" w:hAnsi="Arial"/>
                <w:color w:val="000000" w:themeColor="text1"/>
              </w:rPr>
              <w:t>152</w:t>
            </w:r>
            <w:r w:rsidR="00D50F99" w:rsidRPr="00C35F8B">
              <w:rPr>
                <w:rFonts w:ascii="Arial" w:hAnsi="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270BE68" w14:textId="77777777" w:rsidR="00D50F99" w:rsidRPr="00C35F8B" w:rsidRDefault="00D50F99" w:rsidP="001C5093">
            <w:pPr>
              <w:tabs>
                <w:tab w:val="decimal" w:pos="1336"/>
              </w:tabs>
              <w:spacing w:before="120" w:after="120"/>
              <w:textAlignment w:val="baseline"/>
              <w:rPr>
                <w:rFonts w:ascii="Arial" w:hAnsi="Arial"/>
              </w:rPr>
            </w:pPr>
            <w:r w:rsidRPr="00C35F8B">
              <w:rPr>
                <w:rFonts w:ascii="Arial" w:hAnsi="Arial"/>
                <w:color w:val="000000"/>
              </w:rPr>
              <w:t>$</w:t>
            </w:r>
            <w:r w:rsidR="00902FD2" w:rsidRPr="00C35F8B">
              <w:rPr>
                <w:rFonts w:ascii="Arial" w:hAnsi="Arial"/>
                <w:color w:val="000000"/>
              </w:rPr>
              <w:t>836</w:t>
            </w:r>
            <w:r w:rsidRPr="00C35F8B">
              <w:rPr>
                <w:rFonts w:ascii="Arial" w:hAnsi="Arial"/>
                <w:color w:val="000000"/>
              </w:rPr>
              <w:t>,000</w:t>
            </w:r>
          </w:p>
        </w:tc>
      </w:tr>
      <w:tr w:rsidR="002D7AE8" w:rsidRPr="00C35F8B" w14:paraId="37356D22" w14:textId="77777777" w:rsidTr="0C2B62A3">
        <w:trPr>
          <w:cantSplit/>
          <w:trHeight w:val="630"/>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0E15BEA4" w14:textId="77777777" w:rsidR="00D50F99" w:rsidRPr="00C35F8B" w:rsidRDefault="00D50F99" w:rsidP="00B10E79">
            <w:pPr>
              <w:spacing w:before="120" w:after="120"/>
              <w:textAlignment w:val="baseline"/>
              <w:rPr>
                <w:rFonts w:ascii="Arial" w:hAnsi="Arial"/>
              </w:rPr>
            </w:pPr>
            <w:r w:rsidRPr="00C35F8B">
              <w:rPr>
                <w:rFonts w:ascii="Arial" w:hAnsi="Arial"/>
                <w:color w:val="000000"/>
              </w:rPr>
              <w:t>Initial, grades three</w:t>
            </w:r>
            <w:r w:rsidR="006278F0" w:rsidRPr="00C35F8B">
              <w:rPr>
                <w:rFonts w:ascii="Arial" w:hAnsi="Arial"/>
                <w:color w:val="000000"/>
              </w:rPr>
              <w:t xml:space="preserve"> through </w:t>
            </w:r>
            <w:r w:rsidRPr="00C35F8B">
              <w:rPr>
                <w:rFonts w:ascii="Arial" w:hAnsi="Arial"/>
                <w:color w:val="000000"/>
              </w:rPr>
              <w:t>twelve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33F4748" w14:textId="77777777" w:rsidR="00D50F99" w:rsidRPr="00C35F8B" w:rsidRDefault="00D50F99" w:rsidP="001C5093">
            <w:pPr>
              <w:tabs>
                <w:tab w:val="decimal" w:pos="1066"/>
              </w:tabs>
              <w:spacing w:before="120" w:after="120"/>
              <w:textAlignment w:val="baseline"/>
              <w:rPr>
                <w:rFonts w:ascii="Arial" w:hAnsi="Arial"/>
              </w:rPr>
            </w:pPr>
            <w:r w:rsidRPr="00C35F8B">
              <w:rPr>
                <w:rFonts w:ascii="Arial" w:hAnsi="Arial"/>
                <w:color w:val="000000"/>
              </w:rPr>
              <w:t>$5.00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D9E8DB7" w14:textId="55244507" w:rsidR="00D50F99" w:rsidRPr="00C35F8B" w:rsidRDefault="55CFCEC6" w:rsidP="001C5093">
            <w:pPr>
              <w:tabs>
                <w:tab w:val="decimal" w:pos="1516"/>
              </w:tabs>
              <w:spacing w:before="120" w:after="120"/>
              <w:textAlignment w:val="baseline"/>
              <w:rPr>
                <w:rFonts w:ascii="Arial" w:hAnsi="Arial"/>
              </w:rPr>
            </w:pPr>
            <w:r w:rsidRPr="00C35F8B">
              <w:rPr>
                <w:rFonts w:ascii="Arial" w:hAnsi="Arial"/>
                <w:color w:val="000000" w:themeColor="text1"/>
              </w:rPr>
              <w:t>50,000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6AF895D" w14:textId="77777777" w:rsidR="00D50F99" w:rsidRPr="00C35F8B" w:rsidRDefault="00D50F99" w:rsidP="001C5093">
            <w:pPr>
              <w:tabs>
                <w:tab w:val="decimal" w:pos="1336"/>
              </w:tabs>
              <w:spacing w:before="120" w:after="120"/>
              <w:textAlignment w:val="baseline"/>
              <w:rPr>
                <w:rFonts w:ascii="Arial" w:hAnsi="Arial"/>
              </w:rPr>
            </w:pPr>
            <w:r w:rsidRPr="00C35F8B">
              <w:rPr>
                <w:rFonts w:ascii="Arial" w:hAnsi="Arial"/>
                <w:color w:val="000000"/>
              </w:rPr>
              <w:t>$</w:t>
            </w:r>
            <w:r w:rsidR="00E11743" w:rsidRPr="00C35F8B">
              <w:rPr>
                <w:rFonts w:ascii="Arial" w:hAnsi="Arial"/>
                <w:color w:val="000000"/>
              </w:rPr>
              <w:t>250</w:t>
            </w:r>
            <w:r w:rsidRPr="00C35F8B">
              <w:rPr>
                <w:rFonts w:ascii="Arial" w:hAnsi="Arial"/>
                <w:color w:val="000000"/>
              </w:rPr>
              <w:t>,000</w:t>
            </w:r>
          </w:p>
        </w:tc>
      </w:tr>
      <w:tr w:rsidR="002D7AE8" w:rsidRPr="00C35F8B" w14:paraId="74DFABF3" w14:textId="77777777" w:rsidTr="0C2B62A3">
        <w:trPr>
          <w:cantSplit/>
          <w:trHeight w:val="885"/>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17A87B9C" w14:textId="77777777" w:rsidR="00D50F99" w:rsidRPr="00C35F8B" w:rsidRDefault="00D50F99" w:rsidP="00B10E79">
            <w:pPr>
              <w:spacing w:before="120" w:after="120"/>
              <w:textAlignment w:val="baseline"/>
              <w:rPr>
                <w:rFonts w:ascii="Arial" w:hAnsi="Arial"/>
              </w:rPr>
            </w:pPr>
            <w:r w:rsidRPr="00C35F8B">
              <w:rPr>
                <w:rFonts w:ascii="Arial" w:hAnsi="Arial"/>
                <w:color w:val="000000" w:themeColor="text1"/>
              </w:rPr>
              <w:t>Initial Rotating Score Validation Process, kindergarten</w:t>
            </w:r>
            <w:r w:rsidR="006278F0" w:rsidRPr="00C35F8B">
              <w:rPr>
                <w:rFonts w:ascii="Arial" w:hAnsi="Arial"/>
                <w:color w:val="000000" w:themeColor="text1"/>
              </w:rPr>
              <w:t xml:space="preserve"> through grade </w:t>
            </w:r>
            <w:r w:rsidRPr="00C35F8B">
              <w:rPr>
                <w:rFonts w:ascii="Arial" w:hAnsi="Arial"/>
                <w:color w:val="000000" w:themeColor="text1"/>
              </w:rPr>
              <w:t>twelve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59AC360" w14:textId="77777777" w:rsidR="00D50F99" w:rsidRPr="00C35F8B" w:rsidRDefault="00D50F99" w:rsidP="001C5093">
            <w:pPr>
              <w:tabs>
                <w:tab w:val="decimal" w:pos="1066"/>
              </w:tabs>
              <w:spacing w:before="120" w:after="120"/>
              <w:textAlignment w:val="baseline"/>
              <w:rPr>
                <w:rFonts w:ascii="Arial" w:hAnsi="Arial"/>
              </w:rPr>
            </w:pPr>
            <w:r w:rsidRPr="00C35F8B">
              <w:rPr>
                <w:rFonts w:ascii="Arial" w:hAnsi="Arial"/>
                <w:color w:val="000000"/>
              </w:rPr>
              <w:t>$0.50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D45FA18" w14:textId="77777777" w:rsidR="00D50F99" w:rsidRPr="00C35F8B" w:rsidRDefault="00D50F99" w:rsidP="001C5093">
            <w:pPr>
              <w:tabs>
                <w:tab w:val="decimal" w:pos="1516"/>
              </w:tabs>
              <w:spacing w:before="120" w:after="120"/>
              <w:textAlignment w:val="baseline"/>
              <w:rPr>
                <w:rFonts w:ascii="Arial" w:hAnsi="Arial"/>
              </w:rPr>
            </w:pPr>
            <w:r w:rsidRPr="00C35F8B">
              <w:rPr>
                <w:rFonts w:ascii="Arial" w:hAnsi="Arial"/>
                <w:color w:val="000000"/>
              </w:rPr>
              <w:t>23,000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0981162" w14:textId="77777777" w:rsidR="00D50F99" w:rsidRPr="00C35F8B" w:rsidRDefault="00D50F99" w:rsidP="001C5093">
            <w:pPr>
              <w:tabs>
                <w:tab w:val="decimal" w:pos="1336"/>
              </w:tabs>
              <w:spacing w:before="120" w:after="120"/>
              <w:textAlignment w:val="baseline"/>
              <w:rPr>
                <w:rFonts w:ascii="Arial" w:hAnsi="Arial"/>
              </w:rPr>
            </w:pPr>
            <w:r w:rsidRPr="00C35F8B">
              <w:rPr>
                <w:rFonts w:ascii="Arial" w:hAnsi="Arial"/>
                <w:color w:val="000000"/>
              </w:rPr>
              <w:t>$11,500</w:t>
            </w:r>
          </w:p>
        </w:tc>
      </w:tr>
      <w:tr w:rsidR="002D7AE8" w:rsidRPr="00C35F8B" w14:paraId="7AECE11E" w14:textId="77777777" w:rsidTr="0C2B62A3">
        <w:trPr>
          <w:cantSplit/>
          <w:trHeight w:val="435"/>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43D470D4" w14:textId="77777777" w:rsidR="00D50F99" w:rsidRPr="00C35F8B" w:rsidRDefault="00D50F99" w:rsidP="00B10E79">
            <w:pPr>
              <w:spacing w:before="120" w:after="120"/>
              <w:textAlignment w:val="baseline"/>
              <w:rPr>
                <w:rFonts w:ascii="Arial" w:hAnsi="Arial"/>
              </w:rPr>
            </w:pPr>
            <w:r w:rsidRPr="00C35F8B">
              <w:rPr>
                <w:rFonts w:ascii="Arial" w:hAnsi="Arial"/>
                <w:color w:val="000000" w:themeColor="text1"/>
              </w:rPr>
              <w:t>Summative, kindergarten</w:t>
            </w:r>
            <w:r w:rsidR="006278F0" w:rsidRPr="00C35F8B">
              <w:rPr>
                <w:rFonts w:ascii="Arial" w:hAnsi="Arial"/>
                <w:color w:val="000000" w:themeColor="text1"/>
              </w:rPr>
              <w:t xml:space="preserve"> through </w:t>
            </w:r>
            <w:r w:rsidRPr="00C35F8B">
              <w:rPr>
                <w:rFonts w:ascii="Arial" w:hAnsi="Arial"/>
                <w:color w:val="000000" w:themeColor="text1"/>
              </w:rPr>
              <w:t>grade two (one-on-one administration)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7F9500E" w14:textId="77777777" w:rsidR="00D50F99" w:rsidRPr="00C35F8B" w:rsidRDefault="00D50F99" w:rsidP="001C5093">
            <w:pPr>
              <w:tabs>
                <w:tab w:val="decimal" w:pos="1066"/>
              </w:tabs>
              <w:spacing w:before="120" w:after="120"/>
              <w:textAlignment w:val="baseline"/>
              <w:rPr>
                <w:rFonts w:ascii="Arial" w:hAnsi="Arial"/>
              </w:rPr>
            </w:pPr>
            <w:r w:rsidRPr="00C35F8B">
              <w:rPr>
                <w:rFonts w:ascii="Arial" w:hAnsi="Arial"/>
                <w:color w:val="000000" w:themeColor="text1"/>
              </w:rPr>
              <w:t>$5.50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280F729" w14:textId="77777777" w:rsidR="00D50F99" w:rsidRPr="00C35F8B" w:rsidRDefault="002E58B6" w:rsidP="008D71EF">
            <w:pPr>
              <w:tabs>
                <w:tab w:val="decimal" w:pos="1516"/>
              </w:tabs>
              <w:spacing w:before="120" w:after="120"/>
              <w:textAlignment w:val="baseline"/>
              <w:rPr>
                <w:rFonts w:ascii="Arial" w:hAnsi="Arial"/>
              </w:rPr>
            </w:pPr>
            <w:r w:rsidRPr="00C35F8B">
              <w:rPr>
                <w:rFonts w:ascii="Arial" w:hAnsi="Arial"/>
                <w:color w:val="000000" w:themeColor="text1"/>
              </w:rPr>
              <w:t>3</w:t>
            </w:r>
            <w:r w:rsidR="00007B2D" w:rsidRPr="00C35F8B">
              <w:rPr>
                <w:rFonts w:ascii="Arial" w:hAnsi="Arial"/>
                <w:color w:val="000000" w:themeColor="text1"/>
              </w:rPr>
              <w:t>50</w:t>
            </w:r>
            <w:r w:rsidR="00D50F99" w:rsidRPr="00C35F8B">
              <w:rPr>
                <w:rFonts w:ascii="Arial" w:hAnsi="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896C412" w14:textId="77777777" w:rsidR="00D50F99" w:rsidRPr="00C35F8B" w:rsidRDefault="00D50F99" w:rsidP="008D71EF">
            <w:pPr>
              <w:tabs>
                <w:tab w:val="decimal" w:pos="1336"/>
              </w:tabs>
              <w:spacing w:before="120" w:after="120"/>
              <w:textAlignment w:val="baseline"/>
              <w:rPr>
                <w:rFonts w:ascii="Arial" w:hAnsi="Arial"/>
              </w:rPr>
            </w:pPr>
            <w:r w:rsidRPr="00C35F8B">
              <w:rPr>
                <w:rFonts w:ascii="Arial" w:hAnsi="Arial"/>
                <w:color w:val="000000" w:themeColor="text1"/>
              </w:rPr>
              <w:t>$</w:t>
            </w:r>
            <w:r w:rsidR="004C7CF5" w:rsidRPr="00C35F8B">
              <w:rPr>
                <w:rFonts w:ascii="Arial" w:hAnsi="Arial"/>
                <w:color w:val="000000" w:themeColor="text1"/>
              </w:rPr>
              <w:t>1</w:t>
            </w:r>
            <w:r w:rsidRPr="00C35F8B">
              <w:rPr>
                <w:rFonts w:ascii="Arial" w:hAnsi="Arial"/>
                <w:color w:val="000000" w:themeColor="text1"/>
              </w:rPr>
              <w:t>,</w:t>
            </w:r>
            <w:r w:rsidR="004C7CF5" w:rsidRPr="00C35F8B">
              <w:rPr>
                <w:rFonts w:ascii="Arial" w:hAnsi="Arial"/>
                <w:color w:val="000000" w:themeColor="text1"/>
              </w:rPr>
              <w:t>925</w:t>
            </w:r>
            <w:r w:rsidRPr="00C35F8B">
              <w:rPr>
                <w:rFonts w:ascii="Arial" w:hAnsi="Arial"/>
                <w:color w:val="000000" w:themeColor="text1"/>
              </w:rPr>
              <w:t>,000</w:t>
            </w:r>
          </w:p>
        </w:tc>
      </w:tr>
      <w:tr w:rsidR="002D7AE8" w:rsidRPr="00C35F8B" w14:paraId="72E23B29" w14:textId="77777777" w:rsidTr="0C2B62A3">
        <w:trPr>
          <w:cantSplit/>
          <w:trHeight w:val="300"/>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6C854264" w14:textId="77777777" w:rsidR="00D50F99" w:rsidRPr="00C35F8B" w:rsidRDefault="00D50F99" w:rsidP="00B10E79">
            <w:pPr>
              <w:spacing w:before="120" w:after="120"/>
              <w:textAlignment w:val="baseline"/>
              <w:rPr>
                <w:rFonts w:ascii="Arial" w:hAnsi="Arial"/>
              </w:rPr>
            </w:pPr>
            <w:r w:rsidRPr="00C35F8B">
              <w:rPr>
                <w:rFonts w:ascii="Arial" w:hAnsi="Arial"/>
                <w:color w:val="000000" w:themeColor="text1"/>
              </w:rPr>
              <w:t>Summative, grades three</w:t>
            </w:r>
            <w:r w:rsidR="006278F0" w:rsidRPr="00C35F8B">
              <w:rPr>
                <w:rFonts w:ascii="Arial" w:hAnsi="Arial"/>
                <w:color w:val="000000" w:themeColor="text1"/>
              </w:rPr>
              <w:t xml:space="preserve"> through </w:t>
            </w:r>
            <w:r w:rsidRPr="00C35F8B">
              <w:rPr>
                <w:rFonts w:ascii="Arial" w:hAnsi="Arial"/>
                <w:color w:val="000000" w:themeColor="text1"/>
              </w:rPr>
              <w:t>twelve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F50F854" w14:textId="77777777" w:rsidR="00D50F99" w:rsidRPr="00C35F8B" w:rsidRDefault="00D50F99" w:rsidP="008D71EF">
            <w:pPr>
              <w:tabs>
                <w:tab w:val="decimal" w:pos="1066"/>
              </w:tabs>
              <w:spacing w:before="120" w:after="120"/>
              <w:textAlignment w:val="baseline"/>
              <w:rPr>
                <w:rFonts w:ascii="Arial" w:hAnsi="Arial"/>
              </w:rPr>
            </w:pPr>
            <w:r w:rsidRPr="00C35F8B">
              <w:rPr>
                <w:rFonts w:ascii="Arial" w:hAnsi="Arial"/>
                <w:color w:val="000000" w:themeColor="text1"/>
              </w:rPr>
              <w:t>$5.00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0538E0C" w14:textId="77777777" w:rsidR="00D50F99" w:rsidRPr="00C35F8B" w:rsidRDefault="00D50F99" w:rsidP="008D71EF">
            <w:pPr>
              <w:tabs>
                <w:tab w:val="decimal" w:pos="1516"/>
              </w:tabs>
              <w:spacing w:before="120" w:after="120"/>
              <w:textAlignment w:val="baseline"/>
              <w:rPr>
                <w:rFonts w:ascii="Arial" w:hAnsi="Arial"/>
              </w:rPr>
            </w:pPr>
            <w:r w:rsidRPr="00C35F8B">
              <w:rPr>
                <w:rFonts w:ascii="Arial" w:hAnsi="Arial"/>
                <w:color w:val="000000" w:themeColor="text1"/>
              </w:rPr>
              <w:t>750,000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07D52E7" w14:textId="77777777" w:rsidR="00D50F99" w:rsidRPr="00C35F8B" w:rsidRDefault="00D50F99" w:rsidP="008D71EF">
            <w:pPr>
              <w:tabs>
                <w:tab w:val="decimal" w:pos="1336"/>
              </w:tabs>
              <w:spacing w:before="120" w:after="120"/>
              <w:textAlignment w:val="baseline"/>
              <w:rPr>
                <w:rFonts w:ascii="Arial" w:hAnsi="Arial"/>
              </w:rPr>
            </w:pPr>
            <w:r w:rsidRPr="00C35F8B">
              <w:rPr>
                <w:rFonts w:ascii="Arial" w:hAnsi="Arial"/>
                <w:color w:val="000000" w:themeColor="text1"/>
              </w:rPr>
              <w:t>$3,750,000</w:t>
            </w:r>
          </w:p>
        </w:tc>
      </w:tr>
      <w:tr w:rsidR="002D7AE8" w:rsidRPr="00C35F8B" w14:paraId="66B15822" w14:textId="77777777" w:rsidTr="0C2B62A3">
        <w:trPr>
          <w:cantSplit/>
          <w:trHeight w:val="300"/>
          <w:tblHeader/>
        </w:trPr>
        <w:tc>
          <w:tcPr>
            <w:tcW w:w="2965" w:type="dxa"/>
            <w:tcBorders>
              <w:top w:val="single" w:sz="4" w:space="0" w:color="auto"/>
              <w:left w:val="single" w:sz="4" w:space="0" w:color="auto"/>
              <w:bottom w:val="single" w:sz="4" w:space="0" w:color="auto"/>
              <w:right w:val="single" w:sz="4" w:space="0" w:color="auto"/>
            </w:tcBorders>
            <w:vAlign w:val="center"/>
          </w:tcPr>
          <w:p w14:paraId="6C048C87" w14:textId="77777777" w:rsidR="00585BBD" w:rsidRPr="00C35F8B" w:rsidRDefault="00585BBD" w:rsidP="00B10E79">
            <w:pPr>
              <w:spacing w:before="120" w:after="120"/>
              <w:textAlignment w:val="baseline"/>
              <w:rPr>
                <w:rFonts w:ascii="Arial" w:hAnsi="Arial"/>
                <w:color w:val="000000" w:themeColor="text1"/>
              </w:rPr>
            </w:pPr>
            <w:r w:rsidRPr="00C35F8B">
              <w:rPr>
                <w:rFonts w:ascii="Arial" w:hAnsi="Arial"/>
                <w:color w:val="000000" w:themeColor="text1"/>
              </w:rPr>
              <w:t>Alternate ELPAC</w:t>
            </w:r>
            <w:r w:rsidR="00E7283C" w:rsidRPr="00C35F8B">
              <w:rPr>
                <w:rFonts w:ascii="Arial" w:hAnsi="Arial"/>
                <w:color w:val="000000" w:themeColor="text1"/>
              </w:rPr>
              <w:t xml:space="preserve"> operational field test</w:t>
            </w:r>
            <w:r w:rsidR="005A6CB2" w:rsidRPr="00C35F8B">
              <w:rPr>
                <w:rFonts w:ascii="Arial" w:hAnsi="Arial"/>
                <w:color w:val="000000" w:themeColor="text1"/>
              </w:rPr>
              <w:t>,</w:t>
            </w:r>
            <w:r w:rsidR="00E7283C" w:rsidRPr="00C35F8B">
              <w:rPr>
                <w:rFonts w:ascii="Arial" w:hAnsi="Arial"/>
                <w:color w:val="000000" w:themeColor="text1"/>
              </w:rPr>
              <w:t xml:space="preserve"> kindergarten through grade twelve</w:t>
            </w:r>
            <w:r w:rsidR="001F21D6" w:rsidRPr="00C35F8B">
              <w:rPr>
                <w:rFonts w:ascii="Arial" w:hAnsi="Arial"/>
                <w:color w:val="000000" w:themeColor="text1"/>
              </w:rPr>
              <w:t xml:space="preserve"> (one-on-one administration)</w:t>
            </w:r>
          </w:p>
        </w:tc>
        <w:tc>
          <w:tcPr>
            <w:tcW w:w="2430" w:type="dxa"/>
            <w:tcBorders>
              <w:top w:val="single" w:sz="4" w:space="0" w:color="auto"/>
              <w:left w:val="single" w:sz="4" w:space="0" w:color="auto"/>
              <w:bottom w:val="single" w:sz="4" w:space="0" w:color="auto"/>
              <w:right w:val="single" w:sz="4" w:space="0" w:color="auto"/>
            </w:tcBorders>
            <w:vAlign w:val="center"/>
          </w:tcPr>
          <w:p w14:paraId="059001F8" w14:textId="77777777" w:rsidR="00585BBD" w:rsidRPr="00C35F8B" w:rsidRDefault="00585BBD" w:rsidP="008D71EF">
            <w:pPr>
              <w:tabs>
                <w:tab w:val="decimal" w:pos="1066"/>
              </w:tabs>
              <w:spacing w:before="120" w:after="120"/>
              <w:textAlignment w:val="baseline"/>
              <w:rPr>
                <w:rFonts w:ascii="Arial" w:hAnsi="Arial"/>
                <w:color w:val="000000" w:themeColor="text1"/>
              </w:rPr>
            </w:pPr>
            <w:r w:rsidRPr="00C35F8B">
              <w:rPr>
                <w:rFonts w:ascii="Arial" w:hAnsi="Arial"/>
                <w:color w:val="000000" w:themeColor="text1"/>
              </w:rPr>
              <w:t>$5.50</w:t>
            </w:r>
          </w:p>
        </w:tc>
        <w:tc>
          <w:tcPr>
            <w:tcW w:w="2160" w:type="dxa"/>
            <w:tcBorders>
              <w:top w:val="single" w:sz="4" w:space="0" w:color="auto"/>
              <w:left w:val="single" w:sz="4" w:space="0" w:color="auto"/>
              <w:bottom w:val="single" w:sz="4" w:space="0" w:color="auto"/>
              <w:right w:val="single" w:sz="4" w:space="0" w:color="auto"/>
            </w:tcBorders>
            <w:vAlign w:val="center"/>
          </w:tcPr>
          <w:p w14:paraId="00A8425E" w14:textId="77777777" w:rsidR="00585BBD" w:rsidRPr="00C35F8B" w:rsidRDefault="00A80346" w:rsidP="008D71EF">
            <w:pPr>
              <w:tabs>
                <w:tab w:val="decimal" w:pos="1516"/>
              </w:tabs>
              <w:spacing w:before="120" w:after="120"/>
              <w:textAlignment w:val="baseline"/>
              <w:rPr>
                <w:rFonts w:ascii="Arial" w:hAnsi="Arial"/>
                <w:color w:val="000000" w:themeColor="text1"/>
              </w:rPr>
            </w:pPr>
            <w:r w:rsidRPr="00C35F8B">
              <w:rPr>
                <w:rFonts w:ascii="Arial" w:hAnsi="Arial"/>
                <w:color w:val="000000" w:themeColor="text1"/>
              </w:rPr>
              <w:t>20,000</w:t>
            </w:r>
          </w:p>
        </w:tc>
        <w:tc>
          <w:tcPr>
            <w:tcW w:w="2070" w:type="dxa"/>
            <w:tcBorders>
              <w:top w:val="single" w:sz="4" w:space="0" w:color="auto"/>
              <w:left w:val="single" w:sz="4" w:space="0" w:color="auto"/>
              <w:bottom w:val="single" w:sz="4" w:space="0" w:color="auto"/>
              <w:right w:val="single" w:sz="4" w:space="0" w:color="auto"/>
            </w:tcBorders>
            <w:vAlign w:val="center"/>
          </w:tcPr>
          <w:p w14:paraId="5206B743" w14:textId="77777777" w:rsidR="00585BBD" w:rsidRPr="00C35F8B" w:rsidRDefault="005F2271" w:rsidP="008D71EF">
            <w:pPr>
              <w:tabs>
                <w:tab w:val="decimal" w:pos="1336"/>
              </w:tabs>
              <w:spacing w:before="120" w:after="120"/>
              <w:textAlignment w:val="baseline"/>
              <w:rPr>
                <w:rFonts w:ascii="Arial" w:hAnsi="Arial"/>
                <w:color w:val="000000" w:themeColor="text1"/>
              </w:rPr>
            </w:pPr>
            <w:r w:rsidRPr="00C35F8B">
              <w:rPr>
                <w:rFonts w:ascii="Arial" w:hAnsi="Arial"/>
                <w:color w:val="000000" w:themeColor="text1"/>
              </w:rPr>
              <w:t>110,000</w:t>
            </w:r>
          </w:p>
        </w:tc>
      </w:tr>
      <w:tr w:rsidR="002D7AE8" w:rsidRPr="00C35F8B" w14:paraId="714F00D7" w14:textId="77777777" w:rsidTr="0C2B62A3">
        <w:trPr>
          <w:cantSplit/>
          <w:trHeight w:val="315"/>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3C8F1101" w14:textId="77777777" w:rsidR="00D50F99" w:rsidRPr="00C35F8B" w:rsidRDefault="00D50F99" w:rsidP="00B10E79">
            <w:pPr>
              <w:spacing w:before="120" w:after="120"/>
              <w:textAlignment w:val="baseline"/>
              <w:rPr>
                <w:rFonts w:ascii="Arial" w:hAnsi="Arial"/>
              </w:rPr>
            </w:pPr>
            <w:r w:rsidRPr="00C35F8B">
              <w:rPr>
                <w:rFonts w:ascii="Arial" w:hAnsi="Arial"/>
                <w:b/>
                <w:color w:val="000000" w:themeColor="text1"/>
              </w:rPr>
              <w:t>Total:</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78C287B" w14:textId="77777777" w:rsidR="00D50F99" w:rsidRPr="00C35F8B" w:rsidRDefault="00D50F99" w:rsidP="00B10E79">
            <w:pPr>
              <w:spacing w:before="120" w:after="120"/>
              <w:jc w:val="center"/>
              <w:textAlignment w:val="baseline"/>
              <w:rPr>
                <w:rFonts w:ascii="Arial" w:hAnsi="Arial"/>
              </w:rPr>
            </w:pPr>
            <w:r w:rsidRPr="00C35F8B">
              <w:rPr>
                <w:rFonts w:ascii="Arial" w:hAnsi="Arial"/>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6F9DDB6" w14:textId="77777777" w:rsidR="00D50F99" w:rsidRPr="00C35F8B" w:rsidRDefault="00D50F99" w:rsidP="00B10E79">
            <w:pPr>
              <w:spacing w:before="120" w:after="120"/>
              <w:jc w:val="center"/>
              <w:textAlignment w:val="baseline"/>
              <w:rPr>
                <w:rFonts w:ascii="Arial" w:hAnsi="Arial"/>
              </w:rPr>
            </w:pPr>
            <w:r w:rsidRPr="00C35F8B">
              <w:rPr>
                <w:rFonts w:ascii="Arial" w:hAnsi="Arial"/>
                <w:color w:val="000000" w:themeColor="text1"/>
              </w:rPr>
              <w: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ABB5F98" w14:textId="77777777" w:rsidR="00D50F99" w:rsidRPr="00C35F8B" w:rsidRDefault="00D50F99" w:rsidP="008D71EF">
            <w:pPr>
              <w:tabs>
                <w:tab w:val="decimal" w:pos="1336"/>
              </w:tabs>
              <w:spacing w:before="120" w:after="120"/>
              <w:textAlignment w:val="baseline"/>
              <w:rPr>
                <w:rFonts w:ascii="Arial" w:hAnsi="Arial"/>
              </w:rPr>
            </w:pPr>
            <w:r w:rsidRPr="00C35F8B">
              <w:rPr>
                <w:rFonts w:ascii="Arial" w:hAnsi="Arial"/>
                <w:b/>
                <w:color w:val="000000" w:themeColor="text1"/>
              </w:rPr>
              <w:t>$</w:t>
            </w:r>
            <w:r w:rsidR="00BB159D" w:rsidRPr="00C35F8B">
              <w:rPr>
                <w:rFonts w:ascii="Arial" w:hAnsi="Arial"/>
                <w:b/>
                <w:color w:val="000000" w:themeColor="text1"/>
              </w:rPr>
              <w:t>6</w:t>
            </w:r>
            <w:r w:rsidRPr="00C35F8B">
              <w:rPr>
                <w:rFonts w:ascii="Arial" w:hAnsi="Arial"/>
                <w:b/>
                <w:color w:val="000000" w:themeColor="text1"/>
              </w:rPr>
              <w:t>,</w:t>
            </w:r>
            <w:r w:rsidR="00BB159D" w:rsidRPr="00C35F8B">
              <w:rPr>
                <w:rFonts w:ascii="Arial" w:hAnsi="Arial"/>
                <w:b/>
                <w:color w:val="000000" w:themeColor="text1"/>
              </w:rPr>
              <w:t>882</w:t>
            </w:r>
            <w:r w:rsidRPr="00C35F8B">
              <w:rPr>
                <w:rFonts w:ascii="Arial" w:hAnsi="Arial"/>
                <w:b/>
                <w:color w:val="000000" w:themeColor="text1"/>
              </w:rPr>
              <w:t>,500</w:t>
            </w:r>
          </w:p>
        </w:tc>
      </w:tr>
    </w:tbl>
    <w:p w14:paraId="7EE021E7" w14:textId="77777777" w:rsidR="00F27CEF" w:rsidRPr="00C35F8B" w:rsidRDefault="00F27CEF" w:rsidP="002D4BFF">
      <w:pPr>
        <w:spacing w:after="480"/>
        <w:sectPr w:rsidR="00F27CEF" w:rsidRPr="00C35F8B" w:rsidSect="007C7F1A">
          <w:headerReference w:type="default" r:id="rId38"/>
          <w:footerReference w:type="default" r:id="rId39"/>
          <w:pgSz w:w="12240" w:h="15840"/>
          <w:pgMar w:top="720" w:right="1440" w:bottom="1440" w:left="1440" w:header="720" w:footer="720" w:gutter="0"/>
          <w:pgNumType w:start="1"/>
          <w:cols w:space="720"/>
          <w:docGrid w:linePitch="360"/>
        </w:sectPr>
      </w:pPr>
    </w:p>
    <w:p w14:paraId="77818709" w14:textId="77777777" w:rsidR="00A84FAF" w:rsidRPr="00C35F8B" w:rsidRDefault="00A84FAF" w:rsidP="005C1EA6">
      <w:pPr>
        <w:pStyle w:val="Heading2"/>
        <w:jc w:val="center"/>
        <w:rPr>
          <w:rFonts w:eastAsia="SimSun"/>
          <w:lang w:eastAsia="zh-CN"/>
        </w:rPr>
      </w:pPr>
      <w:r w:rsidRPr="00C35F8B">
        <w:rPr>
          <w:rFonts w:eastAsia="SimSun"/>
          <w:lang w:eastAsia="zh-CN"/>
        </w:rPr>
        <w:lastRenderedPageBreak/>
        <w:t>State Superintendent of Public Instruction’s Alternate ELPAC</w:t>
      </w:r>
      <w:r w:rsidR="002E6B48" w:rsidRPr="00C35F8B">
        <w:br/>
      </w:r>
      <w:r w:rsidRPr="00C35F8B">
        <w:rPr>
          <w:rFonts w:eastAsia="SimSun"/>
          <w:lang w:eastAsia="zh-CN"/>
        </w:rPr>
        <w:t>Threshold Score Recommendations</w:t>
      </w:r>
    </w:p>
    <w:p w14:paraId="3F2668AB" w14:textId="77777777" w:rsidR="00A84FAF" w:rsidRPr="00C35F8B" w:rsidRDefault="00A84FAF" w:rsidP="003946F4">
      <w:pPr>
        <w:spacing w:after="120"/>
        <w:rPr>
          <w:rFonts w:eastAsia="SimSun"/>
          <w:lang w:eastAsia="zh-CN"/>
        </w:rPr>
      </w:pPr>
      <w:r w:rsidRPr="00C35F8B">
        <w:rPr>
          <w:rFonts w:eastAsia="SimSun"/>
          <w:lang w:eastAsia="zh-CN"/>
        </w:rPr>
        <w:t xml:space="preserve">Table 1. State Superintendent of Public Instruction’s Recommendations for the Proposed Performance Levels on the Overall Score for the Initial Alternate English Language Proficiency Assessments for California (ELPAC) </w:t>
      </w:r>
    </w:p>
    <w:tbl>
      <w:tblPr>
        <w:tblStyle w:val="TableGrid"/>
        <w:tblW w:w="13045" w:type="dxa"/>
        <w:jc w:val="center"/>
        <w:tblLayout w:type="fixed"/>
        <w:tblLook w:val="04A0" w:firstRow="1" w:lastRow="0" w:firstColumn="1" w:lastColumn="0" w:noHBand="0" w:noVBand="1"/>
        <w:tblCaption w:val="This is an preview of our table for Attachment 4."/>
        <w:tblDescription w:val="Example table."/>
      </w:tblPr>
      <w:tblGrid>
        <w:gridCol w:w="1705"/>
        <w:gridCol w:w="1530"/>
        <w:gridCol w:w="1620"/>
        <w:gridCol w:w="1530"/>
        <w:gridCol w:w="1800"/>
        <w:gridCol w:w="1530"/>
        <w:gridCol w:w="1530"/>
        <w:gridCol w:w="1800"/>
      </w:tblGrid>
      <w:tr w:rsidR="00713FA4" w:rsidRPr="00C35F8B" w14:paraId="1112D4C0" w14:textId="77777777" w:rsidTr="00F67158">
        <w:trPr>
          <w:trHeight w:val="1214"/>
          <w:tblHeader/>
          <w:jc w:val="center"/>
        </w:trPr>
        <w:tc>
          <w:tcPr>
            <w:tcW w:w="1705" w:type="dxa"/>
            <w:shd w:val="clear" w:color="auto" w:fill="D9D9D9" w:themeFill="background1" w:themeFillShade="D9"/>
            <w:tcMar>
              <w:top w:w="43" w:type="dxa"/>
              <w:left w:w="115" w:type="dxa"/>
              <w:bottom w:w="43" w:type="dxa"/>
              <w:right w:w="115" w:type="dxa"/>
            </w:tcMar>
            <w:vAlign w:val="center"/>
            <w:hideMark/>
          </w:tcPr>
          <w:p w14:paraId="3F8A4076" w14:textId="77777777" w:rsidR="00A84FAF" w:rsidRPr="00C35F8B" w:rsidRDefault="00A84FAF" w:rsidP="00CE3947">
            <w:pPr>
              <w:spacing w:before="0"/>
              <w:rPr>
                <w:b/>
                <w:bCs/>
                <w:color w:val="000000"/>
              </w:rPr>
            </w:pPr>
            <w:r w:rsidRPr="00C35F8B">
              <w:rPr>
                <w:b/>
                <w:color w:val="000000"/>
              </w:rPr>
              <w:t>Grade</w:t>
            </w:r>
          </w:p>
        </w:tc>
        <w:tc>
          <w:tcPr>
            <w:tcW w:w="1530" w:type="dxa"/>
            <w:shd w:val="clear" w:color="auto" w:fill="D9D9D9" w:themeFill="background1" w:themeFillShade="D9"/>
            <w:tcMar>
              <w:top w:w="43" w:type="dxa"/>
              <w:left w:w="115" w:type="dxa"/>
              <w:bottom w:w="43" w:type="dxa"/>
              <w:right w:w="115" w:type="dxa"/>
            </w:tcMar>
            <w:vAlign w:val="center"/>
            <w:hideMark/>
          </w:tcPr>
          <w:p w14:paraId="35D7CEA0" w14:textId="77777777" w:rsidR="00A84FAF" w:rsidRPr="00C35F8B" w:rsidRDefault="00A84FAF" w:rsidP="00CE3947">
            <w:pPr>
              <w:spacing w:before="0"/>
              <w:jc w:val="center"/>
              <w:rPr>
                <w:b/>
                <w:bCs/>
                <w:color w:val="000000"/>
              </w:rPr>
            </w:pPr>
            <w:r w:rsidRPr="00C35F8B">
              <w:rPr>
                <w:b/>
                <w:color w:val="000000"/>
              </w:rPr>
              <w:t xml:space="preserve">Level 1 </w:t>
            </w:r>
          </w:p>
          <w:p w14:paraId="331EAF36" w14:textId="77777777" w:rsidR="00A84FAF" w:rsidRPr="00C35F8B" w:rsidRDefault="00E35C9E" w:rsidP="00CE3947">
            <w:pPr>
              <w:spacing w:before="0"/>
              <w:jc w:val="center"/>
              <w:rPr>
                <w:b/>
                <w:bCs/>
                <w:color w:val="000000"/>
              </w:rPr>
            </w:pPr>
            <w:r w:rsidRPr="00C35F8B">
              <w:rPr>
                <w:b/>
                <w:color w:val="000000"/>
              </w:rPr>
              <w:t>Percentage</w:t>
            </w:r>
            <w:r w:rsidR="00A84FAF" w:rsidRPr="00C35F8B">
              <w:rPr>
                <w:b/>
                <w:color w:val="000000"/>
              </w:rPr>
              <w:t xml:space="preserve"> of Students</w:t>
            </w:r>
          </w:p>
        </w:tc>
        <w:tc>
          <w:tcPr>
            <w:tcW w:w="1620" w:type="dxa"/>
            <w:shd w:val="clear" w:color="auto" w:fill="D9D9D9" w:themeFill="background1" w:themeFillShade="D9"/>
            <w:tcMar>
              <w:top w:w="43" w:type="dxa"/>
              <w:left w:w="115" w:type="dxa"/>
              <w:bottom w:w="43" w:type="dxa"/>
              <w:right w:w="115" w:type="dxa"/>
            </w:tcMar>
            <w:vAlign w:val="center"/>
            <w:hideMark/>
          </w:tcPr>
          <w:p w14:paraId="3B34715A" w14:textId="77777777" w:rsidR="00A84FAF" w:rsidRPr="00C35F8B" w:rsidRDefault="00A84FAF" w:rsidP="00CE3947">
            <w:pPr>
              <w:spacing w:before="0"/>
              <w:jc w:val="center"/>
              <w:rPr>
                <w:b/>
                <w:bCs/>
                <w:color w:val="000000"/>
              </w:rPr>
            </w:pPr>
            <w:r w:rsidRPr="00C35F8B">
              <w:rPr>
                <w:b/>
                <w:color w:val="000000"/>
              </w:rPr>
              <w:t>Level 1</w:t>
            </w:r>
          </w:p>
          <w:p w14:paraId="65ED4F27" w14:textId="77777777" w:rsidR="00A84FAF" w:rsidRPr="00C35F8B" w:rsidRDefault="00BE231F" w:rsidP="00CE3947">
            <w:pPr>
              <w:spacing w:before="0"/>
              <w:jc w:val="center"/>
              <w:rPr>
                <w:b/>
                <w:bCs/>
                <w:color w:val="000000"/>
              </w:rPr>
            </w:pPr>
            <w:r w:rsidRPr="00C35F8B">
              <w:rPr>
                <w:b/>
                <w:color w:val="000000"/>
              </w:rPr>
              <w:t>Percentage</w:t>
            </w:r>
            <w:r w:rsidR="00A84FAF" w:rsidRPr="00C35F8B">
              <w:rPr>
                <w:b/>
                <w:color w:val="000000"/>
              </w:rPr>
              <w:t xml:space="preserve"> at or above</w:t>
            </w:r>
          </w:p>
        </w:tc>
        <w:tc>
          <w:tcPr>
            <w:tcW w:w="1530" w:type="dxa"/>
            <w:shd w:val="clear" w:color="auto" w:fill="D9D9D9" w:themeFill="background1" w:themeFillShade="D9"/>
            <w:tcMar>
              <w:top w:w="43" w:type="dxa"/>
              <w:left w:w="115" w:type="dxa"/>
              <w:bottom w:w="43" w:type="dxa"/>
              <w:right w:w="115" w:type="dxa"/>
            </w:tcMar>
            <w:vAlign w:val="center"/>
            <w:hideMark/>
          </w:tcPr>
          <w:p w14:paraId="5C02739E" w14:textId="77777777" w:rsidR="00A84FAF" w:rsidRPr="00C35F8B" w:rsidRDefault="00A84FAF" w:rsidP="00CE3947">
            <w:pPr>
              <w:spacing w:before="0"/>
              <w:jc w:val="center"/>
              <w:rPr>
                <w:b/>
                <w:bCs/>
                <w:color w:val="000000"/>
              </w:rPr>
            </w:pPr>
            <w:r w:rsidRPr="00C35F8B">
              <w:rPr>
                <w:b/>
                <w:color w:val="000000"/>
              </w:rPr>
              <w:t>Level 2</w:t>
            </w:r>
          </w:p>
          <w:p w14:paraId="651A562E" w14:textId="77777777" w:rsidR="00A84FAF" w:rsidRPr="00C35F8B" w:rsidRDefault="00BE231F" w:rsidP="00CE3947">
            <w:pPr>
              <w:spacing w:before="0"/>
              <w:jc w:val="center"/>
              <w:rPr>
                <w:b/>
                <w:bCs/>
                <w:color w:val="000000"/>
              </w:rPr>
            </w:pPr>
            <w:r w:rsidRPr="00C35F8B">
              <w:rPr>
                <w:b/>
                <w:color w:val="000000"/>
              </w:rPr>
              <w:t>Percentage</w:t>
            </w:r>
            <w:r w:rsidR="00A84FAF" w:rsidRPr="00C35F8B">
              <w:rPr>
                <w:b/>
                <w:color w:val="000000"/>
              </w:rPr>
              <w:t xml:space="preserve"> of Students</w:t>
            </w:r>
          </w:p>
        </w:tc>
        <w:tc>
          <w:tcPr>
            <w:tcW w:w="1800" w:type="dxa"/>
            <w:shd w:val="clear" w:color="auto" w:fill="D9D9D9" w:themeFill="background1" w:themeFillShade="D9"/>
            <w:tcMar>
              <w:top w:w="43" w:type="dxa"/>
              <w:left w:w="115" w:type="dxa"/>
              <w:bottom w:w="43" w:type="dxa"/>
              <w:right w:w="115" w:type="dxa"/>
            </w:tcMar>
            <w:vAlign w:val="center"/>
            <w:hideMark/>
          </w:tcPr>
          <w:p w14:paraId="3E68FE20" w14:textId="77777777" w:rsidR="00A84FAF" w:rsidRPr="00C35F8B" w:rsidRDefault="00A84FAF" w:rsidP="00CE3947">
            <w:pPr>
              <w:spacing w:before="0"/>
              <w:jc w:val="center"/>
              <w:rPr>
                <w:b/>
                <w:bCs/>
                <w:color w:val="000000"/>
              </w:rPr>
            </w:pPr>
            <w:r w:rsidRPr="00C35F8B">
              <w:rPr>
                <w:b/>
                <w:color w:val="000000"/>
              </w:rPr>
              <w:t>Level 2</w:t>
            </w:r>
          </w:p>
          <w:p w14:paraId="5CE9DC2D" w14:textId="77777777" w:rsidR="00A84FAF" w:rsidRPr="00C35F8B" w:rsidRDefault="00A84FAF" w:rsidP="00CE3947">
            <w:pPr>
              <w:spacing w:before="0"/>
              <w:jc w:val="center"/>
              <w:rPr>
                <w:b/>
                <w:bCs/>
                <w:color w:val="000000"/>
              </w:rPr>
            </w:pPr>
            <w:r w:rsidRPr="00C35F8B">
              <w:rPr>
                <w:b/>
                <w:color w:val="000000"/>
              </w:rPr>
              <w:t>Standard-Setting Scale Threshold Score</w:t>
            </w:r>
          </w:p>
        </w:tc>
        <w:tc>
          <w:tcPr>
            <w:tcW w:w="1530" w:type="dxa"/>
            <w:shd w:val="clear" w:color="auto" w:fill="D9D9D9" w:themeFill="background1" w:themeFillShade="D9"/>
            <w:tcMar>
              <w:top w:w="43" w:type="dxa"/>
              <w:left w:w="115" w:type="dxa"/>
              <w:bottom w:w="43" w:type="dxa"/>
              <w:right w:w="115" w:type="dxa"/>
            </w:tcMar>
            <w:vAlign w:val="center"/>
            <w:hideMark/>
          </w:tcPr>
          <w:p w14:paraId="12B0A04A" w14:textId="77777777" w:rsidR="00A84FAF" w:rsidRPr="00C35F8B" w:rsidRDefault="00A84FAF" w:rsidP="00CE3947">
            <w:pPr>
              <w:spacing w:before="0"/>
              <w:jc w:val="center"/>
              <w:rPr>
                <w:b/>
                <w:bCs/>
                <w:color w:val="000000"/>
              </w:rPr>
            </w:pPr>
            <w:r w:rsidRPr="00C35F8B">
              <w:rPr>
                <w:b/>
                <w:color w:val="000000"/>
              </w:rPr>
              <w:t xml:space="preserve">Level 2 </w:t>
            </w:r>
          </w:p>
          <w:p w14:paraId="1D01E69D" w14:textId="77777777" w:rsidR="00A84FAF" w:rsidRPr="00C35F8B" w:rsidRDefault="00BE231F" w:rsidP="00CE3947">
            <w:pPr>
              <w:spacing w:before="0"/>
              <w:jc w:val="center"/>
              <w:rPr>
                <w:b/>
                <w:bCs/>
                <w:color w:val="000000"/>
              </w:rPr>
            </w:pPr>
            <w:r w:rsidRPr="00C35F8B">
              <w:rPr>
                <w:b/>
                <w:color w:val="000000"/>
              </w:rPr>
              <w:t>Percentage</w:t>
            </w:r>
            <w:r w:rsidR="00A84FAF" w:rsidRPr="00C35F8B">
              <w:rPr>
                <w:b/>
                <w:color w:val="000000"/>
              </w:rPr>
              <w:t xml:space="preserve"> at or above</w:t>
            </w:r>
          </w:p>
        </w:tc>
        <w:tc>
          <w:tcPr>
            <w:tcW w:w="1530" w:type="dxa"/>
            <w:shd w:val="clear" w:color="auto" w:fill="D9D9D9" w:themeFill="background1" w:themeFillShade="D9"/>
            <w:tcMar>
              <w:top w:w="43" w:type="dxa"/>
              <w:left w:w="115" w:type="dxa"/>
              <w:bottom w:w="43" w:type="dxa"/>
              <w:right w:w="115" w:type="dxa"/>
            </w:tcMar>
            <w:vAlign w:val="center"/>
            <w:hideMark/>
          </w:tcPr>
          <w:p w14:paraId="6CF8E38F" w14:textId="77777777" w:rsidR="00A84FAF" w:rsidRPr="00C35F8B" w:rsidRDefault="00A84FAF" w:rsidP="00CE3947">
            <w:pPr>
              <w:spacing w:before="0"/>
              <w:jc w:val="center"/>
              <w:rPr>
                <w:b/>
                <w:bCs/>
                <w:color w:val="000000"/>
              </w:rPr>
            </w:pPr>
            <w:r w:rsidRPr="00C35F8B">
              <w:rPr>
                <w:b/>
                <w:color w:val="000000"/>
              </w:rPr>
              <w:t>Level 3</w:t>
            </w:r>
          </w:p>
          <w:p w14:paraId="233ECC94" w14:textId="77777777" w:rsidR="00A84FAF" w:rsidRPr="00C35F8B" w:rsidRDefault="00BE231F" w:rsidP="00CE3947">
            <w:pPr>
              <w:spacing w:before="0"/>
              <w:jc w:val="center"/>
              <w:rPr>
                <w:b/>
                <w:bCs/>
                <w:color w:val="000000"/>
              </w:rPr>
            </w:pPr>
            <w:r w:rsidRPr="00C35F8B">
              <w:rPr>
                <w:b/>
                <w:color w:val="000000"/>
              </w:rPr>
              <w:t>Percentage</w:t>
            </w:r>
            <w:r w:rsidR="00A84FAF" w:rsidRPr="00C35F8B">
              <w:rPr>
                <w:b/>
                <w:color w:val="000000"/>
              </w:rPr>
              <w:t xml:space="preserve"> of Students</w:t>
            </w:r>
          </w:p>
        </w:tc>
        <w:tc>
          <w:tcPr>
            <w:tcW w:w="1800" w:type="dxa"/>
            <w:shd w:val="clear" w:color="auto" w:fill="D9D9D9" w:themeFill="background1" w:themeFillShade="D9"/>
            <w:tcMar>
              <w:top w:w="43" w:type="dxa"/>
              <w:left w:w="115" w:type="dxa"/>
              <w:bottom w:w="43" w:type="dxa"/>
              <w:right w:w="115" w:type="dxa"/>
            </w:tcMar>
            <w:vAlign w:val="center"/>
            <w:hideMark/>
          </w:tcPr>
          <w:p w14:paraId="3B3B0556" w14:textId="77777777" w:rsidR="00A84FAF" w:rsidRPr="00C35F8B" w:rsidRDefault="00A84FAF" w:rsidP="00CE3947">
            <w:pPr>
              <w:spacing w:before="0"/>
              <w:jc w:val="center"/>
              <w:rPr>
                <w:b/>
                <w:bCs/>
                <w:color w:val="000000"/>
              </w:rPr>
            </w:pPr>
            <w:r w:rsidRPr="00C35F8B">
              <w:rPr>
                <w:b/>
                <w:color w:val="000000"/>
              </w:rPr>
              <w:t>Level 3</w:t>
            </w:r>
          </w:p>
          <w:p w14:paraId="6248773A" w14:textId="77777777" w:rsidR="00A84FAF" w:rsidRPr="00C35F8B" w:rsidRDefault="00A84FAF" w:rsidP="00CE3947">
            <w:pPr>
              <w:spacing w:before="0"/>
              <w:jc w:val="center"/>
              <w:rPr>
                <w:b/>
                <w:bCs/>
                <w:color w:val="000000"/>
              </w:rPr>
            </w:pPr>
            <w:r w:rsidRPr="00C35F8B">
              <w:rPr>
                <w:b/>
                <w:color w:val="000000"/>
              </w:rPr>
              <w:t>Standard-Setting Scale Threshold Score</w:t>
            </w:r>
          </w:p>
        </w:tc>
      </w:tr>
      <w:tr w:rsidR="00713FA4" w:rsidRPr="00C35F8B" w14:paraId="3D2F4CF2" w14:textId="77777777" w:rsidTr="00F67158">
        <w:trPr>
          <w:trHeight w:val="315"/>
          <w:jc w:val="center"/>
        </w:trPr>
        <w:tc>
          <w:tcPr>
            <w:tcW w:w="1705" w:type="dxa"/>
            <w:tcMar>
              <w:top w:w="43" w:type="dxa"/>
              <w:left w:w="115" w:type="dxa"/>
              <w:bottom w:w="43" w:type="dxa"/>
              <w:right w:w="115" w:type="dxa"/>
            </w:tcMar>
            <w:hideMark/>
          </w:tcPr>
          <w:p w14:paraId="1A7873B6" w14:textId="77777777" w:rsidR="00E35C9E" w:rsidRPr="00C35F8B" w:rsidRDefault="00E35C9E" w:rsidP="00CE3947">
            <w:pPr>
              <w:spacing w:before="0"/>
              <w:rPr>
                <w:b/>
                <w:color w:val="000000"/>
              </w:rPr>
            </w:pPr>
            <w:r w:rsidRPr="00C35F8B">
              <w:rPr>
                <w:color w:val="000000"/>
              </w:rPr>
              <w:t>K</w:t>
            </w:r>
          </w:p>
        </w:tc>
        <w:tc>
          <w:tcPr>
            <w:tcW w:w="1530" w:type="dxa"/>
            <w:tcMar>
              <w:top w:w="43" w:type="dxa"/>
              <w:left w:w="115" w:type="dxa"/>
              <w:bottom w:w="43" w:type="dxa"/>
              <w:right w:w="115" w:type="dxa"/>
            </w:tcMar>
            <w:vAlign w:val="center"/>
            <w:hideMark/>
          </w:tcPr>
          <w:p w14:paraId="19FBDC2B" w14:textId="77777777" w:rsidR="00E35C9E" w:rsidRPr="00C35F8B" w:rsidRDefault="00F67158" w:rsidP="00CE3947">
            <w:pPr>
              <w:tabs>
                <w:tab w:val="decimal" w:pos="605"/>
              </w:tabs>
              <w:spacing w:before="0"/>
              <w:rPr>
                <w:b/>
                <w:color w:val="000000"/>
              </w:rPr>
            </w:pPr>
            <w:r w:rsidRPr="00C35F8B">
              <w:rPr>
                <w:rFonts w:eastAsia="Times New Roman"/>
              </w:rPr>
              <w:t>39.6</w:t>
            </w:r>
          </w:p>
        </w:tc>
        <w:tc>
          <w:tcPr>
            <w:tcW w:w="1620" w:type="dxa"/>
            <w:tcMar>
              <w:top w:w="43" w:type="dxa"/>
              <w:left w:w="115" w:type="dxa"/>
              <w:bottom w:w="43" w:type="dxa"/>
              <w:right w:w="115" w:type="dxa"/>
            </w:tcMar>
            <w:vAlign w:val="center"/>
            <w:hideMark/>
          </w:tcPr>
          <w:p w14:paraId="6E3A294C" w14:textId="77777777" w:rsidR="00E35C9E" w:rsidRPr="00C35F8B" w:rsidRDefault="00F67158" w:rsidP="00BB560C">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hideMark/>
          </w:tcPr>
          <w:p w14:paraId="484F33FB" w14:textId="77777777" w:rsidR="00E35C9E" w:rsidRPr="00C35F8B" w:rsidRDefault="00F67158" w:rsidP="00BB560C">
            <w:pPr>
              <w:tabs>
                <w:tab w:val="decimal" w:pos="698"/>
              </w:tabs>
              <w:spacing w:before="0"/>
              <w:rPr>
                <w:b/>
                <w:color w:val="000000"/>
              </w:rPr>
            </w:pPr>
            <w:r w:rsidRPr="00C35F8B">
              <w:rPr>
                <w:rFonts w:eastAsia="Times New Roman"/>
              </w:rPr>
              <w:t>45.0</w:t>
            </w:r>
          </w:p>
        </w:tc>
        <w:tc>
          <w:tcPr>
            <w:tcW w:w="1800" w:type="dxa"/>
            <w:tcMar>
              <w:top w:w="43" w:type="dxa"/>
              <w:left w:w="115" w:type="dxa"/>
              <w:bottom w:w="43" w:type="dxa"/>
              <w:right w:w="115" w:type="dxa"/>
            </w:tcMar>
            <w:vAlign w:val="center"/>
            <w:hideMark/>
          </w:tcPr>
          <w:p w14:paraId="218A0944" w14:textId="77777777" w:rsidR="00E35C9E" w:rsidRPr="00C35F8B" w:rsidRDefault="00F67158" w:rsidP="00BB560C">
            <w:pPr>
              <w:tabs>
                <w:tab w:val="decimal" w:pos="960"/>
              </w:tabs>
              <w:spacing w:before="0"/>
              <w:rPr>
                <w:b/>
                <w:color w:val="000000"/>
              </w:rPr>
            </w:pPr>
            <w:r w:rsidRPr="00C35F8B">
              <w:rPr>
                <w:rFonts w:eastAsia="Times New Roman"/>
              </w:rPr>
              <w:t>254</w:t>
            </w:r>
          </w:p>
        </w:tc>
        <w:tc>
          <w:tcPr>
            <w:tcW w:w="1530" w:type="dxa"/>
            <w:tcMar>
              <w:top w:w="43" w:type="dxa"/>
              <w:left w:w="115" w:type="dxa"/>
              <w:bottom w:w="43" w:type="dxa"/>
              <w:right w:w="115" w:type="dxa"/>
            </w:tcMar>
            <w:vAlign w:val="center"/>
            <w:hideMark/>
          </w:tcPr>
          <w:p w14:paraId="47922A74" w14:textId="77777777" w:rsidR="00E35C9E" w:rsidRPr="00C35F8B" w:rsidRDefault="00F67158" w:rsidP="00BB560C">
            <w:pPr>
              <w:tabs>
                <w:tab w:val="decimal" w:pos="698"/>
              </w:tabs>
              <w:spacing w:before="0"/>
              <w:rPr>
                <w:b/>
                <w:color w:val="000000"/>
              </w:rPr>
            </w:pPr>
            <w:r w:rsidRPr="00C35F8B">
              <w:rPr>
                <w:rFonts w:eastAsia="Times New Roman"/>
              </w:rPr>
              <w:t>60.4</w:t>
            </w:r>
          </w:p>
        </w:tc>
        <w:tc>
          <w:tcPr>
            <w:tcW w:w="1530" w:type="dxa"/>
            <w:tcMar>
              <w:top w:w="43" w:type="dxa"/>
              <w:left w:w="115" w:type="dxa"/>
              <w:bottom w:w="43" w:type="dxa"/>
              <w:right w:w="115" w:type="dxa"/>
            </w:tcMar>
            <w:vAlign w:val="center"/>
            <w:hideMark/>
          </w:tcPr>
          <w:p w14:paraId="4D73792F" w14:textId="77777777" w:rsidR="00E35C9E" w:rsidRPr="00C35F8B" w:rsidRDefault="00F67158" w:rsidP="00BB560C">
            <w:pPr>
              <w:tabs>
                <w:tab w:val="decimal" w:pos="698"/>
              </w:tabs>
              <w:spacing w:before="0"/>
              <w:rPr>
                <w:b/>
                <w:color w:val="000000"/>
              </w:rPr>
            </w:pPr>
            <w:r w:rsidRPr="00C35F8B">
              <w:rPr>
                <w:rFonts w:eastAsia="Times New Roman"/>
              </w:rPr>
              <w:t>15.4</w:t>
            </w:r>
          </w:p>
        </w:tc>
        <w:tc>
          <w:tcPr>
            <w:tcW w:w="1800" w:type="dxa"/>
            <w:tcMar>
              <w:top w:w="43" w:type="dxa"/>
              <w:left w:w="115" w:type="dxa"/>
              <w:bottom w:w="43" w:type="dxa"/>
              <w:right w:w="115" w:type="dxa"/>
            </w:tcMar>
            <w:vAlign w:val="center"/>
          </w:tcPr>
          <w:p w14:paraId="61FCE021" w14:textId="77777777" w:rsidR="00E35C9E" w:rsidRPr="00C35F8B" w:rsidRDefault="00F67158" w:rsidP="00971331">
            <w:pPr>
              <w:tabs>
                <w:tab w:val="decimal" w:pos="1057"/>
              </w:tabs>
              <w:spacing w:before="0"/>
              <w:rPr>
                <w:b/>
                <w:color w:val="000000"/>
              </w:rPr>
            </w:pPr>
            <w:r w:rsidRPr="00C35F8B">
              <w:rPr>
                <w:rFonts w:eastAsia="Times New Roman"/>
              </w:rPr>
              <w:t>275</w:t>
            </w:r>
          </w:p>
        </w:tc>
      </w:tr>
      <w:tr w:rsidR="00BB560C" w:rsidRPr="00C35F8B" w14:paraId="7F942B35" w14:textId="77777777" w:rsidTr="00F67158">
        <w:trPr>
          <w:trHeight w:val="315"/>
          <w:jc w:val="center"/>
        </w:trPr>
        <w:tc>
          <w:tcPr>
            <w:tcW w:w="1705" w:type="dxa"/>
            <w:tcMar>
              <w:top w:w="43" w:type="dxa"/>
              <w:left w:w="115" w:type="dxa"/>
              <w:bottom w:w="43" w:type="dxa"/>
              <w:right w:w="115" w:type="dxa"/>
            </w:tcMar>
          </w:tcPr>
          <w:p w14:paraId="5AA7BC86" w14:textId="77777777" w:rsidR="00BB560C" w:rsidRPr="00C35F8B" w:rsidRDefault="00BB560C" w:rsidP="00BB560C">
            <w:pPr>
              <w:spacing w:before="0"/>
              <w:rPr>
                <w:b/>
                <w:color w:val="000000"/>
              </w:rPr>
            </w:pPr>
            <w:r w:rsidRPr="00C35F8B">
              <w:rPr>
                <w:color w:val="000000"/>
              </w:rPr>
              <w:t>1</w:t>
            </w:r>
          </w:p>
        </w:tc>
        <w:tc>
          <w:tcPr>
            <w:tcW w:w="1530" w:type="dxa"/>
            <w:tcMar>
              <w:top w:w="43" w:type="dxa"/>
              <w:left w:w="115" w:type="dxa"/>
              <w:bottom w:w="43" w:type="dxa"/>
              <w:right w:w="115" w:type="dxa"/>
            </w:tcMar>
            <w:vAlign w:val="center"/>
          </w:tcPr>
          <w:p w14:paraId="6FF84DFF" w14:textId="77777777" w:rsidR="00BB560C" w:rsidRPr="00C35F8B" w:rsidRDefault="00F67158" w:rsidP="00BB560C">
            <w:pPr>
              <w:tabs>
                <w:tab w:val="decimal" w:pos="605"/>
              </w:tabs>
              <w:spacing w:before="0"/>
              <w:rPr>
                <w:b/>
                <w:color w:val="000000"/>
              </w:rPr>
            </w:pPr>
            <w:r w:rsidRPr="00C35F8B">
              <w:rPr>
                <w:rFonts w:eastAsia="Times New Roman"/>
              </w:rPr>
              <w:t>33.3</w:t>
            </w:r>
          </w:p>
        </w:tc>
        <w:tc>
          <w:tcPr>
            <w:tcW w:w="1620" w:type="dxa"/>
            <w:tcMar>
              <w:top w:w="43" w:type="dxa"/>
              <w:left w:w="115" w:type="dxa"/>
              <w:bottom w:w="43" w:type="dxa"/>
              <w:right w:w="115" w:type="dxa"/>
            </w:tcMar>
            <w:vAlign w:val="center"/>
          </w:tcPr>
          <w:p w14:paraId="23D5305E" w14:textId="77777777" w:rsidR="00BB560C" w:rsidRPr="00C35F8B" w:rsidRDefault="00F67158" w:rsidP="00BB560C">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tcPr>
          <w:p w14:paraId="44AD3C06" w14:textId="77777777" w:rsidR="00BB560C" w:rsidRPr="00C35F8B" w:rsidRDefault="00F67158" w:rsidP="00BB560C">
            <w:pPr>
              <w:tabs>
                <w:tab w:val="decimal" w:pos="698"/>
              </w:tabs>
              <w:spacing w:before="0"/>
              <w:rPr>
                <w:b/>
                <w:color w:val="000000"/>
              </w:rPr>
            </w:pPr>
            <w:r w:rsidRPr="00C35F8B">
              <w:rPr>
                <w:rFonts w:eastAsia="Times New Roman"/>
              </w:rPr>
              <w:t>49.0</w:t>
            </w:r>
          </w:p>
        </w:tc>
        <w:tc>
          <w:tcPr>
            <w:tcW w:w="1800" w:type="dxa"/>
            <w:tcMar>
              <w:top w:w="43" w:type="dxa"/>
              <w:left w:w="115" w:type="dxa"/>
              <w:bottom w:w="43" w:type="dxa"/>
              <w:right w:w="115" w:type="dxa"/>
            </w:tcMar>
            <w:vAlign w:val="center"/>
          </w:tcPr>
          <w:p w14:paraId="44E47CA9" w14:textId="77777777" w:rsidR="00BB560C" w:rsidRPr="00C35F8B" w:rsidRDefault="00F67158" w:rsidP="00BB560C">
            <w:pPr>
              <w:tabs>
                <w:tab w:val="decimal" w:pos="960"/>
              </w:tabs>
              <w:spacing w:before="0"/>
              <w:rPr>
                <w:b/>
                <w:color w:val="000000"/>
              </w:rPr>
            </w:pPr>
            <w:r w:rsidRPr="00C35F8B">
              <w:rPr>
                <w:rFonts w:eastAsia="Times New Roman"/>
              </w:rPr>
              <w:t>250</w:t>
            </w:r>
          </w:p>
        </w:tc>
        <w:tc>
          <w:tcPr>
            <w:tcW w:w="1530" w:type="dxa"/>
            <w:tcMar>
              <w:top w:w="43" w:type="dxa"/>
              <w:left w:w="115" w:type="dxa"/>
              <w:bottom w:w="43" w:type="dxa"/>
              <w:right w:w="115" w:type="dxa"/>
            </w:tcMar>
            <w:vAlign w:val="center"/>
          </w:tcPr>
          <w:p w14:paraId="0C8F2801" w14:textId="77777777" w:rsidR="00BB560C" w:rsidRPr="00C35F8B" w:rsidRDefault="00F67158" w:rsidP="00BB560C">
            <w:pPr>
              <w:tabs>
                <w:tab w:val="decimal" w:pos="698"/>
              </w:tabs>
              <w:spacing w:before="0"/>
              <w:rPr>
                <w:b/>
                <w:color w:val="000000"/>
              </w:rPr>
            </w:pPr>
            <w:r w:rsidRPr="00C35F8B">
              <w:rPr>
                <w:rFonts w:eastAsia="Times New Roman"/>
              </w:rPr>
              <w:t>66.7</w:t>
            </w:r>
          </w:p>
        </w:tc>
        <w:tc>
          <w:tcPr>
            <w:tcW w:w="1530" w:type="dxa"/>
            <w:tcMar>
              <w:top w:w="43" w:type="dxa"/>
              <w:left w:w="115" w:type="dxa"/>
              <w:bottom w:w="43" w:type="dxa"/>
              <w:right w:w="115" w:type="dxa"/>
            </w:tcMar>
            <w:vAlign w:val="center"/>
          </w:tcPr>
          <w:p w14:paraId="6AFE6236" w14:textId="77777777" w:rsidR="00BB560C" w:rsidRPr="00C35F8B" w:rsidRDefault="00F67158" w:rsidP="00BB560C">
            <w:pPr>
              <w:tabs>
                <w:tab w:val="decimal" w:pos="698"/>
              </w:tabs>
              <w:spacing w:before="0"/>
              <w:rPr>
                <w:b/>
                <w:color w:val="000000"/>
              </w:rPr>
            </w:pPr>
            <w:r w:rsidRPr="00C35F8B">
              <w:rPr>
                <w:rFonts w:eastAsia="Times New Roman"/>
              </w:rPr>
              <w:t>17.8</w:t>
            </w:r>
          </w:p>
        </w:tc>
        <w:tc>
          <w:tcPr>
            <w:tcW w:w="1800" w:type="dxa"/>
            <w:tcMar>
              <w:top w:w="43" w:type="dxa"/>
              <w:left w:w="115" w:type="dxa"/>
              <w:bottom w:w="43" w:type="dxa"/>
              <w:right w:w="115" w:type="dxa"/>
            </w:tcMar>
            <w:vAlign w:val="center"/>
          </w:tcPr>
          <w:p w14:paraId="3C0AA622" w14:textId="77777777" w:rsidR="00BB560C" w:rsidRPr="00C35F8B" w:rsidRDefault="00F67158" w:rsidP="00971331">
            <w:pPr>
              <w:tabs>
                <w:tab w:val="decimal" w:pos="1057"/>
              </w:tabs>
              <w:spacing w:before="0"/>
              <w:rPr>
                <w:b/>
                <w:color w:val="000000"/>
              </w:rPr>
            </w:pPr>
            <w:r w:rsidRPr="00C35F8B">
              <w:rPr>
                <w:rFonts w:eastAsia="Times New Roman"/>
              </w:rPr>
              <w:t>271</w:t>
            </w:r>
          </w:p>
        </w:tc>
      </w:tr>
      <w:tr w:rsidR="00BB560C" w:rsidRPr="00C35F8B" w14:paraId="2849195C" w14:textId="77777777" w:rsidTr="00F67158">
        <w:trPr>
          <w:trHeight w:val="315"/>
          <w:jc w:val="center"/>
        </w:trPr>
        <w:tc>
          <w:tcPr>
            <w:tcW w:w="1705" w:type="dxa"/>
            <w:tcMar>
              <w:top w:w="43" w:type="dxa"/>
              <w:left w:w="115" w:type="dxa"/>
              <w:bottom w:w="43" w:type="dxa"/>
              <w:right w:w="115" w:type="dxa"/>
            </w:tcMar>
          </w:tcPr>
          <w:p w14:paraId="724A8DAE" w14:textId="77777777" w:rsidR="00BB560C" w:rsidRPr="00C35F8B" w:rsidRDefault="00BB560C" w:rsidP="00BB560C">
            <w:pPr>
              <w:spacing w:before="0"/>
              <w:rPr>
                <w:b/>
                <w:color w:val="000000"/>
              </w:rPr>
            </w:pPr>
            <w:r w:rsidRPr="00C35F8B">
              <w:rPr>
                <w:color w:val="000000"/>
              </w:rPr>
              <w:t>2</w:t>
            </w:r>
          </w:p>
        </w:tc>
        <w:tc>
          <w:tcPr>
            <w:tcW w:w="1530" w:type="dxa"/>
            <w:tcMar>
              <w:top w:w="43" w:type="dxa"/>
              <w:left w:w="115" w:type="dxa"/>
              <w:bottom w:w="43" w:type="dxa"/>
              <w:right w:w="115" w:type="dxa"/>
            </w:tcMar>
            <w:vAlign w:val="center"/>
          </w:tcPr>
          <w:p w14:paraId="312A4F1D" w14:textId="77777777" w:rsidR="00BB560C" w:rsidRPr="00C35F8B" w:rsidRDefault="00F67158" w:rsidP="00BB560C">
            <w:pPr>
              <w:tabs>
                <w:tab w:val="decimal" w:pos="605"/>
              </w:tabs>
              <w:spacing w:before="0"/>
              <w:rPr>
                <w:b/>
                <w:color w:val="000000"/>
              </w:rPr>
            </w:pPr>
            <w:r w:rsidRPr="00C35F8B">
              <w:rPr>
                <w:rFonts w:eastAsia="Times New Roman"/>
              </w:rPr>
              <w:t>40.5</w:t>
            </w:r>
          </w:p>
        </w:tc>
        <w:tc>
          <w:tcPr>
            <w:tcW w:w="1620" w:type="dxa"/>
            <w:tcMar>
              <w:top w:w="43" w:type="dxa"/>
              <w:left w:w="115" w:type="dxa"/>
              <w:bottom w:w="43" w:type="dxa"/>
              <w:right w:w="115" w:type="dxa"/>
            </w:tcMar>
            <w:vAlign w:val="center"/>
          </w:tcPr>
          <w:p w14:paraId="3F29CB99" w14:textId="77777777" w:rsidR="00BB560C" w:rsidRPr="00C35F8B" w:rsidRDefault="00F67158" w:rsidP="00BB560C">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tcPr>
          <w:p w14:paraId="41749209" w14:textId="77777777" w:rsidR="00BB560C" w:rsidRPr="00C35F8B" w:rsidRDefault="00F67158" w:rsidP="00BB560C">
            <w:pPr>
              <w:tabs>
                <w:tab w:val="decimal" w:pos="698"/>
              </w:tabs>
              <w:spacing w:before="0"/>
              <w:rPr>
                <w:b/>
                <w:color w:val="000000"/>
              </w:rPr>
            </w:pPr>
            <w:r w:rsidRPr="00C35F8B">
              <w:rPr>
                <w:rFonts w:eastAsia="Times New Roman"/>
              </w:rPr>
              <w:t>41.8</w:t>
            </w:r>
          </w:p>
        </w:tc>
        <w:tc>
          <w:tcPr>
            <w:tcW w:w="1800" w:type="dxa"/>
            <w:tcMar>
              <w:top w:w="43" w:type="dxa"/>
              <w:left w:w="115" w:type="dxa"/>
              <w:bottom w:w="43" w:type="dxa"/>
              <w:right w:w="115" w:type="dxa"/>
            </w:tcMar>
            <w:vAlign w:val="center"/>
          </w:tcPr>
          <w:p w14:paraId="30133ADD" w14:textId="77777777" w:rsidR="00BB560C" w:rsidRPr="00C35F8B" w:rsidRDefault="00F67158" w:rsidP="00BB560C">
            <w:pPr>
              <w:tabs>
                <w:tab w:val="decimal" w:pos="960"/>
              </w:tabs>
              <w:spacing w:before="0"/>
              <w:rPr>
                <w:b/>
                <w:color w:val="000000"/>
              </w:rPr>
            </w:pPr>
            <w:r w:rsidRPr="00C35F8B">
              <w:rPr>
                <w:rFonts w:eastAsia="Times New Roman"/>
              </w:rPr>
              <w:t>252</w:t>
            </w:r>
          </w:p>
        </w:tc>
        <w:tc>
          <w:tcPr>
            <w:tcW w:w="1530" w:type="dxa"/>
            <w:tcMar>
              <w:top w:w="43" w:type="dxa"/>
              <w:left w:w="115" w:type="dxa"/>
              <w:bottom w:w="43" w:type="dxa"/>
              <w:right w:w="115" w:type="dxa"/>
            </w:tcMar>
            <w:vAlign w:val="center"/>
          </w:tcPr>
          <w:p w14:paraId="6CC5F0B9" w14:textId="77777777" w:rsidR="00BB560C" w:rsidRPr="00C35F8B" w:rsidRDefault="00F67158" w:rsidP="00BB560C">
            <w:pPr>
              <w:tabs>
                <w:tab w:val="decimal" w:pos="698"/>
              </w:tabs>
              <w:spacing w:before="0"/>
              <w:rPr>
                <w:b/>
                <w:color w:val="000000"/>
              </w:rPr>
            </w:pPr>
            <w:r w:rsidRPr="00C35F8B">
              <w:rPr>
                <w:rFonts w:eastAsia="Times New Roman"/>
              </w:rPr>
              <w:t>59.5</w:t>
            </w:r>
          </w:p>
        </w:tc>
        <w:tc>
          <w:tcPr>
            <w:tcW w:w="1530" w:type="dxa"/>
            <w:tcMar>
              <w:top w:w="43" w:type="dxa"/>
              <w:left w:w="115" w:type="dxa"/>
              <w:bottom w:w="43" w:type="dxa"/>
              <w:right w:w="115" w:type="dxa"/>
            </w:tcMar>
            <w:vAlign w:val="center"/>
          </w:tcPr>
          <w:p w14:paraId="00B0CB24" w14:textId="77777777" w:rsidR="00BB560C" w:rsidRPr="00C35F8B" w:rsidRDefault="00F67158" w:rsidP="00BB560C">
            <w:pPr>
              <w:tabs>
                <w:tab w:val="decimal" w:pos="698"/>
              </w:tabs>
              <w:spacing w:before="0"/>
              <w:rPr>
                <w:b/>
                <w:color w:val="000000"/>
              </w:rPr>
            </w:pPr>
            <w:r w:rsidRPr="00C35F8B">
              <w:rPr>
                <w:rFonts w:eastAsia="Times New Roman"/>
              </w:rPr>
              <w:t>17.7</w:t>
            </w:r>
          </w:p>
        </w:tc>
        <w:tc>
          <w:tcPr>
            <w:tcW w:w="1800" w:type="dxa"/>
            <w:tcMar>
              <w:top w:w="43" w:type="dxa"/>
              <w:left w:w="115" w:type="dxa"/>
              <w:bottom w:w="43" w:type="dxa"/>
              <w:right w:w="115" w:type="dxa"/>
            </w:tcMar>
            <w:vAlign w:val="center"/>
          </w:tcPr>
          <w:p w14:paraId="196DE724" w14:textId="77777777" w:rsidR="00BB560C" w:rsidRPr="00C35F8B" w:rsidRDefault="00F67158" w:rsidP="00971331">
            <w:pPr>
              <w:tabs>
                <w:tab w:val="decimal" w:pos="1057"/>
              </w:tabs>
              <w:spacing w:before="0"/>
              <w:rPr>
                <w:b/>
                <w:color w:val="000000"/>
              </w:rPr>
            </w:pPr>
            <w:r w:rsidRPr="00C35F8B">
              <w:rPr>
                <w:rFonts w:eastAsia="Times New Roman"/>
              </w:rPr>
              <w:t>272</w:t>
            </w:r>
          </w:p>
        </w:tc>
      </w:tr>
      <w:tr w:rsidR="00BB560C" w:rsidRPr="00C35F8B" w14:paraId="020A0943" w14:textId="77777777" w:rsidTr="00F67158">
        <w:trPr>
          <w:trHeight w:val="315"/>
          <w:jc w:val="center"/>
        </w:trPr>
        <w:tc>
          <w:tcPr>
            <w:tcW w:w="1705" w:type="dxa"/>
            <w:tcMar>
              <w:top w:w="43" w:type="dxa"/>
              <w:left w:w="115" w:type="dxa"/>
              <w:bottom w:w="43" w:type="dxa"/>
              <w:right w:w="115" w:type="dxa"/>
            </w:tcMar>
            <w:hideMark/>
          </w:tcPr>
          <w:p w14:paraId="175EB621" w14:textId="77777777" w:rsidR="00BB560C" w:rsidRPr="00C35F8B" w:rsidRDefault="00BB560C" w:rsidP="00BB560C">
            <w:pPr>
              <w:spacing w:before="0"/>
              <w:rPr>
                <w:b/>
                <w:color w:val="000000"/>
              </w:rPr>
            </w:pPr>
            <w:r w:rsidRPr="00C35F8B">
              <w:rPr>
                <w:color w:val="000000"/>
              </w:rPr>
              <w:t>3–5</w:t>
            </w:r>
          </w:p>
        </w:tc>
        <w:tc>
          <w:tcPr>
            <w:tcW w:w="1530" w:type="dxa"/>
            <w:tcMar>
              <w:top w:w="43" w:type="dxa"/>
              <w:left w:w="115" w:type="dxa"/>
              <w:bottom w:w="43" w:type="dxa"/>
              <w:right w:w="115" w:type="dxa"/>
            </w:tcMar>
            <w:vAlign w:val="center"/>
            <w:hideMark/>
          </w:tcPr>
          <w:p w14:paraId="277DC7B3" w14:textId="77777777" w:rsidR="00BB560C" w:rsidRPr="00C35F8B" w:rsidRDefault="00F67158" w:rsidP="00BB560C">
            <w:pPr>
              <w:tabs>
                <w:tab w:val="decimal" w:pos="605"/>
              </w:tabs>
              <w:spacing w:before="0"/>
              <w:rPr>
                <w:b/>
                <w:color w:val="000000"/>
              </w:rPr>
            </w:pPr>
            <w:r w:rsidRPr="00C35F8B">
              <w:rPr>
                <w:rFonts w:eastAsia="Times New Roman"/>
              </w:rPr>
              <w:t>27.6</w:t>
            </w:r>
          </w:p>
        </w:tc>
        <w:tc>
          <w:tcPr>
            <w:tcW w:w="1620" w:type="dxa"/>
            <w:tcMar>
              <w:top w:w="43" w:type="dxa"/>
              <w:left w:w="115" w:type="dxa"/>
              <w:bottom w:w="43" w:type="dxa"/>
              <w:right w:w="115" w:type="dxa"/>
            </w:tcMar>
            <w:vAlign w:val="center"/>
            <w:hideMark/>
          </w:tcPr>
          <w:p w14:paraId="1F62E699" w14:textId="77777777" w:rsidR="00BB560C" w:rsidRPr="00C35F8B" w:rsidRDefault="00F67158" w:rsidP="00BB560C">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hideMark/>
          </w:tcPr>
          <w:p w14:paraId="30353F22" w14:textId="77777777" w:rsidR="00BB560C" w:rsidRPr="00C35F8B" w:rsidRDefault="00F67158" w:rsidP="00BB560C">
            <w:pPr>
              <w:tabs>
                <w:tab w:val="decimal" w:pos="698"/>
              </w:tabs>
              <w:spacing w:before="0"/>
              <w:rPr>
                <w:b/>
                <w:color w:val="000000"/>
              </w:rPr>
            </w:pPr>
            <w:r w:rsidRPr="00C35F8B">
              <w:rPr>
                <w:rFonts w:eastAsia="Times New Roman"/>
              </w:rPr>
              <w:t>44.8</w:t>
            </w:r>
          </w:p>
        </w:tc>
        <w:tc>
          <w:tcPr>
            <w:tcW w:w="1800" w:type="dxa"/>
            <w:tcMar>
              <w:top w:w="43" w:type="dxa"/>
              <w:left w:w="115" w:type="dxa"/>
              <w:bottom w:w="43" w:type="dxa"/>
              <w:right w:w="115" w:type="dxa"/>
            </w:tcMar>
            <w:vAlign w:val="center"/>
            <w:hideMark/>
          </w:tcPr>
          <w:p w14:paraId="05C3B862" w14:textId="77777777" w:rsidR="00BB560C" w:rsidRPr="00C35F8B" w:rsidRDefault="00F67158" w:rsidP="00BB560C">
            <w:pPr>
              <w:tabs>
                <w:tab w:val="decimal" w:pos="960"/>
              </w:tabs>
              <w:spacing w:before="0"/>
              <w:rPr>
                <w:b/>
                <w:color w:val="000000"/>
              </w:rPr>
            </w:pPr>
            <w:r w:rsidRPr="00C35F8B">
              <w:rPr>
                <w:rFonts w:eastAsia="Times New Roman"/>
              </w:rPr>
              <w:t>244</w:t>
            </w:r>
          </w:p>
        </w:tc>
        <w:tc>
          <w:tcPr>
            <w:tcW w:w="1530" w:type="dxa"/>
            <w:tcMar>
              <w:top w:w="43" w:type="dxa"/>
              <w:left w:w="115" w:type="dxa"/>
              <w:bottom w:w="43" w:type="dxa"/>
              <w:right w:w="115" w:type="dxa"/>
            </w:tcMar>
            <w:vAlign w:val="center"/>
            <w:hideMark/>
          </w:tcPr>
          <w:p w14:paraId="40854C33" w14:textId="77777777" w:rsidR="00BB560C" w:rsidRPr="00C35F8B" w:rsidRDefault="00F67158" w:rsidP="00BB560C">
            <w:pPr>
              <w:tabs>
                <w:tab w:val="decimal" w:pos="698"/>
              </w:tabs>
              <w:spacing w:before="0"/>
              <w:rPr>
                <w:b/>
                <w:color w:val="000000"/>
              </w:rPr>
            </w:pPr>
            <w:r w:rsidRPr="00C35F8B">
              <w:rPr>
                <w:rFonts w:eastAsia="Times New Roman"/>
              </w:rPr>
              <w:t>72.4</w:t>
            </w:r>
          </w:p>
        </w:tc>
        <w:tc>
          <w:tcPr>
            <w:tcW w:w="1530" w:type="dxa"/>
            <w:tcMar>
              <w:top w:w="43" w:type="dxa"/>
              <w:left w:w="115" w:type="dxa"/>
              <w:bottom w:w="43" w:type="dxa"/>
              <w:right w:w="115" w:type="dxa"/>
            </w:tcMar>
            <w:vAlign w:val="center"/>
            <w:hideMark/>
          </w:tcPr>
          <w:p w14:paraId="54C91263" w14:textId="77777777" w:rsidR="00BB560C" w:rsidRPr="00C35F8B" w:rsidRDefault="00F67158" w:rsidP="00BB560C">
            <w:pPr>
              <w:tabs>
                <w:tab w:val="decimal" w:pos="698"/>
              </w:tabs>
              <w:spacing w:before="0"/>
              <w:rPr>
                <w:b/>
                <w:color w:val="000000"/>
              </w:rPr>
            </w:pPr>
            <w:r w:rsidRPr="00C35F8B">
              <w:rPr>
                <w:rFonts w:eastAsia="Times New Roman"/>
                <w:color w:val="000000"/>
              </w:rPr>
              <w:t>27.7</w:t>
            </w:r>
          </w:p>
        </w:tc>
        <w:tc>
          <w:tcPr>
            <w:tcW w:w="1800" w:type="dxa"/>
            <w:tcMar>
              <w:top w:w="43" w:type="dxa"/>
              <w:left w:w="115" w:type="dxa"/>
              <w:bottom w:w="43" w:type="dxa"/>
              <w:right w:w="115" w:type="dxa"/>
            </w:tcMar>
            <w:vAlign w:val="center"/>
          </w:tcPr>
          <w:p w14:paraId="40D337A2" w14:textId="77777777" w:rsidR="00BB560C" w:rsidRPr="00C35F8B" w:rsidRDefault="00F67158" w:rsidP="00971331">
            <w:pPr>
              <w:tabs>
                <w:tab w:val="decimal" w:pos="1057"/>
              </w:tabs>
              <w:spacing w:before="0"/>
              <w:rPr>
                <w:b/>
                <w:color w:val="000000"/>
              </w:rPr>
            </w:pPr>
            <w:r w:rsidRPr="00C35F8B">
              <w:rPr>
                <w:rFonts w:eastAsia="Times New Roman"/>
              </w:rPr>
              <w:t>268</w:t>
            </w:r>
          </w:p>
        </w:tc>
      </w:tr>
      <w:tr w:rsidR="00BB560C" w:rsidRPr="00C35F8B" w14:paraId="3085E492" w14:textId="77777777" w:rsidTr="00F67158">
        <w:trPr>
          <w:trHeight w:val="315"/>
          <w:jc w:val="center"/>
        </w:trPr>
        <w:tc>
          <w:tcPr>
            <w:tcW w:w="1705" w:type="dxa"/>
            <w:tcMar>
              <w:top w:w="43" w:type="dxa"/>
              <w:left w:w="115" w:type="dxa"/>
              <w:bottom w:w="43" w:type="dxa"/>
              <w:right w:w="115" w:type="dxa"/>
            </w:tcMar>
            <w:hideMark/>
          </w:tcPr>
          <w:p w14:paraId="561206C9" w14:textId="77777777" w:rsidR="00BB560C" w:rsidRPr="00C35F8B" w:rsidRDefault="00BB560C" w:rsidP="00BB560C">
            <w:pPr>
              <w:spacing w:before="0"/>
              <w:rPr>
                <w:b/>
                <w:color w:val="000000"/>
              </w:rPr>
            </w:pPr>
            <w:r w:rsidRPr="00C35F8B">
              <w:rPr>
                <w:color w:val="000000"/>
              </w:rPr>
              <w:t>6–8</w:t>
            </w:r>
          </w:p>
        </w:tc>
        <w:tc>
          <w:tcPr>
            <w:tcW w:w="1530" w:type="dxa"/>
            <w:tcMar>
              <w:top w:w="43" w:type="dxa"/>
              <w:left w:w="115" w:type="dxa"/>
              <w:bottom w:w="43" w:type="dxa"/>
              <w:right w:w="115" w:type="dxa"/>
            </w:tcMar>
            <w:vAlign w:val="center"/>
            <w:hideMark/>
          </w:tcPr>
          <w:p w14:paraId="0C9B36C0" w14:textId="77777777" w:rsidR="00BB560C" w:rsidRPr="00C35F8B" w:rsidRDefault="00F67158" w:rsidP="00BB560C">
            <w:pPr>
              <w:tabs>
                <w:tab w:val="decimal" w:pos="605"/>
              </w:tabs>
              <w:spacing w:before="0"/>
              <w:rPr>
                <w:b/>
                <w:color w:val="000000"/>
              </w:rPr>
            </w:pPr>
            <w:r w:rsidRPr="00C35F8B">
              <w:rPr>
                <w:rFonts w:eastAsia="Times New Roman"/>
                <w:color w:val="000000"/>
              </w:rPr>
              <w:t>22.7</w:t>
            </w:r>
          </w:p>
        </w:tc>
        <w:tc>
          <w:tcPr>
            <w:tcW w:w="1620" w:type="dxa"/>
            <w:tcMar>
              <w:top w:w="43" w:type="dxa"/>
              <w:left w:w="115" w:type="dxa"/>
              <w:bottom w:w="43" w:type="dxa"/>
              <w:right w:w="115" w:type="dxa"/>
            </w:tcMar>
            <w:vAlign w:val="center"/>
            <w:hideMark/>
          </w:tcPr>
          <w:p w14:paraId="3990132E" w14:textId="77777777" w:rsidR="00BB560C" w:rsidRPr="00C35F8B" w:rsidRDefault="00F67158" w:rsidP="00BB560C">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hideMark/>
          </w:tcPr>
          <w:p w14:paraId="673CA4B9" w14:textId="77777777" w:rsidR="00BB560C" w:rsidRPr="00C35F8B" w:rsidRDefault="00F67158" w:rsidP="00BB560C">
            <w:pPr>
              <w:tabs>
                <w:tab w:val="decimal" w:pos="698"/>
              </w:tabs>
              <w:spacing w:before="0"/>
              <w:rPr>
                <w:b/>
                <w:color w:val="000000"/>
              </w:rPr>
            </w:pPr>
            <w:r w:rsidRPr="00C35F8B">
              <w:rPr>
                <w:rFonts w:eastAsia="Times New Roman"/>
              </w:rPr>
              <w:t>36.7</w:t>
            </w:r>
          </w:p>
        </w:tc>
        <w:tc>
          <w:tcPr>
            <w:tcW w:w="1800" w:type="dxa"/>
            <w:tcMar>
              <w:top w:w="43" w:type="dxa"/>
              <w:left w:w="115" w:type="dxa"/>
              <w:bottom w:w="43" w:type="dxa"/>
              <w:right w:w="115" w:type="dxa"/>
            </w:tcMar>
            <w:vAlign w:val="center"/>
            <w:hideMark/>
          </w:tcPr>
          <w:p w14:paraId="1C884552" w14:textId="77777777" w:rsidR="00BB560C" w:rsidRPr="00C35F8B" w:rsidRDefault="00F67158" w:rsidP="00BB560C">
            <w:pPr>
              <w:tabs>
                <w:tab w:val="decimal" w:pos="960"/>
              </w:tabs>
              <w:spacing w:before="0"/>
              <w:rPr>
                <w:b/>
                <w:color w:val="000000"/>
              </w:rPr>
            </w:pPr>
            <w:r w:rsidRPr="00C35F8B">
              <w:rPr>
                <w:rFonts w:eastAsia="Times New Roman"/>
              </w:rPr>
              <w:t>237</w:t>
            </w:r>
          </w:p>
        </w:tc>
        <w:tc>
          <w:tcPr>
            <w:tcW w:w="1530" w:type="dxa"/>
            <w:tcMar>
              <w:top w:w="43" w:type="dxa"/>
              <w:left w:w="115" w:type="dxa"/>
              <w:bottom w:w="43" w:type="dxa"/>
              <w:right w:w="115" w:type="dxa"/>
            </w:tcMar>
            <w:vAlign w:val="center"/>
            <w:hideMark/>
          </w:tcPr>
          <w:p w14:paraId="32D814C9" w14:textId="77777777" w:rsidR="00BB560C" w:rsidRPr="00C35F8B" w:rsidRDefault="00F67158" w:rsidP="00BB560C">
            <w:pPr>
              <w:tabs>
                <w:tab w:val="decimal" w:pos="698"/>
              </w:tabs>
              <w:spacing w:before="0"/>
              <w:rPr>
                <w:b/>
                <w:color w:val="000000"/>
              </w:rPr>
            </w:pPr>
            <w:r w:rsidRPr="00C35F8B">
              <w:rPr>
                <w:rFonts w:eastAsia="Times New Roman"/>
              </w:rPr>
              <w:t>77.3</w:t>
            </w:r>
          </w:p>
        </w:tc>
        <w:tc>
          <w:tcPr>
            <w:tcW w:w="1530" w:type="dxa"/>
            <w:tcMar>
              <w:top w:w="43" w:type="dxa"/>
              <w:left w:w="115" w:type="dxa"/>
              <w:bottom w:w="43" w:type="dxa"/>
              <w:right w:w="115" w:type="dxa"/>
            </w:tcMar>
            <w:vAlign w:val="center"/>
            <w:hideMark/>
          </w:tcPr>
          <w:p w14:paraId="26A22D20" w14:textId="77777777" w:rsidR="00BB560C" w:rsidRPr="00C35F8B" w:rsidRDefault="00F67158" w:rsidP="00BB560C">
            <w:pPr>
              <w:tabs>
                <w:tab w:val="decimal" w:pos="698"/>
              </w:tabs>
              <w:spacing w:before="0"/>
              <w:rPr>
                <w:b/>
                <w:color w:val="000000"/>
              </w:rPr>
            </w:pPr>
            <w:r w:rsidRPr="00C35F8B">
              <w:rPr>
                <w:rFonts w:eastAsia="Times New Roman"/>
              </w:rPr>
              <w:t>40.6</w:t>
            </w:r>
          </w:p>
        </w:tc>
        <w:tc>
          <w:tcPr>
            <w:tcW w:w="1800" w:type="dxa"/>
            <w:tcMar>
              <w:top w:w="43" w:type="dxa"/>
              <w:left w:w="115" w:type="dxa"/>
              <w:bottom w:w="43" w:type="dxa"/>
              <w:right w:w="115" w:type="dxa"/>
            </w:tcMar>
            <w:vAlign w:val="center"/>
          </w:tcPr>
          <w:p w14:paraId="36A9F0C1" w14:textId="77777777" w:rsidR="00BB560C" w:rsidRPr="00C35F8B" w:rsidRDefault="00F67158" w:rsidP="00971331">
            <w:pPr>
              <w:tabs>
                <w:tab w:val="decimal" w:pos="1057"/>
              </w:tabs>
              <w:spacing w:before="0"/>
              <w:rPr>
                <w:b/>
                <w:color w:val="000000"/>
              </w:rPr>
            </w:pPr>
            <w:r w:rsidRPr="00C35F8B">
              <w:rPr>
                <w:rFonts w:eastAsia="Times New Roman"/>
              </w:rPr>
              <w:t>261</w:t>
            </w:r>
          </w:p>
        </w:tc>
      </w:tr>
      <w:tr w:rsidR="00BB560C" w:rsidRPr="00C35F8B" w14:paraId="46DAFE85" w14:textId="77777777" w:rsidTr="00F67158">
        <w:trPr>
          <w:trHeight w:val="315"/>
          <w:jc w:val="center"/>
        </w:trPr>
        <w:tc>
          <w:tcPr>
            <w:tcW w:w="1705" w:type="dxa"/>
            <w:tcMar>
              <w:top w:w="43" w:type="dxa"/>
              <w:left w:w="115" w:type="dxa"/>
              <w:bottom w:w="43" w:type="dxa"/>
              <w:right w:w="115" w:type="dxa"/>
            </w:tcMar>
            <w:hideMark/>
          </w:tcPr>
          <w:p w14:paraId="1B9E8152" w14:textId="77777777" w:rsidR="00BB560C" w:rsidRPr="00C35F8B" w:rsidRDefault="00BB560C" w:rsidP="00BB560C">
            <w:pPr>
              <w:spacing w:before="0"/>
              <w:rPr>
                <w:b/>
                <w:color w:val="000000"/>
              </w:rPr>
            </w:pPr>
            <w:r w:rsidRPr="00C35F8B">
              <w:rPr>
                <w:color w:val="000000"/>
              </w:rPr>
              <w:t>9–12</w:t>
            </w:r>
          </w:p>
        </w:tc>
        <w:tc>
          <w:tcPr>
            <w:tcW w:w="1530" w:type="dxa"/>
            <w:tcMar>
              <w:top w:w="43" w:type="dxa"/>
              <w:left w:w="115" w:type="dxa"/>
              <w:bottom w:w="43" w:type="dxa"/>
              <w:right w:w="115" w:type="dxa"/>
            </w:tcMar>
            <w:vAlign w:val="center"/>
            <w:hideMark/>
          </w:tcPr>
          <w:p w14:paraId="2AD3D6D2" w14:textId="77777777" w:rsidR="00BB560C" w:rsidRPr="00C35F8B" w:rsidRDefault="00F67158" w:rsidP="00BB560C">
            <w:pPr>
              <w:tabs>
                <w:tab w:val="decimal" w:pos="605"/>
              </w:tabs>
              <w:spacing w:before="0"/>
              <w:rPr>
                <w:b/>
                <w:color w:val="000000"/>
              </w:rPr>
            </w:pPr>
            <w:r w:rsidRPr="00C35F8B">
              <w:rPr>
                <w:rFonts w:eastAsia="Times New Roman"/>
                <w:color w:val="000000"/>
              </w:rPr>
              <w:t>28.0</w:t>
            </w:r>
          </w:p>
        </w:tc>
        <w:tc>
          <w:tcPr>
            <w:tcW w:w="1620" w:type="dxa"/>
            <w:tcMar>
              <w:top w:w="43" w:type="dxa"/>
              <w:left w:w="115" w:type="dxa"/>
              <w:bottom w:w="43" w:type="dxa"/>
              <w:right w:w="115" w:type="dxa"/>
            </w:tcMar>
            <w:vAlign w:val="center"/>
            <w:hideMark/>
          </w:tcPr>
          <w:p w14:paraId="1BE4FA54" w14:textId="77777777" w:rsidR="00BB560C" w:rsidRPr="00C35F8B" w:rsidRDefault="00F67158" w:rsidP="00BB560C">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hideMark/>
          </w:tcPr>
          <w:p w14:paraId="3A64194B" w14:textId="77777777" w:rsidR="00BB560C" w:rsidRPr="00C35F8B" w:rsidRDefault="00F67158" w:rsidP="00BB560C">
            <w:pPr>
              <w:tabs>
                <w:tab w:val="decimal" w:pos="698"/>
              </w:tabs>
              <w:spacing w:before="0"/>
              <w:rPr>
                <w:b/>
                <w:color w:val="000000"/>
              </w:rPr>
            </w:pPr>
            <w:r w:rsidRPr="00C35F8B">
              <w:rPr>
                <w:rFonts w:eastAsia="Times New Roman"/>
              </w:rPr>
              <w:t>37.8</w:t>
            </w:r>
          </w:p>
        </w:tc>
        <w:tc>
          <w:tcPr>
            <w:tcW w:w="1800" w:type="dxa"/>
            <w:tcMar>
              <w:top w:w="43" w:type="dxa"/>
              <w:left w:w="115" w:type="dxa"/>
              <w:bottom w:w="43" w:type="dxa"/>
              <w:right w:w="115" w:type="dxa"/>
            </w:tcMar>
            <w:vAlign w:val="center"/>
            <w:hideMark/>
          </w:tcPr>
          <w:p w14:paraId="2D2B359A" w14:textId="77777777" w:rsidR="00BB560C" w:rsidRPr="00C35F8B" w:rsidRDefault="00F67158" w:rsidP="00BB560C">
            <w:pPr>
              <w:tabs>
                <w:tab w:val="decimal" w:pos="960"/>
              </w:tabs>
              <w:spacing w:before="0"/>
              <w:rPr>
                <w:b/>
                <w:color w:val="000000"/>
              </w:rPr>
            </w:pPr>
            <w:r w:rsidRPr="00C35F8B">
              <w:rPr>
                <w:rFonts w:eastAsia="Times New Roman"/>
              </w:rPr>
              <w:t>239</w:t>
            </w:r>
          </w:p>
        </w:tc>
        <w:tc>
          <w:tcPr>
            <w:tcW w:w="1530" w:type="dxa"/>
            <w:tcMar>
              <w:top w:w="43" w:type="dxa"/>
              <w:left w:w="115" w:type="dxa"/>
              <w:bottom w:w="43" w:type="dxa"/>
              <w:right w:w="115" w:type="dxa"/>
            </w:tcMar>
            <w:vAlign w:val="center"/>
            <w:hideMark/>
          </w:tcPr>
          <w:p w14:paraId="6DB4293D" w14:textId="77777777" w:rsidR="00BB560C" w:rsidRPr="00C35F8B" w:rsidRDefault="00F67158" w:rsidP="00BB560C">
            <w:pPr>
              <w:tabs>
                <w:tab w:val="decimal" w:pos="698"/>
              </w:tabs>
              <w:spacing w:before="0"/>
              <w:rPr>
                <w:b/>
                <w:color w:val="000000"/>
              </w:rPr>
            </w:pPr>
            <w:r w:rsidRPr="00C35F8B">
              <w:rPr>
                <w:rFonts w:eastAsia="Times New Roman"/>
              </w:rPr>
              <w:t>72.0</w:t>
            </w:r>
          </w:p>
        </w:tc>
        <w:tc>
          <w:tcPr>
            <w:tcW w:w="1530" w:type="dxa"/>
            <w:tcMar>
              <w:top w:w="43" w:type="dxa"/>
              <w:left w:w="115" w:type="dxa"/>
              <w:bottom w:w="43" w:type="dxa"/>
              <w:right w:w="115" w:type="dxa"/>
            </w:tcMar>
            <w:vAlign w:val="center"/>
            <w:hideMark/>
          </w:tcPr>
          <w:p w14:paraId="339EF043" w14:textId="77777777" w:rsidR="00BB560C" w:rsidRPr="00C35F8B" w:rsidRDefault="00F67158" w:rsidP="00BB560C">
            <w:pPr>
              <w:tabs>
                <w:tab w:val="decimal" w:pos="698"/>
              </w:tabs>
              <w:spacing w:before="0"/>
              <w:rPr>
                <w:b/>
                <w:color w:val="000000"/>
              </w:rPr>
            </w:pPr>
            <w:r w:rsidRPr="00C35F8B">
              <w:rPr>
                <w:rFonts w:eastAsia="Times New Roman"/>
              </w:rPr>
              <w:t>34.3</w:t>
            </w:r>
          </w:p>
        </w:tc>
        <w:tc>
          <w:tcPr>
            <w:tcW w:w="1800" w:type="dxa"/>
            <w:tcMar>
              <w:top w:w="43" w:type="dxa"/>
              <w:left w:w="115" w:type="dxa"/>
              <w:bottom w:w="43" w:type="dxa"/>
              <w:right w:w="115" w:type="dxa"/>
            </w:tcMar>
            <w:vAlign w:val="center"/>
          </w:tcPr>
          <w:p w14:paraId="737411C7" w14:textId="77777777" w:rsidR="00BB560C" w:rsidRPr="00C35F8B" w:rsidRDefault="00F67158" w:rsidP="00971331">
            <w:pPr>
              <w:tabs>
                <w:tab w:val="decimal" w:pos="1057"/>
              </w:tabs>
              <w:spacing w:before="0"/>
              <w:rPr>
                <w:b/>
                <w:color w:val="000000"/>
              </w:rPr>
            </w:pPr>
            <w:r w:rsidRPr="00C35F8B">
              <w:rPr>
                <w:rFonts w:eastAsia="Times New Roman"/>
              </w:rPr>
              <w:t>267</w:t>
            </w:r>
          </w:p>
        </w:tc>
      </w:tr>
    </w:tbl>
    <w:p w14:paraId="5A631EA3" w14:textId="77777777" w:rsidR="00FF7438" w:rsidRPr="00C35F8B" w:rsidRDefault="00FF7438" w:rsidP="002E110E">
      <w:pPr>
        <w:spacing w:before="120"/>
        <w:jc w:val="center"/>
        <w:rPr>
          <w:b/>
          <w:iCs/>
          <w:color w:val="000000"/>
          <w:sz w:val="22"/>
          <w:szCs w:val="22"/>
          <w:lang w:eastAsia="ko-KR"/>
        </w:rPr>
      </w:pPr>
      <w:r w:rsidRPr="00C35F8B">
        <w:rPr>
          <w:b/>
          <w:iCs/>
          <w:color w:val="000000"/>
          <w:sz w:val="22"/>
          <w:szCs w:val="22"/>
          <w:lang w:eastAsia="ko-KR"/>
        </w:rPr>
        <w:t>Key</w:t>
      </w:r>
    </w:p>
    <w:tbl>
      <w:tblPr>
        <w:tblStyle w:val="GridTable1Light"/>
        <w:tblW w:w="0" w:type="auto"/>
        <w:tblBorders>
          <w:top w:val="single" w:sz="12" w:space="0" w:color="BFBFBF" w:themeColor="background1" w:themeShade="BF"/>
          <w:left w:val="none" w:sz="0" w:space="0" w:color="auto"/>
          <w:bottom w:val="single" w:sz="12" w:space="0" w:color="D0CECE" w:themeColor="background2" w:themeShade="E6"/>
          <w:right w:val="none" w:sz="0" w:space="0" w:color="auto"/>
          <w:insideH w:val="single" w:sz="12" w:space="0" w:color="999999" w:themeColor="text1" w:themeTint="66"/>
          <w:insideV w:val="none" w:sz="0" w:space="0" w:color="auto"/>
        </w:tblBorders>
        <w:tblLook w:val="04A0" w:firstRow="1" w:lastRow="0" w:firstColumn="1" w:lastColumn="0" w:noHBand="0" w:noVBand="1"/>
        <w:tblCaption w:val="Key"/>
        <w:tblDescription w:val="This table explains the key for Table 1."/>
      </w:tblPr>
      <w:tblGrid>
        <w:gridCol w:w="2970"/>
        <w:gridCol w:w="9980"/>
      </w:tblGrid>
      <w:tr w:rsidR="00FF7438" w:rsidRPr="00C35F8B" w14:paraId="5DB8AEFD" w14:textId="77777777" w:rsidTr="00CC7623">
        <w:trPr>
          <w:cnfStyle w:val="100000000000" w:firstRow="1" w:lastRow="0" w:firstColumn="0" w:lastColumn="0" w:oddVBand="0" w:evenVBand="0" w:oddHBand="0" w:evenHBand="0" w:firstRowFirstColumn="0" w:firstRowLastColumn="0" w:lastRowFirstColumn="0" w:lastRowLastColumn="0"/>
          <w:cantSplit/>
          <w:trHeight w:val="440"/>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279B49C1" w14:textId="77777777" w:rsidR="00FF7438" w:rsidRPr="00C35F8B" w:rsidRDefault="00AD4635" w:rsidP="00FF7438">
            <w:pPr>
              <w:rPr>
                <w:iCs/>
                <w:color w:val="000000"/>
                <w:lang w:eastAsia="ko-KR"/>
              </w:rPr>
            </w:pPr>
            <w:r w:rsidRPr="00C35F8B">
              <w:rPr>
                <w:rFonts w:eastAsia="SimSun" w:cs="Calibri"/>
              </w:rPr>
              <w:t>Percentage</w:t>
            </w:r>
            <w:r w:rsidR="00FF7438" w:rsidRPr="00C35F8B">
              <w:rPr>
                <w:rFonts w:eastAsia="SimSun" w:cs="Calibri"/>
              </w:rPr>
              <w:t xml:space="preserve"> of Students</w:t>
            </w:r>
          </w:p>
        </w:tc>
        <w:tc>
          <w:tcPr>
            <w:tcW w:w="9980" w:type="dxa"/>
            <w:tcBorders>
              <w:bottom w:val="none" w:sz="0" w:space="0" w:color="auto"/>
            </w:tcBorders>
            <w:vAlign w:val="center"/>
          </w:tcPr>
          <w:p w14:paraId="0B69323B" w14:textId="77777777" w:rsidR="00FF7438" w:rsidRPr="00C35F8B" w:rsidRDefault="00FF7438" w:rsidP="00FF7438">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Percent of students statewide who would be placed at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w:t>
            </w:r>
          </w:p>
        </w:tc>
      </w:tr>
      <w:tr w:rsidR="00FF7438" w:rsidRPr="00C35F8B" w14:paraId="7B9D0C21" w14:textId="77777777" w:rsidTr="00CC76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111E0A89" w14:textId="77777777" w:rsidR="00FF7438" w:rsidRPr="00C35F8B" w:rsidRDefault="00FF7438" w:rsidP="00FF7438">
            <w:pPr>
              <w:rPr>
                <w:iCs/>
                <w:color w:val="000000"/>
                <w:lang w:eastAsia="ko-KR"/>
              </w:rPr>
            </w:pPr>
            <w:r w:rsidRPr="00C35F8B">
              <w:rPr>
                <w:rFonts w:eastAsia="SimSun" w:cs="Calibri"/>
              </w:rPr>
              <w:t>Standard-Setting Scale Threshold Score</w:t>
            </w:r>
          </w:p>
        </w:tc>
        <w:tc>
          <w:tcPr>
            <w:tcW w:w="9980" w:type="dxa"/>
            <w:tcBorders>
              <w:bottom w:val="none" w:sz="0" w:space="0" w:color="auto"/>
            </w:tcBorders>
            <w:vAlign w:val="center"/>
          </w:tcPr>
          <w:p w14:paraId="4886EF74" w14:textId="77777777" w:rsidR="00FF7438" w:rsidRPr="00C35F8B" w:rsidRDefault="00FF7438" w:rsidP="00FF7438">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Minimum standard-setting scale score needed to achieve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 See note below.</w:t>
            </w:r>
          </w:p>
        </w:tc>
      </w:tr>
      <w:tr w:rsidR="00FF7438" w:rsidRPr="00C35F8B" w14:paraId="137FB6CD" w14:textId="77777777" w:rsidTr="00CC76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52E749C5" w14:textId="77777777" w:rsidR="00FF7438" w:rsidRPr="00C35F8B" w:rsidRDefault="00AD4635" w:rsidP="00FF7438">
            <w:pPr>
              <w:rPr>
                <w:iCs/>
                <w:color w:val="000000"/>
                <w:lang w:eastAsia="ko-KR"/>
              </w:rPr>
            </w:pPr>
            <w:r w:rsidRPr="00C35F8B">
              <w:rPr>
                <w:rFonts w:eastAsia="SimSun" w:cs="Calibri"/>
              </w:rPr>
              <w:t>Percentage</w:t>
            </w:r>
            <w:r w:rsidR="00FF7438" w:rsidRPr="00C35F8B">
              <w:rPr>
                <w:rFonts w:eastAsia="SimSun" w:cs="Calibri"/>
              </w:rPr>
              <w:t xml:space="preserve"> at or above</w:t>
            </w:r>
          </w:p>
        </w:tc>
        <w:tc>
          <w:tcPr>
            <w:tcW w:w="9980" w:type="dxa"/>
            <w:tcBorders>
              <w:bottom w:val="none" w:sz="0" w:space="0" w:color="auto"/>
            </w:tcBorders>
            <w:vAlign w:val="center"/>
          </w:tcPr>
          <w:p w14:paraId="0E05E71B" w14:textId="77777777" w:rsidR="00FF7438" w:rsidRPr="00C35F8B" w:rsidRDefault="00FF7438" w:rsidP="00FF7438">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Percent of students statewide who would be at and above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w:t>
            </w:r>
          </w:p>
        </w:tc>
      </w:tr>
    </w:tbl>
    <w:p w14:paraId="25948E99" w14:textId="77777777" w:rsidR="00A84FAF" w:rsidRPr="00C35F8B" w:rsidRDefault="00A84FAF" w:rsidP="003A2143">
      <w:pPr>
        <w:spacing w:before="120"/>
        <w:rPr>
          <w:iCs/>
          <w:color w:val="000000"/>
          <w:lang w:eastAsia="ko-KR"/>
        </w:rPr>
      </w:pPr>
      <w:r w:rsidRPr="00C35F8B">
        <w:rPr>
          <w:iCs/>
          <w:color w:val="000000"/>
          <w:lang w:eastAsia="ko-KR"/>
        </w:rPr>
        <w:t>Notes:</w:t>
      </w:r>
    </w:p>
    <w:p w14:paraId="4F2F38EE" w14:textId="77777777" w:rsidR="00A84FAF" w:rsidRPr="00C35F8B" w:rsidRDefault="00A84FAF" w:rsidP="003A2143">
      <w:pPr>
        <w:pStyle w:val="ListParagraph"/>
        <w:numPr>
          <w:ilvl w:val="0"/>
          <w:numId w:val="29"/>
        </w:numPr>
        <w:spacing w:after="120"/>
        <w:ind w:left="360"/>
        <w:contextualSpacing w:val="0"/>
      </w:pPr>
      <w:r w:rsidRPr="00C35F8B">
        <w:t xml:space="preserve">Threshold scores are presented on a score scale generated solely for the standard-setting process. Reporting scales will be developed to report scores on the Student Score Report and public reporting. </w:t>
      </w:r>
    </w:p>
    <w:p w14:paraId="61A7E8E3" w14:textId="77777777" w:rsidR="00A84FAF" w:rsidRPr="00C35F8B" w:rsidRDefault="00A84FAF" w:rsidP="003A2143">
      <w:pPr>
        <w:pStyle w:val="ListParagraph"/>
        <w:numPr>
          <w:ilvl w:val="0"/>
          <w:numId w:val="29"/>
        </w:numPr>
        <w:spacing w:after="120"/>
        <w:ind w:left="360"/>
        <w:contextualSpacing w:val="0"/>
      </w:pPr>
      <w:r w:rsidRPr="00C35F8B">
        <w:t>Each level percentages may not sum to 100, due to rounding.</w:t>
      </w:r>
    </w:p>
    <w:p w14:paraId="019E31EC" w14:textId="77777777" w:rsidR="00A84FAF" w:rsidRPr="00C35F8B" w:rsidRDefault="00A84FAF" w:rsidP="0077076A">
      <w:pPr>
        <w:spacing w:after="120"/>
        <w:rPr>
          <w:rFonts w:eastAsia="SimSun"/>
          <w:lang w:eastAsia="zh-CN"/>
        </w:rPr>
      </w:pPr>
      <w:r w:rsidRPr="00C35F8B">
        <w:rPr>
          <w:rFonts w:eastAsia="SimSun"/>
          <w:lang w:eastAsia="zh-CN"/>
        </w:rPr>
        <w:lastRenderedPageBreak/>
        <w:t xml:space="preserve">Table 2. State Superintendent of Public Instruction’s Recommendations for the Proposed Performance Levels on the Overall Score for the Summative Alternate English Language Proficiency Assessments for California (ELPAC) </w:t>
      </w:r>
    </w:p>
    <w:tbl>
      <w:tblPr>
        <w:tblStyle w:val="TableGrid"/>
        <w:tblW w:w="13045" w:type="dxa"/>
        <w:tblLayout w:type="fixed"/>
        <w:tblLook w:val="04A0" w:firstRow="1" w:lastRow="0" w:firstColumn="1" w:lastColumn="0" w:noHBand="0" w:noVBand="1"/>
      </w:tblPr>
      <w:tblGrid>
        <w:gridCol w:w="1705"/>
        <w:gridCol w:w="1530"/>
        <w:gridCol w:w="1620"/>
        <w:gridCol w:w="1530"/>
        <w:gridCol w:w="1800"/>
        <w:gridCol w:w="1530"/>
        <w:gridCol w:w="1530"/>
        <w:gridCol w:w="1800"/>
      </w:tblGrid>
      <w:tr w:rsidR="00CC690F" w:rsidRPr="00C35F8B" w14:paraId="29389E28" w14:textId="77777777" w:rsidTr="00BD7EEF">
        <w:trPr>
          <w:trHeight w:val="1214"/>
          <w:tblHeader/>
        </w:trPr>
        <w:tc>
          <w:tcPr>
            <w:tcW w:w="1705" w:type="dxa"/>
            <w:shd w:val="clear" w:color="auto" w:fill="D9D9D9" w:themeFill="background1" w:themeFillShade="D9"/>
            <w:tcMar>
              <w:top w:w="43" w:type="dxa"/>
              <w:left w:w="115" w:type="dxa"/>
              <w:bottom w:w="43" w:type="dxa"/>
              <w:right w:w="115" w:type="dxa"/>
            </w:tcMar>
            <w:vAlign w:val="center"/>
            <w:hideMark/>
          </w:tcPr>
          <w:p w14:paraId="2CEDDBF7" w14:textId="77777777" w:rsidR="00CC690F" w:rsidRPr="00C35F8B" w:rsidRDefault="00CC690F" w:rsidP="00BD7EEF">
            <w:pPr>
              <w:spacing w:before="0"/>
              <w:rPr>
                <w:b/>
                <w:bCs/>
                <w:color w:val="000000"/>
              </w:rPr>
            </w:pPr>
            <w:r w:rsidRPr="00C35F8B">
              <w:rPr>
                <w:b/>
                <w:color w:val="000000"/>
              </w:rPr>
              <w:t>Grade</w:t>
            </w:r>
          </w:p>
        </w:tc>
        <w:tc>
          <w:tcPr>
            <w:tcW w:w="1530" w:type="dxa"/>
            <w:shd w:val="clear" w:color="auto" w:fill="D9D9D9" w:themeFill="background1" w:themeFillShade="D9"/>
            <w:tcMar>
              <w:top w:w="43" w:type="dxa"/>
              <w:left w:w="115" w:type="dxa"/>
              <w:bottom w:w="43" w:type="dxa"/>
              <w:right w:w="115" w:type="dxa"/>
            </w:tcMar>
            <w:vAlign w:val="center"/>
            <w:hideMark/>
          </w:tcPr>
          <w:p w14:paraId="3C1C532C" w14:textId="77777777" w:rsidR="00CC690F" w:rsidRPr="00C35F8B" w:rsidRDefault="00CC690F" w:rsidP="00BD7EEF">
            <w:pPr>
              <w:spacing w:before="0"/>
              <w:jc w:val="center"/>
              <w:rPr>
                <w:b/>
                <w:bCs/>
                <w:color w:val="000000"/>
              </w:rPr>
            </w:pPr>
            <w:r w:rsidRPr="00C35F8B">
              <w:rPr>
                <w:b/>
                <w:color w:val="000000"/>
              </w:rPr>
              <w:t xml:space="preserve">Level 1 </w:t>
            </w:r>
          </w:p>
          <w:p w14:paraId="25AF860E" w14:textId="77777777" w:rsidR="00CC690F" w:rsidRPr="00C35F8B" w:rsidRDefault="00CC690F" w:rsidP="00BD7EEF">
            <w:pPr>
              <w:spacing w:before="0"/>
              <w:jc w:val="center"/>
              <w:rPr>
                <w:b/>
                <w:bCs/>
                <w:color w:val="000000"/>
              </w:rPr>
            </w:pPr>
            <w:r w:rsidRPr="00C35F8B">
              <w:rPr>
                <w:b/>
                <w:color w:val="000000"/>
              </w:rPr>
              <w:t>Percentage of Students</w:t>
            </w:r>
          </w:p>
        </w:tc>
        <w:tc>
          <w:tcPr>
            <w:tcW w:w="1620" w:type="dxa"/>
            <w:shd w:val="clear" w:color="auto" w:fill="D9D9D9" w:themeFill="background1" w:themeFillShade="D9"/>
            <w:tcMar>
              <w:top w:w="43" w:type="dxa"/>
              <w:left w:w="115" w:type="dxa"/>
              <w:bottom w:w="43" w:type="dxa"/>
              <w:right w:w="115" w:type="dxa"/>
            </w:tcMar>
            <w:vAlign w:val="center"/>
            <w:hideMark/>
          </w:tcPr>
          <w:p w14:paraId="59B698C2" w14:textId="77777777" w:rsidR="00CC690F" w:rsidRPr="00C35F8B" w:rsidRDefault="00CC690F" w:rsidP="00BD7EEF">
            <w:pPr>
              <w:spacing w:before="0"/>
              <w:jc w:val="center"/>
              <w:rPr>
                <w:b/>
                <w:bCs/>
                <w:color w:val="000000"/>
              </w:rPr>
            </w:pPr>
            <w:r w:rsidRPr="00C35F8B">
              <w:rPr>
                <w:b/>
                <w:color w:val="000000"/>
              </w:rPr>
              <w:t>Level 1</w:t>
            </w:r>
          </w:p>
          <w:p w14:paraId="4D0F23DE" w14:textId="77777777" w:rsidR="00CC690F" w:rsidRPr="00C35F8B" w:rsidRDefault="00CC690F" w:rsidP="00BD7EEF">
            <w:pPr>
              <w:spacing w:before="0"/>
              <w:jc w:val="center"/>
              <w:rPr>
                <w:b/>
                <w:bCs/>
                <w:color w:val="000000"/>
              </w:rPr>
            </w:pPr>
            <w:r w:rsidRPr="00C35F8B">
              <w:rPr>
                <w:b/>
                <w:color w:val="000000"/>
              </w:rPr>
              <w:t>Percentage at or above</w:t>
            </w:r>
          </w:p>
        </w:tc>
        <w:tc>
          <w:tcPr>
            <w:tcW w:w="1530" w:type="dxa"/>
            <w:shd w:val="clear" w:color="auto" w:fill="D9D9D9" w:themeFill="background1" w:themeFillShade="D9"/>
            <w:tcMar>
              <w:top w:w="43" w:type="dxa"/>
              <w:left w:w="115" w:type="dxa"/>
              <w:bottom w:w="43" w:type="dxa"/>
              <w:right w:w="115" w:type="dxa"/>
            </w:tcMar>
            <w:vAlign w:val="center"/>
            <w:hideMark/>
          </w:tcPr>
          <w:p w14:paraId="58DFC9DF" w14:textId="77777777" w:rsidR="00CC690F" w:rsidRPr="00C35F8B" w:rsidRDefault="00CC690F" w:rsidP="00BD7EEF">
            <w:pPr>
              <w:spacing w:before="0"/>
              <w:jc w:val="center"/>
              <w:rPr>
                <w:b/>
                <w:bCs/>
                <w:color w:val="000000"/>
              </w:rPr>
            </w:pPr>
            <w:r w:rsidRPr="00C35F8B">
              <w:rPr>
                <w:b/>
                <w:color w:val="000000"/>
              </w:rPr>
              <w:t>Level 2</w:t>
            </w:r>
          </w:p>
          <w:p w14:paraId="1C506221" w14:textId="77777777" w:rsidR="00CC690F" w:rsidRPr="00C35F8B" w:rsidRDefault="00CC690F" w:rsidP="00BD7EEF">
            <w:pPr>
              <w:spacing w:before="0"/>
              <w:jc w:val="center"/>
              <w:rPr>
                <w:b/>
                <w:bCs/>
                <w:color w:val="000000"/>
              </w:rPr>
            </w:pPr>
            <w:r w:rsidRPr="00C35F8B">
              <w:rPr>
                <w:b/>
                <w:color w:val="000000"/>
              </w:rPr>
              <w:t>Percentage of Students</w:t>
            </w:r>
          </w:p>
        </w:tc>
        <w:tc>
          <w:tcPr>
            <w:tcW w:w="1800" w:type="dxa"/>
            <w:shd w:val="clear" w:color="auto" w:fill="D9D9D9" w:themeFill="background1" w:themeFillShade="D9"/>
            <w:tcMar>
              <w:top w:w="43" w:type="dxa"/>
              <w:left w:w="115" w:type="dxa"/>
              <w:bottom w:w="43" w:type="dxa"/>
              <w:right w:w="115" w:type="dxa"/>
            </w:tcMar>
            <w:vAlign w:val="center"/>
            <w:hideMark/>
          </w:tcPr>
          <w:p w14:paraId="52D157F7" w14:textId="77777777" w:rsidR="00CC690F" w:rsidRPr="00C35F8B" w:rsidRDefault="00CC690F" w:rsidP="00BD7EEF">
            <w:pPr>
              <w:spacing w:before="0"/>
              <w:jc w:val="center"/>
              <w:rPr>
                <w:b/>
                <w:bCs/>
                <w:color w:val="000000"/>
              </w:rPr>
            </w:pPr>
            <w:r w:rsidRPr="00C35F8B">
              <w:rPr>
                <w:b/>
                <w:color w:val="000000"/>
              </w:rPr>
              <w:t>Level 2</w:t>
            </w:r>
          </w:p>
          <w:p w14:paraId="44287F9D" w14:textId="77777777" w:rsidR="00CC690F" w:rsidRPr="00C35F8B" w:rsidRDefault="00CC690F" w:rsidP="00BD7EEF">
            <w:pPr>
              <w:spacing w:before="0"/>
              <w:jc w:val="center"/>
              <w:rPr>
                <w:b/>
                <w:bCs/>
                <w:color w:val="000000"/>
              </w:rPr>
            </w:pPr>
            <w:r w:rsidRPr="00C35F8B">
              <w:rPr>
                <w:b/>
                <w:color w:val="000000"/>
              </w:rPr>
              <w:t>Standard-Setting Scale Threshold Score</w:t>
            </w:r>
          </w:p>
        </w:tc>
        <w:tc>
          <w:tcPr>
            <w:tcW w:w="1530" w:type="dxa"/>
            <w:shd w:val="clear" w:color="auto" w:fill="D9D9D9" w:themeFill="background1" w:themeFillShade="D9"/>
            <w:tcMar>
              <w:top w:w="43" w:type="dxa"/>
              <w:left w:w="115" w:type="dxa"/>
              <w:bottom w:w="43" w:type="dxa"/>
              <w:right w:w="115" w:type="dxa"/>
            </w:tcMar>
            <w:vAlign w:val="center"/>
            <w:hideMark/>
          </w:tcPr>
          <w:p w14:paraId="60B47E8D" w14:textId="77777777" w:rsidR="00CC690F" w:rsidRPr="00C35F8B" w:rsidRDefault="00CC690F" w:rsidP="00BD7EEF">
            <w:pPr>
              <w:spacing w:before="0"/>
              <w:jc w:val="center"/>
              <w:rPr>
                <w:b/>
                <w:bCs/>
                <w:color w:val="000000"/>
              </w:rPr>
            </w:pPr>
            <w:r w:rsidRPr="00C35F8B">
              <w:rPr>
                <w:b/>
                <w:color w:val="000000"/>
              </w:rPr>
              <w:t xml:space="preserve">Level 2 </w:t>
            </w:r>
          </w:p>
          <w:p w14:paraId="0767E33C" w14:textId="77777777" w:rsidR="00CC690F" w:rsidRPr="00C35F8B" w:rsidRDefault="00CC690F" w:rsidP="00BD7EEF">
            <w:pPr>
              <w:spacing w:before="0"/>
              <w:jc w:val="center"/>
              <w:rPr>
                <w:b/>
                <w:bCs/>
                <w:color w:val="000000"/>
              </w:rPr>
            </w:pPr>
            <w:r w:rsidRPr="00C35F8B">
              <w:rPr>
                <w:b/>
                <w:color w:val="000000"/>
              </w:rPr>
              <w:t>Percentage at or above</w:t>
            </w:r>
          </w:p>
        </w:tc>
        <w:tc>
          <w:tcPr>
            <w:tcW w:w="1530" w:type="dxa"/>
            <w:shd w:val="clear" w:color="auto" w:fill="D9D9D9" w:themeFill="background1" w:themeFillShade="D9"/>
            <w:tcMar>
              <w:top w:w="43" w:type="dxa"/>
              <w:left w:w="115" w:type="dxa"/>
              <w:bottom w:w="43" w:type="dxa"/>
              <w:right w:w="115" w:type="dxa"/>
            </w:tcMar>
            <w:vAlign w:val="center"/>
            <w:hideMark/>
          </w:tcPr>
          <w:p w14:paraId="37851983" w14:textId="77777777" w:rsidR="00CC690F" w:rsidRPr="00C35F8B" w:rsidRDefault="00CC690F" w:rsidP="00BD7EEF">
            <w:pPr>
              <w:spacing w:before="0"/>
              <w:jc w:val="center"/>
              <w:rPr>
                <w:b/>
                <w:bCs/>
                <w:color w:val="000000"/>
              </w:rPr>
            </w:pPr>
            <w:r w:rsidRPr="00C35F8B">
              <w:rPr>
                <w:b/>
                <w:color w:val="000000"/>
              </w:rPr>
              <w:t>Level 3</w:t>
            </w:r>
          </w:p>
          <w:p w14:paraId="08309095" w14:textId="77777777" w:rsidR="00CC690F" w:rsidRPr="00C35F8B" w:rsidRDefault="00CC690F" w:rsidP="00BD7EEF">
            <w:pPr>
              <w:spacing w:before="0"/>
              <w:jc w:val="center"/>
              <w:rPr>
                <w:b/>
                <w:bCs/>
                <w:color w:val="000000"/>
              </w:rPr>
            </w:pPr>
            <w:r w:rsidRPr="00C35F8B">
              <w:rPr>
                <w:b/>
                <w:color w:val="000000"/>
              </w:rPr>
              <w:t>Percentage of Students</w:t>
            </w:r>
          </w:p>
        </w:tc>
        <w:tc>
          <w:tcPr>
            <w:tcW w:w="1800" w:type="dxa"/>
            <w:shd w:val="clear" w:color="auto" w:fill="D9D9D9" w:themeFill="background1" w:themeFillShade="D9"/>
            <w:tcMar>
              <w:top w:w="43" w:type="dxa"/>
              <w:left w:w="115" w:type="dxa"/>
              <w:bottom w:w="43" w:type="dxa"/>
              <w:right w:w="115" w:type="dxa"/>
            </w:tcMar>
            <w:vAlign w:val="center"/>
            <w:hideMark/>
          </w:tcPr>
          <w:p w14:paraId="4A275D60" w14:textId="77777777" w:rsidR="00CC690F" w:rsidRPr="00C35F8B" w:rsidRDefault="00CC690F" w:rsidP="00BD7EEF">
            <w:pPr>
              <w:spacing w:before="0"/>
              <w:jc w:val="center"/>
              <w:rPr>
                <w:b/>
                <w:bCs/>
                <w:color w:val="000000"/>
              </w:rPr>
            </w:pPr>
            <w:r w:rsidRPr="00C35F8B">
              <w:rPr>
                <w:b/>
                <w:color w:val="000000"/>
              </w:rPr>
              <w:t>Level 3</w:t>
            </w:r>
          </w:p>
          <w:p w14:paraId="6335FD05" w14:textId="77777777" w:rsidR="00CC690F" w:rsidRPr="00C35F8B" w:rsidRDefault="00CC690F" w:rsidP="00BD7EEF">
            <w:pPr>
              <w:spacing w:before="0"/>
              <w:jc w:val="center"/>
              <w:rPr>
                <w:b/>
                <w:bCs/>
                <w:color w:val="000000"/>
              </w:rPr>
            </w:pPr>
            <w:r w:rsidRPr="00C35F8B">
              <w:rPr>
                <w:b/>
                <w:color w:val="000000"/>
              </w:rPr>
              <w:t>Standard-Setting Scale Threshold Score</w:t>
            </w:r>
          </w:p>
        </w:tc>
      </w:tr>
      <w:tr w:rsidR="00CC690F" w:rsidRPr="00C35F8B" w14:paraId="4AE85363" w14:textId="77777777" w:rsidTr="00CC690F">
        <w:trPr>
          <w:trHeight w:val="315"/>
        </w:trPr>
        <w:tc>
          <w:tcPr>
            <w:tcW w:w="1705" w:type="dxa"/>
            <w:tcMar>
              <w:top w:w="43" w:type="dxa"/>
              <w:left w:w="115" w:type="dxa"/>
              <w:bottom w:w="43" w:type="dxa"/>
              <w:right w:w="115" w:type="dxa"/>
            </w:tcMar>
            <w:hideMark/>
          </w:tcPr>
          <w:p w14:paraId="7C18293D" w14:textId="77777777" w:rsidR="00CC690F" w:rsidRPr="00C35F8B" w:rsidRDefault="00CC690F" w:rsidP="00CC690F">
            <w:pPr>
              <w:spacing w:before="0"/>
              <w:rPr>
                <w:b/>
                <w:color w:val="000000"/>
              </w:rPr>
            </w:pPr>
            <w:r w:rsidRPr="00C35F8B">
              <w:rPr>
                <w:color w:val="000000"/>
              </w:rPr>
              <w:t>K</w:t>
            </w:r>
          </w:p>
        </w:tc>
        <w:tc>
          <w:tcPr>
            <w:tcW w:w="1530" w:type="dxa"/>
            <w:tcMar>
              <w:top w:w="43" w:type="dxa"/>
              <w:left w:w="115" w:type="dxa"/>
              <w:bottom w:w="43" w:type="dxa"/>
              <w:right w:w="115" w:type="dxa"/>
            </w:tcMar>
            <w:vAlign w:val="center"/>
            <w:hideMark/>
          </w:tcPr>
          <w:p w14:paraId="45F2F8A7" w14:textId="77777777" w:rsidR="00CC690F" w:rsidRPr="00C35F8B" w:rsidRDefault="00CC690F" w:rsidP="00CC690F">
            <w:pPr>
              <w:tabs>
                <w:tab w:val="decimal" w:pos="605"/>
              </w:tabs>
              <w:spacing w:before="0"/>
              <w:rPr>
                <w:b/>
                <w:color w:val="000000"/>
              </w:rPr>
            </w:pPr>
            <w:r w:rsidRPr="00C35F8B">
              <w:rPr>
                <w:rFonts w:eastAsia="Times New Roman"/>
              </w:rPr>
              <w:t>39.6</w:t>
            </w:r>
          </w:p>
        </w:tc>
        <w:tc>
          <w:tcPr>
            <w:tcW w:w="1620" w:type="dxa"/>
            <w:tcMar>
              <w:top w:w="43" w:type="dxa"/>
              <w:left w:w="115" w:type="dxa"/>
              <w:bottom w:w="43" w:type="dxa"/>
              <w:right w:w="115" w:type="dxa"/>
            </w:tcMar>
            <w:vAlign w:val="center"/>
            <w:hideMark/>
          </w:tcPr>
          <w:p w14:paraId="153A034D" w14:textId="77777777" w:rsidR="00CC690F" w:rsidRPr="00C35F8B" w:rsidRDefault="00CC690F" w:rsidP="00CC690F">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hideMark/>
          </w:tcPr>
          <w:p w14:paraId="6D9D5246" w14:textId="77777777" w:rsidR="00CC690F" w:rsidRPr="00C35F8B" w:rsidRDefault="00CC690F" w:rsidP="00CC690F">
            <w:pPr>
              <w:tabs>
                <w:tab w:val="decimal" w:pos="698"/>
              </w:tabs>
              <w:spacing w:before="0"/>
              <w:rPr>
                <w:b/>
                <w:color w:val="000000"/>
              </w:rPr>
            </w:pPr>
            <w:r w:rsidRPr="00C35F8B">
              <w:rPr>
                <w:rFonts w:eastAsia="Times New Roman"/>
              </w:rPr>
              <w:t>45.0</w:t>
            </w:r>
          </w:p>
        </w:tc>
        <w:tc>
          <w:tcPr>
            <w:tcW w:w="1800" w:type="dxa"/>
            <w:tcMar>
              <w:top w:w="43" w:type="dxa"/>
              <w:left w:w="115" w:type="dxa"/>
              <w:bottom w:w="43" w:type="dxa"/>
              <w:right w:w="115" w:type="dxa"/>
            </w:tcMar>
            <w:vAlign w:val="center"/>
            <w:hideMark/>
          </w:tcPr>
          <w:p w14:paraId="476A3533" w14:textId="77777777" w:rsidR="00CC690F" w:rsidRPr="00C35F8B" w:rsidRDefault="00CC690F" w:rsidP="00CC690F">
            <w:pPr>
              <w:tabs>
                <w:tab w:val="decimal" w:pos="960"/>
              </w:tabs>
              <w:spacing w:before="0"/>
              <w:rPr>
                <w:b/>
                <w:color w:val="000000"/>
              </w:rPr>
            </w:pPr>
            <w:r w:rsidRPr="00C35F8B">
              <w:rPr>
                <w:rFonts w:eastAsia="Times New Roman"/>
              </w:rPr>
              <w:t>254</w:t>
            </w:r>
          </w:p>
        </w:tc>
        <w:tc>
          <w:tcPr>
            <w:tcW w:w="1530" w:type="dxa"/>
            <w:tcMar>
              <w:top w:w="43" w:type="dxa"/>
              <w:left w:w="115" w:type="dxa"/>
              <w:bottom w:w="43" w:type="dxa"/>
              <w:right w:w="115" w:type="dxa"/>
            </w:tcMar>
            <w:vAlign w:val="center"/>
            <w:hideMark/>
          </w:tcPr>
          <w:p w14:paraId="5087C369" w14:textId="77777777" w:rsidR="00CC690F" w:rsidRPr="00C35F8B" w:rsidRDefault="00CC690F" w:rsidP="00CC690F">
            <w:pPr>
              <w:tabs>
                <w:tab w:val="decimal" w:pos="698"/>
              </w:tabs>
              <w:spacing w:before="0"/>
              <w:rPr>
                <w:b/>
                <w:color w:val="000000"/>
              </w:rPr>
            </w:pPr>
            <w:r w:rsidRPr="00C35F8B">
              <w:rPr>
                <w:rFonts w:eastAsia="Times New Roman"/>
              </w:rPr>
              <w:t>60.4</w:t>
            </w:r>
          </w:p>
        </w:tc>
        <w:tc>
          <w:tcPr>
            <w:tcW w:w="1530" w:type="dxa"/>
            <w:tcMar>
              <w:top w:w="43" w:type="dxa"/>
              <w:left w:w="115" w:type="dxa"/>
              <w:bottom w:w="43" w:type="dxa"/>
              <w:right w:w="115" w:type="dxa"/>
            </w:tcMar>
            <w:vAlign w:val="center"/>
            <w:hideMark/>
          </w:tcPr>
          <w:p w14:paraId="036083D7" w14:textId="77777777" w:rsidR="00CC690F" w:rsidRPr="00C35F8B" w:rsidRDefault="00CC690F" w:rsidP="00CC690F">
            <w:pPr>
              <w:tabs>
                <w:tab w:val="decimal" w:pos="698"/>
              </w:tabs>
              <w:spacing w:before="0"/>
              <w:rPr>
                <w:b/>
                <w:color w:val="000000"/>
              </w:rPr>
            </w:pPr>
            <w:r w:rsidRPr="00C35F8B">
              <w:rPr>
                <w:rFonts w:eastAsia="Times New Roman"/>
              </w:rPr>
              <w:t>15.4</w:t>
            </w:r>
          </w:p>
        </w:tc>
        <w:tc>
          <w:tcPr>
            <w:tcW w:w="1800" w:type="dxa"/>
            <w:tcMar>
              <w:top w:w="43" w:type="dxa"/>
              <w:left w:w="115" w:type="dxa"/>
              <w:bottom w:w="43" w:type="dxa"/>
              <w:right w:w="115" w:type="dxa"/>
            </w:tcMar>
            <w:vAlign w:val="center"/>
          </w:tcPr>
          <w:p w14:paraId="28AE89C7" w14:textId="77777777" w:rsidR="00CC690F" w:rsidRPr="00C35F8B" w:rsidRDefault="00CC690F" w:rsidP="00CC690F">
            <w:pPr>
              <w:tabs>
                <w:tab w:val="decimal" w:pos="1057"/>
              </w:tabs>
              <w:spacing w:before="0"/>
              <w:rPr>
                <w:b/>
                <w:color w:val="000000"/>
              </w:rPr>
            </w:pPr>
            <w:r w:rsidRPr="00C35F8B">
              <w:rPr>
                <w:rFonts w:eastAsia="Times New Roman"/>
              </w:rPr>
              <w:t>275</w:t>
            </w:r>
          </w:p>
        </w:tc>
      </w:tr>
      <w:tr w:rsidR="00CC690F" w:rsidRPr="00C35F8B" w14:paraId="742FF9BD" w14:textId="77777777" w:rsidTr="00CC690F">
        <w:trPr>
          <w:trHeight w:val="315"/>
        </w:trPr>
        <w:tc>
          <w:tcPr>
            <w:tcW w:w="1705" w:type="dxa"/>
            <w:tcMar>
              <w:top w:w="43" w:type="dxa"/>
              <w:left w:w="115" w:type="dxa"/>
              <w:bottom w:w="43" w:type="dxa"/>
              <w:right w:w="115" w:type="dxa"/>
            </w:tcMar>
          </w:tcPr>
          <w:p w14:paraId="4DD3CA5E" w14:textId="77777777" w:rsidR="00CC690F" w:rsidRPr="00C35F8B" w:rsidRDefault="00CC690F" w:rsidP="00CC690F">
            <w:pPr>
              <w:spacing w:before="0"/>
              <w:rPr>
                <w:b/>
                <w:color w:val="000000"/>
              </w:rPr>
            </w:pPr>
            <w:r w:rsidRPr="00C35F8B">
              <w:rPr>
                <w:color w:val="000000"/>
              </w:rPr>
              <w:t>1</w:t>
            </w:r>
          </w:p>
        </w:tc>
        <w:tc>
          <w:tcPr>
            <w:tcW w:w="1530" w:type="dxa"/>
            <w:tcMar>
              <w:top w:w="43" w:type="dxa"/>
              <w:left w:w="115" w:type="dxa"/>
              <w:bottom w:w="43" w:type="dxa"/>
              <w:right w:w="115" w:type="dxa"/>
            </w:tcMar>
            <w:vAlign w:val="center"/>
          </w:tcPr>
          <w:p w14:paraId="510743FA" w14:textId="77777777" w:rsidR="00CC690F" w:rsidRPr="00C35F8B" w:rsidRDefault="00CC690F" w:rsidP="00CC690F">
            <w:pPr>
              <w:tabs>
                <w:tab w:val="decimal" w:pos="605"/>
              </w:tabs>
              <w:spacing w:before="0"/>
              <w:rPr>
                <w:b/>
                <w:color w:val="000000"/>
              </w:rPr>
            </w:pPr>
            <w:r w:rsidRPr="00C35F8B">
              <w:rPr>
                <w:rFonts w:eastAsia="Times New Roman"/>
              </w:rPr>
              <w:t>33.3</w:t>
            </w:r>
          </w:p>
        </w:tc>
        <w:tc>
          <w:tcPr>
            <w:tcW w:w="1620" w:type="dxa"/>
            <w:tcMar>
              <w:top w:w="43" w:type="dxa"/>
              <w:left w:w="115" w:type="dxa"/>
              <w:bottom w:w="43" w:type="dxa"/>
              <w:right w:w="115" w:type="dxa"/>
            </w:tcMar>
            <w:vAlign w:val="center"/>
          </w:tcPr>
          <w:p w14:paraId="1EC7A0C5" w14:textId="77777777" w:rsidR="00CC690F" w:rsidRPr="00C35F8B" w:rsidRDefault="00CC690F" w:rsidP="00CC690F">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tcPr>
          <w:p w14:paraId="6B6F5BF6" w14:textId="77777777" w:rsidR="00CC690F" w:rsidRPr="00C35F8B" w:rsidRDefault="00CC690F" w:rsidP="00CC690F">
            <w:pPr>
              <w:tabs>
                <w:tab w:val="decimal" w:pos="698"/>
              </w:tabs>
              <w:spacing w:before="0"/>
              <w:rPr>
                <w:b/>
                <w:color w:val="000000"/>
              </w:rPr>
            </w:pPr>
            <w:r w:rsidRPr="00C35F8B">
              <w:rPr>
                <w:rFonts w:eastAsia="Times New Roman"/>
              </w:rPr>
              <w:t>49.0</w:t>
            </w:r>
          </w:p>
        </w:tc>
        <w:tc>
          <w:tcPr>
            <w:tcW w:w="1800" w:type="dxa"/>
            <w:tcMar>
              <w:top w:w="43" w:type="dxa"/>
              <w:left w:w="115" w:type="dxa"/>
              <w:bottom w:w="43" w:type="dxa"/>
              <w:right w:w="115" w:type="dxa"/>
            </w:tcMar>
            <w:vAlign w:val="center"/>
          </w:tcPr>
          <w:p w14:paraId="2A27E7A0" w14:textId="77777777" w:rsidR="00CC690F" w:rsidRPr="00C35F8B" w:rsidRDefault="00CC690F" w:rsidP="00CC690F">
            <w:pPr>
              <w:tabs>
                <w:tab w:val="decimal" w:pos="960"/>
              </w:tabs>
              <w:spacing w:before="0"/>
              <w:rPr>
                <w:b/>
                <w:color w:val="000000"/>
              </w:rPr>
            </w:pPr>
            <w:r w:rsidRPr="00C35F8B">
              <w:rPr>
                <w:rFonts w:eastAsia="Times New Roman"/>
              </w:rPr>
              <w:t>250</w:t>
            </w:r>
          </w:p>
        </w:tc>
        <w:tc>
          <w:tcPr>
            <w:tcW w:w="1530" w:type="dxa"/>
            <w:tcMar>
              <w:top w:w="43" w:type="dxa"/>
              <w:left w:w="115" w:type="dxa"/>
              <w:bottom w:w="43" w:type="dxa"/>
              <w:right w:w="115" w:type="dxa"/>
            </w:tcMar>
            <w:vAlign w:val="center"/>
          </w:tcPr>
          <w:p w14:paraId="57EDB752" w14:textId="77777777" w:rsidR="00CC690F" w:rsidRPr="00C35F8B" w:rsidRDefault="00CC690F" w:rsidP="00CC690F">
            <w:pPr>
              <w:tabs>
                <w:tab w:val="decimal" w:pos="698"/>
              </w:tabs>
              <w:spacing w:before="0"/>
              <w:rPr>
                <w:b/>
                <w:color w:val="000000"/>
              </w:rPr>
            </w:pPr>
            <w:r w:rsidRPr="00C35F8B">
              <w:rPr>
                <w:rFonts w:eastAsia="Times New Roman"/>
              </w:rPr>
              <w:t>66.7</w:t>
            </w:r>
          </w:p>
        </w:tc>
        <w:tc>
          <w:tcPr>
            <w:tcW w:w="1530" w:type="dxa"/>
            <w:tcMar>
              <w:top w:w="43" w:type="dxa"/>
              <w:left w:w="115" w:type="dxa"/>
              <w:bottom w:w="43" w:type="dxa"/>
              <w:right w:w="115" w:type="dxa"/>
            </w:tcMar>
            <w:vAlign w:val="center"/>
          </w:tcPr>
          <w:p w14:paraId="559EA898" w14:textId="77777777" w:rsidR="00CC690F" w:rsidRPr="00C35F8B" w:rsidRDefault="00CC690F" w:rsidP="00CC690F">
            <w:pPr>
              <w:tabs>
                <w:tab w:val="decimal" w:pos="698"/>
              </w:tabs>
              <w:spacing w:before="0"/>
              <w:rPr>
                <w:b/>
                <w:color w:val="000000"/>
              </w:rPr>
            </w:pPr>
            <w:r w:rsidRPr="00C35F8B">
              <w:rPr>
                <w:rFonts w:eastAsia="Times New Roman"/>
              </w:rPr>
              <w:t>17.8</w:t>
            </w:r>
          </w:p>
        </w:tc>
        <w:tc>
          <w:tcPr>
            <w:tcW w:w="1800" w:type="dxa"/>
            <w:tcMar>
              <w:top w:w="43" w:type="dxa"/>
              <w:left w:w="115" w:type="dxa"/>
              <w:bottom w:w="43" w:type="dxa"/>
              <w:right w:w="115" w:type="dxa"/>
            </w:tcMar>
            <w:vAlign w:val="center"/>
          </w:tcPr>
          <w:p w14:paraId="42B6A6F6" w14:textId="77777777" w:rsidR="00CC690F" w:rsidRPr="00C35F8B" w:rsidRDefault="00CC690F" w:rsidP="00CC690F">
            <w:pPr>
              <w:tabs>
                <w:tab w:val="decimal" w:pos="1057"/>
              </w:tabs>
              <w:spacing w:before="0"/>
              <w:rPr>
                <w:b/>
                <w:color w:val="000000"/>
              </w:rPr>
            </w:pPr>
            <w:r w:rsidRPr="00C35F8B">
              <w:rPr>
                <w:rFonts w:eastAsia="Times New Roman"/>
              </w:rPr>
              <w:t>271</w:t>
            </w:r>
          </w:p>
        </w:tc>
      </w:tr>
      <w:tr w:rsidR="00CC690F" w:rsidRPr="00C35F8B" w14:paraId="35C89FD7" w14:textId="77777777" w:rsidTr="00CC690F">
        <w:trPr>
          <w:trHeight w:val="315"/>
        </w:trPr>
        <w:tc>
          <w:tcPr>
            <w:tcW w:w="1705" w:type="dxa"/>
            <w:tcMar>
              <w:top w:w="43" w:type="dxa"/>
              <w:left w:w="115" w:type="dxa"/>
              <w:bottom w:w="43" w:type="dxa"/>
              <w:right w:w="115" w:type="dxa"/>
            </w:tcMar>
          </w:tcPr>
          <w:p w14:paraId="6F8CC7B6" w14:textId="77777777" w:rsidR="00CC690F" w:rsidRPr="00C35F8B" w:rsidRDefault="00CC690F" w:rsidP="00CC690F">
            <w:pPr>
              <w:spacing w:before="0"/>
              <w:rPr>
                <w:b/>
                <w:color w:val="000000"/>
              </w:rPr>
            </w:pPr>
            <w:r w:rsidRPr="00C35F8B">
              <w:rPr>
                <w:color w:val="000000"/>
              </w:rPr>
              <w:t>2</w:t>
            </w:r>
          </w:p>
        </w:tc>
        <w:tc>
          <w:tcPr>
            <w:tcW w:w="1530" w:type="dxa"/>
            <w:tcMar>
              <w:top w:w="43" w:type="dxa"/>
              <w:left w:w="115" w:type="dxa"/>
              <w:bottom w:w="43" w:type="dxa"/>
              <w:right w:w="115" w:type="dxa"/>
            </w:tcMar>
            <w:vAlign w:val="center"/>
          </w:tcPr>
          <w:p w14:paraId="06D67B4B" w14:textId="77777777" w:rsidR="00CC690F" w:rsidRPr="00C35F8B" w:rsidRDefault="00CC690F" w:rsidP="00CC690F">
            <w:pPr>
              <w:tabs>
                <w:tab w:val="decimal" w:pos="605"/>
              </w:tabs>
              <w:spacing w:before="0"/>
              <w:rPr>
                <w:b/>
                <w:color w:val="000000"/>
              </w:rPr>
            </w:pPr>
            <w:r w:rsidRPr="00C35F8B">
              <w:rPr>
                <w:rFonts w:eastAsia="Times New Roman"/>
              </w:rPr>
              <w:t>40.5</w:t>
            </w:r>
          </w:p>
        </w:tc>
        <w:tc>
          <w:tcPr>
            <w:tcW w:w="1620" w:type="dxa"/>
            <w:tcMar>
              <w:top w:w="43" w:type="dxa"/>
              <w:left w:w="115" w:type="dxa"/>
              <w:bottom w:w="43" w:type="dxa"/>
              <w:right w:w="115" w:type="dxa"/>
            </w:tcMar>
            <w:vAlign w:val="center"/>
          </w:tcPr>
          <w:p w14:paraId="6D44AE8E" w14:textId="77777777" w:rsidR="00CC690F" w:rsidRPr="00C35F8B" w:rsidRDefault="00CC690F" w:rsidP="00CC690F">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tcPr>
          <w:p w14:paraId="7EE97445" w14:textId="77777777" w:rsidR="00CC690F" w:rsidRPr="00C35F8B" w:rsidRDefault="00CC690F" w:rsidP="00CC690F">
            <w:pPr>
              <w:tabs>
                <w:tab w:val="decimal" w:pos="698"/>
              </w:tabs>
              <w:spacing w:before="0"/>
              <w:rPr>
                <w:b/>
                <w:color w:val="000000"/>
              </w:rPr>
            </w:pPr>
            <w:r w:rsidRPr="00C35F8B">
              <w:rPr>
                <w:rFonts w:eastAsia="Times New Roman"/>
              </w:rPr>
              <w:t>41.8</w:t>
            </w:r>
          </w:p>
        </w:tc>
        <w:tc>
          <w:tcPr>
            <w:tcW w:w="1800" w:type="dxa"/>
            <w:tcMar>
              <w:top w:w="43" w:type="dxa"/>
              <w:left w:w="115" w:type="dxa"/>
              <w:bottom w:w="43" w:type="dxa"/>
              <w:right w:w="115" w:type="dxa"/>
            </w:tcMar>
            <w:vAlign w:val="center"/>
          </w:tcPr>
          <w:p w14:paraId="5D1E707A" w14:textId="77777777" w:rsidR="00CC690F" w:rsidRPr="00C35F8B" w:rsidRDefault="00CC690F" w:rsidP="00CC690F">
            <w:pPr>
              <w:tabs>
                <w:tab w:val="decimal" w:pos="960"/>
              </w:tabs>
              <w:spacing w:before="0"/>
              <w:rPr>
                <w:b/>
                <w:color w:val="000000"/>
              </w:rPr>
            </w:pPr>
            <w:r w:rsidRPr="00C35F8B">
              <w:rPr>
                <w:rFonts w:eastAsia="Times New Roman"/>
              </w:rPr>
              <w:t>252</w:t>
            </w:r>
          </w:p>
        </w:tc>
        <w:tc>
          <w:tcPr>
            <w:tcW w:w="1530" w:type="dxa"/>
            <w:tcMar>
              <w:top w:w="43" w:type="dxa"/>
              <w:left w:w="115" w:type="dxa"/>
              <w:bottom w:w="43" w:type="dxa"/>
              <w:right w:w="115" w:type="dxa"/>
            </w:tcMar>
            <w:vAlign w:val="center"/>
          </w:tcPr>
          <w:p w14:paraId="73CDEA6F" w14:textId="77777777" w:rsidR="00CC690F" w:rsidRPr="00C35F8B" w:rsidRDefault="00CC690F" w:rsidP="00CC690F">
            <w:pPr>
              <w:tabs>
                <w:tab w:val="decimal" w:pos="698"/>
              </w:tabs>
              <w:spacing w:before="0"/>
              <w:rPr>
                <w:b/>
                <w:color w:val="000000"/>
              </w:rPr>
            </w:pPr>
            <w:r w:rsidRPr="00C35F8B">
              <w:rPr>
                <w:rFonts w:eastAsia="Times New Roman"/>
              </w:rPr>
              <w:t>59.5</w:t>
            </w:r>
          </w:p>
        </w:tc>
        <w:tc>
          <w:tcPr>
            <w:tcW w:w="1530" w:type="dxa"/>
            <w:tcMar>
              <w:top w:w="43" w:type="dxa"/>
              <w:left w:w="115" w:type="dxa"/>
              <w:bottom w:w="43" w:type="dxa"/>
              <w:right w:w="115" w:type="dxa"/>
            </w:tcMar>
            <w:vAlign w:val="center"/>
          </w:tcPr>
          <w:p w14:paraId="3DA796AA" w14:textId="77777777" w:rsidR="00CC690F" w:rsidRPr="00C35F8B" w:rsidRDefault="00CC690F" w:rsidP="00CC690F">
            <w:pPr>
              <w:tabs>
                <w:tab w:val="decimal" w:pos="698"/>
              </w:tabs>
              <w:spacing w:before="0"/>
              <w:rPr>
                <w:b/>
                <w:color w:val="000000"/>
              </w:rPr>
            </w:pPr>
            <w:r w:rsidRPr="00C35F8B">
              <w:rPr>
                <w:rFonts w:eastAsia="Times New Roman"/>
              </w:rPr>
              <w:t>17.7</w:t>
            </w:r>
          </w:p>
        </w:tc>
        <w:tc>
          <w:tcPr>
            <w:tcW w:w="1800" w:type="dxa"/>
            <w:tcMar>
              <w:top w:w="43" w:type="dxa"/>
              <w:left w:w="115" w:type="dxa"/>
              <w:bottom w:w="43" w:type="dxa"/>
              <w:right w:w="115" w:type="dxa"/>
            </w:tcMar>
            <w:vAlign w:val="center"/>
          </w:tcPr>
          <w:p w14:paraId="614BD8CA" w14:textId="77777777" w:rsidR="00CC690F" w:rsidRPr="00C35F8B" w:rsidRDefault="00CC690F" w:rsidP="00CC690F">
            <w:pPr>
              <w:tabs>
                <w:tab w:val="decimal" w:pos="1057"/>
              </w:tabs>
              <w:spacing w:before="0"/>
              <w:rPr>
                <w:b/>
                <w:color w:val="000000"/>
              </w:rPr>
            </w:pPr>
            <w:r w:rsidRPr="00C35F8B">
              <w:rPr>
                <w:rFonts w:eastAsia="Times New Roman"/>
              </w:rPr>
              <w:t>272</w:t>
            </w:r>
          </w:p>
        </w:tc>
      </w:tr>
      <w:tr w:rsidR="00CC690F" w:rsidRPr="00C35F8B" w14:paraId="41C9DE2E" w14:textId="77777777" w:rsidTr="00CC690F">
        <w:trPr>
          <w:trHeight w:val="315"/>
        </w:trPr>
        <w:tc>
          <w:tcPr>
            <w:tcW w:w="1705" w:type="dxa"/>
            <w:tcMar>
              <w:top w:w="43" w:type="dxa"/>
              <w:left w:w="115" w:type="dxa"/>
              <w:bottom w:w="43" w:type="dxa"/>
              <w:right w:w="115" w:type="dxa"/>
            </w:tcMar>
            <w:hideMark/>
          </w:tcPr>
          <w:p w14:paraId="6CA8C881" w14:textId="77777777" w:rsidR="00CC690F" w:rsidRPr="00C35F8B" w:rsidRDefault="00CC690F" w:rsidP="00CC690F">
            <w:pPr>
              <w:spacing w:before="0"/>
              <w:rPr>
                <w:b/>
                <w:color w:val="000000"/>
              </w:rPr>
            </w:pPr>
            <w:r w:rsidRPr="00C35F8B">
              <w:rPr>
                <w:color w:val="000000"/>
              </w:rPr>
              <w:t>3–5</w:t>
            </w:r>
          </w:p>
        </w:tc>
        <w:tc>
          <w:tcPr>
            <w:tcW w:w="1530" w:type="dxa"/>
            <w:tcMar>
              <w:top w:w="43" w:type="dxa"/>
              <w:left w:w="115" w:type="dxa"/>
              <w:bottom w:w="43" w:type="dxa"/>
              <w:right w:w="115" w:type="dxa"/>
            </w:tcMar>
            <w:vAlign w:val="center"/>
            <w:hideMark/>
          </w:tcPr>
          <w:p w14:paraId="2220EF0E" w14:textId="77777777" w:rsidR="00CC690F" w:rsidRPr="00C35F8B" w:rsidRDefault="00CC690F" w:rsidP="00CC690F">
            <w:pPr>
              <w:tabs>
                <w:tab w:val="decimal" w:pos="605"/>
              </w:tabs>
              <w:spacing w:before="0"/>
              <w:rPr>
                <w:b/>
                <w:color w:val="000000"/>
              </w:rPr>
            </w:pPr>
            <w:r w:rsidRPr="00C35F8B">
              <w:rPr>
                <w:rFonts w:eastAsia="Times New Roman"/>
              </w:rPr>
              <w:t>27.6</w:t>
            </w:r>
          </w:p>
        </w:tc>
        <w:tc>
          <w:tcPr>
            <w:tcW w:w="1620" w:type="dxa"/>
            <w:tcMar>
              <w:top w:w="43" w:type="dxa"/>
              <w:left w:w="115" w:type="dxa"/>
              <w:bottom w:w="43" w:type="dxa"/>
              <w:right w:w="115" w:type="dxa"/>
            </w:tcMar>
            <w:vAlign w:val="center"/>
            <w:hideMark/>
          </w:tcPr>
          <w:p w14:paraId="647FBF08" w14:textId="77777777" w:rsidR="00CC690F" w:rsidRPr="00C35F8B" w:rsidRDefault="00CC690F" w:rsidP="00CC690F">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hideMark/>
          </w:tcPr>
          <w:p w14:paraId="13D072AC" w14:textId="77777777" w:rsidR="00CC690F" w:rsidRPr="00C35F8B" w:rsidRDefault="00CC690F" w:rsidP="00CC690F">
            <w:pPr>
              <w:tabs>
                <w:tab w:val="decimal" w:pos="698"/>
              </w:tabs>
              <w:spacing w:before="0"/>
              <w:rPr>
                <w:b/>
                <w:color w:val="000000"/>
              </w:rPr>
            </w:pPr>
            <w:r w:rsidRPr="00C35F8B">
              <w:rPr>
                <w:rFonts w:eastAsia="Times New Roman"/>
              </w:rPr>
              <w:t>44.8</w:t>
            </w:r>
          </w:p>
        </w:tc>
        <w:tc>
          <w:tcPr>
            <w:tcW w:w="1800" w:type="dxa"/>
            <w:tcMar>
              <w:top w:w="43" w:type="dxa"/>
              <w:left w:w="115" w:type="dxa"/>
              <w:bottom w:w="43" w:type="dxa"/>
              <w:right w:w="115" w:type="dxa"/>
            </w:tcMar>
            <w:vAlign w:val="center"/>
            <w:hideMark/>
          </w:tcPr>
          <w:p w14:paraId="3ECBDF04" w14:textId="77777777" w:rsidR="00CC690F" w:rsidRPr="00C35F8B" w:rsidRDefault="00CC690F" w:rsidP="00CC690F">
            <w:pPr>
              <w:tabs>
                <w:tab w:val="decimal" w:pos="960"/>
              </w:tabs>
              <w:spacing w:before="0"/>
              <w:rPr>
                <w:b/>
                <w:color w:val="000000"/>
              </w:rPr>
            </w:pPr>
            <w:r w:rsidRPr="00C35F8B">
              <w:rPr>
                <w:rFonts w:eastAsia="Times New Roman"/>
              </w:rPr>
              <w:t>244</w:t>
            </w:r>
          </w:p>
        </w:tc>
        <w:tc>
          <w:tcPr>
            <w:tcW w:w="1530" w:type="dxa"/>
            <w:tcMar>
              <w:top w:w="43" w:type="dxa"/>
              <w:left w:w="115" w:type="dxa"/>
              <w:bottom w:w="43" w:type="dxa"/>
              <w:right w:w="115" w:type="dxa"/>
            </w:tcMar>
            <w:vAlign w:val="center"/>
            <w:hideMark/>
          </w:tcPr>
          <w:p w14:paraId="2E376E93" w14:textId="77777777" w:rsidR="00CC690F" w:rsidRPr="00C35F8B" w:rsidRDefault="00CC690F" w:rsidP="00CC690F">
            <w:pPr>
              <w:tabs>
                <w:tab w:val="decimal" w:pos="698"/>
              </w:tabs>
              <w:spacing w:before="0"/>
              <w:rPr>
                <w:b/>
                <w:color w:val="000000"/>
              </w:rPr>
            </w:pPr>
            <w:r w:rsidRPr="00C35F8B">
              <w:rPr>
                <w:rFonts w:eastAsia="Times New Roman"/>
              </w:rPr>
              <w:t>72.4</w:t>
            </w:r>
          </w:p>
        </w:tc>
        <w:tc>
          <w:tcPr>
            <w:tcW w:w="1530" w:type="dxa"/>
            <w:tcMar>
              <w:top w:w="43" w:type="dxa"/>
              <w:left w:w="115" w:type="dxa"/>
              <w:bottom w:w="43" w:type="dxa"/>
              <w:right w:w="115" w:type="dxa"/>
            </w:tcMar>
            <w:vAlign w:val="center"/>
            <w:hideMark/>
          </w:tcPr>
          <w:p w14:paraId="1F99DA3E" w14:textId="77777777" w:rsidR="00CC690F" w:rsidRPr="00C35F8B" w:rsidRDefault="00CC690F" w:rsidP="00CC690F">
            <w:pPr>
              <w:tabs>
                <w:tab w:val="decimal" w:pos="698"/>
              </w:tabs>
              <w:spacing w:before="0"/>
              <w:rPr>
                <w:b/>
                <w:color w:val="000000"/>
              </w:rPr>
            </w:pPr>
            <w:r w:rsidRPr="00C35F8B">
              <w:rPr>
                <w:rFonts w:eastAsia="Times New Roman"/>
                <w:color w:val="000000"/>
              </w:rPr>
              <w:t>27.7</w:t>
            </w:r>
          </w:p>
        </w:tc>
        <w:tc>
          <w:tcPr>
            <w:tcW w:w="1800" w:type="dxa"/>
            <w:tcMar>
              <w:top w:w="43" w:type="dxa"/>
              <w:left w:w="115" w:type="dxa"/>
              <w:bottom w:w="43" w:type="dxa"/>
              <w:right w:w="115" w:type="dxa"/>
            </w:tcMar>
            <w:vAlign w:val="center"/>
          </w:tcPr>
          <w:p w14:paraId="6C563205" w14:textId="77777777" w:rsidR="00CC690F" w:rsidRPr="00C35F8B" w:rsidRDefault="00CC690F" w:rsidP="00CC690F">
            <w:pPr>
              <w:tabs>
                <w:tab w:val="decimal" w:pos="1057"/>
              </w:tabs>
              <w:spacing w:before="0"/>
              <w:rPr>
                <w:b/>
                <w:color w:val="000000"/>
              </w:rPr>
            </w:pPr>
            <w:r w:rsidRPr="00C35F8B">
              <w:rPr>
                <w:rFonts w:eastAsia="Times New Roman"/>
              </w:rPr>
              <w:t>268</w:t>
            </w:r>
          </w:p>
        </w:tc>
      </w:tr>
      <w:tr w:rsidR="00CC690F" w:rsidRPr="00C35F8B" w14:paraId="565443CD" w14:textId="77777777" w:rsidTr="00CC690F">
        <w:trPr>
          <w:trHeight w:val="315"/>
        </w:trPr>
        <w:tc>
          <w:tcPr>
            <w:tcW w:w="1705" w:type="dxa"/>
            <w:tcMar>
              <w:top w:w="43" w:type="dxa"/>
              <w:left w:w="115" w:type="dxa"/>
              <w:bottom w:w="43" w:type="dxa"/>
              <w:right w:w="115" w:type="dxa"/>
            </w:tcMar>
            <w:hideMark/>
          </w:tcPr>
          <w:p w14:paraId="785D67FE" w14:textId="77777777" w:rsidR="00CC690F" w:rsidRPr="00C35F8B" w:rsidRDefault="00CC690F" w:rsidP="00CC690F">
            <w:pPr>
              <w:spacing w:before="0"/>
              <w:rPr>
                <w:b/>
                <w:color w:val="000000"/>
              </w:rPr>
            </w:pPr>
            <w:r w:rsidRPr="00C35F8B">
              <w:rPr>
                <w:color w:val="000000"/>
              </w:rPr>
              <w:t>6–8</w:t>
            </w:r>
          </w:p>
        </w:tc>
        <w:tc>
          <w:tcPr>
            <w:tcW w:w="1530" w:type="dxa"/>
            <w:tcMar>
              <w:top w:w="43" w:type="dxa"/>
              <w:left w:w="115" w:type="dxa"/>
              <w:bottom w:w="43" w:type="dxa"/>
              <w:right w:w="115" w:type="dxa"/>
            </w:tcMar>
            <w:vAlign w:val="center"/>
            <w:hideMark/>
          </w:tcPr>
          <w:p w14:paraId="326B80F2" w14:textId="77777777" w:rsidR="00CC690F" w:rsidRPr="00C35F8B" w:rsidRDefault="00CC690F" w:rsidP="00CC690F">
            <w:pPr>
              <w:tabs>
                <w:tab w:val="decimal" w:pos="605"/>
              </w:tabs>
              <w:spacing w:before="0"/>
              <w:rPr>
                <w:b/>
                <w:color w:val="000000"/>
              </w:rPr>
            </w:pPr>
            <w:r w:rsidRPr="00C35F8B">
              <w:rPr>
                <w:rFonts w:eastAsia="Times New Roman"/>
                <w:color w:val="000000"/>
              </w:rPr>
              <w:t>22.7</w:t>
            </w:r>
          </w:p>
        </w:tc>
        <w:tc>
          <w:tcPr>
            <w:tcW w:w="1620" w:type="dxa"/>
            <w:tcMar>
              <w:top w:w="43" w:type="dxa"/>
              <w:left w:w="115" w:type="dxa"/>
              <w:bottom w:w="43" w:type="dxa"/>
              <w:right w:w="115" w:type="dxa"/>
            </w:tcMar>
            <w:vAlign w:val="center"/>
            <w:hideMark/>
          </w:tcPr>
          <w:p w14:paraId="613E9F8D" w14:textId="77777777" w:rsidR="00CC690F" w:rsidRPr="00C35F8B" w:rsidRDefault="00CC690F" w:rsidP="00CC690F">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hideMark/>
          </w:tcPr>
          <w:p w14:paraId="3A7BC3AF" w14:textId="77777777" w:rsidR="00CC690F" w:rsidRPr="00C35F8B" w:rsidRDefault="00CC690F" w:rsidP="00CC690F">
            <w:pPr>
              <w:tabs>
                <w:tab w:val="decimal" w:pos="698"/>
              </w:tabs>
              <w:spacing w:before="0"/>
              <w:rPr>
                <w:b/>
                <w:color w:val="000000"/>
              </w:rPr>
            </w:pPr>
            <w:r w:rsidRPr="00C35F8B">
              <w:rPr>
                <w:rFonts w:eastAsia="Times New Roman"/>
              </w:rPr>
              <w:t>36.7</w:t>
            </w:r>
          </w:p>
        </w:tc>
        <w:tc>
          <w:tcPr>
            <w:tcW w:w="1800" w:type="dxa"/>
            <w:tcMar>
              <w:top w:w="43" w:type="dxa"/>
              <w:left w:w="115" w:type="dxa"/>
              <w:bottom w:w="43" w:type="dxa"/>
              <w:right w:w="115" w:type="dxa"/>
            </w:tcMar>
            <w:vAlign w:val="center"/>
            <w:hideMark/>
          </w:tcPr>
          <w:p w14:paraId="390ED3C9" w14:textId="77777777" w:rsidR="00CC690F" w:rsidRPr="00C35F8B" w:rsidRDefault="00CC690F" w:rsidP="00CC690F">
            <w:pPr>
              <w:tabs>
                <w:tab w:val="decimal" w:pos="960"/>
              </w:tabs>
              <w:spacing w:before="0"/>
              <w:rPr>
                <w:b/>
                <w:color w:val="000000"/>
              </w:rPr>
            </w:pPr>
            <w:r w:rsidRPr="00C35F8B">
              <w:rPr>
                <w:rFonts w:eastAsia="Times New Roman"/>
              </w:rPr>
              <w:t>237</w:t>
            </w:r>
          </w:p>
        </w:tc>
        <w:tc>
          <w:tcPr>
            <w:tcW w:w="1530" w:type="dxa"/>
            <w:tcMar>
              <w:top w:w="43" w:type="dxa"/>
              <w:left w:w="115" w:type="dxa"/>
              <w:bottom w:w="43" w:type="dxa"/>
              <w:right w:w="115" w:type="dxa"/>
            </w:tcMar>
            <w:vAlign w:val="center"/>
            <w:hideMark/>
          </w:tcPr>
          <w:p w14:paraId="08DF9D3D" w14:textId="77777777" w:rsidR="00CC690F" w:rsidRPr="00C35F8B" w:rsidRDefault="00CC690F" w:rsidP="00CC690F">
            <w:pPr>
              <w:tabs>
                <w:tab w:val="decimal" w:pos="698"/>
              </w:tabs>
              <w:spacing w:before="0"/>
              <w:rPr>
                <w:b/>
                <w:color w:val="000000"/>
              </w:rPr>
            </w:pPr>
            <w:r w:rsidRPr="00C35F8B">
              <w:rPr>
                <w:rFonts w:eastAsia="Times New Roman"/>
              </w:rPr>
              <w:t>77.3</w:t>
            </w:r>
          </w:p>
        </w:tc>
        <w:tc>
          <w:tcPr>
            <w:tcW w:w="1530" w:type="dxa"/>
            <w:tcMar>
              <w:top w:w="43" w:type="dxa"/>
              <w:left w:w="115" w:type="dxa"/>
              <w:bottom w:w="43" w:type="dxa"/>
              <w:right w:w="115" w:type="dxa"/>
            </w:tcMar>
            <w:vAlign w:val="center"/>
            <w:hideMark/>
          </w:tcPr>
          <w:p w14:paraId="059FF120" w14:textId="77777777" w:rsidR="00CC690F" w:rsidRPr="00C35F8B" w:rsidRDefault="00CC690F" w:rsidP="00CC690F">
            <w:pPr>
              <w:tabs>
                <w:tab w:val="decimal" w:pos="698"/>
              </w:tabs>
              <w:spacing w:before="0"/>
              <w:rPr>
                <w:b/>
                <w:color w:val="000000"/>
              </w:rPr>
            </w:pPr>
            <w:r w:rsidRPr="00C35F8B">
              <w:rPr>
                <w:rFonts w:eastAsia="Times New Roman"/>
              </w:rPr>
              <w:t>40.6</w:t>
            </w:r>
          </w:p>
        </w:tc>
        <w:tc>
          <w:tcPr>
            <w:tcW w:w="1800" w:type="dxa"/>
            <w:tcMar>
              <w:top w:w="43" w:type="dxa"/>
              <w:left w:w="115" w:type="dxa"/>
              <w:bottom w:w="43" w:type="dxa"/>
              <w:right w:w="115" w:type="dxa"/>
            </w:tcMar>
            <w:vAlign w:val="center"/>
          </w:tcPr>
          <w:p w14:paraId="63F2026F" w14:textId="77777777" w:rsidR="00CC690F" w:rsidRPr="00C35F8B" w:rsidRDefault="00CC690F" w:rsidP="00CC690F">
            <w:pPr>
              <w:tabs>
                <w:tab w:val="decimal" w:pos="1057"/>
              </w:tabs>
              <w:spacing w:before="0"/>
              <w:rPr>
                <w:b/>
                <w:color w:val="000000"/>
              </w:rPr>
            </w:pPr>
            <w:r w:rsidRPr="00C35F8B">
              <w:rPr>
                <w:rFonts w:eastAsia="Times New Roman"/>
              </w:rPr>
              <w:t>261</w:t>
            </w:r>
          </w:p>
        </w:tc>
      </w:tr>
      <w:tr w:rsidR="00CC690F" w:rsidRPr="00C35F8B" w14:paraId="6E7D3178" w14:textId="77777777" w:rsidTr="00CC690F">
        <w:trPr>
          <w:trHeight w:val="315"/>
        </w:trPr>
        <w:tc>
          <w:tcPr>
            <w:tcW w:w="1705" w:type="dxa"/>
            <w:tcMar>
              <w:top w:w="43" w:type="dxa"/>
              <w:left w:w="115" w:type="dxa"/>
              <w:bottom w:w="43" w:type="dxa"/>
              <w:right w:w="115" w:type="dxa"/>
            </w:tcMar>
            <w:hideMark/>
          </w:tcPr>
          <w:p w14:paraId="79B9E364" w14:textId="77777777" w:rsidR="00CC690F" w:rsidRPr="00C35F8B" w:rsidRDefault="00CC690F" w:rsidP="00CC690F">
            <w:pPr>
              <w:spacing w:before="0"/>
              <w:rPr>
                <w:b/>
                <w:color w:val="000000"/>
              </w:rPr>
            </w:pPr>
            <w:r w:rsidRPr="00C35F8B">
              <w:rPr>
                <w:color w:val="000000"/>
              </w:rPr>
              <w:t>9–10</w:t>
            </w:r>
          </w:p>
        </w:tc>
        <w:tc>
          <w:tcPr>
            <w:tcW w:w="1530" w:type="dxa"/>
            <w:tcMar>
              <w:top w:w="43" w:type="dxa"/>
              <w:left w:w="115" w:type="dxa"/>
              <w:bottom w:w="43" w:type="dxa"/>
              <w:right w:w="115" w:type="dxa"/>
            </w:tcMar>
            <w:vAlign w:val="center"/>
            <w:hideMark/>
          </w:tcPr>
          <w:p w14:paraId="6B555DF3" w14:textId="77777777" w:rsidR="00CC690F" w:rsidRPr="00C35F8B" w:rsidRDefault="00CC690F" w:rsidP="00CC690F">
            <w:pPr>
              <w:tabs>
                <w:tab w:val="decimal" w:pos="605"/>
              </w:tabs>
              <w:spacing w:before="0"/>
              <w:rPr>
                <w:b/>
                <w:color w:val="000000"/>
              </w:rPr>
            </w:pPr>
            <w:r w:rsidRPr="00C35F8B">
              <w:rPr>
                <w:rFonts w:eastAsia="Times New Roman"/>
                <w:color w:val="000000"/>
              </w:rPr>
              <w:t>27.7</w:t>
            </w:r>
          </w:p>
        </w:tc>
        <w:tc>
          <w:tcPr>
            <w:tcW w:w="1620" w:type="dxa"/>
            <w:tcMar>
              <w:top w:w="43" w:type="dxa"/>
              <w:left w:w="115" w:type="dxa"/>
              <w:bottom w:w="43" w:type="dxa"/>
              <w:right w:w="115" w:type="dxa"/>
            </w:tcMar>
            <w:vAlign w:val="center"/>
            <w:hideMark/>
          </w:tcPr>
          <w:p w14:paraId="45021F66" w14:textId="77777777" w:rsidR="00CC690F" w:rsidRPr="00C35F8B" w:rsidRDefault="00CC690F" w:rsidP="00CC690F">
            <w:pPr>
              <w:tabs>
                <w:tab w:val="decimal" w:pos="698"/>
              </w:tabs>
              <w:spacing w:before="0"/>
              <w:rPr>
                <w:b/>
                <w:color w:val="000000"/>
              </w:rPr>
            </w:pPr>
            <w:r w:rsidRPr="00C35F8B">
              <w:rPr>
                <w:rFonts w:eastAsia="Times New Roman"/>
                <w:color w:val="000000"/>
              </w:rPr>
              <w:t>100</w:t>
            </w:r>
          </w:p>
        </w:tc>
        <w:tc>
          <w:tcPr>
            <w:tcW w:w="1530" w:type="dxa"/>
            <w:tcMar>
              <w:top w:w="43" w:type="dxa"/>
              <w:left w:w="115" w:type="dxa"/>
              <w:bottom w:w="43" w:type="dxa"/>
              <w:right w:w="115" w:type="dxa"/>
            </w:tcMar>
            <w:vAlign w:val="center"/>
            <w:hideMark/>
          </w:tcPr>
          <w:p w14:paraId="7D7B6A16" w14:textId="77777777" w:rsidR="00CC690F" w:rsidRPr="00C35F8B" w:rsidRDefault="00CC690F" w:rsidP="00CC690F">
            <w:pPr>
              <w:tabs>
                <w:tab w:val="decimal" w:pos="698"/>
              </w:tabs>
              <w:spacing w:before="0"/>
              <w:rPr>
                <w:b/>
                <w:color w:val="000000"/>
              </w:rPr>
            </w:pPr>
            <w:r w:rsidRPr="00C35F8B">
              <w:rPr>
                <w:rFonts w:eastAsia="Times New Roman"/>
              </w:rPr>
              <w:t>39.5</w:t>
            </w:r>
          </w:p>
        </w:tc>
        <w:tc>
          <w:tcPr>
            <w:tcW w:w="1800" w:type="dxa"/>
            <w:tcMar>
              <w:top w:w="43" w:type="dxa"/>
              <w:left w:w="115" w:type="dxa"/>
              <w:bottom w:w="43" w:type="dxa"/>
              <w:right w:w="115" w:type="dxa"/>
            </w:tcMar>
            <w:vAlign w:val="center"/>
            <w:hideMark/>
          </w:tcPr>
          <w:p w14:paraId="02A1CCA0" w14:textId="77777777" w:rsidR="00CC690F" w:rsidRPr="00C35F8B" w:rsidRDefault="00CC690F" w:rsidP="00CC690F">
            <w:pPr>
              <w:tabs>
                <w:tab w:val="decimal" w:pos="960"/>
              </w:tabs>
              <w:spacing w:before="0"/>
              <w:rPr>
                <w:b/>
                <w:color w:val="000000"/>
              </w:rPr>
            </w:pPr>
            <w:r w:rsidRPr="00C35F8B">
              <w:rPr>
                <w:rFonts w:eastAsia="Times New Roman"/>
              </w:rPr>
              <w:t>239</w:t>
            </w:r>
          </w:p>
        </w:tc>
        <w:tc>
          <w:tcPr>
            <w:tcW w:w="1530" w:type="dxa"/>
            <w:tcMar>
              <w:top w:w="43" w:type="dxa"/>
              <w:left w:w="115" w:type="dxa"/>
              <w:bottom w:w="43" w:type="dxa"/>
              <w:right w:w="115" w:type="dxa"/>
            </w:tcMar>
            <w:vAlign w:val="center"/>
            <w:hideMark/>
          </w:tcPr>
          <w:p w14:paraId="1433C8B4" w14:textId="77777777" w:rsidR="00CC690F" w:rsidRPr="00C35F8B" w:rsidRDefault="00CC690F" w:rsidP="00CC690F">
            <w:pPr>
              <w:tabs>
                <w:tab w:val="decimal" w:pos="698"/>
              </w:tabs>
              <w:spacing w:before="0"/>
              <w:rPr>
                <w:b/>
                <w:color w:val="000000"/>
              </w:rPr>
            </w:pPr>
            <w:r w:rsidRPr="00C35F8B">
              <w:rPr>
                <w:rFonts w:eastAsia="Times New Roman"/>
              </w:rPr>
              <w:t>72.3</w:t>
            </w:r>
          </w:p>
        </w:tc>
        <w:tc>
          <w:tcPr>
            <w:tcW w:w="1530" w:type="dxa"/>
            <w:tcMar>
              <w:top w:w="43" w:type="dxa"/>
              <w:left w:w="115" w:type="dxa"/>
              <w:bottom w:w="43" w:type="dxa"/>
              <w:right w:w="115" w:type="dxa"/>
            </w:tcMar>
            <w:vAlign w:val="center"/>
            <w:hideMark/>
          </w:tcPr>
          <w:p w14:paraId="21A76C2C" w14:textId="77777777" w:rsidR="00CC690F" w:rsidRPr="00C35F8B" w:rsidRDefault="00CC690F" w:rsidP="00CC690F">
            <w:pPr>
              <w:tabs>
                <w:tab w:val="decimal" w:pos="698"/>
              </w:tabs>
              <w:spacing w:before="0"/>
              <w:rPr>
                <w:b/>
                <w:color w:val="000000"/>
              </w:rPr>
            </w:pPr>
            <w:r w:rsidRPr="00C35F8B">
              <w:rPr>
                <w:rFonts w:eastAsia="Times New Roman"/>
              </w:rPr>
              <w:t>32.7</w:t>
            </w:r>
          </w:p>
        </w:tc>
        <w:tc>
          <w:tcPr>
            <w:tcW w:w="1800" w:type="dxa"/>
            <w:tcMar>
              <w:top w:w="43" w:type="dxa"/>
              <w:left w:w="115" w:type="dxa"/>
              <w:bottom w:w="43" w:type="dxa"/>
              <w:right w:w="115" w:type="dxa"/>
            </w:tcMar>
            <w:vAlign w:val="center"/>
          </w:tcPr>
          <w:p w14:paraId="2EEDA91B" w14:textId="77777777" w:rsidR="00CC690F" w:rsidRPr="00C35F8B" w:rsidRDefault="00CC690F" w:rsidP="00CC690F">
            <w:pPr>
              <w:tabs>
                <w:tab w:val="decimal" w:pos="1057"/>
              </w:tabs>
              <w:spacing w:before="0"/>
              <w:rPr>
                <w:b/>
                <w:color w:val="000000"/>
              </w:rPr>
            </w:pPr>
            <w:r w:rsidRPr="00C35F8B">
              <w:rPr>
                <w:rFonts w:eastAsia="Times New Roman"/>
              </w:rPr>
              <w:t>267</w:t>
            </w:r>
          </w:p>
        </w:tc>
      </w:tr>
      <w:tr w:rsidR="00CC690F" w:rsidRPr="00C35F8B" w14:paraId="32E351D7" w14:textId="77777777" w:rsidTr="00CC690F">
        <w:trPr>
          <w:trHeight w:val="315"/>
        </w:trPr>
        <w:tc>
          <w:tcPr>
            <w:tcW w:w="1705" w:type="dxa"/>
            <w:hideMark/>
          </w:tcPr>
          <w:p w14:paraId="53DFBF6E" w14:textId="77777777" w:rsidR="00CC690F" w:rsidRPr="00C35F8B" w:rsidRDefault="00CC690F" w:rsidP="00CC690F">
            <w:pPr>
              <w:spacing w:before="0"/>
              <w:rPr>
                <w:b/>
                <w:color w:val="000000"/>
              </w:rPr>
            </w:pPr>
            <w:r w:rsidRPr="00C35F8B">
              <w:rPr>
                <w:color w:val="000000"/>
              </w:rPr>
              <w:t>11–12</w:t>
            </w:r>
          </w:p>
        </w:tc>
        <w:tc>
          <w:tcPr>
            <w:tcW w:w="1530" w:type="dxa"/>
            <w:vAlign w:val="center"/>
            <w:hideMark/>
          </w:tcPr>
          <w:p w14:paraId="49BFBC19" w14:textId="77777777" w:rsidR="00CC690F" w:rsidRPr="00C35F8B" w:rsidRDefault="00CC690F" w:rsidP="00CC690F">
            <w:pPr>
              <w:tabs>
                <w:tab w:val="decimal" w:pos="605"/>
              </w:tabs>
              <w:spacing w:before="0"/>
              <w:rPr>
                <w:b/>
                <w:color w:val="000000"/>
              </w:rPr>
            </w:pPr>
            <w:r w:rsidRPr="00C35F8B">
              <w:rPr>
                <w:rFonts w:eastAsia="Times New Roman"/>
                <w:color w:val="000000"/>
              </w:rPr>
              <w:t>28.1</w:t>
            </w:r>
          </w:p>
        </w:tc>
        <w:tc>
          <w:tcPr>
            <w:tcW w:w="1620" w:type="dxa"/>
            <w:vAlign w:val="center"/>
            <w:hideMark/>
          </w:tcPr>
          <w:p w14:paraId="5B9FDC74" w14:textId="77777777" w:rsidR="00CC690F" w:rsidRPr="00C35F8B" w:rsidRDefault="00CC690F" w:rsidP="00CC690F">
            <w:pPr>
              <w:tabs>
                <w:tab w:val="decimal" w:pos="698"/>
              </w:tabs>
              <w:spacing w:before="0"/>
              <w:rPr>
                <w:b/>
                <w:color w:val="000000"/>
              </w:rPr>
            </w:pPr>
            <w:r w:rsidRPr="00C35F8B">
              <w:rPr>
                <w:rFonts w:eastAsia="Times New Roman"/>
                <w:color w:val="000000"/>
              </w:rPr>
              <w:t>100</w:t>
            </w:r>
          </w:p>
        </w:tc>
        <w:tc>
          <w:tcPr>
            <w:tcW w:w="1530" w:type="dxa"/>
            <w:vAlign w:val="center"/>
            <w:hideMark/>
          </w:tcPr>
          <w:p w14:paraId="1ED93206" w14:textId="77777777" w:rsidR="00CC690F" w:rsidRPr="00C35F8B" w:rsidRDefault="00CC690F" w:rsidP="00CC690F">
            <w:pPr>
              <w:tabs>
                <w:tab w:val="decimal" w:pos="698"/>
              </w:tabs>
              <w:spacing w:before="0"/>
              <w:rPr>
                <w:b/>
                <w:color w:val="000000"/>
              </w:rPr>
            </w:pPr>
            <w:r w:rsidRPr="00C35F8B">
              <w:rPr>
                <w:rFonts w:eastAsia="Times New Roman"/>
                <w:color w:val="000000"/>
              </w:rPr>
              <w:t>36.9</w:t>
            </w:r>
          </w:p>
        </w:tc>
        <w:tc>
          <w:tcPr>
            <w:tcW w:w="1800" w:type="dxa"/>
            <w:vAlign w:val="center"/>
            <w:hideMark/>
          </w:tcPr>
          <w:p w14:paraId="0D60C887" w14:textId="77777777" w:rsidR="00CC690F" w:rsidRPr="00C35F8B" w:rsidRDefault="00CC690F" w:rsidP="00CC690F">
            <w:pPr>
              <w:tabs>
                <w:tab w:val="decimal" w:pos="960"/>
              </w:tabs>
              <w:spacing w:before="0"/>
              <w:rPr>
                <w:b/>
                <w:color w:val="000000"/>
              </w:rPr>
            </w:pPr>
            <w:r w:rsidRPr="00C35F8B">
              <w:rPr>
                <w:rFonts w:eastAsia="Times New Roman"/>
                <w:color w:val="000000"/>
              </w:rPr>
              <w:t>239</w:t>
            </w:r>
          </w:p>
        </w:tc>
        <w:tc>
          <w:tcPr>
            <w:tcW w:w="1530" w:type="dxa"/>
            <w:vAlign w:val="center"/>
            <w:hideMark/>
          </w:tcPr>
          <w:p w14:paraId="54F9AD4C" w14:textId="77777777" w:rsidR="00CC690F" w:rsidRPr="00C35F8B" w:rsidRDefault="00CC690F" w:rsidP="00CC690F">
            <w:pPr>
              <w:tabs>
                <w:tab w:val="decimal" w:pos="698"/>
              </w:tabs>
              <w:spacing w:before="0"/>
              <w:rPr>
                <w:b/>
                <w:color w:val="000000"/>
              </w:rPr>
            </w:pPr>
            <w:r w:rsidRPr="00C35F8B">
              <w:rPr>
                <w:rFonts w:eastAsia="Times New Roman"/>
                <w:color w:val="000000"/>
              </w:rPr>
              <w:t>71.9</w:t>
            </w:r>
          </w:p>
        </w:tc>
        <w:tc>
          <w:tcPr>
            <w:tcW w:w="1530" w:type="dxa"/>
            <w:vAlign w:val="center"/>
            <w:hideMark/>
          </w:tcPr>
          <w:p w14:paraId="097A16AD" w14:textId="77777777" w:rsidR="00CC690F" w:rsidRPr="00C35F8B" w:rsidRDefault="00CC690F" w:rsidP="00CC690F">
            <w:pPr>
              <w:tabs>
                <w:tab w:val="decimal" w:pos="698"/>
              </w:tabs>
              <w:spacing w:before="0"/>
              <w:rPr>
                <w:b/>
                <w:color w:val="000000"/>
              </w:rPr>
            </w:pPr>
            <w:r w:rsidRPr="00C35F8B">
              <w:rPr>
                <w:rFonts w:eastAsia="Times New Roman"/>
                <w:color w:val="000000"/>
              </w:rPr>
              <w:t>35.1</w:t>
            </w:r>
          </w:p>
        </w:tc>
        <w:tc>
          <w:tcPr>
            <w:tcW w:w="1800" w:type="dxa"/>
            <w:vAlign w:val="center"/>
          </w:tcPr>
          <w:p w14:paraId="2BC4AB10" w14:textId="77777777" w:rsidR="00CC690F" w:rsidRPr="00C35F8B" w:rsidRDefault="00CC690F" w:rsidP="00CC690F">
            <w:pPr>
              <w:tabs>
                <w:tab w:val="decimal" w:pos="1057"/>
              </w:tabs>
              <w:spacing w:before="0"/>
              <w:rPr>
                <w:b/>
                <w:color w:val="000000"/>
              </w:rPr>
            </w:pPr>
            <w:r w:rsidRPr="00C35F8B">
              <w:rPr>
                <w:rFonts w:eastAsia="Times New Roman"/>
              </w:rPr>
              <w:t>267</w:t>
            </w:r>
          </w:p>
        </w:tc>
      </w:tr>
    </w:tbl>
    <w:p w14:paraId="55C77474" w14:textId="77777777" w:rsidR="00CC690F" w:rsidRPr="00C35F8B" w:rsidRDefault="00CC690F" w:rsidP="0077076A">
      <w:pPr>
        <w:spacing w:after="120"/>
        <w:rPr>
          <w:rFonts w:eastAsia="SimSun"/>
          <w:lang w:eastAsia="zh-CN"/>
        </w:rPr>
      </w:pPr>
    </w:p>
    <w:p w14:paraId="5FCB6DB1" w14:textId="77777777" w:rsidR="006D27C5" w:rsidRPr="00C35F8B" w:rsidRDefault="006D27C5" w:rsidP="006D27C5">
      <w:pPr>
        <w:spacing w:before="120"/>
        <w:jc w:val="center"/>
        <w:rPr>
          <w:b/>
          <w:iCs/>
          <w:color w:val="000000"/>
          <w:sz w:val="22"/>
          <w:szCs w:val="22"/>
          <w:lang w:eastAsia="ko-KR"/>
        </w:rPr>
      </w:pPr>
      <w:r w:rsidRPr="00C35F8B">
        <w:rPr>
          <w:b/>
          <w:iCs/>
          <w:color w:val="000000"/>
          <w:sz w:val="22"/>
          <w:szCs w:val="22"/>
          <w:lang w:eastAsia="ko-KR"/>
        </w:rPr>
        <w:t>Key</w:t>
      </w:r>
    </w:p>
    <w:tbl>
      <w:tblPr>
        <w:tblStyle w:val="GridTable1Light"/>
        <w:tblW w:w="0" w:type="auto"/>
        <w:tblBorders>
          <w:top w:val="single" w:sz="12" w:space="0" w:color="BFBFBF" w:themeColor="background1" w:themeShade="BF"/>
          <w:left w:val="none" w:sz="0" w:space="0" w:color="auto"/>
          <w:bottom w:val="single" w:sz="12" w:space="0" w:color="D0CECE" w:themeColor="background2" w:themeShade="E6"/>
          <w:right w:val="none" w:sz="0" w:space="0" w:color="auto"/>
          <w:insideH w:val="single" w:sz="12" w:space="0" w:color="999999" w:themeColor="text1" w:themeTint="66"/>
          <w:insideV w:val="none" w:sz="0" w:space="0" w:color="auto"/>
        </w:tblBorders>
        <w:tblLook w:val="04A0" w:firstRow="1" w:lastRow="0" w:firstColumn="1" w:lastColumn="0" w:noHBand="0" w:noVBand="1"/>
        <w:tblCaption w:val="Key"/>
        <w:tblDescription w:val="This table explains the key for Table 1."/>
      </w:tblPr>
      <w:tblGrid>
        <w:gridCol w:w="2970"/>
        <w:gridCol w:w="9980"/>
      </w:tblGrid>
      <w:tr w:rsidR="006D27C5" w:rsidRPr="00C35F8B" w14:paraId="5390889C" w14:textId="77777777" w:rsidTr="007675DC">
        <w:trPr>
          <w:cnfStyle w:val="100000000000" w:firstRow="1" w:lastRow="0" w:firstColumn="0" w:lastColumn="0" w:oddVBand="0" w:evenVBand="0" w:oddHBand="0" w:evenHBand="0" w:firstRowFirstColumn="0" w:firstRowLastColumn="0" w:lastRowFirstColumn="0" w:lastRowLastColumn="0"/>
          <w:cantSplit/>
          <w:trHeight w:val="440"/>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1A3BFA31" w14:textId="77777777" w:rsidR="006D27C5" w:rsidRPr="00C35F8B" w:rsidRDefault="006D27C5" w:rsidP="007675DC">
            <w:pPr>
              <w:rPr>
                <w:iCs/>
                <w:color w:val="000000"/>
                <w:lang w:eastAsia="ko-KR"/>
              </w:rPr>
            </w:pPr>
            <w:r w:rsidRPr="00C35F8B">
              <w:rPr>
                <w:rFonts w:eastAsia="SimSun" w:cs="Calibri"/>
              </w:rPr>
              <w:t>Percentage of Students</w:t>
            </w:r>
          </w:p>
        </w:tc>
        <w:tc>
          <w:tcPr>
            <w:tcW w:w="9980" w:type="dxa"/>
            <w:tcBorders>
              <w:bottom w:val="none" w:sz="0" w:space="0" w:color="auto"/>
            </w:tcBorders>
            <w:vAlign w:val="center"/>
          </w:tcPr>
          <w:p w14:paraId="09F9E9F1" w14:textId="77777777" w:rsidR="006D27C5" w:rsidRPr="00C35F8B" w:rsidRDefault="006D27C5" w:rsidP="007675DC">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Percent of students statewide who would be placed at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w:t>
            </w:r>
          </w:p>
        </w:tc>
      </w:tr>
      <w:tr w:rsidR="006D27C5" w:rsidRPr="00C35F8B" w14:paraId="21E7B41A" w14:textId="77777777" w:rsidTr="007675D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6AD59C24" w14:textId="77777777" w:rsidR="006D27C5" w:rsidRPr="00C35F8B" w:rsidRDefault="006D27C5" w:rsidP="007675DC">
            <w:pPr>
              <w:rPr>
                <w:iCs/>
                <w:color w:val="000000"/>
                <w:lang w:eastAsia="ko-KR"/>
              </w:rPr>
            </w:pPr>
            <w:r w:rsidRPr="00C35F8B">
              <w:rPr>
                <w:rFonts w:eastAsia="SimSun" w:cs="Calibri"/>
              </w:rPr>
              <w:t>Standard-Setting Scale Threshold Score</w:t>
            </w:r>
          </w:p>
        </w:tc>
        <w:tc>
          <w:tcPr>
            <w:tcW w:w="9980" w:type="dxa"/>
            <w:tcBorders>
              <w:bottom w:val="none" w:sz="0" w:space="0" w:color="auto"/>
            </w:tcBorders>
            <w:vAlign w:val="center"/>
          </w:tcPr>
          <w:p w14:paraId="1FD3F842" w14:textId="77777777" w:rsidR="006D27C5" w:rsidRPr="00C35F8B" w:rsidRDefault="006D27C5" w:rsidP="007675DC">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Minimum standard-setting scale score needed to achieve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 See note below.</w:t>
            </w:r>
          </w:p>
        </w:tc>
      </w:tr>
      <w:tr w:rsidR="006D27C5" w:rsidRPr="00C35F8B" w14:paraId="59DDB570" w14:textId="77777777" w:rsidTr="007675D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50F4FECB" w14:textId="77777777" w:rsidR="006D27C5" w:rsidRPr="00C35F8B" w:rsidRDefault="006D27C5" w:rsidP="007675DC">
            <w:pPr>
              <w:rPr>
                <w:iCs/>
                <w:color w:val="000000"/>
                <w:lang w:eastAsia="ko-KR"/>
              </w:rPr>
            </w:pPr>
            <w:r w:rsidRPr="00C35F8B">
              <w:rPr>
                <w:rFonts w:eastAsia="SimSun" w:cs="Calibri"/>
              </w:rPr>
              <w:t>Percentage at or above</w:t>
            </w:r>
          </w:p>
        </w:tc>
        <w:tc>
          <w:tcPr>
            <w:tcW w:w="9980" w:type="dxa"/>
            <w:tcBorders>
              <w:bottom w:val="none" w:sz="0" w:space="0" w:color="auto"/>
            </w:tcBorders>
            <w:vAlign w:val="center"/>
          </w:tcPr>
          <w:p w14:paraId="61DF982C" w14:textId="77777777" w:rsidR="006D27C5" w:rsidRPr="00C35F8B" w:rsidRDefault="006D27C5" w:rsidP="007675DC">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Percent of students statewide who would be at and above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w:t>
            </w:r>
          </w:p>
        </w:tc>
      </w:tr>
    </w:tbl>
    <w:p w14:paraId="29866148" w14:textId="77777777" w:rsidR="006D27C5" w:rsidRPr="00C35F8B" w:rsidRDefault="006D27C5" w:rsidP="006D27C5">
      <w:pPr>
        <w:spacing w:before="120"/>
        <w:rPr>
          <w:iCs/>
          <w:color w:val="000000"/>
          <w:lang w:eastAsia="ko-KR"/>
        </w:rPr>
      </w:pPr>
      <w:r w:rsidRPr="00C35F8B">
        <w:rPr>
          <w:iCs/>
          <w:color w:val="000000"/>
          <w:lang w:eastAsia="ko-KR"/>
        </w:rPr>
        <w:t>Notes:</w:t>
      </w:r>
    </w:p>
    <w:p w14:paraId="234EC799" w14:textId="77777777" w:rsidR="006D27C5" w:rsidRPr="00C35F8B" w:rsidRDefault="006D27C5" w:rsidP="00C163B1">
      <w:pPr>
        <w:pStyle w:val="ListParagraph"/>
        <w:numPr>
          <w:ilvl w:val="0"/>
          <w:numId w:val="33"/>
        </w:numPr>
        <w:spacing w:after="120"/>
        <w:ind w:left="360"/>
        <w:contextualSpacing w:val="0"/>
      </w:pPr>
      <w:r w:rsidRPr="00C35F8B">
        <w:t xml:space="preserve">Threshold scores are presented on a score scale generated solely for the standard-setting process. Reporting scales will be developed to report scores on the Student Score Report and public reporting. </w:t>
      </w:r>
    </w:p>
    <w:p w14:paraId="204BF427" w14:textId="77777777" w:rsidR="006D27C5" w:rsidRPr="00C35F8B" w:rsidRDefault="006D27C5" w:rsidP="00C163B1">
      <w:pPr>
        <w:pStyle w:val="ListParagraph"/>
        <w:numPr>
          <w:ilvl w:val="0"/>
          <w:numId w:val="33"/>
        </w:numPr>
        <w:spacing w:after="120"/>
        <w:ind w:left="360"/>
        <w:contextualSpacing w:val="0"/>
      </w:pPr>
      <w:r w:rsidRPr="00C35F8B">
        <w:t>Each level percentages may not sum to 100, due to rounding.</w:t>
      </w:r>
    </w:p>
    <w:p w14:paraId="1CE23F28" w14:textId="77777777" w:rsidR="00B625AF" w:rsidRPr="00C35F8B" w:rsidRDefault="00B625AF" w:rsidP="002D3EEF">
      <w:pPr>
        <w:spacing w:after="240"/>
        <w:rPr>
          <w:rFonts w:eastAsiaTheme="minorEastAsia"/>
        </w:rPr>
        <w:sectPr w:rsidR="00B625AF" w:rsidRPr="00C35F8B" w:rsidSect="00713FA4">
          <w:headerReference w:type="default" r:id="rId40"/>
          <w:footerReference w:type="default" r:id="rId41"/>
          <w:pgSz w:w="15840" w:h="12240" w:orient="landscape"/>
          <w:pgMar w:top="1080" w:right="1440" w:bottom="1080" w:left="1440" w:header="720" w:footer="720" w:gutter="0"/>
          <w:pgNumType w:start="1"/>
          <w:cols w:space="720"/>
          <w:docGrid w:linePitch="360"/>
        </w:sectPr>
      </w:pPr>
    </w:p>
    <w:p w14:paraId="2E9DA3D8" w14:textId="04AD8EA0" w:rsidR="0019727C" w:rsidRPr="00C35F8B" w:rsidRDefault="0019727C" w:rsidP="005C1EA6">
      <w:pPr>
        <w:pStyle w:val="Heading2"/>
        <w:jc w:val="center"/>
        <w:rPr>
          <w:rFonts w:eastAsia="SimSun"/>
          <w:lang w:eastAsia="zh-CN"/>
        </w:rPr>
      </w:pPr>
      <w:r w:rsidRPr="00C35F8B">
        <w:rPr>
          <w:rFonts w:eastAsia="SimSun"/>
          <w:lang w:eastAsia="zh-CN"/>
        </w:rPr>
        <w:lastRenderedPageBreak/>
        <w:t xml:space="preserve">Standard Setting Panel’s Recommended Judgments for the </w:t>
      </w:r>
      <w:r w:rsidR="005C1EA6" w:rsidRPr="00C35F8B">
        <w:rPr>
          <w:rFonts w:eastAsia="SimSun"/>
          <w:lang w:eastAsia="zh-CN"/>
        </w:rPr>
        <w:br/>
      </w:r>
      <w:r w:rsidR="00A84FAF" w:rsidRPr="00C35F8B">
        <w:rPr>
          <w:rFonts w:eastAsia="SimSun"/>
          <w:lang w:eastAsia="zh-CN"/>
        </w:rPr>
        <w:t>Alternate ELPAC</w:t>
      </w:r>
    </w:p>
    <w:p w14:paraId="70A365CA" w14:textId="77777777" w:rsidR="0019727C" w:rsidRPr="00C35F8B" w:rsidRDefault="0019727C" w:rsidP="001F5804">
      <w:pPr>
        <w:spacing w:after="120"/>
        <w:rPr>
          <w:rFonts w:eastAsia="SimSun"/>
          <w:lang w:eastAsia="zh-CN"/>
        </w:rPr>
      </w:pPr>
      <w:r w:rsidRPr="00C35F8B">
        <w:rPr>
          <w:rFonts w:eastAsia="SimSun"/>
          <w:lang w:eastAsia="zh-CN"/>
        </w:rPr>
        <w:t>Table 1. Standard Setting Panel Recommendations for the Proposed Performance Levels on the Overall Score for the Initial</w:t>
      </w:r>
      <w:r w:rsidR="003B0827" w:rsidRPr="00C35F8B">
        <w:rPr>
          <w:rFonts w:eastAsia="SimSun"/>
          <w:lang w:eastAsia="zh-CN"/>
        </w:rPr>
        <w:t xml:space="preserve"> </w:t>
      </w:r>
      <w:r w:rsidRPr="00C35F8B">
        <w:rPr>
          <w:rFonts w:eastAsia="SimSun"/>
          <w:lang w:eastAsia="zh-CN"/>
        </w:rPr>
        <w:t>Alternate English Language Proficiency Assessments for California (ELPAC)</w:t>
      </w:r>
      <w:r w:rsidR="003B0827" w:rsidRPr="00C35F8B">
        <w:rPr>
          <w:rFonts w:eastAsia="SimSun"/>
          <w:lang w:eastAsia="zh-CN"/>
        </w:rPr>
        <w:t xml:space="preserve"> </w:t>
      </w:r>
    </w:p>
    <w:tbl>
      <w:tblPr>
        <w:tblStyle w:val="TableGrid"/>
        <w:tblW w:w="13045" w:type="dxa"/>
        <w:tblLayout w:type="fixed"/>
        <w:tblLook w:val="04A0" w:firstRow="1" w:lastRow="0" w:firstColumn="1" w:lastColumn="0" w:noHBand="0" w:noVBand="1"/>
        <w:tblCaption w:val="This is an preview of our table for Attachment 4."/>
        <w:tblDescription w:val="Example table."/>
      </w:tblPr>
      <w:tblGrid>
        <w:gridCol w:w="1705"/>
        <w:gridCol w:w="1530"/>
        <w:gridCol w:w="1620"/>
        <w:gridCol w:w="1530"/>
        <w:gridCol w:w="1800"/>
        <w:gridCol w:w="1530"/>
        <w:gridCol w:w="1530"/>
        <w:gridCol w:w="1800"/>
      </w:tblGrid>
      <w:tr w:rsidR="001F5804" w:rsidRPr="00C35F8B" w14:paraId="17574C35" w14:textId="77777777" w:rsidTr="007675DC">
        <w:trPr>
          <w:trHeight w:val="1214"/>
          <w:tblHeader/>
        </w:trPr>
        <w:tc>
          <w:tcPr>
            <w:tcW w:w="1705" w:type="dxa"/>
            <w:shd w:val="clear" w:color="auto" w:fill="D9D9D9" w:themeFill="background1" w:themeFillShade="D9"/>
            <w:tcMar>
              <w:top w:w="43" w:type="dxa"/>
              <w:left w:w="115" w:type="dxa"/>
              <w:bottom w:w="43" w:type="dxa"/>
              <w:right w:w="115" w:type="dxa"/>
            </w:tcMar>
            <w:vAlign w:val="center"/>
            <w:hideMark/>
          </w:tcPr>
          <w:p w14:paraId="4784EBCC" w14:textId="77777777" w:rsidR="001F5804" w:rsidRPr="00C35F8B" w:rsidRDefault="001F5804" w:rsidP="007675DC">
            <w:pPr>
              <w:spacing w:before="0"/>
              <w:rPr>
                <w:b/>
                <w:bCs/>
                <w:color w:val="000000"/>
              </w:rPr>
            </w:pPr>
            <w:r w:rsidRPr="00C35F8B">
              <w:rPr>
                <w:b/>
                <w:color w:val="000000"/>
              </w:rPr>
              <w:t>Grade</w:t>
            </w:r>
          </w:p>
        </w:tc>
        <w:tc>
          <w:tcPr>
            <w:tcW w:w="1530" w:type="dxa"/>
            <w:shd w:val="clear" w:color="auto" w:fill="D9D9D9" w:themeFill="background1" w:themeFillShade="D9"/>
            <w:tcMar>
              <w:top w:w="43" w:type="dxa"/>
              <w:left w:w="115" w:type="dxa"/>
              <w:bottom w:w="43" w:type="dxa"/>
              <w:right w:w="115" w:type="dxa"/>
            </w:tcMar>
            <w:vAlign w:val="center"/>
            <w:hideMark/>
          </w:tcPr>
          <w:p w14:paraId="5156BCDC" w14:textId="77777777" w:rsidR="001F5804" w:rsidRPr="00C35F8B" w:rsidRDefault="001F5804" w:rsidP="007675DC">
            <w:pPr>
              <w:spacing w:before="0"/>
              <w:jc w:val="center"/>
              <w:rPr>
                <w:b/>
                <w:bCs/>
                <w:color w:val="000000"/>
              </w:rPr>
            </w:pPr>
            <w:r w:rsidRPr="00C35F8B">
              <w:rPr>
                <w:b/>
                <w:color w:val="000000"/>
              </w:rPr>
              <w:t xml:space="preserve">Level 1 </w:t>
            </w:r>
          </w:p>
          <w:p w14:paraId="07983644" w14:textId="77777777" w:rsidR="001F5804" w:rsidRPr="00C35F8B" w:rsidRDefault="001F5804" w:rsidP="007675DC">
            <w:pPr>
              <w:spacing w:before="0"/>
              <w:jc w:val="center"/>
              <w:rPr>
                <w:b/>
                <w:bCs/>
                <w:color w:val="000000"/>
              </w:rPr>
            </w:pPr>
            <w:r w:rsidRPr="00C35F8B">
              <w:rPr>
                <w:b/>
                <w:color w:val="000000"/>
              </w:rPr>
              <w:t>Percentage of Students</w:t>
            </w:r>
          </w:p>
        </w:tc>
        <w:tc>
          <w:tcPr>
            <w:tcW w:w="1620" w:type="dxa"/>
            <w:shd w:val="clear" w:color="auto" w:fill="D9D9D9" w:themeFill="background1" w:themeFillShade="D9"/>
            <w:tcMar>
              <w:top w:w="43" w:type="dxa"/>
              <w:left w:w="115" w:type="dxa"/>
              <w:bottom w:w="43" w:type="dxa"/>
              <w:right w:w="115" w:type="dxa"/>
            </w:tcMar>
            <w:vAlign w:val="center"/>
            <w:hideMark/>
          </w:tcPr>
          <w:p w14:paraId="75668938" w14:textId="77777777" w:rsidR="001F5804" w:rsidRPr="00C35F8B" w:rsidRDefault="001F5804" w:rsidP="007675DC">
            <w:pPr>
              <w:spacing w:before="0"/>
              <w:jc w:val="center"/>
              <w:rPr>
                <w:b/>
                <w:bCs/>
                <w:color w:val="000000"/>
              </w:rPr>
            </w:pPr>
            <w:r w:rsidRPr="00C35F8B">
              <w:rPr>
                <w:b/>
                <w:color w:val="000000"/>
              </w:rPr>
              <w:t>Level 1</w:t>
            </w:r>
          </w:p>
          <w:p w14:paraId="79AB2439" w14:textId="77777777" w:rsidR="001F5804" w:rsidRPr="00C35F8B" w:rsidRDefault="001F5804" w:rsidP="007675DC">
            <w:pPr>
              <w:spacing w:before="0"/>
              <w:jc w:val="center"/>
              <w:rPr>
                <w:b/>
                <w:bCs/>
                <w:color w:val="000000"/>
              </w:rPr>
            </w:pPr>
            <w:r w:rsidRPr="00C35F8B">
              <w:rPr>
                <w:b/>
                <w:color w:val="000000"/>
              </w:rPr>
              <w:t>Percentage at or above</w:t>
            </w:r>
          </w:p>
        </w:tc>
        <w:tc>
          <w:tcPr>
            <w:tcW w:w="1530" w:type="dxa"/>
            <w:shd w:val="clear" w:color="auto" w:fill="D9D9D9" w:themeFill="background1" w:themeFillShade="D9"/>
            <w:tcMar>
              <w:top w:w="43" w:type="dxa"/>
              <w:left w:w="115" w:type="dxa"/>
              <w:bottom w:w="43" w:type="dxa"/>
              <w:right w:w="115" w:type="dxa"/>
            </w:tcMar>
            <w:vAlign w:val="center"/>
            <w:hideMark/>
          </w:tcPr>
          <w:p w14:paraId="35999AB7" w14:textId="77777777" w:rsidR="001F5804" w:rsidRPr="00C35F8B" w:rsidRDefault="001F5804" w:rsidP="007675DC">
            <w:pPr>
              <w:spacing w:before="0"/>
              <w:jc w:val="center"/>
              <w:rPr>
                <w:b/>
                <w:bCs/>
                <w:color w:val="000000"/>
              </w:rPr>
            </w:pPr>
            <w:r w:rsidRPr="00C35F8B">
              <w:rPr>
                <w:b/>
                <w:color w:val="000000"/>
              </w:rPr>
              <w:t>Level 2</w:t>
            </w:r>
          </w:p>
          <w:p w14:paraId="60D129A2" w14:textId="77777777" w:rsidR="001F5804" w:rsidRPr="00C35F8B" w:rsidRDefault="001F5804" w:rsidP="007675DC">
            <w:pPr>
              <w:spacing w:before="0"/>
              <w:jc w:val="center"/>
              <w:rPr>
                <w:b/>
                <w:bCs/>
                <w:color w:val="000000"/>
              </w:rPr>
            </w:pPr>
            <w:r w:rsidRPr="00C35F8B">
              <w:rPr>
                <w:b/>
                <w:color w:val="000000"/>
              </w:rPr>
              <w:t>Percentage of Students</w:t>
            </w:r>
          </w:p>
        </w:tc>
        <w:tc>
          <w:tcPr>
            <w:tcW w:w="1800" w:type="dxa"/>
            <w:shd w:val="clear" w:color="auto" w:fill="D9D9D9" w:themeFill="background1" w:themeFillShade="D9"/>
            <w:tcMar>
              <w:top w:w="43" w:type="dxa"/>
              <w:left w:w="115" w:type="dxa"/>
              <w:bottom w:w="43" w:type="dxa"/>
              <w:right w:w="115" w:type="dxa"/>
            </w:tcMar>
            <w:vAlign w:val="center"/>
            <w:hideMark/>
          </w:tcPr>
          <w:p w14:paraId="53370CCF" w14:textId="77777777" w:rsidR="001F5804" w:rsidRPr="00C35F8B" w:rsidRDefault="001F5804" w:rsidP="007675DC">
            <w:pPr>
              <w:spacing w:before="0"/>
              <w:jc w:val="center"/>
              <w:rPr>
                <w:b/>
                <w:bCs/>
                <w:color w:val="000000"/>
              </w:rPr>
            </w:pPr>
            <w:r w:rsidRPr="00C35F8B">
              <w:rPr>
                <w:b/>
                <w:color w:val="000000"/>
              </w:rPr>
              <w:t>Level 2</w:t>
            </w:r>
          </w:p>
          <w:p w14:paraId="01F33CB1" w14:textId="77777777" w:rsidR="001F5804" w:rsidRPr="00C35F8B" w:rsidRDefault="001F5804" w:rsidP="007675DC">
            <w:pPr>
              <w:spacing w:before="0"/>
              <w:jc w:val="center"/>
              <w:rPr>
                <w:b/>
                <w:bCs/>
                <w:color w:val="000000"/>
              </w:rPr>
            </w:pPr>
            <w:r w:rsidRPr="00C35F8B">
              <w:rPr>
                <w:b/>
                <w:color w:val="000000"/>
              </w:rPr>
              <w:t>Standard-Setting Scale Threshold Score</w:t>
            </w:r>
          </w:p>
        </w:tc>
        <w:tc>
          <w:tcPr>
            <w:tcW w:w="1530" w:type="dxa"/>
            <w:shd w:val="clear" w:color="auto" w:fill="D9D9D9" w:themeFill="background1" w:themeFillShade="D9"/>
            <w:tcMar>
              <w:top w:w="43" w:type="dxa"/>
              <w:left w:w="115" w:type="dxa"/>
              <w:bottom w:w="43" w:type="dxa"/>
              <w:right w:w="115" w:type="dxa"/>
            </w:tcMar>
            <w:vAlign w:val="center"/>
            <w:hideMark/>
          </w:tcPr>
          <w:p w14:paraId="6B6BFD75" w14:textId="77777777" w:rsidR="001F5804" w:rsidRPr="00C35F8B" w:rsidRDefault="001F5804" w:rsidP="007675DC">
            <w:pPr>
              <w:spacing w:before="0"/>
              <w:jc w:val="center"/>
              <w:rPr>
                <w:b/>
                <w:bCs/>
                <w:color w:val="000000"/>
              </w:rPr>
            </w:pPr>
            <w:r w:rsidRPr="00C35F8B">
              <w:rPr>
                <w:b/>
                <w:color w:val="000000"/>
              </w:rPr>
              <w:t xml:space="preserve">Level 2 </w:t>
            </w:r>
          </w:p>
          <w:p w14:paraId="28E76353" w14:textId="77777777" w:rsidR="001F5804" w:rsidRPr="00C35F8B" w:rsidRDefault="001F5804" w:rsidP="007675DC">
            <w:pPr>
              <w:spacing w:before="0"/>
              <w:jc w:val="center"/>
              <w:rPr>
                <w:b/>
                <w:bCs/>
                <w:color w:val="000000"/>
              </w:rPr>
            </w:pPr>
            <w:r w:rsidRPr="00C35F8B">
              <w:rPr>
                <w:b/>
                <w:color w:val="000000"/>
              </w:rPr>
              <w:t>Percentage at or above</w:t>
            </w:r>
          </w:p>
        </w:tc>
        <w:tc>
          <w:tcPr>
            <w:tcW w:w="1530" w:type="dxa"/>
            <w:shd w:val="clear" w:color="auto" w:fill="D9D9D9" w:themeFill="background1" w:themeFillShade="D9"/>
            <w:tcMar>
              <w:top w:w="43" w:type="dxa"/>
              <w:left w:w="115" w:type="dxa"/>
              <w:bottom w:w="43" w:type="dxa"/>
              <w:right w:w="115" w:type="dxa"/>
            </w:tcMar>
            <w:vAlign w:val="center"/>
            <w:hideMark/>
          </w:tcPr>
          <w:p w14:paraId="4FDA2E42" w14:textId="77777777" w:rsidR="001F5804" w:rsidRPr="00C35F8B" w:rsidRDefault="001F5804" w:rsidP="007675DC">
            <w:pPr>
              <w:spacing w:before="0"/>
              <w:jc w:val="center"/>
              <w:rPr>
                <w:b/>
                <w:bCs/>
                <w:color w:val="000000"/>
              </w:rPr>
            </w:pPr>
            <w:r w:rsidRPr="00C35F8B">
              <w:rPr>
                <w:b/>
                <w:color w:val="000000"/>
              </w:rPr>
              <w:t>Level 3</w:t>
            </w:r>
          </w:p>
          <w:p w14:paraId="002D8248" w14:textId="77777777" w:rsidR="001F5804" w:rsidRPr="00C35F8B" w:rsidRDefault="001F5804" w:rsidP="007675DC">
            <w:pPr>
              <w:spacing w:before="0"/>
              <w:jc w:val="center"/>
              <w:rPr>
                <w:b/>
                <w:bCs/>
                <w:color w:val="000000"/>
              </w:rPr>
            </w:pPr>
            <w:r w:rsidRPr="00C35F8B">
              <w:rPr>
                <w:b/>
                <w:color w:val="000000"/>
              </w:rPr>
              <w:t>Percentage of Students</w:t>
            </w:r>
          </w:p>
        </w:tc>
        <w:tc>
          <w:tcPr>
            <w:tcW w:w="1800" w:type="dxa"/>
            <w:shd w:val="clear" w:color="auto" w:fill="D9D9D9" w:themeFill="background1" w:themeFillShade="D9"/>
            <w:tcMar>
              <w:top w:w="43" w:type="dxa"/>
              <w:left w:w="115" w:type="dxa"/>
              <w:bottom w:w="43" w:type="dxa"/>
              <w:right w:w="115" w:type="dxa"/>
            </w:tcMar>
            <w:vAlign w:val="center"/>
            <w:hideMark/>
          </w:tcPr>
          <w:p w14:paraId="6CEBB1A3" w14:textId="77777777" w:rsidR="001F5804" w:rsidRPr="00C35F8B" w:rsidRDefault="001F5804" w:rsidP="007675DC">
            <w:pPr>
              <w:spacing w:before="0"/>
              <w:jc w:val="center"/>
              <w:rPr>
                <w:b/>
                <w:bCs/>
                <w:color w:val="000000"/>
              </w:rPr>
            </w:pPr>
            <w:r w:rsidRPr="00C35F8B">
              <w:rPr>
                <w:b/>
                <w:color w:val="000000"/>
              </w:rPr>
              <w:t>Level 3</w:t>
            </w:r>
          </w:p>
          <w:p w14:paraId="290A9DDF" w14:textId="77777777" w:rsidR="001F5804" w:rsidRPr="00C35F8B" w:rsidRDefault="001F5804" w:rsidP="007675DC">
            <w:pPr>
              <w:spacing w:before="0"/>
              <w:jc w:val="center"/>
              <w:rPr>
                <w:b/>
                <w:bCs/>
                <w:color w:val="000000"/>
              </w:rPr>
            </w:pPr>
            <w:r w:rsidRPr="00C35F8B">
              <w:rPr>
                <w:b/>
                <w:color w:val="000000"/>
              </w:rPr>
              <w:t>Standard-Setting Scale Threshold Score</w:t>
            </w:r>
          </w:p>
        </w:tc>
      </w:tr>
      <w:tr w:rsidR="001F5804" w:rsidRPr="00C35F8B" w14:paraId="2BBFBB7A" w14:textId="77777777" w:rsidTr="00F67158">
        <w:trPr>
          <w:trHeight w:val="315"/>
        </w:trPr>
        <w:tc>
          <w:tcPr>
            <w:tcW w:w="1705" w:type="dxa"/>
            <w:tcMar>
              <w:top w:w="43" w:type="dxa"/>
              <w:left w:w="115" w:type="dxa"/>
              <w:bottom w:w="43" w:type="dxa"/>
              <w:right w:w="115" w:type="dxa"/>
            </w:tcMar>
            <w:hideMark/>
          </w:tcPr>
          <w:p w14:paraId="0B1338B7" w14:textId="77777777" w:rsidR="001F5804" w:rsidRPr="00C35F8B" w:rsidRDefault="001F5804" w:rsidP="007675DC">
            <w:pPr>
              <w:spacing w:before="0"/>
              <w:rPr>
                <w:b/>
                <w:color w:val="000000"/>
              </w:rPr>
            </w:pPr>
            <w:r w:rsidRPr="00C35F8B">
              <w:rPr>
                <w:color w:val="000000"/>
              </w:rPr>
              <w:t>K</w:t>
            </w:r>
          </w:p>
        </w:tc>
        <w:tc>
          <w:tcPr>
            <w:tcW w:w="1530" w:type="dxa"/>
            <w:tcMar>
              <w:top w:w="43" w:type="dxa"/>
              <w:left w:w="115" w:type="dxa"/>
              <w:bottom w:w="43" w:type="dxa"/>
              <w:right w:w="115" w:type="dxa"/>
            </w:tcMar>
            <w:vAlign w:val="center"/>
            <w:hideMark/>
          </w:tcPr>
          <w:p w14:paraId="7B738571" w14:textId="77777777" w:rsidR="001F5804" w:rsidRPr="00C35F8B" w:rsidRDefault="00F67158" w:rsidP="007675DC">
            <w:pPr>
              <w:tabs>
                <w:tab w:val="decimal" w:pos="605"/>
              </w:tabs>
              <w:spacing w:before="0"/>
              <w:rPr>
                <w:b/>
                <w:color w:val="000000"/>
              </w:rPr>
            </w:pPr>
            <w:r w:rsidRPr="00C35F8B">
              <w:t>39.6</w:t>
            </w:r>
          </w:p>
        </w:tc>
        <w:tc>
          <w:tcPr>
            <w:tcW w:w="1620" w:type="dxa"/>
            <w:tcMar>
              <w:top w:w="43" w:type="dxa"/>
              <w:left w:w="115" w:type="dxa"/>
              <w:bottom w:w="43" w:type="dxa"/>
              <w:right w:w="115" w:type="dxa"/>
            </w:tcMar>
            <w:vAlign w:val="center"/>
            <w:hideMark/>
          </w:tcPr>
          <w:p w14:paraId="19D32C66" w14:textId="77777777" w:rsidR="001F5804" w:rsidRPr="00C35F8B" w:rsidRDefault="00F67158" w:rsidP="007675DC">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hideMark/>
          </w:tcPr>
          <w:p w14:paraId="555B11B5" w14:textId="77777777" w:rsidR="001F5804" w:rsidRPr="00C35F8B" w:rsidRDefault="00F67158" w:rsidP="007675DC">
            <w:pPr>
              <w:tabs>
                <w:tab w:val="decimal" w:pos="698"/>
              </w:tabs>
              <w:spacing w:before="0"/>
              <w:rPr>
                <w:b/>
                <w:color w:val="000000"/>
              </w:rPr>
            </w:pPr>
            <w:r w:rsidRPr="00C35F8B">
              <w:t>44.0</w:t>
            </w:r>
          </w:p>
        </w:tc>
        <w:tc>
          <w:tcPr>
            <w:tcW w:w="1800" w:type="dxa"/>
            <w:tcMar>
              <w:top w:w="43" w:type="dxa"/>
              <w:left w:w="115" w:type="dxa"/>
              <w:bottom w:w="43" w:type="dxa"/>
              <w:right w:w="115" w:type="dxa"/>
            </w:tcMar>
            <w:vAlign w:val="center"/>
            <w:hideMark/>
          </w:tcPr>
          <w:p w14:paraId="21C31FA0" w14:textId="77777777" w:rsidR="001F5804" w:rsidRPr="00C35F8B" w:rsidRDefault="00F67158" w:rsidP="007675DC">
            <w:pPr>
              <w:tabs>
                <w:tab w:val="decimal" w:pos="960"/>
              </w:tabs>
              <w:spacing w:before="0"/>
              <w:rPr>
                <w:b/>
                <w:color w:val="000000"/>
              </w:rPr>
            </w:pPr>
            <w:r w:rsidRPr="00C35F8B">
              <w:t>254</w:t>
            </w:r>
          </w:p>
        </w:tc>
        <w:tc>
          <w:tcPr>
            <w:tcW w:w="1530" w:type="dxa"/>
            <w:tcMar>
              <w:top w:w="43" w:type="dxa"/>
              <w:left w:w="115" w:type="dxa"/>
              <w:bottom w:w="43" w:type="dxa"/>
              <w:right w:w="115" w:type="dxa"/>
            </w:tcMar>
            <w:vAlign w:val="center"/>
            <w:hideMark/>
          </w:tcPr>
          <w:p w14:paraId="55A112EB" w14:textId="77777777" w:rsidR="001F5804" w:rsidRPr="00C35F8B" w:rsidRDefault="00F67158" w:rsidP="007675DC">
            <w:pPr>
              <w:tabs>
                <w:tab w:val="decimal" w:pos="698"/>
              </w:tabs>
              <w:spacing w:before="0"/>
              <w:rPr>
                <w:b/>
                <w:color w:val="000000"/>
              </w:rPr>
            </w:pPr>
            <w:r w:rsidRPr="00C35F8B">
              <w:t>60.4</w:t>
            </w:r>
          </w:p>
        </w:tc>
        <w:tc>
          <w:tcPr>
            <w:tcW w:w="1530" w:type="dxa"/>
            <w:tcMar>
              <w:top w:w="43" w:type="dxa"/>
              <w:left w:w="115" w:type="dxa"/>
              <w:bottom w:w="43" w:type="dxa"/>
              <w:right w:w="115" w:type="dxa"/>
            </w:tcMar>
            <w:vAlign w:val="center"/>
            <w:hideMark/>
          </w:tcPr>
          <w:p w14:paraId="1F5F9A63" w14:textId="77777777" w:rsidR="001F5804" w:rsidRPr="00C35F8B" w:rsidRDefault="00F67158" w:rsidP="007675DC">
            <w:pPr>
              <w:tabs>
                <w:tab w:val="decimal" w:pos="698"/>
              </w:tabs>
              <w:spacing w:before="0"/>
              <w:rPr>
                <w:b/>
                <w:color w:val="000000"/>
              </w:rPr>
            </w:pPr>
            <w:r w:rsidRPr="00C35F8B">
              <w:t>16.4</w:t>
            </w:r>
          </w:p>
        </w:tc>
        <w:tc>
          <w:tcPr>
            <w:tcW w:w="1800" w:type="dxa"/>
            <w:tcMar>
              <w:top w:w="43" w:type="dxa"/>
              <w:left w:w="115" w:type="dxa"/>
              <w:bottom w:w="43" w:type="dxa"/>
              <w:right w:w="115" w:type="dxa"/>
            </w:tcMar>
            <w:vAlign w:val="center"/>
          </w:tcPr>
          <w:p w14:paraId="31B299B6" w14:textId="77777777" w:rsidR="001F5804" w:rsidRPr="00C35F8B" w:rsidRDefault="00F67158" w:rsidP="007675DC">
            <w:pPr>
              <w:tabs>
                <w:tab w:val="decimal" w:pos="1057"/>
              </w:tabs>
              <w:spacing w:before="0"/>
              <w:rPr>
                <w:b/>
                <w:color w:val="000000"/>
              </w:rPr>
            </w:pPr>
            <w:r w:rsidRPr="00C35F8B">
              <w:t>273</w:t>
            </w:r>
          </w:p>
        </w:tc>
      </w:tr>
      <w:tr w:rsidR="001F5804" w:rsidRPr="00C35F8B" w14:paraId="4FD15276" w14:textId="77777777" w:rsidTr="00F67158">
        <w:trPr>
          <w:trHeight w:val="315"/>
        </w:trPr>
        <w:tc>
          <w:tcPr>
            <w:tcW w:w="1705" w:type="dxa"/>
            <w:tcMar>
              <w:top w:w="43" w:type="dxa"/>
              <w:left w:w="115" w:type="dxa"/>
              <w:bottom w:w="43" w:type="dxa"/>
              <w:right w:w="115" w:type="dxa"/>
            </w:tcMar>
          </w:tcPr>
          <w:p w14:paraId="7588016C" w14:textId="77777777" w:rsidR="001F5804" w:rsidRPr="00C35F8B" w:rsidRDefault="001F5804" w:rsidP="007675DC">
            <w:pPr>
              <w:spacing w:before="0"/>
              <w:rPr>
                <w:b/>
                <w:color w:val="000000"/>
              </w:rPr>
            </w:pPr>
            <w:r w:rsidRPr="00C35F8B">
              <w:rPr>
                <w:color w:val="000000"/>
              </w:rPr>
              <w:t>1</w:t>
            </w:r>
          </w:p>
        </w:tc>
        <w:tc>
          <w:tcPr>
            <w:tcW w:w="1530" w:type="dxa"/>
            <w:tcMar>
              <w:top w:w="43" w:type="dxa"/>
              <w:left w:w="115" w:type="dxa"/>
              <w:bottom w:w="43" w:type="dxa"/>
              <w:right w:w="115" w:type="dxa"/>
            </w:tcMar>
            <w:vAlign w:val="center"/>
          </w:tcPr>
          <w:p w14:paraId="7DAB7EB9" w14:textId="77777777" w:rsidR="001F5804" w:rsidRPr="00C35F8B" w:rsidRDefault="00F67158" w:rsidP="007675DC">
            <w:pPr>
              <w:tabs>
                <w:tab w:val="decimal" w:pos="605"/>
              </w:tabs>
              <w:spacing w:before="0"/>
              <w:rPr>
                <w:b/>
                <w:color w:val="000000"/>
              </w:rPr>
            </w:pPr>
            <w:r w:rsidRPr="00C35F8B">
              <w:t>30.1</w:t>
            </w:r>
          </w:p>
        </w:tc>
        <w:tc>
          <w:tcPr>
            <w:tcW w:w="1620" w:type="dxa"/>
            <w:tcMar>
              <w:top w:w="43" w:type="dxa"/>
              <w:left w:w="115" w:type="dxa"/>
              <w:bottom w:w="43" w:type="dxa"/>
              <w:right w:w="115" w:type="dxa"/>
            </w:tcMar>
            <w:vAlign w:val="center"/>
          </w:tcPr>
          <w:p w14:paraId="37296E07" w14:textId="77777777" w:rsidR="001F5804" w:rsidRPr="00C35F8B" w:rsidRDefault="00F67158" w:rsidP="007675DC">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tcPr>
          <w:p w14:paraId="4B6ECEE5" w14:textId="77777777" w:rsidR="001F5804" w:rsidRPr="00C35F8B" w:rsidRDefault="00F67158" w:rsidP="007675DC">
            <w:pPr>
              <w:tabs>
                <w:tab w:val="decimal" w:pos="698"/>
              </w:tabs>
              <w:spacing w:before="0"/>
              <w:rPr>
                <w:b/>
                <w:color w:val="000000"/>
              </w:rPr>
            </w:pPr>
            <w:r w:rsidRPr="00C35F8B">
              <w:t>49.9</w:t>
            </w:r>
          </w:p>
        </w:tc>
        <w:tc>
          <w:tcPr>
            <w:tcW w:w="1800" w:type="dxa"/>
            <w:tcMar>
              <w:top w:w="43" w:type="dxa"/>
              <w:left w:w="115" w:type="dxa"/>
              <w:bottom w:w="43" w:type="dxa"/>
              <w:right w:w="115" w:type="dxa"/>
            </w:tcMar>
            <w:vAlign w:val="center"/>
          </w:tcPr>
          <w:p w14:paraId="7504048D" w14:textId="77777777" w:rsidR="001F5804" w:rsidRPr="00C35F8B" w:rsidRDefault="00F67158" w:rsidP="007675DC">
            <w:pPr>
              <w:tabs>
                <w:tab w:val="decimal" w:pos="960"/>
              </w:tabs>
              <w:spacing w:before="0"/>
              <w:rPr>
                <w:b/>
                <w:color w:val="000000"/>
              </w:rPr>
            </w:pPr>
            <w:r w:rsidRPr="00C35F8B">
              <w:t>249</w:t>
            </w:r>
          </w:p>
        </w:tc>
        <w:tc>
          <w:tcPr>
            <w:tcW w:w="1530" w:type="dxa"/>
            <w:tcMar>
              <w:top w:w="43" w:type="dxa"/>
              <w:left w:w="115" w:type="dxa"/>
              <w:bottom w:w="43" w:type="dxa"/>
              <w:right w:w="115" w:type="dxa"/>
            </w:tcMar>
            <w:vAlign w:val="center"/>
          </w:tcPr>
          <w:p w14:paraId="362F7B80" w14:textId="77777777" w:rsidR="001F5804" w:rsidRPr="00C35F8B" w:rsidRDefault="00F67158" w:rsidP="007675DC">
            <w:pPr>
              <w:tabs>
                <w:tab w:val="decimal" w:pos="698"/>
              </w:tabs>
              <w:spacing w:before="0"/>
              <w:rPr>
                <w:b/>
                <w:color w:val="000000"/>
              </w:rPr>
            </w:pPr>
            <w:r w:rsidRPr="00C35F8B">
              <w:t>69.9</w:t>
            </w:r>
          </w:p>
        </w:tc>
        <w:tc>
          <w:tcPr>
            <w:tcW w:w="1530" w:type="dxa"/>
            <w:tcMar>
              <w:top w:w="43" w:type="dxa"/>
              <w:left w:w="115" w:type="dxa"/>
              <w:bottom w:w="43" w:type="dxa"/>
              <w:right w:w="115" w:type="dxa"/>
            </w:tcMar>
            <w:vAlign w:val="center"/>
          </w:tcPr>
          <w:p w14:paraId="56A1B517" w14:textId="77777777" w:rsidR="001F5804" w:rsidRPr="00C35F8B" w:rsidRDefault="00F67158" w:rsidP="007675DC">
            <w:pPr>
              <w:tabs>
                <w:tab w:val="decimal" w:pos="698"/>
              </w:tabs>
              <w:spacing w:before="0"/>
              <w:rPr>
                <w:b/>
                <w:color w:val="000000"/>
              </w:rPr>
            </w:pPr>
            <w:r w:rsidRPr="00C35F8B">
              <w:t>19.9</w:t>
            </w:r>
          </w:p>
        </w:tc>
        <w:tc>
          <w:tcPr>
            <w:tcW w:w="1800" w:type="dxa"/>
            <w:tcMar>
              <w:top w:w="43" w:type="dxa"/>
              <w:left w:w="115" w:type="dxa"/>
              <w:bottom w:w="43" w:type="dxa"/>
              <w:right w:w="115" w:type="dxa"/>
            </w:tcMar>
            <w:vAlign w:val="center"/>
          </w:tcPr>
          <w:p w14:paraId="14AD1A29" w14:textId="77777777" w:rsidR="001F5804" w:rsidRPr="00C35F8B" w:rsidRDefault="00F67158" w:rsidP="007675DC">
            <w:pPr>
              <w:tabs>
                <w:tab w:val="decimal" w:pos="1057"/>
              </w:tabs>
              <w:spacing w:before="0"/>
              <w:rPr>
                <w:b/>
                <w:color w:val="000000"/>
              </w:rPr>
            </w:pPr>
            <w:r w:rsidRPr="00C35F8B">
              <w:t>269</w:t>
            </w:r>
          </w:p>
        </w:tc>
      </w:tr>
      <w:tr w:rsidR="001F5804" w:rsidRPr="00C35F8B" w14:paraId="2C875069" w14:textId="77777777" w:rsidTr="00F67158">
        <w:trPr>
          <w:trHeight w:val="315"/>
        </w:trPr>
        <w:tc>
          <w:tcPr>
            <w:tcW w:w="1705" w:type="dxa"/>
            <w:tcMar>
              <w:top w:w="43" w:type="dxa"/>
              <w:left w:w="115" w:type="dxa"/>
              <w:bottom w:w="43" w:type="dxa"/>
              <w:right w:w="115" w:type="dxa"/>
            </w:tcMar>
          </w:tcPr>
          <w:p w14:paraId="2C556238" w14:textId="77777777" w:rsidR="001F5804" w:rsidRPr="00C35F8B" w:rsidRDefault="001F5804" w:rsidP="007675DC">
            <w:pPr>
              <w:spacing w:before="0"/>
              <w:rPr>
                <w:b/>
                <w:color w:val="000000"/>
              </w:rPr>
            </w:pPr>
            <w:r w:rsidRPr="00C35F8B">
              <w:rPr>
                <w:color w:val="000000"/>
              </w:rPr>
              <w:t>2</w:t>
            </w:r>
          </w:p>
        </w:tc>
        <w:tc>
          <w:tcPr>
            <w:tcW w:w="1530" w:type="dxa"/>
            <w:tcMar>
              <w:top w:w="43" w:type="dxa"/>
              <w:left w:w="115" w:type="dxa"/>
              <w:bottom w:w="43" w:type="dxa"/>
              <w:right w:w="115" w:type="dxa"/>
            </w:tcMar>
            <w:vAlign w:val="center"/>
          </w:tcPr>
          <w:p w14:paraId="62A5C0A7" w14:textId="77777777" w:rsidR="001F5804" w:rsidRPr="00C35F8B" w:rsidRDefault="00F67158" w:rsidP="007675DC">
            <w:pPr>
              <w:tabs>
                <w:tab w:val="decimal" w:pos="605"/>
              </w:tabs>
              <w:spacing w:before="0"/>
              <w:rPr>
                <w:b/>
                <w:color w:val="000000"/>
              </w:rPr>
            </w:pPr>
            <w:r w:rsidRPr="00C35F8B">
              <w:t>43.3</w:t>
            </w:r>
          </w:p>
        </w:tc>
        <w:tc>
          <w:tcPr>
            <w:tcW w:w="1620" w:type="dxa"/>
            <w:tcMar>
              <w:top w:w="43" w:type="dxa"/>
              <w:left w:w="115" w:type="dxa"/>
              <w:bottom w:w="43" w:type="dxa"/>
              <w:right w:w="115" w:type="dxa"/>
            </w:tcMar>
            <w:vAlign w:val="center"/>
          </w:tcPr>
          <w:p w14:paraId="0BDCBD5C" w14:textId="77777777" w:rsidR="001F5804" w:rsidRPr="00C35F8B" w:rsidRDefault="00F67158" w:rsidP="007675DC">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tcPr>
          <w:p w14:paraId="2E591B1C" w14:textId="77777777" w:rsidR="001F5804" w:rsidRPr="00C35F8B" w:rsidRDefault="00F67158" w:rsidP="007675DC">
            <w:pPr>
              <w:tabs>
                <w:tab w:val="decimal" w:pos="698"/>
              </w:tabs>
              <w:spacing w:before="0"/>
              <w:rPr>
                <w:b/>
                <w:color w:val="000000"/>
              </w:rPr>
            </w:pPr>
            <w:r w:rsidRPr="00C35F8B">
              <w:t>36.4</w:t>
            </w:r>
          </w:p>
        </w:tc>
        <w:tc>
          <w:tcPr>
            <w:tcW w:w="1800" w:type="dxa"/>
            <w:tcMar>
              <w:top w:w="43" w:type="dxa"/>
              <w:left w:w="115" w:type="dxa"/>
              <w:bottom w:w="43" w:type="dxa"/>
              <w:right w:w="115" w:type="dxa"/>
            </w:tcMar>
            <w:vAlign w:val="center"/>
          </w:tcPr>
          <w:p w14:paraId="2B71CCDA" w14:textId="77777777" w:rsidR="001F5804" w:rsidRPr="00C35F8B" w:rsidRDefault="00F67158" w:rsidP="007675DC">
            <w:pPr>
              <w:tabs>
                <w:tab w:val="decimal" w:pos="960"/>
              </w:tabs>
              <w:spacing w:before="0"/>
              <w:rPr>
                <w:b/>
                <w:color w:val="000000"/>
              </w:rPr>
            </w:pPr>
            <w:r w:rsidRPr="00C35F8B">
              <w:t>253</w:t>
            </w:r>
          </w:p>
        </w:tc>
        <w:tc>
          <w:tcPr>
            <w:tcW w:w="1530" w:type="dxa"/>
            <w:tcMar>
              <w:top w:w="43" w:type="dxa"/>
              <w:left w:w="115" w:type="dxa"/>
              <w:bottom w:w="43" w:type="dxa"/>
              <w:right w:w="115" w:type="dxa"/>
            </w:tcMar>
            <w:vAlign w:val="center"/>
          </w:tcPr>
          <w:p w14:paraId="47CC8C34" w14:textId="77777777" w:rsidR="001F5804" w:rsidRPr="00C35F8B" w:rsidRDefault="00F67158" w:rsidP="007675DC">
            <w:pPr>
              <w:tabs>
                <w:tab w:val="decimal" w:pos="698"/>
              </w:tabs>
              <w:spacing w:before="0"/>
              <w:rPr>
                <w:b/>
                <w:color w:val="000000"/>
              </w:rPr>
            </w:pPr>
            <w:r w:rsidRPr="00C35F8B">
              <w:t>56.7</w:t>
            </w:r>
          </w:p>
        </w:tc>
        <w:tc>
          <w:tcPr>
            <w:tcW w:w="1530" w:type="dxa"/>
            <w:tcMar>
              <w:top w:w="43" w:type="dxa"/>
              <w:left w:w="115" w:type="dxa"/>
              <w:bottom w:w="43" w:type="dxa"/>
              <w:right w:w="115" w:type="dxa"/>
            </w:tcMar>
            <w:vAlign w:val="center"/>
          </w:tcPr>
          <w:p w14:paraId="0D2B8BE6" w14:textId="77777777" w:rsidR="001F5804" w:rsidRPr="00C35F8B" w:rsidRDefault="00F67158" w:rsidP="007675DC">
            <w:pPr>
              <w:tabs>
                <w:tab w:val="decimal" w:pos="698"/>
              </w:tabs>
              <w:spacing w:before="0"/>
              <w:rPr>
                <w:b/>
                <w:color w:val="000000"/>
              </w:rPr>
            </w:pPr>
            <w:r w:rsidRPr="00C35F8B">
              <w:t>20.3</w:t>
            </w:r>
          </w:p>
        </w:tc>
        <w:tc>
          <w:tcPr>
            <w:tcW w:w="1800" w:type="dxa"/>
            <w:tcMar>
              <w:top w:w="43" w:type="dxa"/>
              <w:left w:w="115" w:type="dxa"/>
              <w:bottom w:w="43" w:type="dxa"/>
              <w:right w:w="115" w:type="dxa"/>
            </w:tcMar>
            <w:vAlign w:val="center"/>
          </w:tcPr>
          <w:p w14:paraId="5AA2A456" w14:textId="77777777" w:rsidR="001F5804" w:rsidRPr="00C35F8B" w:rsidRDefault="00F67158" w:rsidP="007675DC">
            <w:pPr>
              <w:tabs>
                <w:tab w:val="decimal" w:pos="1057"/>
              </w:tabs>
              <w:spacing w:before="0"/>
              <w:rPr>
                <w:b/>
                <w:color w:val="000000"/>
              </w:rPr>
            </w:pPr>
            <w:r w:rsidRPr="00C35F8B">
              <w:t>270</w:t>
            </w:r>
          </w:p>
        </w:tc>
      </w:tr>
      <w:tr w:rsidR="001F5804" w:rsidRPr="00C35F8B" w14:paraId="7A451385" w14:textId="77777777" w:rsidTr="00F67158">
        <w:trPr>
          <w:trHeight w:val="315"/>
        </w:trPr>
        <w:tc>
          <w:tcPr>
            <w:tcW w:w="1705" w:type="dxa"/>
            <w:tcMar>
              <w:top w:w="43" w:type="dxa"/>
              <w:left w:w="115" w:type="dxa"/>
              <w:bottom w:w="43" w:type="dxa"/>
              <w:right w:w="115" w:type="dxa"/>
            </w:tcMar>
            <w:hideMark/>
          </w:tcPr>
          <w:p w14:paraId="5E248577" w14:textId="77777777" w:rsidR="001F5804" w:rsidRPr="00C35F8B" w:rsidRDefault="001F5804" w:rsidP="007675DC">
            <w:pPr>
              <w:spacing w:before="0"/>
              <w:rPr>
                <w:b/>
                <w:color w:val="000000"/>
              </w:rPr>
            </w:pPr>
            <w:r w:rsidRPr="00C35F8B">
              <w:rPr>
                <w:color w:val="000000"/>
              </w:rPr>
              <w:t>3–5</w:t>
            </w:r>
          </w:p>
        </w:tc>
        <w:tc>
          <w:tcPr>
            <w:tcW w:w="1530" w:type="dxa"/>
            <w:tcMar>
              <w:top w:w="43" w:type="dxa"/>
              <w:left w:w="115" w:type="dxa"/>
              <w:bottom w:w="43" w:type="dxa"/>
              <w:right w:w="115" w:type="dxa"/>
            </w:tcMar>
            <w:vAlign w:val="center"/>
            <w:hideMark/>
          </w:tcPr>
          <w:p w14:paraId="3A20FE59" w14:textId="77777777" w:rsidR="001F5804" w:rsidRPr="00C35F8B" w:rsidRDefault="00F67158" w:rsidP="007675DC">
            <w:pPr>
              <w:tabs>
                <w:tab w:val="decimal" w:pos="605"/>
              </w:tabs>
              <w:spacing w:before="0"/>
              <w:rPr>
                <w:b/>
                <w:color w:val="000000"/>
              </w:rPr>
            </w:pPr>
            <w:r w:rsidRPr="00C35F8B">
              <w:t>21.4</w:t>
            </w:r>
          </w:p>
        </w:tc>
        <w:tc>
          <w:tcPr>
            <w:tcW w:w="1620" w:type="dxa"/>
            <w:tcMar>
              <w:top w:w="43" w:type="dxa"/>
              <w:left w:w="115" w:type="dxa"/>
              <w:bottom w:w="43" w:type="dxa"/>
              <w:right w:w="115" w:type="dxa"/>
            </w:tcMar>
            <w:vAlign w:val="center"/>
            <w:hideMark/>
          </w:tcPr>
          <w:p w14:paraId="1ECA6730" w14:textId="77777777" w:rsidR="001F5804" w:rsidRPr="00C35F8B" w:rsidRDefault="00F67158" w:rsidP="007675DC">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hideMark/>
          </w:tcPr>
          <w:p w14:paraId="55E56185" w14:textId="77777777" w:rsidR="001F5804" w:rsidRPr="00C35F8B" w:rsidRDefault="00F67158" w:rsidP="007675DC">
            <w:pPr>
              <w:tabs>
                <w:tab w:val="decimal" w:pos="698"/>
              </w:tabs>
              <w:spacing w:before="0"/>
              <w:rPr>
                <w:b/>
                <w:color w:val="000000"/>
              </w:rPr>
            </w:pPr>
            <w:r w:rsidRPr="00C35F8B">
              <w:t>40.5</w:t>
            </w:r>
          </w:p>
        </w:tc>
        <w:tc>
          <w:tcPr>
            <w:tcW w:w="1800" w:type="dxa"/>
            <w:tcMar>
              <w:top w:w="43" w:type="dxa"/>
              <w:left w:w="115" w:type="dxa"/>
              <w:bottom w:w="43" w:type="dxa"/>
              <w:right w:w="115" w:type="dxa"/>
            </w:tcMar>
            <w:vAlign w:val="center"/>
            <w:hideMark/>
          </w:tcPr>
          <w:p w14:paraId="5BDB1749" w14:textId="77777777" w:rsidR="001F5804" w:rsidRPr="00C35F8B" w:rsidRDefault="00F67158" w:rsidP="007675DC">
            <w:pPr>
              <w:tabs>
                <w:tab w:val="decimal" w:pos="960"/>
              </w:tabs>
              <w:spacing w:before="0"/>
              <w:rPr>
                <w:b/>
                <w:color w:val="000000"/>
              </w:rPr>
            </w:pPr>
            <w:r w:rsidRPr="00C35F8B">
              <w:t>240</w:t>
            </w:r>
          </w:p>
        </w:tc>
        <w:tc>
          <w:tcPr>
            <w:tcW w:w="1530" w:type="dxa"/>
            <w:tcMar>
              <w:top w:w="43" w:type="dxa"/>
              <w:left w:w="115" w:type="dxa"/>
              <w:bottom w:w="43" w:type="dxa"/>
              <w:right w:w="115" w:type="dxa"/>
            </w:tcMar>
            <w:vAlign w:val="center"/>
            <w:hideMark/>
          </w:tcPr>
          <w:p w14:paraId="7F1941E7" w14:textId="77777777" w:rsidR="001F5804" w:rsidRPr="00C35F8B" w:rsidRDefault="00F67158" w:rsidP="007675DC">
            <w:pPr>
              <w:tabs>
                <w:tab w:val="decimal" w:pos="698"/>
              </w:tabs>
              <w:spacing w:before="0"/>
              <w:rPr>
                <w:b/>
                <w:color w:val="000000"/>
              </w:rPr>
            </w:pPr>
            <w:r w:rsidRPr="00C35F8B">
              <w:t>78.6</w:t>
            </w:r>
          </w:p>
        </w:tc>
        <w:tc>
          <w:tcPr>
            <w:tcW w:w="1530" w:type="dxa"/>
            <w:tcMar>
              <w:top w:w="43" w:type="dxa"/>
              <w:left w:w="115" w:type="dxa"/>
              <w:bottom w:w="43" w:type="dxa"/>
              <w:right w:w="115" w:type="dxa"/>
            </w:tcMar>
            <w:vAlign w:val="center"/>
            <w:hideMark/>
          </w:tcPr>
          <w:p w14:paraId="07023AD3" w14:textId="77777777" w:rsidR="001F5804" w:rsidRPr="00C35F8B" w:rsidRDefault="00F67158" w:rsidP="007675DC">
            <w:pPr>
              <w:tabs>
                <w:tab w:val="decimal" w:pos="698"/>
              </w:tabs>
              <w:spacing w:before="0"/>
              <w:rPr>
                <w:b/>
                <w:color w:val="000000"/>
              </w:rPr>
            </w:pPr>
            <w:r w:rsidRPr="00C35F8B">
              <w:t>38.0</w:t>
            </w:r>
          </w:p>
        </w:tc>
        <w:tc>
          <w:tcPr>
            <w:tcW w:w="1800" w:type="dxa"/>
            <w:tcMar>
              <w:top w:w="43" w:type="dxa"/>
              <w:left w:w="115" w:type="dxa"/>
              <w:bottom w:w="43" w:type="dxa"/>
              <w:right w:w="115" w:type="dxa"/>
            </w:tcMar>
            <w:vAlign w:val="center"/>
          </w:tcPr>
          <w:p w14:paraId="7B976686" w14:textId="77777777" w:rsidR="001F5804" w:rsidRPr="00C35F8B" w:rsidRDefault="00F67158" w:rsidP="007675DC">
            <w:pPr>
              <w:tabs>
                <w:tab w:val="decimal" w:pos="1057"/>
              </w:tabs>
              <w:spacing w:before="0"/>
              <w:rPr>
                <w:b/>
                <w:color w:val="000000"/>
              </w:rPr>
            </w:pPr>
            <w:r w:rsidRPr="00C35F8B">
              <w:t>260</w:t>
            </w:r>
          </w:p>
        </w:tc>
      </w:tr>
      <w:tr w:rsidR="001F5804" w:rsidRPr="00C35F8B" w14:paraId="24E7AAA8" w14:textId="77777777" w:rsidTr="00F67158">
        <w:trPr>
          <w:trHeight w:val="315"/>
        </w:trPr>
        <w:tc>
          <w:tcPr>
            <w:tcW w:w="1705" w:type="dxa"/>
            <w:tcMar>
              <w:top w:w="43" w:type="dxa"/>
              <w:left w:w="115" w:type="dxa"/>
              <w:bottom w:w="43" w:type="dxa"/>
              <w:right w:w="115" w:type="dxa"/>
            </w:tcMar>
            <w:hideMark/>
          </w:tcPr>
          <w:p w14:paraId="470AC46F" w14:textId="77777777" w:rsidR="001F5804" w:rsidRPr="00C35F8B" w:rsidRDefault="001F5804" w:rsidP="007675DC">
            <w:pPr>
              <w:spacing w:before="0"/>
              <w:rPr>
                <w:b/>
                <w:color w:val="000000"/>
              </w:rPr>
            </w:pPr>
            <w:r w:rsidRPr="00C35F8B">
              <w:rPr>
                <w:color w:val="000000"/>
              </w:rPr>
              <w:t>6–8</w:t>
            </w:r>
          </w:p>
        </w:tc>
        <w:tc>
          <w:tcPr>
            <w:tcW w:w="1530" w:type="dxa"/>
            <w:tcMar>
              <w:top w:w="43" w:type="dxa"/>
              <w:left w:w="115" w:type="dxa"/>
              <w:bottom w:w="43" w:type="dxa"/>
              <w:right w:w="115" w:type="dxa"/>
            </w:tcMar>
            <w:vAlign w:val="center"/>
            <w:hideMark/>
          </w:tcPr>
          <w:p w14:paraId="031EBE8E" w14:textId="77777777" w:rsidR="001F5804" w:rsidRPr="00C35F8B" w:rsidRDefault="00F67158" w:rsidP="007675DC">
            <w:pPr>
              <w:tabs>
                <w:tab w:val="decimal" w:pos="605"/>
              </w:tabs>
              <w:spacing w:before="0"/>
              <w:rPr>
                <w:b/>
                <w:color w:val="000000"/>
              </w:rPr>
            </w:pPr>
            <w:r w:rsidRPr="00C35F8B">
              <w:t>18.1</w:t>
            </w:r>
          </w:p>
        </w:tc>
        <w:tc>
          <w:tcPr>
            <w:tcW w:w="1620" w:type="dxa"/>
            <w:tcMar>
              <w:top w:w="43" w:type="dxa"/>
              <w:left w:w="115" w:type="dxa"/>
              <w:bottom w:w="43" w:type="dxa"/>
              <w:right w:w="115" w:type="dxa"/>
            </w:tcMar>
            <w:vAlign w:val="center"/>
            <w:hideMark/>
          </w:tcPr>
          <w:p w14:paraId="4D80F419" w14:textId="77777777" w:rsidR="001F5804" w:rsidRPr="00C35F8B" w:rsidRDefault="00F67158" w:rsidP="007675DC">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hideMark/>
          </w:tcPr>
          <w:p w14:paraId="67214ADC" w14:textId="77777777" w:rsidR="001F5804" w:rsidRPr="00C35F8B" w:rsidRDefault="00F67158" w:rsidP="007675DC">
            <w:pPr>
              <w:tabs>
                <w:tab w:val="decimal" w:pos="698"/>
              </w:tabs>
              <w:spacing w:before="0"/>
              <w:rPr>
                <w:b/>
                <w:color w:val="000000"/>
              </w:rPr>
            </w:pPr>
            <w:r w:rsidRPr="00C35F8B">
              <w:t>28.6</w:t>
            </w:r>
          </w:p>
        </w:tc>
        <w:tc>
          <w:tcPr>
            <w:tcW w:w="1800" w:type="dxa"/>
            <w:tcMar>
              <w:top w:w="43" w:type="dxa"/>
              <w:left w:w="115" w:type="dxa"/>
              <w:bottom w:w="43" w:type="dxa"/>
              <w:right w:w="115" w:type="dxa"/>
            </w:tcMar>
            <w:vAlign w:val="center"/>
            <w:hideMark/>
          </w:tcPr>
          <w:p w14:paraId="0341BA5C" w14:textId="77777777" w:rsidR="001F5804" w:rsidRPr="00C35F8B" w:rsidRDefault="00F67158" w:rsidP="007675DC">
            <w:pPr>
              <w:tabs>
                <w:tab w:val="decimal" w:pos="960"/>
              </w:tabs>
              <w:spacing w:before="0"/>
              <w:rPr>
                <w:b/>
                <w:color w:val="000000"/>
              </w:rPr>
            </w:pPr>
            <w:r w:rsidRPr="00C35F8B">
              <w:t>234</w:t>
            </w:r>
          </w:p>
        </w:tc>
        <w:tc>
          <w:tcPr>
            <w:tcW w:w="1530" w:type="dxa"/>
            <w:tcMar>
              <w:top w:w="43" w:type="dxa"/>
              <w:left w:w="115" w:type="dxa"/>
              <w:bottom w:w="43" w:type="dxa"/>
              <w:right w:w="115" w:type="dxa"/>
            </w:tcMar>
            <w:vAlign w:val="center"/>
            <w:hideMark/>
          </w:tcPr>
          <w:p w14:paraId="0B970622" w14:textId="77777777" w:rsidR="001F5804" w:rsidRPr="00C35F8B" w:rsidRDefault="00F67158" w:rsidP="007675DC">
            <w:pPr>
              <w:tabs>
                <w:tab w:val="decimal" w:pos="698"/>
              </w:tabs>
              <w:spacing w:before="0"/>
              <w:rPr>
                <w:b/>
                <w:color w:val="000000"/>
              </w:rPr>
            </w:pPr>
            <w:r w:rsidRPr="00C35F8B">
              <w:t>81.9</w:t>
            </w:r>
          </w:p>
        </w:tc>
        <w:tc>
          <w:tcPr>
            <w:tcW w:w="1530" w:type="dxa"/>
            <w:tcMar>
              <w:top w:w="43" w:type="dxa"/>
              <w:left w:w="115" w:type="dxa"/>
              <w:bottom w:w="43" w:type="dxa"/>
              <w:right w:w="115" w:type="dxa"/>
            </w:tcMar>
            <w:vAlign w:val="center"/>
            <w:hideMark/>
          </w:tcPr>
          <w:p w14:paraId="3BD30E5C" w14:textId="77777777" w:rsidR="001F5804" w:rsidRPr="00C35F8B" w:rsidRDefault="00F67158" w:rsidP="007675DC">
            <w:pPr>
              <w:tabs>
                <w:tab w:val="decimal" w:pos="698"/>
              </w:tabs>
              <w:spacing w:before="0"/>
              <w:rPr>
                <w:b/>
                <w:color w:val="000000"/>
              </w:rPr>
            </w:pPr>
            <w:r w:rsidRPr="00C35F8B">
              <w:t>53.4</w:t>
            </w:r>
          </w:p>
        </w:tc>
        <w:tc>
          <w:tcPr>
            <w:tcW w:w="1800" w:type="dxa"/>
            <w:tcMar>
              <w:top w:w="43" w:type="dxa"/>
              <w:left w:w="115" w:type="dxa"/>
              <w:bottom w:w="43" w:type="dxa"/>
              <w:right w:w="115" w:type="dxa"/>
            </w:tcMar>
            <w:vAlign w:val="center"/>
          </w:tcPr>
          <w:p w14:paraId="2ADABF3F" w14:textId="77777777" w:rsidR="001F5804" w:rsidRPr="00C35F8B" w:rsidRDefault="00F67158" w:rsidP="007675DC">
            <w:pPr>
              <w:tabs>
                <w:tab w:val="decimal" w:pos="1057"/>
              </w:tabs>
              <w:spacing w:before="0"/>
              <w:rPr>
                <w:b/>
                <w:color w:val="000000"/>
              </w:rPr>
            </w:pPr>
            <w:r w:rsidRPr="00C35F8B">
              <w:t>253</w:t>
            </w:r>
          </w:p>
        </w:tc>
      </w:tr>
      <w:tr w:rsidR="001F5804" w:rsidRPr="00C35F8B" w14:paraId="03024390" w14:textId="77777777" w:rsidTr="00F67158">
        <w:trPr>
          <w:trHeight w:val="315"/>
        </w:trPr>
        <w:tc>
          <w:tcPr>
            <w:tcW w:w="1705" w:type="dxa"/>
            <w:tcMar>
              <w:top w:w="43" w:type="dxa"/>
              <w:left w:w="115" w:type="dxa"/>
              <w:bottom w:w="43" w:type="dxa"/>
              <w:right w:w="115" w:type="dxa"/>
            </w:tcMar>
            <w:hideMark/>
          </w:tcPr>
          <w:p w14:paraId="668AAF8B" w14:textId="77777777" w:rsidR="001F5804" w:rsidRPr="00C35F8B" w:rsidRDefault="001F5804" w:rsidP="007675DC">
            <w:pPr>
              <w:spacing w:before="0"/>
              <w:rPr>
                <w:b/>
                <w:color w:val="000000"/>
              </w:rPr>
            </w:pPr>
            <w:r w:rsidRPr="00C35F8B">
              <w:rPr>
                <w:color w:val="000000"/>
              </w:rPr>
              <w:t>9–12</w:t>
            </w:r>
          </w:p>
        </w:tc>
        <w:tc>
          <w:tcPr>
            <w:tcW w:w="1530" w:type="dxa"/>
            <w:tcMar>
              <w:top w:w="43" w:type="dxa"/>
              <w:left w:w="115" w:type="dxa"/>
              <w:bottom w:w="43" w:type="dxa"/>
              <w:right w:w="115" w:type="dxa"/>
            </w:tcMar>
            <w:vAlign w:val="center"/>
            <w:hideMark/>
          </w:tcPr>
          <w:p w14:paraId="717D5065" w14:textId="77777777" w:rsidR="001F5804" w:rsidRPr="00C35F8B" w:rsidRDefault="00F67158" w:rsidP="007675DC">
            <w:pPr>
              <w:tabs>
                <w:tab w:val="decimal" w:pos="605"/>
              </w:tabs>
              <w:spacing w:before="0"/>
              <w:rPr>
                <w:b/>
                <w:color w:val="000000"/>
              </w:rPr>
            </w:pPr>
            <w:r w:rsidRPr="00C35F8B">
              <w:t>30.0</w:t>
            </w:r>
          </w:p>
        </w:tc>
        <w:tc>
          <w:tcPr>
            <w:tcW w:w="1620" w:type="dxa"/>
            <w:tcMar>
              <w:top w:w="43" w:type="dxa"/>
              <w:left w:w="115" w:type="dxa"/>
              <w:bottom w:w="43" w:type="dxa"/>
              <w:right w:w="115" w:type="dxa"/>
            </w:tcMar>
            <w:vAlign w:val="center"/>
            <w:hideMark/>
          </w:tcPr>
          <w:p w14:paraId="6F8217EB" w14:textId="77777777" w:rsidR="001F5804" w:rsidRPr="00C35F8B" w:rsidRDefault="00F67158" w:rsidP="007675DC">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hideMark/>
          </w:tcPr>
          <w:p w14:paraId="6CDC7B7E" w14:textId="77777777" w:rsidR="001F5804" w:rsidRPr="00C35F8B" w:rsidRDefault="00F67158" w:rsidP="007675DC">
            <w:pPr>
              <w:tabs>
                <w:tab w:val="decimal" w:pos="698"/>
              </w:tabs>
              <w:spacing w:before="0"/>
              <w:rPr>
                <w:b/>
                <w:color w:val="000000"/>
              </w:rPr>
            </w:pPr>
            <w:r w:rsidRPr="00C35F8B">
              <w:t>24.6</w:t>
            </w:r>
          </w:p>
        </w:tc>
        <w:tc>
          <w:tcPr>
            <w:tcW w:w="1800" w:type="dxa"/>
            <w:tcMar>
              <w:top w:w="43" w:type="dxa"/>
              <w:left w:w="115" w:type="dxa"/>
              <w:bottom w:w="43" w:type="dxa"/>
              <w:right w:w="115" w:type="dxa"/>
            </w:tcMar>
            <w:vAlign w:val="center"/>
            <w:hideMark/>
          </w:tcPr>
          <w:p w14:paraId="617A8AFB" w14:textId="77777777" w:rsidR="001F5804" w:rsidRPr="00C35F8B" w:rsidRDefault="00F67158" w:rsidP="007675DC">
            <w:pPr>
              <w:tabs>
                <w:tab w:val="decimal" w:pos="960"/>
              </w:tabs>
              <w:spacing w:before="0"/>
              <w:rPr>
                <w:b/>
                <w:color w:val="000000"/>
              </w:rPr>
            </w:pPr>
            <w:r w:rsidRPr="00C35F8B">
              <w:t>240</w:t>
            </w:r>
          </w:p>
        </w:tc>
        <w:tc>
          <w:tcPr>
            <w:tcW w:w="1530" w:type="dxa"/>
            <w:tcMar>
              <w:top w:w="43" w:type="dxa"/>
              <w:left w:w="115" w:type="dxa"/>
              <w:bottom w:w="43" w:type="dxa"/>
              <w:right w:w="115" w:type="dxa"/>
            </w:tcMar>
            <w:vAlign w:val="center"/>
            <w:hideMark/>
          </w:tcPr>
          <w:p w14:paraId="3532A2EA" w14:textId="77777777" w:rsidR="001F5804" w:rsidRPr="00C35F8B" w:rsidRDefault="00F67158" w:rsidP="007675DC">
            <w:pPr>
              <w:tabs>
                <w:tab w:val="decimal" w:pos="698"/>
              </w:tabs>
              <w:spacing w:before="0"/>
              <w:rPr>
                <w:b/>
                <w:color w:val="000000"/>
              </w:rPr>
            </w:pPr>
            <w:r w:rsidRPr="00C35F8B">
              <w:t>70.0</w:t>
            </w:r>
          </w:p>
        </w:tc>
        <w:tc>
          <w:tcPr>
            <w:tcW w:w="1530" w:type="dxa"/>
            <w:tcMar>
              <w:top w:w="43" w:type="dxa"/>
              <w:left w:w="115" w:type="dxa"/>
              <w:bottom w:w="43" w:type="dxa"/>
              <w:right w:w="115" w:type="dxa"/>
            </w:tcMar>
            <w:vAlign w:val="center"/>
            <w:hideMark/>
          </w:tcPr>
          <w:p w14:paraId="72A0BBC7" w14:textId="77777777" w:rsidR="001F5804" w:rsidRPr="00C35F8B" w:rsidRDefault="00F67158" w:rsidP="007675DC">
            <w:pPr>
              <w:tabs>
                <w:tab w:val="decimal" w:pos="698"/>
              </w:tabs>
              <w:spacing w:before="0"/>
              <w:rPr>
                <w:b/>
                <w:color w:val="000000"/>
              </w:rPr>
            </w:pPr>
            <w:r w:rsidRPr="00C35F8B">
              <w:t>45.5</w:t>
            </w:r>
          </w:p>
        </w:tc>
        <w:tc>
          <w:tcPr>
            <w:tcW w:w="1800" w:type="dxa"/>
            <w:tcMar>
              <w:top w:w="43" w:type="dxa"/>
              <w:left w:w="115" w:type="dxa"/>
              <w:bottom w:w="43" w:type="dxa"/>
              <w:right w:w="115" w:type="dxa"/>
            </w:tcMar>
            <w:vAlign w:val="center"/>
          </w:tcPr>
          <w:p w14:paraId="1B50BA28" w14:textId="77777777" w:rsidR="001F5804" w:rsidRPr="00C35F8B" w:rsidRDefault="00F67158" w:rsidP="007675DC">
            <w:pPr>
              <w:tabs>
                <w:tab w:val="decimal" w:pos="1057"/>
              </w:tabs>
              <w:spacing w:before="0"/>
              <w:rPr>
                <w:b/>
                <w:color w:val="000000"/>
              </w:rPr>
            </w:pPr>
            <w:r w:rsidRPr="00C35F8B">
              <w:t>258</w:t>
            </w:r>
          </w:p>
        </w:tc>
      </w:tr>
    </w:tbl>
    <w:p w14:paraId="08E6932E" w14:textId="77777777" w:rsidR="001F5804" w:rsidRPr="00C35F8B" w:rsidRDefault="001F5804" w:rsidP="001F5804">
      <w:pPr>
        <w:spacing w:before="120"/>
        <w:jc w:val="center"/>
        <w:rPr>
          <w:b/>
          <w:iCs/>
          <w:color w:val="000000"/>
          <w:sz w:val="22"/>
          <w:szCs w:val="22"/>
          <w:lang w:eastAsia="ko-KR"/>
        </w:rPr>
      </w:pPr>
      <w:r w:rsidRPr="00C35F8B">
        <w:rPr>
          <w:b/>
          <w:iCs/>
          <w:color w:val="000000"/>
          <w:sz w:val="22"/>
          <w:szCs w:val="22"/>
          <w:lang w:eastAsia="ko-KR"/>
        </w:rPr>
        <w:t>Key</w:t>
      </w:r>
    </w:p>
    <w:tbl>
      <w:tblPr>
        <w:tblStyle w:val="GridTable1Light"/>
        <w:tblW w:w="0" w:type="auto"/>
        <w:tblBorders>
          <w:top w:val="single" w:sz="12" w:space="0" w:color="BFBFBF" w:themeColor="background1" w:themeShade="BF"/>
          <w:left w:val="none" w:sz="0" w:space="0" w:color="auto"/>
          <w:bottom w:val="single" w:sz="12" w:space="0" w:color="D0CECE" w:themeColor="background2" w:themeShade="E6"/>
          <w:right w:val="none" w:sz="0" w:space="0" w:color="auto"/>
          <w:insideH w:val="single" w:sz="12" w:space="0" w:color="999999" w:themeColor="text1" w:themeTint="66"/>
          <w:insideV w:val="none" w:sz="0" w:space="0" w:color="auto"/>
        </w:tblBorders>
        <w:tblLook w:val="04A0" w:firstRow="1" w:lastRow="0" w:firstColumn="1" w:lastColumn="0" w:noHBand="0" w:noVBand="1"/>
        <w:tblCaption w:val="Key"/>
        <w:tblDescription w:val="This table explains the key for Table 1."/>
      </w:tblPr>
      <w:tblGrid>
        <w:gridCol w:w="2970"/>
        <w:gridCol w:w="9980"/>
      </w:tblGrid>
      <w:tr w:rsidR="001F5804" w:rsidRPr="00C35F8B" w14:paraId="0B77B271" w14:textId="77777777" w:rsidTr="007675DC">
        <w:trPr>
          <w:cnfStyle w:val="100000000000" w:firstRow="1" w:lastRow="0" w:firstColumn="0" w:lastColumn="0" w:oddVBand="0" w:evenVBand="0" w:oddHBand="0" w:evenHBand="0" w:firstRowFirstColumn="0" w:firstRowLastColumn="0" w:lastRowFirstColumn="0" w:lastRowLastColumn="0"/>
          <w:cantSplit/>
          <w:trHeight w:val="440"/>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10A8F11B" w14:textId="77777777" w:rsidR="001F5804" w:rsidRPr="00C35F8B" w:rsidRDefault="001F5804" w:rsidP="007675DC">
            <w:pPr>
              <w:rPr>
                <w:iCs/>
                <w:color w:val="000000"/>
                <w:lang w:eastAsia="ko-KR"/>
              </w:rPr>
            </w:pPr>
            <w:r w:rsidRPr="00C35F8B">
              <w:rPr>
                <w:rFonts w:eastAsia="SimSun" w:cs="Calibri"/>
              </w:rPr>
              <w:t>Percentage of Students</w:t>
            </w:r>
          </w:p>
        </w:tc>
        <w:tc>
          <w:tcPr>
            <w:tcW w:w="9980" w:type="dxa"/>
            <w:tcBorders>
              <w:bottom w:val="none" w:sz="0" w:space="0" w:color="auto"/>
            </w:tcBorders>
            <w:vAlign w:val="center"/>
          </w:tcPr>
          <w:p w14:paraId="3C36556B" w14:textId="77777777" w:rsidR="001F5804" w:rsidRPr="00C35F8B" w:rsidRDefault="001F5804" w:rsidP="007675DC">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Percent of students statewide who would be placed at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w:t>
            </w:r>
          </w:p>
        </w:tc>
      </w:tr>
      <w:tr w:rsidR="001F5804" w:rsidRPr="00C35F8B" w14:paraId="76593C5C" w14:textId="77777777" w:rsidTr="007675D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0A055CA4" w14:textId="77777777" w:rsidR="001F5804" w:rsidRPr="00C35F8B" w:rsidRDefault="001F5804" w:rsidP="007675DC">
            <w:pPr>
              <w:rPr>
                <w:iCs/>
                <w:color w:val="000000"/>
                <w:lang w:eastAsia="ko-KR"/>
              </w:rPr>
            </w:pPr>
            <w:r w:rsidRPr="00C35F8B">
              <w:rPr>
                <w:rFonts w:eastAsia="SimSun" w:cs="Calibri"/>
              </w:rPr>
              <w:t>Standard-Setting Scale Threshold Score</w:t>
            </w:r>
          </w:p>
        </w:tc>
        <w:tc>
          <w:tcPr>
            <w:tcW w:w="9980" w:type="dxa"/>
            <w:tcBorders>
              <w:bottom w:val="none" w:sz="0" w:space="0" w:color="auto"/>
            </w:tcBorders>
            <w:vAlign w:val="center"/>
          </w:tcPr>
          <w:p w14:paraId="0ABFACEA" w14:textId="77777777" w:rsidR="001F5804" w:rsidRPr="00C35F8B" w:rsidRDefault="001F5804" w:rsidP="007675DC">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Minimum standard-setting scale score needed to achieve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 See note below.</w:t>
            </w:r>
          </w:p>
        </w:tc>
      </w:tr>
      <w:tr w:rsidR="001F5804" w:rsidRPr="00C35F8B" w14:paraId="211E02BE" w14:textId="77777777" w:rsidTr="007675D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586D8DD5" w14:textId="77777777" w:rsidR="001F5804" w:rsidRPr="00C35F8B" w:rsidRDefault="001F5804" w:rsidP="007675DC">
            <w:pPr>
              <w:rPr>
                <w:iCs/>
                <w:color w:val="000000"/>
                <w:lang w:eastAsia="ko-KR"/>
              </w:rPr>
            </w:pPr>
            <w:r w:rsidRPr="00C35F8B">
              <w:rPr>
                <w:rFonts w:eastAsia="SimSun" w:cs="Calibri"/>
              </w:rPr>
              <w:t>Percentage at or above</w:t>
            </w:r>
          </w:p>
        </w:tc>
        <w:tc>
          <w:tcPr>
            <w:tcW w:w="9980" w:type="dxa"/>
            <w:tcBorders>
              <w:bottom w:val="none" w:sz="0" w:space="0" w:color="auto"/>
            </w:tcBorders>
            <w:vAlign w:val="center"/>
          </w:tcPr>
          <w:p w14:paraId="7DE6FA51" w14:textId="77777777" w:rsidR="001F5804" w:rsidRPr="00C35F8B" w:rsidRDefault="001F5804" w:rsidP="007675DC">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Percent of students statewide who would be at and above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w:t>
            </w:r>
          </w:p>
        </w:tc>
      </w:tr>
    </w:tbl>
    <w:p w14:paraId="175BFCAE" w14:textId="77777777" w:rsidR="001F5804" w:rsidRPr="00C35F8B" w:rsidRDefault="001F5804" w:rsidP="001F5804">
      <w:pPr>
        <w:spacing w:before="120"/>
        <w:rPr>
          <w:iCs/>
          <w:color w:val="000000"/>
          <w:lang w:eastAsia="ko-KR"/>
        </w:rPr>
      </w:pPr>
      <w:r w:rsidRPr="00C35F8B">
        <w:rPr>
          <w:color w:val="000000" w:themeColor="text1"/>
          <w:lang w:eastAsia="ko-KR"/>
        </w:rPr>
        <w:t>Notes:</w:t>
      </w:r>
    </w:p>
    <w:p w14:paraId="3EF967E4" w14:textId="77777777" w:rsidR="00C91AA7" w:rsidRPr="00C35F8B" w:rsidRDefault="001F5804" w:rsidP="007068EA">
      <w:pPr>
        <w:pStyle w:val="ListParagraph"/>
        <w:numPr>
          <w:ilvl w:val="0"/>
          <w:numId w:val="34"/>
        </w:numPr>
        <w:spacing w:after="120"/>
        <w:ind w:left="360"/>
        <w:contextualSpacing w:val="0"/>
      </w:pPr>
      <w:r w:rsidRPr="00C35F8B">
        <w:t xml:space="preserve">Threshold scores are presented on a score scale generated solely for the standard-setting process. Reporting scales will be developed to report scores on the Student Score Report and public reporting. </w:t>
      </w:r>
    </w:p>
    <w:p w14:paraId="01137704" w14:textId="77777777" w:rsidR="00DA3CCB" w:rsidRPr="00C35F8B" w:rsidRDefault="001F5804" w:rsidP="00C91AA7">
      <w:pPr>
        <w:pStyle w:val="ListParagraph"/>
        <w:numPr>
          <w:ilvl w:val="0"/>
          <w:numId w:val="34"/>
        </w:numPr>
        <w:spacing w:after="120"/>
        <w:ind w:left="360"/>
        <w:contextualSpacing w:val="0"/>
      </w:pPr>
      <w:r w:rsidRPr="00C35F8B">
        <w:t>Each level percentages may not sum to 100, due to rounding.</w:t>
      </w:r>
      <w:r w:rsidR="00DA3CCB" w:rsidRPr="00C35F8B">
        <w:rPr>
          <w:sz w:val="20"/>
          <w:szCs w:val="20"/>
        </w:rPr>
        <w:br w:type="page"/>
      </w:r>
    </w:p>
    <w:p w14:paraId="62C9781E" w14:textId="77777777" w:rsidR="0019727C" w:rsidRPr="00C35F8B" w:rsidRDefault="0019727C" w:rsidP="00903D6F">
      <w:pPr>
        <w:spacing w:after="120"/>
        <w:rPr>
          <w:rFonts w:eastAsia="SimSun"/>
          <w:lang w:eastAsia="zh-CN"/>
        </w:rPr>
      </w:pPr>
      <w:r w:rsidRPr="00C35F8B">
        <w:rPr>
          <w:rFonts w:eastAsia="SimSun"/>
          <w:lang w:eastAsia="zh-CN"/>
        </w:rPr>
        <w:lastRenderedPageBreak/>
        <w:t>Table 2. Standard Setting Panel Recommendations for the Proposed Performance Levels on the Overall Score for the Summative Alternate English Language Proficiency Assessments for California (ELPAC)</w:t>
      </w:r>
    </w:p>
    <w:tbl>
      <w:tblPr>
        <w:tblStyle w:val="TableGrid"/>
        <w:tblW w:w="13045" w:type="dxa"/>
        <w:tblLayout w:type="fixed"/>
        <w:tblLook w:val="04A0" w:firstRow="1" w:lastRow="0" w:firstColumn="1" w:lastColumn="0" w:noHBand="0" w:noVBand="1"/>
      </w:tblPr>
      <w:tblGrid>
        <w:gridCol w:w="1705"/>
        <w:gridCol w:w="1530"/>
        <w:gridCol w:w="1620"/>
        <w:gridCol w:w="1530"/>
        <w:gridCol w:w="1800"/>
        <w:gridCol w:w="1530"/>
        <w:gridCol w:w="1530"/>
        <w:gridCol w:w="1800"/>
      </w:tblGrid>
      <w:tr w:rsidR="009E7AC2" w:rsidRPr="00C35F8B" w14:paraId="49C6A5C6" w14:textId="77777777" w:rsidTr="00BD7EEF">
        <w:trPr>
          <w:trHeight w:val="1214"/>
          <w:tblHeader/>
        </w:trPr>
        <w:tc>
          <w:tcPr>
            <w:tcW w:w="1705" w:type="dxa"/>
            <w:shd w:val="clear" w:color="auto" w:fill="D9D9D9" w:themeFill="background1" w:themeFillShade="D9"/>
            <w:tcMar>
              <w:top w:w="43" w:type="dxa"/>
              <w:left w:w="115" w:type="dxa"/>
              <w:bottom w:w="43" w:type="dxa"/>
              <w:right w:w="115" w:type="dxa"/>
            </w:tcMar>
            <w:vAlign w:val="center"/>
            <w:hideMark/>
          </w:tcPr>
          <w:p w14:paraId="6612026B" w14:textId="77777777" w:rsidR="009E7AC2" w:rsidRPr="00C35F8B" w:rsidRDefault="009E7AC2" w:rsidP="00BD7EEF">
            <w:pPr>
              <w:spacing w:before="0"/>
              <w:rPr>
                <w:b/>
                <w:bCs/>
                <w:color w:val="000000"/>
              </w:rPr>
            </w:pPr>
            <w:r w:rsidRPr="00C35F8B">
              <w:rPr>
                <w:b/>
                <w:color w:val="000000"/>
              </w:rPr>
              <w:t>Grade</w:t>
            </w:r>
          </w:p>
        </w:tc>
        <w:tc>
          <w:tcPr>
            <w:tcW w:w="1530" w:type="dxa"/>
            <w:shd w:val="clear" w:color="auto" w:fill="D9D9D9" w:themeFill="background1" w:themeFillShade="D9"/>
            <w:tcMar>
              <w:top w:w="43" w:type="dxa"/>
              <w:left w:w="115" w:type="dxa"/>
              <w:bottom w:w="43" w:type="dxa"/>
              <w:right w:w="115" w:type="dxa"/>
            </w:tcMar>
            <w:vAlign w:val="center"/>
            <w:hideMark/>
          </w:tcPr>
          <w:p w14:paraId="5BF3C146" w14:textId="77777777" w:rsidR="009E7AC2" w:rsidRPr="00C35F8B" w:rsidRDefault="009E7AC2" w:rsidP="00BD7EEF">
            <w:pPr>
              <w:spacing w:before="0"/>
              <w:jc w:val="center"/>
              <w:rPr>
                <w:b/>
                <w:bCs/>
                <w:color w:val="000000"/>
              </w:rPr>
            </w:pPr>
            <w:r w:rsidRPr="00C35F8B">
              <w:rPr>
                <w:b/>
                <w:color w:val="000000"/>
              </w:rPr>
              <w:t xml:space="preserve">Level 1 </w:t>
            </w:r>
          </w:p>
          <w:p w14:paraId="314A84AE" w14:textId="77777777" w:rsidR="009E7AC2" w:rsidRPr="00C35F8B" w:rsidRDefault="009E7AC2" w:rsidP="00BD7EEF">
            <w:pPr>
              <w:spacing w:before="0"/>
              <w:jc w:val="center"/>
              <w:rPr>
                <w:b/>
                <w:bCs/>
                <w:color w:val="000000"/>
              </w:rPr>
            </w:pPr>
            <w:r w:rsidRPr="00C35F8B">
              <w:rPr>
                <w:b/>
                <w:color w:val="000000"/>
              </w:rPr>
              <w:t>Percentage of Students</w:t>
            </w:r>
          </w:p>
        </w:tc>
        <w:tc>
          <w:tcPr>
            <w:tcW w:w="1620" w:type="dxa"/>
            <w:shd w:val="clear" w:color="auto" w:fill="D9D9D9" w:themeFill="background1" w:themeFillShade="D9"/>
            <w:tcMar>
              <w:top w:w="43" w:type="dxa"/>
              <w:left w:w="115" w:type="dxa"/>
              <w:bottom w:w="43" w:type="dxa"/>
              <w:right w:w="115" w:type="dxa"/>
            </w:tcMar>
            <w:vAlign w:val="center"/>
            <w:hideMark/>
          </w:tcPr>
          <w:p w14:paraId="12D0D06B" w14:textId="77777777" w:rsidR="009E7AC2" w:rsidRPr="00C35F8B" w:rsidRDefault="009E7AC2" w:rsidP="00BD7EEF">
            <w:pPr>
              <w:spacing w:before="0"/>
              <w:jc w:val="center"/>
              <w:rPr>
                <w:b/>
                <w:bCs/>
                <w:color w:val="000000"/>
              </w:rPr>
            </w:pPr>
            <w:r w:rsidRPr="00C35F8B">
              <w:rPr>
                <w:b/>
                <w:color w:val="000000"/>
              </w:rPr>
              <w:t>Level 1</w:t>
            </w:r>
          </w:p>
          <w:p w14:paraId="6FD85E1A" w14:textId="77777777" w:rsidR="009E7AC2" w:rsidRPr="00C35F8B" w:rsidRDefault="009E7AC2" w:rsidP="00BD7EEF">
            <w:pPr>
              <w:spacing w:before="0"/>
              <w:jc w:val="center"/>
              <w:rPr>
                <w:b/>
                <w:bCs/>
                <w:color w:val="000000"/>
              </w:rPr>
            </w:pPr>
            <w:r w:rsidRPr="00C35F8B">
              <w:rPr>
                <w:b/>
                <w:color w:val="000000"/>
              </w:rPr>
              <w:t>Percentage at or above</w:t>
            </w:r>
          </w:p>
        </w:tc>
        <w:tc>
          <w:tcPr>
            <w:tcW w:w="1530" w:type="dxa"/>
            <w:shd w:val="clear" w:color="auto" w:fill="D9D9D9" w:themeFill="background1" w:themeFillShade="D9"/>
            <w:tcMar>
              <w:top w:w="43" w:type="dxa"/>
              <w:left w:w="115" w:type="dxa"/>
              <w:bottom w:w="43" w:type="dxa"/>
              <w:right w:w="115" w:type="dxa"/>
            </w:tcMar>
            <w:vAlign w:val="center"/>
            <w:hideMark/>
          </w:tcPr>
          <w:p w14:paraId="5A9F055A" w14:textId="77777777" w:rsidR="009E7AC2" w:rsidRPr="00C35F8B" w:rsidRDefault="009E7AC2" w:rsidP="00BD7EEF">
            <w:pPr>
              <w:spacing w:before="0"/>
              <w:jc w:val="center"/>
              <w:rPr>
                <w:b/>
                <w:bCs/>
                <w:color w:val="000000"/>
              </w:rPr>
            </w:pPr>
            <w:r w:rsidRPr="00C35F8B">
              <w:rPr>
                <w:b/>
                <w:color w:val="000000"/>
              </w:rPr>
              <w:t>Level 2</w:t>
            </w:r>
          </w:p>
          <w:p w14:paraId="219D3BEB" w14:textId="77777777" w:rsidR="009E7AC2" w:rsidRPr="00C35F8B" w:rsidRDefault="009E7AC2" w:rsidP="00BD7EEF">
            <w:pPr>
              <w:spacing w:before="0"/>
              <w:jc w:val="center"/>
              <w:rPr>
                <w:b/>
                <w:bCs/>
                <w:color w:val="000000"/>
              </w:rPr>
            </w:pPr>
            <w:r w:rsidRPr="00C35F8B">
              <w:rPr>
                <w:b/>
                <w:color w:val="000000"/>
              </w:rPr>
              <w:t>Percentage of Students</w:t>
            </w:r>
          </w:p>
        </w:tc>
        <w:tc>
          <w:tcPr>
            <w:tcW w:w="1800" w:type="dxa"/>
            <w:shd w:val="clear" w:color="auto" w:fill="D9D9D9" w:themeFill="background1" w:themeFillShade="D9"/>
            <w:tcMar>
              <w:top w:w="43" w:type="dxa"/>
              <w:left w:w="115" w:type="dxa"/>
              <w:bottom w:w="43" w:type="dxa"/>
              <w:right w:w="115" w:type="dxa"/>
            </w:tcMar>
            <w:vAlign w:val="center"/>
            <w:hideMark/>
          </w:tcPr>
          <w:p w14:paraId="28106144" w14:textId="77777777" w:rsidR="009E7AC2" w:rsidRPr="00C35F8B" w:rsidRDefault="009E7AC2" w:rsidP="00BD7EEF">
            <w:pPr>
              <w:spacing w:before="0"/>
              <w:jc w:val="center"/>
              <w:rPr>
                <w:b/>
                <w:bCs/>
                <w:color w:val="000000"/>
              </w:rPr>
            </w:pPr>
            <w:r w:rsidRPr="00C35F8B">
              <w:rPr>
                <w:b/>
                <w:color w:val="000000"/>
              </w:rPr>
              <w:t>Level 2</w:t>
            </w:r>
          </w:p>
          <w:p w14:paraId="17703EB4" w14:textId="77777777" w:rsidR="009E7AC2" w:rsidRPr="00C35F8B" w:rsidRDefault="009E7AC2" w:rsidP="00BD7EEF">
            <w:pPr>
              <w:spacing w:before="0"/>
              <w:jc w:val="center"/>
              <w:rPr>
                <w:b/>
                <w:bCs/>
                <w:color w:val="000000"/>
              </w:rPr>
            </w:pPr>
            <w:r w:rsidRPr="00C35F8B">
              <w:rPr>
                <w:b/>
                <w:color w:val="000000"/>
              </w:rPr>
              <w:t>Standard-Setting Scale Threshold Score</w:t>
            </w:r>
          </w:p>
        </w:tc>
        <w:tc>
          <w:tcPr>
            <w:tcW w:w="1530" w:type="dxa"/>
            <w:shd w:val="clear" w:color="auto" w:fill="D9D9D9" w:themeFill="background1" w:themeFillShade="D9"/>
            <w:tcMar>
              <w:top w:w="43" w:type="dxa"/>
              <w:left w:w="115" w:type="dxa"/>
              <w:bottom w:w="43" w:type="dxa"/>
              <w:right w:w="115" w:type="dxa"/>
            </w:tcMar>
            <w:vAlign w:val="center"/>
            <w:hideMark/>
          </w:tcPr>
          <w:p w14:paraId="4822406E" w14:textId="77777777" w:rsidR="009E7AC2" w:rsidRPr="00C35F8B" w:rsidRDefault="009E7AC2" w:rsidP="00BD7EEF">
            <w:pPr>
              <w:spacing w:before="0"/>
              <w:jc w:val="center"/>
              <w:rPr>
                <w:b/>
                <w:bCs/>
                <w:color w:val="000000"/>
              </w:rPr>
            </w:pPr>
            <w:r w:rsidRPr="00C35F8B">
              <w:rPr>
                <w:b/>
                <w:color w:val="000000"/>
              </w:rPr>
              <w:t xml:space="preserve">Level 2 </w:t>
            </w:r>
          </w:p>
          <w:p w14:paraId="650E88E9" w14:textId="77777777" w:rsidR="009E7AC2" w:rsidRPr="00C35F8B" w:rsidRDefault="009E7AC2" w:rsidP="00BD7EEF">
            <w:pPr>
              <w:spacing w:before="0"/>
              <w:jc w:val="center"/>
              <w:rPr>
                <w:b/>
                <w:bCs/>
                <w:color w:val="000000"/>
              </w:rPr>
            </w:pPr>
            <w:r w:rsidRPr="00C35F8B">
              <w:rPr>
                <w:b/>
                <w:color w:val="000000"/>
              </w:rPr>
              <w:t>Percentage at or above</w:t>
            </w:r>
          </w:p>
        </w:tc>
        <w:tc>
          <w:tcPr>
            <w:tcW w:w="1530" w:type="dxa"/>
            <w:shd w:val="clear" w:color="auto" w:fill="D9D9D9" w:themeFill="background1" w:themeFillShade="D9"/>
            <w:tcMar>
              <w:top w:w="43" w:type="dxa"/>
              <w:left w:w="115" w:type="dxa"/>
              <w:bottom w:w="43" w:type="dxa"/>
              <w:right w:w="115" w:type="dxa"/>
            </w:tcMar>
            <w:vAlign w:val="center"/>
            <w:hideMark/>
          </w:tcPr>
          <w:p w14:paraId="79A74163" w14:textId="77777777" w:rsidR="009E7AC2" w:rsidRPr="00C35F8B" w:rsidRDefault="009E7AC2" w:rsidP="00BD7EEF">
            <w:pPr>
              <w:spacing w:before="0"/>
              <w:jc w:val="center"/>
              <w:rPr>
                <w:b/>
                <w:bCs/>
                <w:color w:val="000000"/>
              </w:rPr>
            </w:pPr>
            <w:r w:rsidRPr="00C35F8B">
              <w:rPr>
                <w:b/>
                <w:color w:val="000000"/>
              </w:rPr>
              <w:t>Level 3</w:t>
            </w:r>
          </w:p>
          <w:p w14:paraId="20845EA4" w14:textId="77777777" w:rsidR="009E7AC2" w:rsidRPr="00C35F8B" w:rsidRDefault="009E7AC2" w:rsidP="00BD7EEF">
            <w:pPr>
              <w:spacing w:before="0"/>
              <w:jc w:val="center"/>
              <w:rPr>
                <w:b/>
                <w:bCs/>
                <w:color w:val="000000"/>
              </w:rPr>
            </w:pPr>
            <w:r w:rsidRPr="00C35F8B">
              <w:rPr>
                <w:b/>
                <w:color w:val="000000"/>
              </w:rPr>
              <w:t>Percentage of Students</w:t>
            </w:r>
          </w:p>
        </w:tc>
        <w:tc>
          <w:tcPr>
            <w:tcW w:w="1800" w:type="dxa"/>
            <w:shd w:val="clear" w:color="auto" w:fill="D9D9D9" w:themeFill="background1" w:themeFillShade="D9"/>
            <w:tcMar>
              <w:top w:w="43" w:type="dxa"/>
              <w:left w:w="115" w:type="dxa"/>
              <w:bottom w:w="43" w:type="dxa"/>
              <w:right w:w="115" w:type="dxa"/>
            </w:tcMar>
            <w:vAlign w:val="center"/>
            <w:hideMark/>
          </w:tcPr>
          <w:p w14:paraId="112F6DCE" w14:textId="77777777" w:rsidR="009E7AC2" w:rsidRPr="00C35F8B" w:rsidRDefault="009E7AC2" w:rsidP="00BD7EEF">
            <w:pPr>
              <w:spacing w:before="0"/>
              <w:jc w:val="center"/>
              <w:rPr>
                <w:b/>
                <w:bCs/>
                <w:color w:val="000000"/>
              </w:rPr>
            </w:pPr>
            <w:r w:rsidRPr="00C35F8B">
              <w:rPr>
                <w:b/>
                <w:color w:val="000000"/>
              </w:rPr>
              <w:t>Level 3</w:t>
            </w:r>
          </w:p>
          <w:p w14:paraId="63944276" w14:textId="77777777" w:rsidR="009E7AC2" w:rsidRPr="00C35F8B" w:rsidRDefault="009E7AC2" w:rsidP="00BD7EEF">
            <w:pPr>
              <w:spacing w:before="0"/>
              <w:jc w:val="center"/>
              <w:rPr>
                <w:b/>
                <w:bCs/>
                <w:color w:val="000000"/>
              </w:rPr>
            </w:pPr>
            <w:r w:rsidRPr="00C35F8B">
              <w:rPr>
                <w:b/>
                <w:color w:val="000000"/>
              </w:rPr>
              <w:t>Standard-Setting Scale Threshold Score</w:t>
            </w:r>
          </w:p>
        </w:tc>
      </w:tr>
      <w:tr w:rsidR="009E7AC2" w:rsidRPr="00C35F8B" w14:paraId="31377BD4" w14:textId="77777777" w:rsidTr="009E7AC2">
        <w:trPr>
          <w:trHeight w:val="315"/>
        </w:trPr>
        <w:tc>
          <w:tcPr>
            <w:tcW w:w="1705" w:type="dxa"/>
            <w:tcMar>
              <w:top w:w="43" w:type="dxa"/>
              <w:left w:w="115" w:type="dxa"/>
              <w:bottom w:w="43" w:type="dxa"/>
              <w:right w:w="115" w:type="dxa"/>
            </w:tcMar>
            <w:hideMark/>
          </w:tcPr>
          <w:p w14:paraId="64D26EE6" w14:textId="77777777" w:rsidR="009E7AC2" w:rsidRPr="00C35F8B" w:rsidRDefault="009E7AC2" w:rsidP="009E7AC2">
            <w:pPr>
              <w:spacing w:before="0"/>
              <w:rPr>
                <w:b/>
                <w:color w:val="000000"/>
              </w:rPr>
            </w:pPr>
            <w:r w:rsidRPr="00C35F8B">
              <w:rPr>
                <w:color w:val="000000"/>
              </w:rPr>
              <w:t>K</w:t>
            </w:r>
          </w:p>
        </w:tc>
        <w:tc>
          <w:tcPr>
            <w:tcW w:w="1530" w:type="dxa"/>
            <w:tcMar>
              <w:top w:w="43" w:type="dxa"/>
              <w:left w:w="115" w:type="dxa"/>
              <w:bottom w:w="43" w:type="dxa"/>
              <w:right w:w="115" w:type="dxa"/>
            </w:tcMar>
            <w:vAlign w:val="center"/>
            <w:hideMark/>
          </w:tcPr>
          <w:p w14:paraId="77F562D0" w14:textId="77777777" w:rsidR="009E7AC2" w:rsidRPr="00C35F8B" w:rsidRDefault="009E7AC2" w:rsidP="009E7AC2">
            <w:pPr>
              <w:tabs>
                <w:tab w:val="decimal" w:pos="605"/>
              </w:tabs>
              <w:spacing w:before="0"/>
              <w:rPr>
                <w:b/>
                <w:color w:val="000000"/>
              </w:rPr>
            </w:pPr>
            <w:r w:rsidRPr="00C35F8B">
              <w:t>39.6</w:t>
            </w:r>
          </w:p>
        </w:tc>
        <w:tc>
          <w:tcPr>
            <w:tcW w:w="1620" w:type="dxa"/>
            <w:tcMar>
              <w:top w:w="43" w:type="dxa"/>
              <w:left w:w="115" w:type="dxa"/>
              <w:bottom w:w="43" w:type="dxa"/>
              <w:right w:w="115" w:type="dxa"/>
            </w:tcMar>
            <w:vAlign w:val="center"/>
            <w:hideMark/>
          </w:tcPr>
          <w:p w14:paraId="1BDCD008" w14:textId="77777777" w:rsidR="009E7AC2" w:rsidRPr="00C35F8B" w:rsidRDefault="009E7AC2" w:rsidP="009E7AC2">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hideMark/>
          </w:tcPr>
          <w:p w14:paraId="01259029" w14:textId="77777777" w:rsidR="009E7AC2" w:rsidRPr="00C35F8B" w:rsidRDefault="009E7AC2" w:rsidP="009E7AC2">
            <w:pPr>
              <w:tabs>
                <w:tab w:val="decimal" w:pos="698"/>
              </w:tabs>
              <w:spacing w:before="0"/>
              <w:rPr>
                <w:b/>
                <w:color w:val="000000"/>
              </w:rPr>
            </w:pPr>
            <w:r w:rsidRPr="00C35F8B">
              <w:t>44.0</w:t>
            </w:r>
          </w:p>
        </w:tc>
        <w:tc>
          <w:tcPr>
            <w:tcW w:w="1800" w:type="dxa"/>
            <w:tcMar>
              <w:top w:w="43" w:type="dxa"/>
              <w:left w:w="115" w:type="dxa"/>
              <w:bottom w:w="43" w:type="dxa"/>
              <w:right w:w="115" w:type="dxa"/>
            </w:tcMar>
            <w:vAlign w:val="center"/>
            <w:hideMark/>
          </w:tcPr>
          <w:p w14:paraId="191832CA" w14:textId="77777777" w:rsidR="009E7AC2" w:rsidRPr="00C35F8B" w:rsidRDefault="009E7AC2" w:rsidP="009E7AC2">
            <w:pPr>
              <w:tabs>
                <w:tab w:val="decimal" w:pos="960"/>
              </w:tabs>
              <w:spacing w:before="0"/>
              <w:rPr>
                <w:b/>
                <w:color w:val="000000"/>
              </w:rPr>
            </w:pPr>
            <w:r w:rsidRPr="00C35F8B">
              <w:t>254</w:t>
            </w:r>
          </w:p>
        </w:tc>
        <w:tc>
          <w:tcPr>
            <w:tcW w:w="1530" w:type="dxa"/>
            <w:tcMar>
              <w:top w:w="43" w:type="dxa"/>
              <w:left w:w="115" w:type="dxa"/>
              <w:bottom w:w="43" w:type="dxa"/>
              <w:right w:w="115" w:type="dxa"/>
            </w:tcMar>
            <w:vAlign w:val="center"/>
            <w:hideMark/>
          </w:tcPr>
          <w:p w14:paraId="50612435" w14:textId="77777777" w:rsidR="009E7AC2" w:rsidRPr="00C35F8B" w:rsidRDefault="009E7AC2" w:rsidP="009E7AC2">
            <w:pPr>
              <w:tabs>
                <w:tab w:val="decimal" w:pos="698"/>
              </w:tabs>
              <w:spacing w:before="0"/>
              <w:rPr>
                <w:b/>
                <w:color w:val="000000"/>
              </w:rPr>
            </w:pPr>
            <w:r w:rsidRPr="00C35F8B">
              <w:t>60.4</w:t>
            </w:r>
          </w:p>
        </w:tc>
        <w:tc>
          <w:tcPr>
            <w:tcW w:w="1530" w:type="dxa"/>
            <w:tcMar>
              <w:top w:w="43" w:type="dxa"/>
              <w:left w:w="115" w:type="dxa"/>
              <w:bottom w:w="43" w:type="dxa"/>
              <w:right w:w="115" w:type="dxa"/>
            </w:tcMar>
            <w:vAlign w:val="center"/>
            <w:hideMark/>
          </w:tcPr>
          <w:p w14:paraId="39B6ECC5" w14:textId="77777777" w:rsidR="009E7AC2" w:rsidRPr="00C35F8B" w:rsidRDefault="009E7AC2" w:rsidP="009E7AC2">
            <w:pPr>
              <w:tabs>
                <w:tab w:val="decimal" w:pos="698"/>
              </w:tabs>
              <w:spacing w:before="0"/>
              <w:rPr>
                <w:b/>
                <w:color w:val="000000"/>
              </w:rPr>
            </w:pPr>
            <w:r w:rsidRPr="00C35F8B">
              <w:t>16.4</w:t>
            </w:r>
          </w:p>
        </w:tc>
        <w:tc>
          <w:tcPr>
            <w:tcW w:w="1800" w:type="dxa"/>
            <w:tcMar>
              <w:top w:w="43" w:type="dxa"/>
              <w:left w:w="115" w:type="dxa"/>
              <w:bottom w:w="43" w:type="dxa"/>
              <w:right w:w="115" w:type="dxa"/>
            </w:tcMar>
            <w:vAlign w:val="center"/>
          </w:tcPr>
          <w:p w14:paraId="39A605C0" w14:textId="77777777" w:rsidR="009E7AC2" w:rsidRPr="00C35F8B" w:rsidRDefault="009E7AC2" w:rsidP="009E7AC2">
            <w:pPr>
              <w:tabs>
                <w:tab w:val="decimal" w:pos="1057"/>
              </w:tabs>
              <w:spacing w:before="0"/>
              <w:rPr>
                <w:b/>
                <w:color w:val="000000"/>
              </w:rPr>
            </w:pPr>
            <w:r w:rsidRPr="00C35F8B">
              <w:t>273</w:t>
            </w:r>
          </w:p>
        </w:tc>
      </w:tr>
      <w:tr w:rsidR="009E7AC2" w:rsidRPr="00C35F8B" w14:paraId="7E8AF6AD" w14:textId="77777777" w:rsidTr="009E7AC2">
        <w:trPr>
          <w:trHeight w:val="315"/>
        </w:trPr>
        <w:tc>
          <w:tcPr>
            <w:tcW w:w="1705" w:type="dxa"/>
            <w:tcMar>
              <w:top w:w="43" w:type="dxa"/>
              <w:left w:w="115" w:type="dxa"/>
              <w:bottom w:w="43" w:type="dxa"/>
              <w:right w:w="115" w:type="dxa"/>
            </w:tcMar>
          </w:tcPr>
          <w:p w14:paraId="38964F21" w14:textId="77777777" w:rsidR="009E7AC2" w:rsidRPr="00C35F8B" w:rsidRDefault="009E7AC2" w:rsidP="009E7AC2">
            <w:pPr>
              <w:spacing w:before="0"/>
              <w:rPr>
                <w:b/>
                <w:color w:val="000000"/>
              </w:rPr>
            </w:pPr>
            <w:r w:rsidRPr="00C35F8B">
              <w:rPr>
                <w:color w:val="000000"/>
              </w:rPr>
              <w:t>1</w:t>
            </w:r>
          </w:p>
        </w:tc>
        <w:tc>
          <w:tcPr>
            <w:tcW w:w="1530" w:type="dxa"/>
            <w:tcMar>
              <w:top w:w="43" w:type="dxa"/>
              <w:left w:w="115" w:type="dxa"/>
              <w:bottom w:w="43" w:type="dxa"/>
              <w:right w:w="115" w:type="dxa"/>
            </w:tcMar>
            <w:vAlign w:val="center"/>
          </w:tcPr>
          <w:p w14:paraId="79667A07" w14:textId="77777777" w:rsidR="009E7AC2" w:rsidRPr="00C35F8B" w:rsidRDefault="009E7AC2" w:rsidP="009E7AC2">
            <w:pPr>
              <w:tabs>
                <w:tab w:val="decimal" w:pos="605"/>
              </w:tabs>
              <w:spacing w:before="0"/>
              <w:rPr>
                <w:b/>
                <w:color w:val="000000"/>
              </w:rPr>
            </w:pPr>
            <w:r w:rsidRPr="00C35F8B">
              <w:t>30.1</w:t>
            </w:r>
          </w:p>
        </w:tc>
        <w:tc>
          <w:tcPr>
            <w:tcW w:w="1620" w:type="dxa"/>
            <w:tcMar>
              <w:top w:w="43" w:type="dxa"/>
              <w:left w:w="115" w:type="dxa"/>
              <w:bottom w:w="43" w:type="dxa"/>
              <w:right w:w="115" w:type="dxa"/>
            </w:tcMar>
            <w:vAlign w:val="center"/>
          </w:tcPr>
          <w:p w14:paraId="6B6464F6" w14:textId="77777777" w:rsidR="009E7AC2" w:rsidRPr="00C35F8B" w:rsidRDefault="009E7AC2" w:rsidP="009E7AC2">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tcPr>
          <w:p w14:paraId="05822C7A" w14:textId="77777777" w:rsidR="009E7AC2" w:rsidRPr="00C35F8B" w:rsidRDefault="009E7AC2" w:rsidP="009E7AC2">
            <w:pPr>
              <w:tabs>
                <w:tab w:val="decimal" w:pos="698"/>
              </w:tabs>
              <w:spacing w:before="0"/>
              <w:rPr>
                <w:b/>
                <w:color w:val="000000"/>
              </w:rPr>
            </w:pPr>
            <w:r w:rsidRPr="00C35F8B">
              <w:t>49.9</w:t>
            </w:r>
          </w:p>
        </w:tc>
        <w:tc>
          <w:tcPr>
            <w:tcW w:w="1800" w:type="dxa"/>
            <w:tcMar>
              <w:top w:w="43" w:type="dxa"/>
              <w:left w:w="115" w:type="dxa"/>
              <w:bottom w:w="43" w:type="dxa"/>
              <w:right w:w="115" w:type="dxa"/>
            </w:tcMar>
            <w:vAlign w:val="center"/>
          </w:tcPr>
          <w:p w14:paraId="6DF10894" w14:textId="77777777" w:rsidR="009E7AC2" w:rsidRPr="00C35F8B" w:rsidRDefault="009E7AC2" w:rsidP="009E7AC2">
            <w:pPr>
              <w:tabs>
                <w:tab w:val="decimal" w:pos="960"/>
              </w:tabs>
              <w:spacing w:before="0"/>
              <w:rPr>
                <w:b/>
                <w:color w:val="000000"/>
              </w:rPr>
            </w:pPr>
            <w:r w:rsidRPr="00C35F8B">
              <w:t>249</w:t>
            </w:r>
          </w:p>
        </w:tc>
        <w:tc>
          <w:tcPr>
            <w:tcW w:w="1530" w:type="dxa"/>
            <w:tcMar>
              <w:top w:w="43" w:type="dxa"/>
              <w:left w:w="115" w:type="dxa"/>
              <w:bottom w:w="43" w:type="dxa"/>
              <w:right w:w="115" w:type="dxa"/>
            </w:tcMar>
            <w:vAlign w:val="center"/>
          </w:tcPr>
          <w:p w14:paraId="52E301D0" w14:textId="77777777" w:rsidR="009E7AC2" w:rsidRPr="00C35F8B" w:rsidRDefault="009E7AC2" w:rsidP="009E7AC2">
            <w:pPr>
              <w:tabs>
                <w:tab w:val="decimal" w:pos="698"/>
              </w:tabs>
              <w:spacing w:before="0"/>
              <w:rPr>
                <w:b/>
                <w:color w:val="000000"/>
              </w:rPr>
            </w:pPr>
            <w:r w:rsidRPr="00C35F8B">
              <w:t>69.9</w:t>
            </w:r>
          </w:p>
        </w:tc>
        <w:tc>
          <w:tcPr>
            <w:tcW w:w="1530" w:type="dxa"/>
            <w:tcMar>
              <w:top w:w="43" w:type="dxa"/>
              <w:left w:w="115" w:type="dxa"/>
              <w:bottom w:w="43" w:type="dxa"/>
              <w:right w:w="115" w:type="dxa"/>
            </w:tcMar>
            <w:vAlign w:val="center"/>
          </w:tcPr>
          <w:p w14:paraId="69C95FB4" w14:textId="77777777" w:rsidR="009E7AC2" w:rsidRPr="00C35F8B" w:rsidRDefault="009E7AC2" w:rsidP="009E7AC2">
            <w:pPr>
              <w:tabs>
                <w:tab w:val="decimal" w:pos="698"/>
              </w:tabs>
              <w:spacing w:before="0"/>
              <w:rPr>
                <w:b/>
                <w:color w:val="000000"/>
              </w:rPr>
            </w:pPr>
            <w:r w:rsidRPr="00C35F8B">
              <w:t>19.9</w:t>
            </w:r>
          </w:p>
        </w:tc>
        <w:tc>
          <w:tcPr>
            <w:tcW w:w="1800" w:type="dxa"/>
            <w:tcMar>
              <w:top w:w="43" w:type="dxa"/>
              <w:left w:w="115" w:type="dxa"/>
              <w:bottom w:w="43" w:type="dxa"/>
              <w:right w:w="115" w:type="dxa"/>
            </w:tcMar>
            <w:vAlign w:val="center"/>
          </w:tcPr>
          <w:p w14:paraId="6D695FBE" w14:textId="77777777" w:rsidR="009E7AC2" w:rsidRPr="00C35F8B" w:rsidRDefault="009E7AC2" w:rsidP="009E7AC2">
            <w:pPr>
              <w:tabs>
                <w:tab w:val="decimal" w:pos="1057"/>
              </w:tabs>
              <w:spacing w:before="0"/>
              <w:rPr>
                <w:b/>
                <w:color w:val="000000"/>
              </w:rPr>
            </w:pPr>
            <w:r w:rsidRPr="00C35F8B">
              <w:t>269</w:t>
            </w:r>
          </w:p>
        </w:tc>
      </w:tr>
      <w:tr w:rsidR="009E7AC2" w:rsidRPr="00C35F8B" w14:paraId="79924BD9" w14:textId="77777777" w:rsidTr="009E7AC2">
        <w:trPr>
          <w:trHeight w:val="315"/>
        </w:trPr>
        <w:tc>
          <w:tcPr>
            <w:tcW w:w="1705" w:type="dxa"/>
            <w:tcMar>
              <w:top w:w="43" w:type="dxa"/>
              <w:left w:w="115" w:type="dxa"/>
              <w:bottom w:w="43" w:type="dxa"/>
              <w:right w:w="115" w:type="dxa"/>
            </w:tcMar>
          </w:tcPr>
          <w:p w14:paraId="34265863" w14:textId="77777777" w:rsidR="009E7AC2" w:rsidRPr="00C35F8B" w:rsidRDefault="009E7AC2" w:rsidP="009E7AC2">
            <w:pPr>
              <w:spacing w:before="0"/>
              <w:rPr>
                <w:b/>
                <w:color w:val="000000"/>
              </w:rPr>
            </w:pPr>
            <w:r w:rsidRPr="00C35F8B">
              <w:rPr>
                <w:color w:val="000000"/>
              </w:rPr>
              <w:t>2</w:t>
            </w:r>
          </w:p>
        </w:tc>
        <w:tc>
          <w:tcPr>
            <w:tcW w:w="1530" w:type="dxa"/>
            <w:tcMar>
              <w:top w:w="43" w:type="dxa"/>
              <w:left w:w="115" w:type="dxa"/>
              <w:bottom w:w="43" w:type="dxa"/>
              <w:right w:w="115" w:type="dxa"/>
            </w:tcMar>
            <w:vAlign w:val="center"/>
          </w:tcPr>
          <w:p w14:paraId="3E19AC73" w14:textId="77777777" w:rsidR="009E7AC2" w:rsidRPr="00C35F8B" w:rsidRDefault="009E7AC2" w:rsidP="009E7AC2">
            <w:pPr>
              <w:tabs>
                <w:tab w:val="decimal" w:pos="605"/>
              </w:tabs>
              <w:spacing w:before="0"/>
              <w:rPr>
                <w:b/>
                <w:color w:val="000000"/>
              </w:rPr>
            </w:pPr>
            <w:r w:rsidRPr="00C35F8B">
              <w:t>43.3</w:t>
            </w:r>
          </w:p>
        </w:tc>
        <w:tc>
          <w:tcPr>
            <w:tcW w:w="1620" w:type="dxa"/>
            <w:tcMar>
              <w:top w:w="43" w:type="dxa"/>
              <w:left w:w="115" w:type="dxa"/>
              <w:bottom w:w="43" w:type="dxa"/>
              <w:right w:w="115" w:type="dxa"/>
            </w:tcMar>
            <w:vAlign w:val="center"/>
          </w:tcPr>
          <w:p w14:paraId="79F9937D" w14:textId="77777777" w:rsidR="009E7AC2" w:rsidRPr="00C35F8B" w:rsidRDefault="009E7AC2" w:rsidP="009E7AC2">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tcPr>
          <w:p w14:paraId="769C08D6" w14:textId="77777777" w:rsidR="009E7AC2" w:rsidRPr="00C35F8B" w:rsidRDefault="009E7AC2" w:rsidP="009E7AC2">
            <w:pPr>
              <w:tabs>
                <w:tab w:val="decimal" w:pos="698"/>
              </w:tabs>
              <w:spacing w:before="0"/>
              <w:rPr>
                <w:b/>
                <w:color w:val="000000"/>
              </w:rPr>
            </w:pPr>
            <w:r w:rsidRPr="00C35F8B">
              <w:t>36.4</w:t>
            </w:r>
          </w:p>
        </w:tc>
        <w:tc>
          <w:tcPr>
            <w:tcW w:w="1800" w:type="dxa"/>
            <w:tcMar>
              <w:top w:w="43" w:type="dxa"/>
              <w:left w:w="115" w:type="dxa"/>
              <w:bottom w:w="43" w:type="dxa"/>
              <w:right w:w="115" w:type="dxa"/>
            </w:tcMar>
            <w:vAlign w:val="center"/>
          </w:tcPr>
          <w:p w14:paraId="5B0BDF45" w14:textId="77777777" w:rsidR="009E7AC2" w:rsidRPr="00C35F8B" w:rsidRDefault="009E7AC2" w:rsidP="009E7AC2">
            <w:pPr>
              <w:tabs>
                <w:tab w:val="decimal" w:pos="960"/>
              </w:tabs>
              <w:spacing w:before="0"/>
              <w:rPr>
                <w:b/>
                <w:color w:val="000000"/>
              </w:rPr>
            </w:pPr>
            <w:r w:rsidRPr="00C35F8B">
              <w:t>253</w:t>
            </w:r>
          </w:p>
        </w:tc>
        <w:tc>
          <w:tcPr>
            <w:tcW w:w="1530" w:type="dxa"/>
            <w:tcMar>
              <w:top w:w="43" w:type="dxa"/>
              <w:left w:w="115" w:type="dxa"/>
              <w:bottom w:w="43" w:type="dxa"/>
              <w:right w:w="115" w:type="dxa"/>
            </w:tcMar>
            <w:vAlign w:val="center"/>
          </w:tcPr>
          <w:p w14:paraId="718138B3" w14:textId="77777777" w:rsidR="009E7AC2" w:rsidRPr="00C35F8B" w:rsidRDefault="009E7AC2" w:rsidP="009E7AC2">
            <w:pPr>
              <w:tabs>
                <w:tab w:val="decimal" w:pos="698"/>
              </w:tabs>
              <w:spacing w:before="0"/>
              <w:rPr>
                <w:b/>
                <w:color w:val="000000"/>
              </w:rPr>
            </w:pPr>
            <w:r w:rsidRPr="00C35F8B">
              <w:t>56.7</w:t>
            </w:r>
          </w:p>
        </w:tc>
        <w:tc>
          <w:tcPr>
            <w:tcW w:w="1530" w:type="dxa"/>
            <w:tcMar>
              <w:top w:w="43" w:type="dxa"/>
              <w:left w:w="115" w:type="dxa"/>
              <w:bottom w:w="43" w:type="dxa"/>
              <w:right w:w="115" w:type="dxa"/>
            </w:tcMar>
            <w:vAlign w:val="center"/>
          </w:tcPr>
          <w:p w14:paraId="056914AE" w14:textId="77777777" w:rsidR="009E7AC2" w:rsidRPr="00C35F8B" w:rsidRDefault="009E7AC2" w:rsidP="009E7AC2">
            <w:pPr>
              <w:tabs>
                <w:tab w:val="decimal" w:pos="698"/>
              </w:tabs>
              <w:spacing w:before="0"/>
              <w:rPr>
                <w:b/>
                <w:color w:val="000000"/>
              </w:rPr>
            </w:pPr>
            <w:r w:rsidRPr="00C35F8B">
              <w:t>20.3</w:t>
            </w:r>
          </w:p>
        </w:tc>
        <w:tc>
          <w:tcPr>
            <w:tcW w:w="1800" w:type="dxa"/>
            <w:tcMar>
              <w:top w:w="43" w:type="dxa"/>
              <w:left w:w="115" w:type="dxa"/>
              <w:bottom w:w="43" w:type="dxa"/>
              <w:right w:w="115" w:type="dxa"/>
            </w:tcMar>
            <w:vAlign w:val="center"/>
          </w:tcPr>
          <w:p w14:paraId="2B4B0F2F" w14:textId="77777777" w:rsidR="009E7AC2" w:rsidRPr="00C35F8B" w:rsidRDefault="009E7AC2" w:rsidP="009E7AC2">
            <w:pPr>
              <w:tabs>
                <w:tab w:val="decimal" w:pos="1057"/>
              </w:tabs>
              <w:spacing w:before="0"/>
              <w:rPr>
                <w:b/>
                <w:color w:val="000000"/>
              </w:rPr>
            </w:pPr>
            <w:r w:rsidRPr="00C35F8B">
              <w:t>270</w:t>
            </w:r>
          </w:p>
        </w:tc>
      </w:tr>
      <w:tr w:rsidR="009E7AC2" w:rsidRPr="00C35F8B" w14:paraId="54C9DA40" w14:textId="77777777" w:rsidTr="009E7AC2">
        <w:trPr>
          <w:trHeight w:val="315"/>
        </w:trPr>
        <w:tc>
          <w:tcPr>
            <w:tcW w:w="1705" w:type="dxa"/>
            <w:tcMar>
              <w:top w:w="43" w:type="dxa"/>
              <w:left w:w="115" w:type="dxa"/>
              <w:bottom w:w="43" w:type="dxa"/>
              <w:right w:w="115" w:type="dxa"/>
            </w:tcMar>
            <w:hideMark/>
          </w:tcPr>
          <w:p w14:paraId="7C74B27F" w14:textId="77777777" w:rsidR="009E7AC2" w:rsidRPr="00C35F8B" w:rsidRDefault="009E7AC2" w:rsidP="009E7AC2">
            <w:pPr>
              <w:spacing w:before="0"/>
              <w:rPr>
                <w:b/>
                <w:color w:val="000000"/>
              </w:rPr>
            </w:pPr>
            <w:r w:rsidRPr="00C35F8B">
              <w:rPr>
                <w:color w:val="000000"/>
              </w:rPr>
              <w:t>3–5</w:t>
            </w:r>
          </w:p>
        </w:tc>
        <w:tc>
          <w:tcPr>
            <w:tcW w:w="1530" w:type="dxa"/>
            <w:tcMar>
              <w:top w:w="43" w:type="dxa"/>
              <w:left w:w="115" w:type="dxa"/>
              <w:bottom w:w="43" w:type="dxa"/>
              <w:right w:w="115" w:type="dxa"/>
            </w:tcMar>
            <w:vAlign w:val="center"/>
            <w:hideMark/>
          </w:tcPr>
          <w:p w14:paraId="23F0BD48" w14:textId="77777777" w:rsidR="009E7AC2" w:rsidRPr="00C35F8B" w:rsidRDefault="009E7AC2" w:rsidP="009E7AC2">
            <w:pPr>
              <w:tabs>
                <w:tab w:val="decimal" w:pos="605"/>
              </w:tabs>
              <w:spacing w:before="0"/>
              <w:rPr>
                <w:b/>
                <w:color w:val="000000"/>
              </w:rPr>
            </w:pPr>
            <w:r w:rsidRPr="00C35F8B">
              <w:t>21.4</w:t>
            </w:r>
          </w:p>
        </w:tc>
        <w:tc>
          <w:tcPr>
            <w:tcW w:w="1620" w:type="dxa"/>
            <w:tcMar>
              <w:top w:w="43" w:type="dxa"/>
              <w:left w:w="115" w:type="dxa"/>
              <w:bottom w:w="43" w:type="dxa"/>
              <w:right w:w="115" w:type="dxa"/>
            </w:tcMar>
            <w:vAlign w:val="center"/>
            <w:hideMark/>
          </w:tcPr>
          <w:p w14:paraId="659A3278" w14:textId="77777777" w:rsidR="009E7AC2" w:rsidRPr="00C35F8B" w:rsidRDefault="009E7AC2" w:rsidP="009E7AC2">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hideMark/>
          </w:tcPr>
          <w:p w14:paraId="678F1216" w14:textId="77777777" w:rsidR="009E7AC2" w:rsidRPr="00C35F8B" w:rsidRDefault="009E7AC2" w:rsidP="009E7AC2">
            <w:pPr>
              <w:tabs>
                <w:tab w:val="decimal" w:pos="698"/>
              </w:tabs>
              <w:spacing w:before="0"/>
              <w:rPr>
                <w:b/>
                <w:color w:val="000000"/>
              </w:rPr>
            </w:pPr>
            <w:r w:rsidRPr="00C35F8B">
              <w:t>40.5</w:t>
            </w:r>
          </w:p>
        </w:tc>
        <w:tc>
          <w:tcPr>
            <w:tcW w:w="1800" w:type="dxa"/>
            <w:tcMar>
              <w:top w:w="43" w:type="dxa"/>
              <w:left w:w="115" w:type="dxa"/>
              <w:bottom w:w="43" w:type="dxa"/>
              <w:right w:w="115" w:type="dxa"/>
            </w:tcMar>
            <w:vAlign w:val="center"/>
            <w:hideMark/>
          </w:tcPr>
          <w:p w14:paraId="76B5D6CA" w14:textId="77777777" w:rsidR="009E7AC2" w:rsidRPr="00C35F8B" w:rsidRDefault="009E7AC2" w:rsidP="009E7AC2">
            <w:pPr>
              <w:tabs>
                <w:tab w:val="decimal" w:pos="960"/>
              </w:tabs>
              <w:spacing w:before="0"/>
              <w:rPr>
                <w:b/>
                <w:color w:val="000000"/>
              </w:rPr>
            </w:pPr>
            <w:r w:rsidRPr="00C35F8B">
              <w:t>240</w:t>
            </w:r>
          </w:p>
        </w:tc>
        <w:tc>
          <w:tcPr>
            <w:tcW w:w="1530" w:type="dxa"/>
            <w:tcMar>
              <w:top w:w="43" w:type="dxa"/>
              <w:left w:w="115" w:type="dxa"/>
              <w:bottom w:w="43" w:type="dxa"/>
              <w:right w:w="115" w:type="dxa"/>
            </w:tcMar>
            <w:vAlign w:val="center"/>
            <w:hideMark/>
          </w:tcPr>
          <w:p w14:paraId="38FE0CCD" w14:textId="77777777" w:rsidR="009E7AC2" w:rsidRPr="00C35F8B" w:rsidRDefault="009E7AC2" w:rsidP="009E7AC2">
            <w:pPr>
              <w:tabs>
                <w:tab w:val="decimal" w:pos="698"/>
              </w:tabs>
              <w:spacing w:before="0"/>
              <w:rPr>
                <w:b/>
                <w:color w:val="000000"/>
              </w:rPr>
            </w:pPr>
            <w:r w:rsidRPr="00C35F8B">
              <w:t>78.6</w:t>
            </w:r>
          </w:p>
        </w:tc>
        <w:tc>
          <w:tcPr>
            <w:tcW w:w="1530" w:type="dxa"/>
            <w:tcMar>
              <w:top w:w="43" w:type="dxa"/>
              <w:left w:w="115" w:type="dxa"/>
              <w:bottom w:w="43" w:type="dxa"/>
              <w:right w:w="115" w:type="dxa"/>
            </w:tcMar>
            <w:vAlign w:val="center"/>
            <w:hideMark/>
          </w:tcPr>
          <w:p w14:paraId="053DF369" w14:textId="77777777" w:rsidR="009E7AC2" w:rsidRPr="00C35F8B" w:rsidRDefault="009E7AC2" w:rsidP="009E7AC2">
            <w:pPr>
              <w:tabs>
                <w:tab w:val="decimal" w:pos="698"/>
              </w:tabs>
              <w:spacing w:before="0"/>
              <w:rPr>
                <w:b/>
                <w:color w:val="000000"/>
              </w:rPr>
            </w:pPr>
            <w:r w:rsidRPr="00C35F8B">
              <w:t>38.0</w:t>
            </w:r>
          </w:p>
        </w:tc>
        <w:tc>
          <w:tcPr>
            <w:tcW w:w="1800" w:type="dxa"/>
            <w:tcMar>
              <w:top w:w="43" w:type="dxa"/>
              <w:left w:w="115" w:type="dxa"/>
              <w:bottom w:w="43" w:type="dxa"/>
              <w:right w:w="115" w:type="dxa"/>
            </w:tcMar>
            <w:vAlign w:val="center"/>
          </w:tcPr>
          <w:p w14:paraId="34AFBBF1" w14:textId="77777777" w:rsidR="009E7AC2" w:rsidRPr="00C35F8B" w:rsidRDefault="009E7AC2" w:rsidP="009E7AC2">
            <w:pPr>
              <w:tabs>
                <w:tab w:val="decimal" w:pos="1057"/>
              </w:tabs>
              <w:spacing w:before="0"/>
              <w:rPr>
                <w:b/>
                <w:color w:val="000000"/>
              </w:rPr>
            </w:pPr>
            <w:r w:rsidRPr="00C35F8B">
              <w:t>260</w:t>
            </w:r>
          </w:p>
        </w:tc>
      </w:tr>
      <w:tr w:rsidR="009E7AC2" w:rsidRPr="00C35F8B" w14:paraId="39B98E3B" w14:textId="77777777" w:rsidTr="009E7AC2">
        <w:trPr>
          <w:trHeight w:val="315"/>
        </w:trPr>
        <w:tc>
          <w:tcPr>
            <w:tcW w:w="1705" w:type="dxa"/>
            <w:tcMar>
              <w:top w:w="43" w:type="dxa"/>
              <w:left w:w="115" w:type="dxa"/>
              <w:bottom w:w="43" w:type="dxa"/>
              <w:right w:w="115" w:type="dxa"/>
            </w:tcMar>
            <w:hideMark/>
          </w:tcPr>
          <w:p w14:paraId="5EC6B0F3" w14:textId="77777777" w:rsidR="009E7AC2" w:rsidRPr="00C35F8B" w:rsidRDefault="009E7AC2" w:rsidP="009E7AC2">
            <w:pPr>
              <w:spacing w:before="0"/>
              <w:rPr>
                <w:b/>
                <w:color w:val="000000"/>
              </w:rPr>
            </w:pPr>
            <w:r w:rsidRPr="00C35F8B">
              <w:rPr>
                <w:color w:val="000000"/>
              </w:rPr>
              <w:t>6–8</w:t>
            </w:r>
          </w:p>
        </w:tc>
        <w:tc>
          <w:tcPr>
            <w:tcW w:w="1530" w:type="dxa"/>
            <w:tcMar>
              <w:top w:w="43" w:type="dxa"/>
              <w:left w:w="115" w:type="dxa"/>
              <w:bottom w:w="43" w:type="dxa"/>
              <w:right w:w="115" w:type="dxa"/>
            </w:tcMar>
            <w:vAlign w:val="center"/>
            <w:hideMark/>
          </w:tcPr>
          <w:p w14:paraId="077F431B" w14:textId="77777777" w:rsidR="009E7AC2" w:rsidRPr="00C35F8B" w:rsidRDefault="009E7AC2" w:rsidP="009E7AC2">
            <w:pPr>
              <w:tabs>
                <w:tab w:val="decimal" w:pos="605"/>
              </w:tabs>
              <w:spacing w:before="0"/>
              <w:rPr>
                <w:b/>
                <w:color w:val="000000"/>
              </w:rPr>
            </w:pPr>
            <w:r w:rsidRPr="00C35F8B">
              <w:t>18.1</w:t>
            </w:r>
          </w:p>
        </w:tc>
        <w:tc>
          <w:tcPr>
            <w:tcW w:w="1620" w:type="dxa"/>
            <w:tcMar>
              <w:top w:w="43" w:type="dxa"/>
              <w:left w:w="115" w:type="dxa"/>
              <w:bottom w:w="43" w:type="dxa"/>
              <w:right w:w="115" w:type="dxa"/>
            </w:tcMar>
            <w:vAlign w:val="center"/>
            <w:hideMark/>
          </w:tcPr>
          <w:p w14:paraId="383E1AB5" w14:textId="77777777" w:rsidR="009E7AC2" w:rsidRPr="00C35F8B" w:rsidRDefault="009E7AC2" w:rsidP="009E7AC2">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hideMark/>
          </w:tcPr>
          <w:p w14:paraId="41935890" w14:textId="77777777" w:rsidR="009E7AC2" w:rsidRPr="00C35F8B" w:rsidRDefault="009E7AC2" w:rsidP="009E7AC2">
            <w:pPr>
              <w:tabs>
                <w:tab w:val="decimal" w:pos="698"/>
              </w:tabs>
              <w:spacing w:before="0"/>
              <w:rPr>
                <w:b/>
                <w:color w:val="000000"/>
              </w:rPr>
            </w:pPr>
            <w:r w:rsidRPr="00C35F8B">
              <w:t>28.6</w:t>
            </w:r>
          </w:p>
        </w:tc>
        <w:tc>
          <w:tcPr>
            <w:tcW w:w="1800" w:type="dxa"/>
            <w:tcMar>
              <w:top w:w="43" w:type="dxa"/>
              <w:left w:w="115" w:type="dxa"/>
              <w:bottom w:w="43" w:type="dxa"/>
              <w:right w:w="115" w:type="dxa"/>
            </w:tcMar>
            <w:vAlign w:val="center"/>
            <w:hideMark/>
          </w:tcPr>
          <w:p w14:paraId="4CB958BD" w14:textId="77777777" w:rsidR="009E7AC2" w:rsidRPr="00C35F8B" w:rsidRDefault="009E7AC2" w:rsidP="009E7AC2">
            <w:pPr>
              <w:tabs>
                <w:tab w:val="decimal" w:pos="960"/>
              </w:tabs>
              <w:spacing w:before="0"/>
              <w:rPr>
                <w:b/>
                <w:color w:val="000000"/>
              </w:rPr>
            </w:pPr>
            <w:r w:rsidRPr="00C35F8B">
              <w:t>234</w:t>
            </w:r>
          </w:p>
        </w:tc>
        <w:tc>
          <w:tcPr>
            <w:tcW w:w="1530" w:type="dxa"/>
            <w:tcMar>
              <w:top w:w="43" w:type="dxa"/>
              <w:left w:w="115" w:type="dxa"/>
              <w:bottom w:w="43" w:type="dxa"/>
              <w:right w:w="115" w:type="dxa"/>
            </w:tcMar>
            <w:vAlign w:val="center"/>
            <w:hideMark/>
          </w:tcPr>
          <w:p w14:paraId="7D8E2EFC" w14:textId="77777777" w:rsidR="009E7AC2" w:rsidRPr="00C35F8B" w:rsidRDefault="009E7AC2" w:rsidP="009E7AC2">
            <w:pPr>
              <w:tabs>
                <w:tab w:val="decimal" w:pos="698"/>
              </w:tabs>
              <w:spacing w:before="0"/>
              <w:rPr>
                <w:b/>
                <w:color w:val="000000"/>
              </w:rPr>
            </w:pPr>
            <w:r w:rsidRPr="00C35F8B">
              <w:t>81.9</w:t>
            </w:r>
          </w:p>
        </w:tc>
        <w:tc>
          <w:tcPr>
            <w:tcW w:w="1530" w:type="dxa"/>
            <w:tcMar>
              <w:top w:w="43" w:type="dxa"/>
              <w:left w:w="115" w:type="dxa"/>
              <w:bottom w:w="43" w:type="dxa"/>
              <w:right w:w="115" w:type="dxa"/>
            </w:tcMar>
            <w:vAlign w:val="center"/>
            <w:hideMark/>
          </w:tcPr>
          <w:p w14:paraId="52AD8211" w14:textId="77777777" w:rsidR="009E7AC2" w:rsidRPr="00C35F8B" w:rsidRDefault="009E7AC2" w:rsidP="009E7AC2">
            <w:pPr>
              <w:tabs>
                <w:tab w:val="decimal" w:pos="698"/>
              </w:tabs>
              <w:spacing w:before="0"/>
              <w:rPr>
                <w:b/>
                <w:color w:val="000000"/>
              </w:rPr>
            </w:pPr>
            <w:r w:rsidRPr="00C35F8B">
              <w:t>53.4</w:t>
            </w:r>
          </w:p>
        </w:tc>
        <w:tc>
          <w:tcPr>
            <w:tcW w:w="1800" w:type="dxa"/>
            <w:tcMar>
              <w:top w:w="43" w:type="dxa"/>
              <w:left w:w="115" w:type="dxa"/>
              <w:bottom w:w="43" w:type="dxa"/>
              <w:right w:w="115" w:type="dxa"/>
            </w:tcMar>
            <w:vAlign w:val="center"/>
          </w:tcPr>
          <w:p w14:paraId="65639E37" w14:textId="77777777" w:rsidR="009E7AC2" w:rsidRPr="00C35F8B" w:rsidRDefault="009E7AC2" w:rsidP="009E7AC2">
            <w:pPr>
              <w:tabs>
                <w:tab w:val="decimal" w:pos="1057"/>
              </w:tabs>
              <w:spacing w:before="0"/>
              <w:rPr>
                <w:b/>
                <w:color w:val="000000"/>
              </w:rPr>
            </w:pPr>
            <w:r w:rsidRPr="00C35F8B">
              <w:t>253</w:t>
            </w:r>
          </w:p>
        </w:tc>
      </w:tr>
      <w:tr w:rsidR="009E7AC2" w:rsidRPr="00C35F8B" w14:paraId="34F36055" w14:textId="77777777" w:rsidTr="009E7AC2">
        <w:trPr>
          <w:trHeight w:val="315"/>
        </w:trPr>
        <w:tc>
          <w:tcPr>
            <w:tcW w:w="1705" w:type="dxa"/>
            <w:tcMar>
              <w:top w:w="43" w:type="dxa"/>
              <w:left w:w="115" w:type="dxa"/>
              <w:bottom w:w="43" w:type="dxa"/>
              <w:right w:w="115" w:type="dxa"/>
            </w:tcMar>
            <w:hideMark/>
          </w:tcPr>
          <w:p w14:paraId="1E9236A4" w14:textId="77777777" w:rsidR="009E7AC2" w:rsidRPr="00C35F8B" w:rsidRDefault="009E7AC2" w:rsidP="009E7AC2">
            <w:pPr>
              <w:spacing w:before="0"/>
              <w:rPr>
                <w:b/>
                <w:color w:val="000000"/>
              </w:rPr>
            </w:pPr>
            <w:r w:rsidRPr="00C35F8B">
              <w:rPr>
                <w:color w:val="000000"/>
              </w:rPr>
              <w:t>9–10</w:t>
            </w:r>
          </w:p>
        </w:tc>
        <w:tc>
          <w:tcPr>
            <w:tcW w:w="1530" w:type="dxa"/>
            <w:tcMar>
              <w:top w:w="43" w:type="dxa"/>
              <w:left w:w="115" w:type="dxa"/>
              <w:bottom w:w="43" w:type="dxa"/>
              <w:right w:w="115" w:type="dxa"/>
            </w:tcMar>
            <w:vAlign w:val="center"/>
            <w:hideMark/>
          </w:tcPr>
          <w:p w14:paraId="6A46F6CF" w14:textId="77777777" w:rsidR="009E7AC2" w:rsidRPr="00C35F8B" w:rsidRDefault="009E7AC2" w:rsidP="009E7AC2">
            <w:pPr>
              <w:tabs>
                <w:tab w:val="decimal" w:pos="605"/>
              </w:tabs>
              <w:spacing w:before="0"/>
              <w:rPr>
                <w:b/>
                <w:color w:val="000000"/>
              </w:rPr>
            </w:pPr>
            <w:r w:rsidRPr="00C35F8B">
              <w:t>30.0</w:t>
            </w:r>
          </w:p>
        </w:tc>
        <w:tc>
          <w:tcPr>
            <w:tcW w:w="1620" w:type="dxa"/>
            <w:tcMar>
              <w:top w:w="43" w:type="dxa"/>
              <w:left w:w="115" w:type="dxa"/>
              <w:bottom w:w="43" w:type="dxa"/>
              <w:right w:w="115" w:type="dxa"/>
            </w:tcMar>
            <w:vAlign w:val="center"/>
            <w:hideMark/>
          </w:tcPr>
          <w:p w14:paraId="3F775D1C" w14:textId="77777777" w:rsidR="009E7AC2" w:rsidRPr="00C35F8B" w:rsidRDefault="009E7AC2" w:rsidP="009E7AC2">
            <w:pPr>
              <w:tabs>
                <w:tab w:val="decimal" w:pos="698"/>
              </w:tabs>
              <w:spacing w:before="0"/>
              <w:rPr>
                <w:b/>
                <w:color w:val="000000"/>
              </w:rPr>
            </w:pPr>
            <w:r w:rsidRPr="00C35F8B">
              <w:rPr>
                <w:color w:val="000000"/>
              </w:rPr>
              <w:t>100</w:t>
            </w:r>
          </w:p>
        </w:tc>
        <w:tc>
          <w:tcPr>
            <w:tcW w:w="1530" w:type="dxa"/>
            <w:tcMar>
              <w:top w:w="43" w:type="dxa"/>
              <w:left w:w="115" w:type="dxa"/>
              <w:bottom w:w="43" w:type="dxa"/>
              <w:right w:w="115" w:type="dxa"/>
            </w:tcMar>
            <w:vAlign w:val="center"/>
            <w:hideMark/>
          </w:tcPr>
          <w:p w14:paraId="613BC2F4" w14:textId="77777777" w:rsidR="009E7AC2" w:rsidRPr="00C35F8B" w:rsidRDefault="009E7AC2" w:rsidP="009E7AC2">
            <w:pPr>
              <w:tabs>
                <w:tab w:val="decimal" w:pos="698"/>
              </w:tabs>
              <w:spacing w:before="0"/>
              <w:rPr>
                <w:b/>
                <w:color w:val="000000"/>
              </w:rPr>
            </w:pPr>
            <w:r w:rsidRPr="00C35F8B">
              <w:t>26.5</w:t>
            </w:r>
          </w:p>
        </w:tc>
        <w:tc>
          <w:tcPr>
            <w:tcW w:w="1800" w:type="dxa"/>
            <w:tcMar>
              <w:top w:w="43" w:type="dxa"/>
              <w:left w:w="115" w:type="dxa"/>
              <w:bottom w:w="43" w:type="dxa"/>
              <w:right w:w="115" w:type="dxa"/>
            </w:tcMar>
            <w:vAlign w:val="center"/>
            <w:hideMark/>
          </w:tcPr>
          <w:p w14:paraId="4CB2E4EE" w14:textId="77777777" w:rsidR="009E7AC2" w:rsidRPr="00C35F8B" w:rsidRDefault="009E7AC2" w:rsidP="009E7AC2">
            <w:pPr>
              <w:tabs>
                <w:tab w:val="decimal" w:pos="960"/>
              </w:tabs>
              <w:spacing w:before="0"/>
              <w:rPr>
                <w:b/>
                <w:color w:val="000000"/>
              </w:rPr>
            </w:pPr>
            <w:r w:rsidRPr="00C35F8B">
              <w:t>240</w:t>
            </w:r>
          </w:p>
        </w:tc>
        <w:tc>
          <w:tcPr>
            <w:tcW w:w="1530" w:type="dxa"/>
            <w:tcMar>
              <w:top w:w="43" w:type="dxa"/>
              <w:left w:w="115" w:type="dxa"/>
              <w:bottom w:w="43" w:type="dxa"/>
              <w:right w:w="115" w:type="dxa"/>
            </w:tcMar>
            <w:vAlign w:val="center"/>
            <w:hideMark/>
          </w:tcPr>
          <w:p w14:paraId="06055395" w14:textId="77777777" w:rsidR="009E7AC2" w:rsidRPr="00C35F8B" w:rsidRDefault="009E7AC2" w:rsidP="009E7AC2">
            <w:pPr>
              <w:tabs>
                <w:tab w:val="decimal" w:pos="698"/>
              </w:tabs>
              <w:spacing w:before="0"/>
              <w:rPr>
                <w:b/>
                <w:color w:val="000000"/>
              </w:rPr>
            </w:pPr>
            <w:r w:rsidRPr="00C35F8B">
              <w:t>70.0</w:t>
            </w:r>
          </w:p>
        </w:tc>
        <w:tc>
          <w:tcPr>
            <w:tcW w:w="1530" w:type="dxa"/>
            <w:tcMar>
              <w:top w:w="43" w:type="dxa"/>
              <w:left w:w="115" w:type="dxa"/>
              <w:bottom w:w="43" w:type="dxa"/>
              <w:right w:w="115" w:type="dxa"/>
            </w:tcMar>
            <w:vAlign w:val="center"/>
            <w:hideMark/>
          </w:tcPr>
          <w:p w14:paraId="15643BCC" w14:textId="77777777" w:rsidR="009E7AC2" w:rsidRPr="00C35F8B" w:rsidRDefault="009E7AC2" w:rsidP="009E7AC2">
            <w:pPr>
              <w:tabs>
                <w:tab w:val="decimal" w:pos="698"/>
              </w:tabs>
              <w:spacing w:before="0"/>
              <w:rPr>
                <w:b/>
                <w:color w:val="000000"/>
              </w:rPr>
            </w:pPr>
            <w:r w:rsidRPr="00C35F8B">
              <w:t>43.5</w:t>
            </w:r>
          </w:p>
        </w:tc>
        <w:tc>
          <w:tcPr>
            <w:tcW w:w="1800" w:type="dxa"/>
            <w:tcMar>
              <w:top w:w="43" w:type="dxa"/>
              <w:left w:w="115" w:type="dxa"/>
              <w:bottom w:w="43" w:type="dxa"/>
              <w:right w:w="115" w:type="dxa"/>
            </w:tcMar>
            <w:vAlign w:val="center"/>
          </w:tcPr>
          <w:p w14:paraId="4156AB38" w14:textId="77777777" w:rsidR="009E7AC2" w:rsidRPr="00C35F8B" w:rsidRDefault="009E7AC2" w:rsidP="009E7AC2">
            <w:pPr>
              <w:tabs>
                <w:tab w:val="decimal" w:pos="1057"/>
              </w:tabs>
              <w:spacing w:before="0"/>
              <w:rPr>
                <w:b/>
                <w:color w:val="000000"/>
              </w:rPr>
            </w:pPr>
            <w:r w:rsidRPr="00C35F8B">
              <w:t>258</w:t>
            </w:r>
          </w:p>
        </w:tc>
      </w:tr>
      <w:tr w:rsidR="009E7AC2" w:rsidRPr="00C35F8B" w14:paraId="5FE886ED" w14:textId="77777777" w:rsidTr="009E7AC2">
        <w:trPr>
          <w:trHeight w:val="315"/>
        </w:trPr>
        <w:tc>
          <w:tcPr>
            <w:tcW w:w="1705" w:type="dxa"/>
            <w:hideMark/>
          </w:tcPr>
          <w:p w14:paraId="77C36050" w14:textId="77777777" w:rsidR="009E7AC2" w:rsidRPr="00C35F8B" w:rsidRDefault="009E7AC2" w:rsidP="009E7AC2">
            <w:pPr>
              <w:spacing w:before="0"/>
              <w:rPr>
                <w:b/>
                <w:color w:val="000000"/>
              </w:rPr>
            </w:pPr>
            <w:r w:rsidRPr="00C35F8B">
              <w:rPr>
                <w:color w:val="000000"/>
              </w:rPr>
              <w:t>11–12</w:t>
            </w:r>
          </w:p>
        </w:tc>
        <w:tc>
          <w:tcPr>
            <w:tcW w:w="1530" w:type="dxa"/>
            <w:vAlign w:val="center"/>
            <w:hideMark/>
          </w:tcPr>
          <w:p w14:paraId="1D52C930" w14:textId="77777777" w:rsidR="009E7AC2" w:rsidRPr="00C35F8B" w:rsidRDefault="009E7AC2" w:rsidP="009E7AC2">
            <w:pPr>
              <w:tabs>
                <w:tab w:val="decimal" w:pos="605"/>
              </w:tabs>
              <w:spacing w:before="0"/>
              <w:rPr>
                <w:b/>
                <w:color w:val="000000"/>
              </w:rPr>
            </w:pPr>
            <w:r w:rsidRPr="00C35F8B">
              <w:rPr>
                <w:color w:val="000000"/>
              </w:rPr>
              <w:t>29.9</w:t>
            </w:r>
          </w:p>
        </w:tc>
        <w:tc>
          <w:tcPr>
            <w:tcW w:w="1620" w:type="dxa"/>
            <w:vAlign w:val="center"/>
            <w:hideMark/>
          </w:tcPr>
          <w:p w14:paraId="0BFCEE1D" w14:textId="77777777" w:rsidR="009E7AC2" w:rsidRPr="00C35F8B" w:rsidRDefault="009E7AC2" w:rsidP="009E7AC2">
            <w:pPr>
              <w:tabs>
                <w:tab w:val="decimal" w:pos="698"/>
              </w:tabs>
              <w:spacing w:before="0"/>
              <w:rPr>
                <w:b/>
                <w:color w:val="000000"/>
              </w:rPr>
            </w:pPr>
            <w:r w:rsidRPr="00C35F8B">
              <w:rPr>
                <w:color w:val="000000"/>
              </w:rPr>
              <w:t>100</w:t>
            </w:r>
          </w:p>
        </w:tc>
        <w:tc>
          <w:tcPr>
            <w:tcW w:w="1530" w:type="dxa"/>
            <w:vAlign w:val="center"/>
            <w:hideMark/>
          </w:tcPr>
          <w:p w14:paraId="01478071" w14:textId="77777777" w:rsidR="009E7AC2" w:rsidRPr="00C35F8B" w:rsidRDefault="009E7AC2" w:rsidP="009E7AC2">
            <w:pPr>
              <w:tabs>
                <w:tab w:val="decimal" w:pos="698"/>
              </w:tabs>
              <w:spacing w:before="0"/>
              <w:rPr>
                <w:b/>
                <w:color w:val="000000"/>
              </w:rPr>
            </w:pPr>
            <w:r w:rsidRPr="00C35F8B">
              <w:rPr>
                <w:color w:val="000000"/>
              </w:rPr>
              <w:t>23.6</w:t>
            </w:r>
          </w:p>
        </w:tc>
        <w:tc>
          <w:tcPr>
            <w:tcW w:w="1800" w:type="dxa"/>
            <w:vAlign w:val="center"/>
            <w:hideMark/>
          </w:tcPr>
          <w:p w14:paraId="2F17217B" w14:textId="77777777" w:rsidR="009E7AC2" w:rsidRPr="00C35F8B" w:rsidRDefault="009E7AC2" w:rsidP="009E7AC2">
            <w:pPr>
              <w:tabs>
                <w:tab w:val="decimal" w:pos="960"/>
              </w:tabs>
              <w:spacing w:before="0"/>
              <w:rPr>
                <w:b/>
                <w:color w:val="000000"/>
              </w:rPr>
            </w:pPr>
            <w:r w:rsidRPr="00C35F8B">
              <w:rPr>
                <w:color w:val="000000"/>
              </w:rPr>
              <w:t>240</w:t>
            </w:r>
          </w:p>
        </w:tc>
        <w:tc>
          <w:tcPr>
            <w:tcW w:w="1530" w:type="dxa"/>
            <w:vAlign w:val="center"/>
            <w:hideMark/>
          </w:tcPr>
          <w:p w14:paraId="256C2887" w14:textId="77777777" w:rsidR="009E7AC2" w:rsidRPr="00C35F8B" w:rsidRDefault="009E7AC2" w:rsidP="009E7AC2">
            <w:pPr>
              <w:tabs>
                <w:tab w:val="decimal" w:pos="698"/>
              </w:tabs>
              <w:spacing w:before="0"/>
              <w:rPr>
                <w:b/>
                <w:color w:val="000000"/>
              </w:rPr>
            </w:pPr>
            <w:r w:rsidRPr="00C35F8B">
              <w:t>70.1</w:t>
            </w:r>
          </w:p>
        </w:tc>
        <w:tc>
          <w:tcPr>
            <w:tcW w:w="1530" w:type="dxa"/>
            <w:vAlign w:val="center"/>
            <w:hideMark/>
          </w:tcPr>
          <w:p w14:paraId="415B94E7" w14:textId="77777777" w:rsidR="009E7AC2" w:rsidRPr="00C35F8B" w:rsidRDefault="009E7AC2" w:rsidP="009E7AC2">
            <w:pPr>
              <w:tabs>
                <w:tab w:val="decimal" w:pos="698"/>
              </w:tabs>
              <w:spacing w:before="0"/>
              <w:rPr>
                <w:b/>
                <w:color w:val="000000"/>
              </w:rPr>
            </w:pPr>
            <w:r w:rsidRPr="00C35F8B">
              <w:t>46.5</w:t>
            </w:r>
          </w:p>
        </w:tc>
        <w:tc>
          <w:tcPr>
            <w:tcW w:w="1800" w:type="dxa"/>
            <w:vAlign w:val="center"/>
          </w:tcPr>
          <w:p w14:paraId="716C398B" w14:textId="77777777" w:rsidR="009E7AC2" w:rsidRPr="00C35F8B" w:rsidRDefault="009E7AC2" w:rsidP="009E7AC2">
            <w:pPr>
              <w:tabs>
                <w:tab w:val="decimal" w:pos="1057"/>
              </w:tabs>
              <w:spacing w:before="0"/>
              <w:rPr>
                <w:b/>
                <w:color w:val="000000"/>
              </w:rPr>
            </w:pPr>
            <w:r w:rsidRPr="00C35F8B">
              <w:t>258</w:t>
            </w:r>
          </w:p>
        </w:tc>
      </w:tr>
    </w:tbl>
    <w:p w14:paraId="768D0EA2" w14:textId="77777777" w:rsidR="009E7AC2" w:rsidRPr="00C35F8B" w:rsidRDefault="009E7AC2" w:rsidP="00903D6F">
      <w:pPr>
        <w:spacing w:after="120"/>
        <w:rPr>
          <w:rFonts w:eastAsia="SimSun"/>
          <w:lang w:eastAsia="zh-CN"/>
        </w:rPr>
      </w:pPr>
    </w:p>
    <w:p w14:paraId="1C774335" w14:textId="77777777" w:rsidR="008E16C1" w:rsidRPr="00C35F8B" w:rsidRDefault="008E16C1" w:rsidP="008E16C1">
      <w:pPr>
        <w:spacing w:before="120"/>
        <w:jc w:val="center"/>
        <w:rPr>
          <w:b/>
          <w:iCs/>
          <w:color w:val="000000"/>
          <w:sz w:val="22"/>
          <w:szCs w:val="22"/>
          <w:lang w:eastAsia="ko-KR"/>
        </w:rPr>
      </w:pPr>
      <w:r w:rsidRPr="00C35F8B">
        <w:rPr>
          <w:b/>
          <w:iCs/>
          <w:color w:val="000000"/>
          <w:sz w:val="22"/>
          <w:szCs w:val="22"/>
          <w:lang w:eastAsia="ko-KR"/>
        </w:rPr>
        <w:t>Key</w:t>
      </w:r>
    </w:p>
    <w:tbl>
      <w:tblPr>
        <w:tblStyle w:val="GridTable1Light"/>
        <w:tblW w:w="0" w:type="auto"/>
        <w:tblBorders>
          <w:top w:val="single" w:sz="12" w:space="0" w:color="BFBFBF" w:themeColor="background1" w:themeShade="BF"/>
          <w:left w:val="none" w:sz="0" w:space="0" w:color="auto"/>
          <w:bottom w:val="single" w:sz="12" w:space="0" w:color="D0CECE" w:themeColor="background2" w:themeShade="E6"/>
          <w:right w:val="none" w:sz="0" w:space="0" w:color="auto"/>
          <w:insideH w:val="single" w:sz="12" w:space="0" w:color="999999" w:themeColor="text1" w:themeTint="66"/>
          <w:insideV w:val="none" w:sz="0" w:space="0" w:color="auto"/>
        </w:tblBorders>
        <w:tblLook w:val="04A0" w:firstRow="1" w:lastRow="0" w:firstColumn="1" w:lastColumn="0" w:noHBand="0" w:noVBand="1"/>
        <w:tblCaption w:val="Key"/>
        <w:tblDescription w:val="This table explains the key for Table 1."/>
      </w:tblPr>
      <w:tblGrid>
        <w:gridCol w:w="2970"/>
        <w:gridCol w:w="9980"/>
      </w:tblGrid>
      <w:tr w:rsidR="008E16C1" w:rsidRPr="00C35F8B" w14:paraId="6A73BAB3" w14:textId="77777777" w:rsidTr="007675DC">
        <w:trPr>
          <w:cnfStyle w:val="100000000000" w:firstRow="1" w:lastRow="0" w:firstColumn="0" w:lastColumn="0" w:oddVBand="0" w:evenVBand="0" w:oddHBand="0" w:evenHBand="0" w:firstRowFirstColumn="0" w:firstRowLastColumn="0" w:lastRowFirstColumn="0" w:lastRowLastColumn="0"/>
          <w:cantSplit/>
          <w:trHeight w:val="440"/>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265A0087" w14:textId="77777777" w:rsidR="008E16C1" w:rsidRPr="00C35F8B" w:rsidRDefault="008E16C1" w:rsidP="007675DC">
            <w:pPr>
              <w:rPr>
                <w:iCs/>
                <w:color w:val="000000"/>
                <w:lang w:eastAsia="ko-KR"/>
              </w:rPr>
            </w:pPr>
            <w:r w:rsidRPr="00C35F8B">
              <w:rPr>
                <w:rFonts w:eastAsia="SimSun" w:cs="Calibri"/>
              </w:rPr>
              <w:t>Percentage of Students</w:t>
            </w:r>
          </w:p>
        </w:tc>
        <w:tc>
          <w:tcPr>
            <w:tcW w:w="9980" w:type="dxa"/>
            <w:tcBorders>
              <w:bottom w:val="none" w:sz="0" w:space="0" w:color="auto"/>
            </w:tcBorders>
            <w:vAlign w:val="center"/>
          </w:tcPr>
          <w:p w14:paraId="65D2FE54" w14:textId="77777777" w:rsidR="008E16C1" w:rsidRPr="00C35F8B" w:rsidRDefault="008E16C1" w:rsidP="007675DC">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Percent of students statewide who would be placed at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w:t>
            </w:r>
          </w:p>
        </w:tc>
      </w:tr>
      <w:tr w:rsidR="008E16C1" w:rsidRPr="00C35F8B" w14:paraId="21320F37" w14:textId="77777777" w:rsidTr="007675D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74CE4B3A" w14:textId="77777777" w:rsidR="008E16C1" w:rsidRPr="00C35F8B" w:rsidRDefault="008E16C1" w:rsidP="007675DC">
            <w:pPr>
              <w:rPr>
                <w:iCs/>
                <w:color w:val="000000"/>
                <w:lang w:eastAsia="ko-KR"/>
              </w:rPr>
            </w:pPr>
            <w:r w:rsidRPr="00C35F8B">
              <w:rPr>
                <w:rFonts w:eastAsia="SimSun" w:cs="Calibri"/>
              </w:rPr>
              <w:t>Standard-Setting Scale Threshold Score</w:t>
            </w:r>
          </w:p>
        </w:tc>
        <w:tc>
          <w:tcPr>
            <w:tcW w:w="9980" w:type="dxa"/>
            <w:tcBorders>
              <w:bottom w:val="none" w:sz="0" w:space="0" w:color="auto"/>
            </w:tcBorders>
            <w:vAlign w:val="center"/>
          </w:tcPr>
          <w:p w14:paraId="2928E6FC" w14:textId="77777777" w:rsidR="008E16C1" w:rsidRPr="00C35F8B" w:rsidRDefault="008E16C1" w:rsidP="007675DC">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Minimum standard-setting scale score needed to achieve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 See note below.</w:t>
            </w:r>
          </w:p>
        </w:tc>
      </w:tr>
      <w:tr w:rsidR="008E16C1" w:rsidRPr="00C35F8B" w14:paraId="3C90A04B" w14:textId="77777777" w:rsidTr="007675D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tcBorders>
              <w:bottom w:val="none" w:sz="0" w:space="0" w:color="auto"/>
            </w:tcBorders>
            <w:vAlign w:val="center"/>
          </w:tcPr>
          <w:p w14:paraId="187E7744" w14:textId="77777777" w:rsidR="008E16C1" w:rsidRPr="00C35F8B" w:rsidRDefault="008E16C1" w:rsidP="007675DC">
            <w:pPr>
              <w:rPr>
                <w:iCs/>
                <w:color w:val="000000"/>
                <w:lang w:eastAsia="ko-KR"/>
              </w:rPr>
            </w:pPr>
            <w:r w:rsidRPr="00C35F8B">
              <w:rPr>
                <w:rFonts w:eastAsia="SimSun" w:cs="Calibri"/>
              </w:rPr>
              <w:t>Percentage at or above</w:t>
            </w:r>
          </w:p>
        </w:tc>
        <w:tc>
          <w:tcPr>
            <w:tcW w:w="9980" w:type="dxa"/>
            <w:tcBorders>
              <w:bottom w:val="none" w:sz="0" w:space="0" w:color="auto"/>
            </w:tcBorders>
            <w:vAlign w:val="center"/>
          </w:tcPr>
          <w:p w14:paraId="46B22DB7" w14:textId="77777777" w:rsidR="008E16C1" w:rsidRPr="00C35F8B" w:rsidRDefault="008E16C1" w:rsidP="007675DC">
            <w:pPr>
              <w:cnfStyle w:val="100000000000" w:firstRow="1" w:lastRow="0" w:firstColumn="0" w:lastColumn="0" w:oddVBand="0" w:evenVBand="0" w:oddHBand="0" w:evenHBand="0" w:firstRowFirstColumn="0" w:firstRowLastColumn="0" w:lastRowFirstColumn="0" w:lastRowLastColumn="0"/>
              <w:rPr>
                <w:b w:val="0"/>
                <w:iCs/>
                <w:color w:val="000000"/>
                <w:lang w:eastAsia="ko-KR"/>
              </w:rPr>
            </w:pPr>
            <w:r w:rsidRPr="00C35F8B">
              <w:rPr>
                <w:rFonts w:eastAsia="SimSun" w:cs="Calibri"/>
                <w:b w:val="0"/>
              </w:rPr>
              <w:t xml:space="preserve">Percent of students statewide who would be at and above this performance level </w:t>
            </w:r>
            <w:r w:rsidRPr="00C35F8B">
              <w:rPr>
                <w:rFonts w:eastAsia="SimSun" w:cs="Calibri"/>
                <w:b w:val="0"/>
                <w:noProof/>
              </w:rPr>
              <w:t>on the basis of</w:t>
            </w:r>
            <w:r w:rsidRPr="00C35F8B">
              <w:rPr>
                <w:rFonts w:eastAsia="SimSun" w:cs="Calibri"/>
                <w:b w:val="0"/>
              </w:rPr>
              <w:t xml:space="preserve"> the results of the 2021–22 operational field test administration.</w:t>
            </w:r>
          </w:p>
        </w:tc>
      </w:tr>
    </w:tbl>
    <w:p w14:paraId="13623CC8" w14:textId="77777777" w:rsidR="008E16C1" w:rsidRPr="00C35F8B" w:rsidRDefault="008E16C1" w:rsidP="008E16C1">
      <w:pPr>
        <w:spacing w:before="120"/>
        <w:rPr>
          <w:iCs/>
          <w:color w:val="000000"/>
          <w:lang w:eastAsia="ko-KR"/>
        </w:rPr>
      </w:pPr>
      <w:r w:rsidRPr="00C35F8B">
        <w:rPr>
          <w:color w:val="000000" w:themeColor="text1"/>
          <w:lang w:eastAsia="ko-KR"/>
        </w:rPr>
        <w:t>Notes:</w:t>
      </w:r>
    </w:p>
    <w:p w14:paraId="3AC28ED6" w14:textId="77777777" w:rsidR="00B44804" w:rsidRPr="00C35F8B" w:rsidRDefault="008E16C1" w:rsidP="007068EA">
      <w:pPr>
        <w:pStyle w:val="ListParagraph"/>
        <w:numPr>
          <w:ilvl w:val="0"/>
          <w:numId w:val="32"/>
        </w:numPr>
        <w:spacing w:after="120"/>
        <w:ind w:left="360"/>
        <w:contextualSpacing w:val="0"/>
        <w:rPr>
          <w:sz w:val="20"/>
          <w:szCs w:val="20"/>
        </w:rPr>
      </w:pPr>
      <w:r w:rsidRPr="00C35F8B">
        <w:t xml:space="preserve">Threshold scores are presented on a score scale generated solely for the standard-setting process. Reporting scales will be developed to report scores on the Student Score Report and public reporting. </w:t>
      </w:r>
    </w:p>
    <w:p w14:paraId="54EE7AD6" w14:textId="77777777" w:rsidR="008E16C1" w:rsidRPr="00C35F8B" w:rsidRDefault="008E16C1" w:rsidP="007675DC">
      <w:pPr>
        <w:pStyle w:val="ListParagraph"/>
        <w:numPr>
          <w:ilvl w:val="0"/>
          <w:numId w:val="32"/>
        </w:numPr>
        <w:spacing w:after="120"/>
        <w:ind w:left="360"/>
        <w:rPr>
          <w:sz w:val="20"/>
          <w:szCs w:val="20"/>
        </w:rPr>
      </w:pPr>
      <w:r w:rsidRPr="00C35F8B">
        <w:t>Each level percentages may not sum to 100, due to rounding.</w:t>
      </w:r>
    </w:p>
    <w:p w14:paraId="5BEB4E70" w14:textId="77777777" w:rsidR="007133F8" w:rsidRPr="00C35F8B" w:rsidRDefault="007133F8" w:rsidP="00C24947">
      <w:pPr>
        <w:pStyle w:val="ListParagraph"/>
        <w:sectPr w:rsidR="007133F8" w:rsidRPr="00C35F8B" w:rsidSect="00430D86">
          <w:headerReference w:type="default" r:id="rId42"/>
          <w:footerReference w:type="default" r:id="rId43"/>
          <w:pgSz w:w="15840" w:h="12240" w:orient="landscape"/>
          <w:pgMar w:top="1080" w:right="1440" w:bottom="1080" w:left="1440" w:header="720" w:footer="720" w:gutter="0"/>
          <w:pgNumType w:start="1"/>
          <w:cols w:space="720"/>
          <w:docGrid w:linePitch="360"/>
        </w:sectPr>
      </w:pPr>
    </w:p>
    <w:p w14:paraId="6D2D11B3" w14:textId="77777777" w:rsidR="00C24947" w:rsidRPr="00C35F8B" w:rsidRDefault="00C24947" w:rsidP="003B6B32">
      <w:pPr>
        <w:pStyle w:val="Heading2"/>
        <w:rPr>
          <w:rFonts w:eastAsia="Times New Roman"/>
        </w:rPr>
      </w:pPr>
      <w:r w:rsidRPr="00C35F8B">
        <w:rPr>
          <w:rFonts w:eastAsia="Times New Roman"/>
        </w:rPr>
        <w:lastRenderedPageBreak/>
        <w:t>Alternate English Language Proficiency Assessments for California Standard Setting Panelist Composition</w:t>
      </w:r>
    </w:p>
    <w:p w14:paraId="750CF942" w14:textId="77777777" w:rsidR="00E43693" w:rsidRPr="00C35F8B" w:rsidRDefault="00E43693" w:rsidP="002D2765">
      <w:pPr>
        <w:spacing w:after="240"/>
        <w:rPr>
          <w:rFonts w:eastAsia="Times New Roman" w:cs="Times New Roman"/>
        </w:rPr>
      </w:pPr>
      <w:r w:rsidRPr="00C35F8B">
        <w:rPr>
          <w:rFonts w:eastAsia="Times New Roman" w:cs="Times New Roman"/>
        </w:rPr>
        <w:t>The following tables provide information on the panelist composition of the February</w:t>
      </w:r>
      <w:r w:rsidR="00C24947" w:rsidRPr="00C35F8B">
        <w:rPr>
          <w:rFonts w:eastAsia="Times New Roman" w:cs="Times New Roman"/>
        </w:rPr>
        <w:t xml:space="preserve"> and </w:t>
      </w:r>
      <w:r w:rsidRPr="00C35F8B">
        <w:rPr>
          <w:rFonts w:eastAsia="Times New Roman" w:cs="Times New Roman"/>
        </w:rPr>
        <w:t>March Alternate English Language Proficiency Assessments for California (ELPAC) Standard Setting Workshop.</w:t>
      </w:r>
    </w:p>
    <w:p w14:paraId="0DC35549" w14:textId="77777777" w:rsidR="00E43693" w:rsidRPr="00C35F8B" w:rsidRDefault="00E43693" w:rsidP="003B6B32">
      <w:pPr>
        <w:pStyle w:val="Heading3"/>
        <w:rPr>
          <w:rFonts w:eastAsia="Times New Roman"/>
          <w:sz w:val="32"/>
          <w:szCs w:val="32"/>
        </w:rPr>
      </w:pPr>
      <w:r w:rsidRPr="00C35F8B">
        <w:rPr>
          <w:rFonts w:eastAsia="Times New Roman"/>
          <w:sz w:val="32"/>
          <w:szCs w:val="32"/>
        </w:rPr>
        <w:t>Description of 2022 Standard Setting Panelists</w:t>
      </w:r>
    </w:p>
    <w:p w14:paraId="19AB922F" w14:textId="34B431F1" w:rsidR="00E43693" w:rsidRPr="00C35F8B" w:rsidRDefault="753596EE" w:rsidP="002D2765">
      <w:pPr>
        <w:spacing w:after="240"/>
        <w:rPr>
          <w:rFonts w:eastAsia="Arial"/>
          <w:color w:val="000000"/>
        </w:rPr>
      </w:pPr>
      <w:r w:rsidRPr="00C35F8B">
        <w:rPr>
          <w:rFonts w:eastAsia="Times New Roman"/>
        </w:rPr>
        <w:t xml:space="preserve">The Alternate ELPAC Standard Setting Workshop educator panelists provided information to the California Department of Education about their experience and background prior to the workshop. </w:t>
      </w:r>
      <w:r w:rsidR="240AE4EA" w:rsidRPr="00C35F8B">
        <w:rPr>
          <w:rFonts w:eastAsia="Times New Roman"/>
        </w:rPr>
        <w:t xml:space="preserve">As indicated in table 1 through table 8, the 44 educator panelists were a diverse group and representative of the state of California. </w:t>
      </w:r>
      <w:r w:rsidR="240AE4EA" w:rsidRPr="00C35F8B">
        <w:rPr>
          <w:rFonts w:eastAsia="Calibri"/>
        </w:rPr>
        <w:t xml:space="preserve">Nine educators participated on </w:t>
      </w:r>
      <w:r w:rsidR="28DC1458" w:rsidRPr="00C35F8B">
        <w:rPr>
          <w:rFonts w:eastAsia="Calibri"/>
        </w:rPr>
        <w:t xml:space="preserve">more than one </w:t>
      </w:r>
      <w:r w:rsidR="240AE4EA" w:rsidRPr="00C35F8B">
        <w:rPr>
          <w:rFonts w:eastAsia="Calibri"/>
        </w:rPr>
        <w:t xml:space="preserve">grade-level panel. </w:t>
      </w:r>
      <w:r w:rsidR="240AE4EA" w:rsidRPr="00C35F8B">
        <w:rPr>
          <w:rFonts w:eastAsia="Times New Roman"/>
        </w:rPr>
        <w:t xml:space="preserve">Panelists represented the three main regions of the state, had varied ethnicities, and included perspectives of special education teachers, English learner (EL) teachers and coaches, classroom teachers, and local educational agency or county office employees. Additionally, these panelists brought their familiarity with the breadth and depth of the </w:t>
      </w:r>
      <w:hyperlink r:id="rId44" w:tooltip="This link opens the 2012 California English Language Development (ELD) Standards.">
        <w:r w:rsidR="240AE4EA" w:rsidRPr="00C35F8B">
          <w:rPr>
            <w:rFonts w:eastAsia="Times New Roman"/>
            <w:color w:val="0000FF"/>
            <w:u w:val="single"/>
          </w:rPr>
          <w:t>2012 California English Language Development (ELD) Standards</w:t>
        </w:r>
      </w:hyperlink>
      <w:r w:rsidR="240AE4EA" w:rsidRPr="00C35F8B">
        <w:rPr>
          <w:rFonts w:eastAsia="Times New Roman"/>
        </w:rPr>
        <w:t>, and experience in teaching students eligible to take the Alternate ELPAC,</w:t>
      </w:r>
      <w:r w:rsidRPr="00C35F8B">
        <w:rPr>
          <w:rFonts w:eastAsia="Times New Roman"/>
        </w:rPr>
        <w:t xml:space="preserve"> to the work conducted during the standard setting workshop.</w:t>
      </w:r>
    </w:p>
    <w:p w14:paraId="6613E58C" w14:textId="77777777" w:rsidR="00C24947" w:rsidRPr="00C35F8B" w:rsidRDefault="00C24947" w:rsidP="00C24947">
      <w:pPr>
        <w:tabs>
          <w:tab w:val="left" w:pos="2520"/>
        </w:tabs>
        <w:spacing w:before="240" w:after="120"/>
        <w:rPr>
          <w:rFonts w:eastAsia="Times New Roman"/>
        </w:rPr>
      </w:pPr>
      <w:bookmarkStart w:id="1" w:name="_Ref99372082"/>
      <w:r w:rsidRPr="00C35F8B">
        <w:rPr>
          <w:rFonts w:eastAsia="Times New Roman"/>
        </w:rPr>
        <w:t xml:space="preserve">Table </w:t>
      </w:r>
      <w:r w:rsidRPr="00C35F8B">
        <w:rPr>
          <w:rFonts w:eastAsia="Times New Roman"/>
          <w:color w:val="2B579A"/>
          <w:shd w:val="clear" w:color="auto" w:fill="E6E6E6"/>
        </w:rPr>
        <w:fldChar w:fldCharType="begin"/>
      </w:r>
      <w:r w:rsidRPr="00C35F8B">
        <w:rPr>
          <w:rFonts w:eastAsia="Times New Roman"/>
        </w:rPr>
        <w:instrText xml:space="preserve"> SEQ Table \* ARABIC </w:instrText>
      </w:r>
      <w:r w:rsidRPr="00C35F8B">
        <w:rPr>
          <w:rFonts w:eastAsia="Times New Roman"/>
          <w:color w:val="2B579A"/>
          <w:shd w:val="clear" w:color="auto" w:fill="E6E6E6"/>
        </w:rPr>
        <w:fldChar w:fldCharType="separate"/>
      </w:r>
      <w:r w:rsidRPr="00C35F8B">
        <w:rPr>
          <w:rFonts w:eastAsia="Times New Roman"/>
          <w:noProof/>
        </w:rPr>
        <w:t>1</w:t>
      </w:r>
      <w:r w:rsidRPr="00C35F8B">
        <w:rPr>
          <w:rFonts w:eastAsia="Times New Roman"/>
          <w:noProof/>
          <w:color w:val="2B579A"/>
          <w:shd w:val="clear" w:color="auto" w:fill="E6E6E6"/>
        </w:rPr>
        <w:fldChar w:fldCharType="end"/>
      </w:r>
      <w:bookmarkEnd w:id="1"/>
      <w:r w:rsidRPr="00C35F8B">
        <w:rPr>
          <w:rFonts w:eastAsia="Times New Roman"/>
        </w:rPr>
        <w:t>. Number and Percent of Panelists by Gender</w:t>
      </w:r>
    </w:p>
    <w:tbl>
      <w:tblPr>
        <w:tblStyle w:val="TableGrid3"/>
        <w:tblW w:w="0" w:type="auto"/>
        <w:tblInd w:w="7" w:type="dxa"/>
        <w:tblLayout w:type="fixed"/>
        <w:tblLook w:val="04A0" w:firstRow="1" w:lastRow="0" w:firstColumn="1" w:lastColumn="0" w:noHBand="0" w:noVBand="1"/>
        <w:tblDescription w:val="Number and Percent of Panelists by Gender"/>
      </w:tblPr>
      <w:tblGrid>
        <w:gridCol w:w="1152"/>
        <w:gridCol w:w="2883"/>
        <w:gridCol w:w="2883"/>
      </w:tblGrid>
      <w:tr w:rsidR="00C24947" w:rsidRPr="00C35F8B" w14:paraId="0171589E" w14:textId="77777777" w:rsidTr="00C24947">
        <w:trPr>
          <w:cantSplit/>
          <w:trHeight w:val="206"/>
          <w:tblHeader/>
        </w:trPr>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A08D9" w14:textId="77777777" w:rsidR="00C24947" w:rsidRPr="00C35F8B" w:rsidRDefault="00C24947" w:rsidP="00C24947">
            <w:pPr>
              <w:spacing w:before="0"/>
              <w:jc w:val="center"/>
              <w:rPr>
                <w:rFonts w:eastAsia="Times New Roman"/>
                <w:b/>
                <w:color w:val="D9D9D9"/>
              </w:rPr>
            </w:pPr>
            <w:bookmarkStart w:id="2" w:name="_Hlk99128247"/>
            <w:r w:rsidRPr="00C35F8B">
              <w:rPr>
                <w:rFonts w:eastAsia="Times New Roman"/>
                <w:b/>
                <w:color w:val="000000"/>
              </w:rPr>
              <w:t>Gender</w:t>
            </w:r>
          </w:p>
        </w:tc>
        <w:tc>
          <w:tcPr>
            <w:tcW w:w="28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123045" w14:textId="77777777" w:rsidR="00C24947" w:rsidRPr="00C35F8B" w:rsidRDefault="00C24947" w:rsidP="00C24947">
            <w:pPr>
              <w:spacing w:before="0"/>
              <w:jc w:val="center"/>
              <w:rPr>
                <w:rFonts w:eastAsia="Times New Roman"/>
                <w:b/>
                <w:color w:val="000000"/>
              </w:rPr>
            </w:pPr>
            <w:r w:rsidRPr="00C35F8B">
              <w:rPr>
                <w:rFonts w:eastAsia="Times New Roman"/>
                <w:b/>
                <w:color w:val="000000"/>
              </w:rPr>
              <w:t>Number of Panelists</w:t>
            </w:r>
          </w:p>
        </w:tc>
        <w:tc>
          <w:tcPr>
            <w:tcW w:w="28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D28CD3" w14:textId="77777777" w:rsidR="00C24947" w:rsidRPr="00C35F8B" w:rsidRDefault="00C24947" w:rsidP="00C24947">
            <w:pPr>
              <w:spacing w:before="0"/>
              <w:jc w:val="center"/>
              <w:rPr>
                <w:rFonts w:eastAsia="Times New Roman"/>
                <w:b/>
                <w:color w:val="000000"/>
              </w:rPr>
            </w:pPr>
            <w:r w:rsidRPr="00C35F8B">
              <w:rPr>
                <w:rFonts w:eastAsia="Times New Roman"/>
                <w:b/>
                <w:color w:val="000000"/>
              </w:rPr>
              <w:t>Percent of Panelists</w:t>
            </w:r>
          </w:p>
        </w:tc>
      </w:tr>
      <w:tr w:rsidR="00C24947" w:rsidRPr="00C35F8B" w14:paraId="73E1ECF1" w14:textId="77777777" w:rsidTr="00C24947">
        <w:trPr>
          <w:cantSplit/>
        </w:trPr>
        <w:tc>
          <w:tcPr>
            <w:tcW w:w="1152" w:type="dxa"/>
            <w:tcBorders>
              <w:top w:val="single" w:sz="4" w:space="0" w:color="auto"/>
              <w:left w:val="single" w:sz="4" w:space="0" w:color="auto"/>
              <w:bottom w:val="single" w:sz="4" w:space="0" w:color="auto"/>
              <w:right w:val="single" w:sz="4" w:space="0" w:color="auto"/>
            </w:tcBorders>
            <w:noWrap/>
            <w:vAlign w:val="center"/>
            <w:hideMark/>
          </w:tcPr>
          <w:p w14:paraId="74615054" w14:textId="77777777" w:rsidR="00C24947" w:rsidRPr="00C35F8B" w:rsidRDefault="00C24947" w:rsidP="00C24947">
            <w:pPr>
              <w:spacing w:before="0"/>
              <w:rPr>
                <w:rFonts w:eastAsia="Times New Roman"/>
                <w:color w:val="000000"/>
              </w:rPr>
            </w:pPr>
            <w:r w:rsidRPr="00C35F8B">
              <w:rPr>
                <w:rFonts w:eastAsia="Times New Roman"/>
                <w:color w:val="000000"/>
              </w:rPr>
              <w:t>Female</w:t>
            </w:r>
          </w:p>
        </w:tc>
        <w:tc>
          <w:tcPr>
            <w:tcW w:w="2883" w:type="dxa"/>
            <w:tcBorders>
              <w:top w:val="single" w:sz="4" w:space="0" w:color="auto"/>
              <w:left w:val="single" w:sz="4" w:space="0" w:color="auto"/>
              <w:bottom w:val="single" w:sz="4" w:space="0" w:color="auto"/>
              <w:right w:val="single" w:sz="4" w:space="0" w:color="auto"/>
            </w:tcBorders>
            <w:noWrap/>
            <w:vAlign w:val="bottom"/>
            <w:hideMark/>
          </w:tcPr>
          <w:p w14:paraId="5453A9CA" w14:textId="77777777" w:rsidR="00C24947" w:rsidRPr="00C35F8B" w:rsidRDefault="00C24947" w:rsidP="00C24947">
            <w:pPr>
              <w:tabs>
                <w:tab w:val="decimal" w:pos="1429"/>
              </w:tabs>
              <w:spacing w:before="0"/>
              <w:rPr>
                <w:rFonts w:eastAsia="Times New Roman"/>
                <w:color w:val="000000"/>
              </w:rPr>
            </w:pPr>
            <w:r w:rsidRPr="00C35F8B">
              <w:rPr>
                <w:rFonts w:eastAsia="Times New Roman"/>
                <w:color w:val="000000"/>
              </w:rPr>
              <w:t>39</w:t>
            </w:r>
          </w:p>
        </w:tc>
        <w:tc>
          <w:tcPr>
            <w:tcW w:w="2883" w:type="dxa"/>
            <w:tcBorders>
              <w:top w:val="single" w:sz="4" w:space="0" w:color="auto"/>
              <w:left w:val="single" w:sz="4" w:space="0" w:color="auto"/>
              <w:bottom w:val="single" w:sz="4" w:space="0" w:color="auto"/>
              <w:right w:val="single" w:sz="4" w:space="0" w:color="auto"/>
            </w:tcBorders>
            <w:noWrap/>
            <w:vAlign w:val="bottom"/>
            <w:hideMark/>
          </w:tcPr>
          <w:p w14:paraId="28A598C1" w14:textId="77777777" w:rsidR="00C24947" w:rsidRPr="00C35F8B" w:rsidRDefault="00C24947" w:rsidP="00C24947">
            <w:pPr>
              <w:tabs>
                <w:tab w:val="decimal" w:pos="1429"/>
              </w:tabs>
              <w:spacing w:before="0"/>
              <w:rPr>
                <w:rFonts w:eastAsia="Times New Roman"/>
                <w:color w:val="000000"/>
              </w:rPr>
            </w:pPr>
            <w:r w:rsidRPr="00C35F8B">
              <w:rPr>
                <w:rFonts w:eastAsia="Times New Roman"/>
                <w:color w:val="000000"/>
              </w:rPr>
              <w:t>89</w:t>
            </w:r>
          </w:p>
        </w:tc>
      </w:tr>
      <w:tr w:rsidR="00C24947" w:rsidRPr="00C35F8B" w14:paraId="4F294007" w14:textId="77777777" w:rsidTr="00C24947">
        <w:trPr>
          <w:cantSplit/>
        </w:trPr>
        <w:tc>
          <w:tcPr>
            <w:tcW w:w="1152" w:type="dxa"/>
            <w:tcBorders>
              <w:top w:val="single" w:sz="4" w:space="0" w:color="auto"/>
              <w:left w:val="single" w:sz="4" w:space="0" w:color="auto"/>
              <w:bottom w:val="single" w:sz="4" w:space="0" w:color="auto"/>
              <w:right w:val="single" w:sz="4" w:space="0" w:color="auto"/>
            </w:tcBorders>
            <w:noWrap/>
            <w:vAlign w:val="center"/>
            <w:hideMark/>
          </w:tcPr>
          <w:p w14:paraId="3D4BC8AC" w14:textId="77777777" w:rsidR="00C24947" w:rsidRPr="00C35F8B" w:rsidRDefault="00C24947" w:rsidP="00C24947">
            <w:pPr>
              <w:spacing w:before="0"/>
              <w:rPr>
                <w:rFonts w:eastAsia="Times New Roman"/>
                <w:color w:val="000000"/>
              </w:rPr>
            </w:pPr>
            <w:r w:rsidRPr="00C35F8B">
              <w:rPr>
                <w:rFonts w:eastAsia="Times New Roman"/>
                <w:color w:val="000000"/>
              </w:rPr>
              <w:t>Male</w:t>
            </w:r>
          </w:p>
        </w:tc>
        <w:tc>
          <w:tcPr>
            <w:tcW w:w="2883" w:type="dxa"/>
            <w:tcBorders>
              <w:top w:val="single" w:sz="4" w:space="0" w:color="auto"/>
              <w:left w:val="single" w:sz="4" w:space="0" w:color="auto"/>
              <w:bottom w:val="single" w:sz="4" w:space="0" w:color="auto"/>
              <w:right w:val="single" w:sz="4" w:space="0" w:color="auto"/>
            </w:tcBorders>
            <w:noWrap/>
            <w:vAlign w:val="bottom"/>
            <w:hideMark/>
          </w:tcPr>
          <w:p w14:paraId="1F5E3059" w14:textId="77777777" w:rsidR="00C24947" w:rsidRPr="00C35F8B" w:rsidRDefault="00C24947" w:rsidP="00C24947">
            <w:pPr>
              <w:tabs>
                <w:tab w:val="decimal" w:pos="1429"/>
              </w:tabs>
              <w:spacing w:before="0"/>
              <w:rPr>
                <w:rFonts w:eastAsia="Times New Roman"/>
                <w:color w:val="000000"/>
              </w:rPr>
            </w:pPr>
            <w:r w:rsidRPr="00C35F8B">
              <w:rPr>
                <w:rFonts w:eastAsia="Times New Roman"/>
                <w:color w:val="000000"/>
              </w:rPr>
              <w:t>5</w:t>
            </w:r>
          </w:p>
        </w:tc>
        <w:tc>
          <w:tcPr>
            <w:tcW w:w="2883" w:type="dxa"/>
            <w:tcBorders>
              <w:top w:val="single" w:sz="4" w:space="0" w:color="auto"/>
              <w:left w:val="single" w:sz="4" w:space="0" w:color="auto"/>
              <w:bottom w:val="single" w:sz="4" w:space="0" w:color="auto"/>
              <w:right w:val="single" w:sz="4" w:space="0" w:color="auto"/>
            </w:tcBorders>
            <w:noWrap/>
            <w:vAlign w:val="bottom"/>
            <w:hideMark/>
          </w:tcPr>
          <w:p w14:paraId="7B719335" w14:textId="77777777" w:rsidR="00C24947" w:rsidRPr="00C35F8B" w:rsidRDefault="00C24947" w:rsidP="00C24947">
            <w:pPr>
              <w:tabs>
                <w:tab w:val="decimal" w:pos="1429"/>
              </w:tabs>
              <w:spacing w:before="0"/>
              <w:rPr>
                <w:rFonts w:eastAsia="Times New Roman"/>
                <w:color w:val="000000"/>
              </w:rPr>
            </w:pPr>
            <w:r w:rsidRPr="00C35F8B">
              <w:rPr>
                <w:rFonts w:eastAsia="Times New Roman"/>
                <w:color w:val="000000"/>
              </w:rPr>
              <w:t>11</w:t>
            </w:r>
          </w:p>
        </w:tc>
      </w:tr>
      <w:tr w:rsidR="00C24947" w:rsidRPr="00C35F8B" w14:paraId="3746A721" w14:textId="77777777" w:rsidTr="00C24947">
        <w:trPr>
          <w:cantSplit/>
        </w:trPr>
        <w:tc>
          <w:tcPr>
            <w:tcW w:w="1152" w:type="dxa"/>
            <w:tcBorders>
              <w:top w:val="single" w:sz="4" w:space="0" w:color="auto"/>
              <w:left w:val="single" w:sz="4" w:space="0" w:color="auto"/>
              <w:bottom w:val="single" w:sz="4" w:space="0" w:color="auto"/>
              <w:right w:val="single" w:sz="4" w:space="0" w:color="auto"/>
            </w:tcBorders>
            <w:noWrap/>
            <w:vAlign w:val="center"/>
            <w:hideMark/>
          </w:tcPr>
          <w:p w14:paraId="7C8A3C68" w14:textId="77777777" w:rsidR="00C24947" w:rsidRPr="00C35F8B" w:rsidRDefault="00C24947" w:rsidP="00C24947">
            <w:pPr>
              <w:spacing w:before="0"/>
              <w:rPr>
                <w:rFonts w:eastAsia="Times New Roman"/>
                <w:b/>
                <w:color w:val="000000"/>
              </w:rPr>
            </w:pPr>
            <w:r w:rsidRPr="00C35F8B">
              <w:rPr>
                <w:rFonts w:eastAsia="Times New Roman"/>
                <w:b/>
                <w:color w:val="000000"/>
              </w:rPr>
              <w:t>Total</w:t>
            </w:r>
          </w:p>
        </w:tc>
        <w:tc>
          <w:tcPr>
            <w:tcW w:w="2883" w:type="dxa"/>
            <w:tcBorders>
              <w:top w:val="single" w:sz="4" w:space="0" w:color="auto"/>
              <w:left w:val="single" w:sz="4" w:space="0" w:color="auto"/>
              <w:bottom w:val="single" w:sz="4" w:space="0" w:color="auto"/>
              <w:right w:val="single" w:sz="4" w:space="0" w:color="auto"/>
            </w:tcBorders>
            <w:noWrap/>
            <w:vAlign w:val="bottom"/>
            <w:hideMark/>
          </w:tcPr>
          <w:p w14:paraId="5E3C6940" w14:textId="77777777" w:rsidR="00C24947" w:rsidRPr="00C35F8B" w:rsidRDefault="00C24947" w:rsidP="00C24947">
            <w:pPr>
              <w:tabs>
                <w:tab w:val="decimal" w:pos="1429"/>
              </w:tabs>
              <w:spacing w:before="0"/>
              <w:rPr>
                <w:rFonts w:eastAsia="Times New Roman"/>
                <w:b/>
                <w:bCs/>
                <w:color w:val="000000"/>
              </w:rPr>
            </w:pPr>
            <w:r w:rsidRPr="00C35F8B">
              <w:rPr>
                <w:rFonts w:eastAsia="Times New Roman"/>
                <w:b/>
                <w:bCs/>
                <w:color w:val="000000"/>
              </w:rPr>
              <w:t>44</w:t>
            </w:r>
          </w:p>
        </w:tc>
        <w:tc>
          <w:tcPr>
            <w:tcW w:w="2883" w:type="dxa"/>
            <w:tcBorders>
              <w:top w:val="single" w:sz="4" w:space="0" w:color="auto"/>
              <w:left w:val="single" w:sz="4" w:space="0" w:color="auto"/>
              <w:bottom w:val="single" w:sz="4" w:space="0" w:color="auto"/>
              <w:right w:val="single" w:sz="4" w:space="0" w:color="auto"/>
            </w:tcBorders>
            <w:noWrap/>
            <w:vAlign w:val="bottom"/>
            <w:hideMark/>
          </w:tcPr>
          <w:p w14:paraId="4E9EA5AC" w14:textId="77777777" w:rsidR="00C24947" w:rsidRPr="00C35F8B" w:rsidRDefault="00C24947" w:rsidP="00C24947">
            <w:pPr>
              <w:tabs>
                <w:tab w:val="decimal" w:pos="1429"/>
              </w:tabs>
              <w:spacing w:before="0"/>
              <w:rPr>
                <w:rFonts w:eastAsia="Times New Roman"/>
                <w:b/>
                <w:bCs/>
                <w:color w:val="000000"/>
              </w:rPr>
            </w:pPr>
            <w:r w:rsidRPr="00C35F8B">
              <w:rPr>
                <w:rFonts w:eastAsia="Times New Roman"/>
                <w:b/>
                <w:bCs/>
                <w:color w:val="000000"/>
              </w:rPr>
              <w:t>100</w:t>
            </w:r>
          </w:p>
        </w:tc>
      </w:tr>
    </w:tbl>
    <w:bookmarkEnd w:id="2"/>
    <w:p w14:paraId="2C866931" w14:textId="77777777" w:rsidR="00C24947" w:rsidRPr="00C35F8B" w:rsidRDefault="00C24947" w:rsidP="00C24947">
      <w:pPr>
        <w:keepNext/>
        <w:tabs>
          <w:tab w:val="left" w:pos="2520"/>
        </w:tabs>
        <w:spacing w:before="240" w:after="120"/>
        <w:rPr>
          <w:rFonts w:eastAsia="Times New Roman"/>
        </w:rPr>
      </w:pPr>
      <w:r w:rsidRPr="00C35F8B">
        <w:rPr>
          <w:rFonts w:eastAsia="Times New Roman"/>
        </w:rPr>
        <w:t xml:space="preserve">Table </w:t>
      </w:r>
      <w:r w:rsidRPr="00C35F8B">
        <w:rPr>
          <w:rFonts w:eastAsia="Times New Roman"/>
          <w:color w:val="2B579A"/>
          <w:shd w:val="clear" w:color="auto" w:fill="E6E6E6"/>
        </w:rPr>
        <w:fldChar w:fldCharType="begin"/>
      </w:r>
      <w:r w:rsidRPr="00C35F8B">
        <w:rPr>
          <w:rFonts w:eastAsia="Times New Roman"/>
        </w:rPr>
        <w:instrText xml:space="preserve"> SEQ Table \* ARABIC </w:instrText>
      </w:r>
      <w:r w:rsidRPr="00C35F8B">
        <w:rPr>
          <w:rFonts w:eastAsia="Times New Roman"/>
          <w:color w:val="2B579A"/>
          <w:shd w:val="clear" w:color="auto" w:fill="E6E6E6"/>
        </w:rPr>
        <w:fldChar w:fldCharType="separate"/>
      </w:r>
      <w:r w:rsidRPr="00C35F8B">
        <w:rPr>
          <w:rFonts w:eastAsia="Times New Roman"/>
          <w:noProof/>
        </w:rPr>
        <w:t>2</w:t>
      </w:r>
      <w:r w:rsidRPr="00C35F8B">
        <w:rPr>
          <w:rFonts w:eastAsia="Times New Roman"/>
          <w:noProof/>
          <w:color w:val="2B579A"/>
          <w:shd w:val="clear" w:color="auto" w:fill="E6E6E6"/>
        </w:rPr>
        <w:fldChar w:fldCharType="end"/>
      </w:r>
      <w:r w:rsidRPr="00C35F8B">
        <w:rPr>
          <w:rFonts w:eastAsia="Times New Roman"/>
        </w:rPr>
        <w:t>. Number and Percent of Panelists by Race or Ethnicity</w:t>
      </w:r>
    </w:p>
    <w:tbl>
      <w:tblPr>
        <w:tblStyle w:val="TableGrid21"/>
        <w:tblW w:w="0" w:type="auto"/>
        <w:tblInd w:w="0" w:type="dxa"/>
        <w:tblLayout w:type="fixed"/>
        <w:tblLook w:val="04A0" w:firstRow="1" w:lastRow="0" w:firstColumn="1" w:lastColumn="0" w:noHBand="0" w:noVBand="1"/>
        <w:tblDescription w:val="Number and Percent of Panelists by Race or Ethnicity"/>
      </w:tblPr>
      <w:tblGrid>
        <w:gridCol w:w="3744"/>
        <w:gridCol w:w="2715"/>
        <w:gridCol w:w="2716"/>
      </w:tblGrid>
      <w:tr w:rsidR="00C24947" w:rsidRPr="00C35F8B" w14:paraId="021180C6" w14:textId="77777777" w:rsidTr="00C24947">
        <w:trPr>
          <w:cantSplit/>
          <w:tblHeader/>
        </w:trPr>
        <w:tc>
          <w:tcPr>
            <w:tcW w:w="37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E4C3A" w14:textId="77777777" w:rsidR="00C24947" w:rsidRPr="00C35F8B" w:rsidRDefault="00C24947" w:rsidP="00C24947">
            <w:pPr>
              <w:keepNext/>
              <w:keepLines/>
              <w:jc w:val="center"/>
              <w:rPr>
                <w:rFonts w:ascii="Arial" w:eastAsia="Times New Roman" w:hAnsi="Arial" w:cs="Arial"/>
                <w:b/>
                <w:bCs/>
                <w:color w:val="000000"/>
                <w:sz w:val="24"/>
                <w:szCs w:val="24"/>
                <w:vertAlign w:val="superscript"/>
              </w:rPr>
            </w:pPr>
            <w:r w:rsidRPr="00C35F8B">
              <w:rPr>
                <w:rFonts w:ascii="Arial" w:eastAsia="Times New Roman" w:hAnsi="Arial" w:cs="Arial"/>
                <w:b/>
                <w:bCs/>
                <w:color w:val="000000"/>
                <w:sz w:val="24"/>
                <w:szCs w:val="24"/>
              </w:rPr>
              <w:t>Race or Ethnicity</w:t>
            </w:r>
          </w:p>
        </w:tc>
        <w:tc>
          <w:tcPr>
            <w:tcW w:w="27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3F1539" w14:textId="77777777" w:rsidR="00C24947" w:rsidRPr="00C35F8B" w:rsidRDefault="00C24947" w:rsidP="00C24947">
            <w:pPr>
              <w:keepNext/>
              <w:keepLines/>
              <w:jc w:val="cente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Number of Panelists</w:t>
            </w:r>
          </w:p>
        </w:tc>
        <w:tc>
          <w:tcPr>
            <w:tcW w:w="27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1E28D6" w14:textId="77777777" w:rsidR="00C24947" w:rsidRPr="00C35F8B" w:rsidRDefault="00C24947" w:rsidP="00C24947">
            <w:pPr>
              <w:keepNext/>
              <w:keepLines/>
              <w:jc w:val="cente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Percent of Panelists</w:t>
            </w:r>
          </w:p>
        </w:tc>
      </w:tr>
      <w:tr w:rsidR="00C24947" w:rsidRPr="00C35F8B" w14:paraId="1D3B2796" w14:textId="77777777" w:rsidTr="00C24947">
        <w:trPr>
          <w:cantSplit/>
        </w:trPr>
        <w:tc>
          <w:tcPr>
            <w:tcW w:w="3744" w:type="dxa"/>
            <w:tcBorders>
              <w:top w:val="single" w:sz="4" w:space="0" w:color="auto"/>
              <w:left w:val="single" w:sz="4" w:space="0" w:color="auto"/>
              <w:bottom w:val="single" w:sz="4" w:space="0" w:color="auto"/>
              <w:right w:val="single" w:sz="4" w:space="0" w:color="auto"/>
            </w:tcBorders>
            <w:hideMark/>
          </w:tcPr>
          <w:p w14:paraId="7485D609" w14:textId="77777777" w:rsidR="00C24947" w:rsidRPr="00C35F8B" w:rsidRDefault="00C24947" w:rsidP="00C24947">
            <w:pPr>
              <w:keepNext/>
              <w:keepLines/>
              <w:rPr>
                <w:rFonts w:ascii="Arial" w:eastAsia="Times New Roman" w:hAnsi="Arial" w:cs="Arial"/>
                <w:sz w:val="24"/>
                <w:szCs w:val="24"/>
              </w:rPr>
            </w:pPr>
            <w:r w:rsidRPr="00C35F8B">
              <w:rPr>
                <w:rFonts w:ascii="Arial" w:eastAsia="Times New Roman" w:hAnsi="Arial" w:cs="Arial"/>
                <w:sz w:val="24"/>
                <w:szCs w:val="24"/>
              </w:rPr>
              <w:t>America Indian or Alaska Native</w:t>
            </w:r>
          </w:p>
        </w:tc>
        <w:tc>
          <w:tcPr>
            <w:tcW w:w="2715" w:type="dxa"/>
            <w:tcBorders>
              <w:top w:val="single" w:sz="4" w:space="0" w:color="auto"/>
              <w:left w:val="single" w:sz="4" w:space="0" w:color="auto"/>
              <w:bottom w:val="single" w:sz="4" w:space="0" w:color="auto"/>
              <w:right w:val="single" w:sz="4" w:space="0" w:color="auto"/>
            </w:tcBorders>
            <w:vAlign w:val="bottom"/>
            <w:hideMark/>
          </w:tcPr>
          <w:p w14:paraId="4D711A9F" w14:textId="77777777" w:rsidR="00C24947" w:rsidRPr="00C35F8B" w:rsidRDefault="00C24947" w:rsidP="00C24947">
            <w:pPr>
              <w:keepNext/>
              <w:keepLines/>
              <w:tabs>
                <w:tab w:val="decimal" w:pos="1360"/>
              </w:tabs>
              <w:rPr>
                <w:rFonts w:ascii="Arial" w:eastAsia="Times New Roman" w:hAnsi="Arial" w:cs="Arial"/>
                <w:color w:val="000000"/>
                <w:sz w:val="24"/>
                <w:szCs w:val="24"/>
              </w:rPr>
            </w:pPr>
            <w:r w:rsidRPr="00C35F8B">
              <w:rPr>
                <w:rFonts w:ascii="Arial" w:eastAsia="Times New Roman" w:hAnsi="Arial" w:cs="Arial"/>
                <w:color w:val="000000"/>
                <w:sz w:val="24"/>
                <w:szCs w:val="24"/>
              </w:rPr>
              <w:t>4</w:t>
            </w:r>
          </w:p>
        </w:tc>
        <w:tc>
          <w:tcPr>
            <w:tcW w:w="2716" w:type="dxa"/>
            <w:tcBorders>
              <w:top w:val="single" w:sz="4" w:space="0" w:color="auto"/>
              <w:left w:val="single" w:sz="4" w:space="0" w:color="auto"/>
              <w:bottom w:val="single" w:sz="4" w:space="0" w:color="auto"/>
              <w:right w:val="single" w:sz="4" w:space="0" w:color="auto"/>
            </w:tcBorders>
            <w:vAlign w:val="bottom"/>
            <w:hideMark/>
          </w:tcPr>
          <w:p w14:paraId="07172034" w14:textId="77777777" w:rsidR="00C24947" w:rsidRPr="00C35F8B" w:rsidRDefault="00C24947" w:rsidP="00C24947">
            <w:pPr>
              <w:keepNext/>
              <w:keepLines/>
              <w:tabs>
                <w:tab w:val="decimal" w:pos="1349"/>
              </w:tabs>
              <w:rPr>
                <w:rFonts w:ascii="Arial" w:eastAsia="Times New Roman" w:hAnsi="Arial" w:cs="Arial"/>
                <w:color w:val="000000"/>
                <w:sz w:val="24"/>
                <w:szCs w:val="24"/>
              </w:rPr>
            </w:pPr>
            <w:r w:rsidRPr="00C35F8B">
              <w:rPr>
                <w:rFonts w:ascii="Arial" w:eastAsia="Times New Roman" w:hAnsi="Arial" w:cs="Arial"/>
                <w:color w:val="000000"/>
                <w:sz w:val="24"/>
                <w:szCs w:val="24"/>
              </w:rPr>
              <w:t>7</w:t>
            </w:r>
          </w:p>
        </w:tc>
      </w:tr>
      <w:tr w:rsidR="00C24947" w:rsidRPr="00C35F8B" w14:paraId="40D7714A" w14:textId="77777777" w:rsidTr="00C24947">
        <w:trPr>
          <w:cantSplit/>
        </w:trPr>
        <w:tc>
          <w:tcPr>
            <w:tcW w:w="3744" w:type="dxa"/>
            <w:tcBorders>
              <w:top w:val="single" w:sz="4" w:space="0" w:color="auto"/>
              <w:left w:val="single" w:sz="4" w:space="0" w:color="auto"/>
              <w:bottom w:val="single" w:sz="4" w:space="0" w:color="auto"/>
              <w:right w:val="single" w:sz="4" w:space="0" w:color="auto"/>
            </w:tcBorders>
            <w:hideMark/>
          </w:tcPr>
          <w:p w14:paraId="016A5DEB" w14:textId="77777777" w:rsidR="00C24947" w:rsidRPr="00C35F8B" w:rsidRDefault="00C24947" w:rsidP="00C24947">
            <w:pPr>
              <w:keepNext/>
              <w:keepLines/>
              <w:rPr>
                <w:rFonts w:ascii="Arial" w:eastAsia="Times New Roman" w:hAnsi="Arial" w:cs="Arial"/>
                <w:sz w:val="24"/>
                <w:szCs w:val="24"/>
              </w:rPr>
            </w:pPr>
            <w:r w:rsidRPr="00C35F8B">
              <w:rPr>
                <w:rFonts w:ascii="Arial" w:eastAsia="Times New Roman" w:hAnsi="Arial" w:cs="Arial"/>
                <w:sz w:val="24"/>
                <w:szCs w:val="24"/>
              </w:rPr>
              <w:t>Black or African American</w:t>
            </w:r>
          </w:p>
        </w:tc>
        <w:tc>
          <w:tcPr>
            <w:tcW w:w="2715" w:type="dxa"/>
            <w:tcBorders>
              <w:top w:val="single" w:sz="4" w:space="0" w:color="auto"/>
              <w:left w:val="single" w:sz="4" w:space="0" w:color="auto"/>
              <w:bottom w:val="single" w:sz="4" w:space="0" w:color="auto"/>
              <w:right w:val="single" w:sz="4" w:space="0" w:color="auto"/>
            </w:tcBorders>
            <w:vAlign w:val="bottom"/>
            <w:hideMark/>
          </w:tcPr>
          <w:p w14:paraId="68A1AB3A" w14:textId="77777777" w:rsidR="00C24947" w:rsidRPr="00C35F8B" w:rsidRDefault="00C24947" w:rsidP="00C24947">
            <w:pPr>
              <w:keepNext/>
              <w:keepLines/>
              <w:tabs>
                <w:tab w:val="decimal" w:pos="1360"/>
              </w:tabs>
              <w:rPr>
                <w:rFonts w:ascii="Arial" w:eastAsia="Times New Roman" w:hAnsi="Arial" w:cs="Arial"/>
                <w:color w:val="000000"/>
                <w:sz w:val="24"/>
                <w:szCs w:val="24"/>
              </w:rPr>
            </w:pPr>
            <w:r w:rsidRPr="00C35F8B">
              <w:rPr>
                <w:rFonts w:ascii="Arial" w:eastAsia="Times New Roman" w:hAnsi="Arial" w:cs="Arial"/>
                <w:color w:val="000000"/>
                <w:sz w:val="24"/>
                <w:szCs w:val="24"/>
              </w:rPr>
              <w:t>6</w:t>
            </w:r>
          </w:p>
        </w:tc>
        <w:tc>
          <w:tcPr>
            <w:tcW w:w="2716" w:type="dxa"/>
            <w:tcBorders>
              <w:top w:val="single" w:sz="4" w:space="0" w:color="auto"/>
              <w:left w:val="single" w:sz="4" w:space="0" w:color="auto"/>
              <w:bottom w:val="single" w:sz="4" w:space="0" w:color="auto"/>
              <w:right w:val="single" w:sz="4" w:space="0" w:color="auto"/>
            </w:tcBorders>
            <w:vAlign w:val="bottom"/>
            <w:hideMark/>
          </w:tcPr>
          <w:p w14:paraId="1D32CC61" w14:textId="77777777" w:rsidR="00C24947" w:rsidRPr="00C35F8B" w:rsidRDefault="00C24947" w:rsidP="00C24947">
            <w:pPr>
              <w:keepNext/>
              <w:keepLines/>
              <w:tabs>
                <w:tab w:val="decimal" w:pos="1349"/>
              </w:tabs>
              <w:rPr>
                <w:rFonts w:ascii="Arial" w:eastAsia="Times New Roman" w:hAnsi="Arial" w:cs="Arial"/>
                <w:color w:val="000000"/>
                <w:sz w:val="24"/>
                <w:szCs w:val="24"/>
              </w:rPr>
            </w:pPr>
            <w:r w:rsidRPr="00C35F8B">
              <w:rPr>
                <w:rFonts w:ascii="Arial" w:eastAsia="Times New Roman" w:hAnsi="Arial" w:cs="Arial"/>
                <w:color w:val="000000"/>
                <w:sz w:val="24"/>
                <w:szCs w:val="24"/>
              </w:rPr>
              <w:t>10</w:t>
            </w:r>
          </w:p>
        </w:tc>
      </w:tr>
      <w:tr w:rsidR="00C24947" w:rsidRPr="00C35F8B" w14:paraId="4D494E21" w14:textId="77777777" w:rsidTr="00C24947">
        <w:trPr>
          <w:cantSplit/>
        </w:trPr>
        <w:tc>
          <w:tcPr>
            <w:tcW w:w="3744" w:type="dxa"/>
            <w:tcBorders>
              <w:top w:val="single" w:sz="4" w:space="0" w:color="auto"/>
              <w:left w:val="single" w:sz="4" w:space="0" w:color="auto"/>
              <w:bottom w:val="single" w:sz="4" w:space="0" w:color="auto"/>
              <w:right w:val="single" w:sz="4" w:space="0" w:color="auto"/>
            </w:tcBorders>
            <w:hideMark/>
          </w:tcPr>
          <w:p w14:paraId="24220BBC" w14:textId="77777777" w:rsidR="00C24947" w:rsidRPr="00C35F8B" w:rsidRDefault="00C24947" w:rsidP="00C24947">
            <w:pPr>
              <w:keepNext/>
              <w:keepLines/>
              <w:rPr>
                <w:rFonts w:ascii="Arial" w:eastAsia="Times New Roman" w:hAnsi="Arial" w:cs="Arial"/>
                <w:sz w:val="24"/>
                <w:szCs w:val="24"/>
              </w:rPr>
            </w:pPr>
            <w:r w:rsidRPr="00C35F8B">
              <w:rPr>
                <w:rFonts w:ascii="Arial" w:eastAsia="Times New Roman" w:hAnsi="Arial" w:cs="Arial"/>
                <w:sz w:val="24"/>
                <w:szCs w:val="24"/>
              </w:rPr>
              <w:t>Cambodian</w:t>
            </w:r>
          </w:p>
        </w:tc>
        <w:tc>
          <w:tcPr>
            <w:tcW w:w="2715" w:type="dxa"/>
            <w:tcBorders>
              <w:top w:val="single" w:sz="4" w:space="0" w:color="auto"/>
              <w:left w:val="single" w:sz="4" w:space="0" w:color="auto"/>
              <w:bottom w:val="single" w:sz="4" w:space="0" w:color="auto"/>
              <w:right w:val="single" w:sz="4" w:space="0" w:color="auto"/>
            </w:tcBorders>
            <w:vAlign w:val="bottom"/>
            <w:hideMark/>
          </w:tcPr>
          <w:p w14:paraId="4928FBB2" w14:textId="77777777" w:rsidR="00C24947" w:rsidRPr="00C35F8B" w:rsidRDefault="00C24947" w:rsidP="00C24947">
            <w:pPr>
              <w:keepNext/>
              <w:keepLines/>
              <w:tabs>
                <w:tab w:val="decimal" w:pos="1360"/>
              </w:tabs>
              <w:rPr>
                <w:rFonts w:ascii="Arial" w:eastAsia="Times New Roman" w:hAnsi="Arial" w:cs="Arial"/>
                <w:color w:val="000000"/>
                <w:sz w:val="24"/>
                <w:szCs w:val="24"/>
              </w:rPr>
            </w:pPr>
            <w:r w:rsidRPr="00C35F8B">
              <w:rPr>
                <w:rFonts w:ascii="Arial" w:eastAsia="Times New Roman" w:hAnsi="Arial" w:cs="Arial"/>
                <w:color w:val="000000"/>
                <w:sz w:val="24"/>
                <w:szCs w:val="24"/>
              </w:rPr>
              <w:t>1</w:t>
            </w:r>
          </w:p>
        </w:tc>
        <w:tc>
          <w:tcPr>
            <w:tcW w:w="2716" w:type="dxa"/>
            <w:tcBorders>
              <w:top w:val="single" w:sz="4" w:space="0" w:color="auto"/>
              <w:left w:val="single" w:sz="4" w:space="0" w:color="auto"/>
              <w:bottom w:val="single" w:sz="4" w:space="0" w:color="auto"/>
              <w:right w:val="single" w:sz="4" w:space="0" w:color="auto"/>
            </w:tcBorders>
            <w:vAlign w:val="bottom"/>
            <w:hideMark/>
          </w:tcPr>
          <w:p w14:paraId="444CB1AF" w14:textId="77777777" w:rsidR="00C24947" w:rsidRPr="00C35F8B" w:rsidRDefault="00C24947" w:rsidP="00C24947">
            <w:pPr>
              <w:keepNext/>
              <w:keepLines/>
              <w:tabs>
                <w:tab w:val="decimal" w:pos="1349"/>
              </w:tabs>
              <w:rPr>
                <w:rFonts w:ascii="Arial" w:eastAsia="Times New Roman" w:hAnsi="Arial" w:cs="Arial"/>
                <w:color w:val="000000"/>
                <w:sz w:val="24"/>
                <w:szCs w:val="24"/>
              </w:rPr>
            </w:pPr>
            <w:r w:rsidRPr="00C35F8B">
              <w:rPr>
                <w:rFonts w:ascii="Arial" w:eastAsia="Times New Roman" w:hAnsi="Arial" w:cs="Arial"/>
                <w:color w:val="000000"/>
                <w:sz w:val="24"/>
                <w:szCs w:val="24"/>
              </w:rPr>
              <w:t>2</w:t>
            </w:r>
          </w:p>
        </w:tc>
      </w:tr>
      <w:tr w:rsidR="00C24947" w:rsidRPr="00C35F8B" w14:paraId="1FF96534" w14:textId="77777777" w:rsidTr="00C24947">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hideMark/>
          </w:tcPr>
          <w:p w14:paraId="104733BD" w14:textId="77777777" w:rsidR="00C24947" w:rsidRPr="00C35F8B" w:rsidRDefault="00C24947" w:rsidP="00C24947">
            <w:pPr>
              <w:keepNext/>
              <w:keepLines/>
              <w:rPr>
                <w:rFonts w:ascii="Arial" w:eastAsia="Times New Roman" w:hAnsi="Arial" w:cs="Arial"/>
                <w:sz w:val="24"/>
                <w:szCs w:val="24"/>
              </w:rPr>
            </w:pPr>
            <w:r w:rsidRPr="00C35F8B">
              <w:rPr>
                <w:rFonts w:ascii="Arial" w:eastAsia="Times New Roman" w:hAnsi="Arial" w:cs="Arial"/>
                <w:sz w:val="24"/>
                <w:szCs w:val="24"/>
              </w:rPr>
              <w:t>Filipino</w:t>
            </w:r>
          </w:p>
        </w:tc>
        <w:tc>
          <w:tcPr>
            <w:tcW w:w="27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894C8" w14:textId="77777777" w:rsidR="00C24947" w:rsidRPr="00C35F8B" w:rsidRDefault="00C24947" w:rsidP="00C24947">
            <w:pPr>
              <w:keepNext/>
              <w:keepLines/>
              <w:tabs>
                <w:tab w:val="decimal" w:pos="1360"/>
              </w:tabs>
              <w:rPr>
                <w:rFonts w:ascii="Arial" w:eastAsia="Times New Roman" w:hAnsi="Arial" w:cs="Arial"/>
                <w:color w:val="000000"/>
                <w:sz w:val="24"/>
                <w:szCs w:val="24"/>
              </w:rPr>
            </w:pPr>
            <w:r w:rsidRPr="00C35F8B">
              <w:rPr>
                <w:rFonts w:ascii="Arial" w:eastAsia="Times New Roman" w:hAnsi="Arial" w:cs="Arial"/>
                <w:color w:val="000000"/>
                <w:sz w:val="24"/>
                <w:szCs w:val="24"/>
              </w:rPr>
              <w:t>4</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907C31" w14:textId="77777777" w:rsidR="00C24947" w:rsidRPr="00C35F8B" w:rsidRDefault="00C24947" w:rsidP="00C24947">
            <w:pPr>
              <w:keepNext/>
              <w:keepLines/>
              <w:tabs>
                <w:tab w:val="decimal" w:pos="1349"/>
              </w:tabs>
              <w:rPr>
                <w:rFonts w:ascii="Arial" w:eastAsia="Times New Roman" w:hAnsi="Arial" w:cs="Arial"/>
                <w:color w:val="000000"/>
                <w:sz w:val="24"/>
                <w:szCs w:val="24"/>
              </w:rPr>
            </w:pPr>
            <w:r w:rsidRPr="00C35F8B">
              <w:rPr>
                <w:rFonts w:ascii="Arial" w:eastAsia="Times New Roman" w:hAnsi="Arial" w:cs="Arial"/>
                <w:color w:val="000000"/>
                <w:sz w:val="24"/>
                <w:szCs w:val="24"/>
              </w:rPr>
              <w:t>7</w:t>
            </w:r>
          </w:p>
        </w:tc>
      </w:tr>
      <w:tr w:rsidR="00C24947" w:rsidRPr="00C35F8B" w14:paraId="182520A0" w14:textId="77777777" w:rsidTr="00C24947">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hideMark/>
          </w:tcPr>
          <w:p w14:paraId="3DAC4A0B" w14:textId="77777777" w:rsidR="00C24947" w:rsidRPr="00C35F8B" w:rsidRDefault="00C24947" w:rsidP="00C24947">
            <w:pPr>
              <w:keepNext/>
              <w:keepLines/>
              <w:rPr>
                <w:rFonts w:ascii="Arial" w:eastAsia="Times New Roman" w:hAnsi="Arial" w:cs="Arial"/>
                <w:sz w:val="24"/>
                <w:szCs w:val="24"/>
              </w:rPr>
            </w:pPr>
            <w:r w:rsidRPr="00C35F8B">
              <w:rPr>
                <w:rFonts w:ascii="Arial" w:eastAsia="Times New Roman" w:hAnsi="Arial" w:cs="Arial"/>
                <w:sz w:val="24"/>
                <w:szCs w:val="24"/>
              </w:rPr>
              <w:t xml:space="preserve">Hispanic </w:t>
            </w:r>
          </w:p>
        </w:tc>
        <w:tc>
          <w:tcPr>
            <w:tcW w:w="27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A14CC8" w14:textId="77777777" w:rsidR="00C24947" w:rsidRPr="00C35F8B" w:rsidRDefault="00C24947" w:rsidP="00C24947">
            <w:pPr>
              <w:keepNext/>
              <w:keepLines/>
              <w:tabs>
                <w:tab w:val="decimal" w:pos="1360"/>
              </w:tabs>
              <w:rPr>
                <w:rFonts w:ascii="Arial" w:eastAsia="Times New Roman" w:hAnsi="Arial" w:cs="Arial"/>
                <w:color w:val="000000"/>
                <w:sz w:val="24"/>
                <w:szCs w:val="24"/>
              </w:rPr>
            </w:pPr>
            <w:r w:rsidRPr="00C35F8B">
              <w:rPr>
                <w:rFonts w:ascii="Arial" w:eastAsia="Times New Roman" w:hAnsi="Arial" w:cs="Arial"/>
                <w:color w:val="000000"/>
                <w:sz w:val="24"/>
                <w:szCs w:val="24"/>
              </w:rPr>
              <w:t>13</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B64C1" w14:textId="77777777" w:rsidR="00C24947" w:rsidRPr="00C35F8B" w:rsidRDefault="00C24947" w:rsidP="00C24947">
            <w:pPr>
              <w:keepNext/>
              <w:keepLines/>
              <w:tabs>
                <w:tab w:val="decimal" w:pos="1349"/>
              </w:tabs>
              <w:rPr>
                <w:rFonts w:ascii="Arial" w:eastAsia="Times New Roman" w:hAnsi="Arial" w:cs="Arial"/>
                <w:color w:val="000000"/>
                <w:sz w:val="24"/>
                <w:szCs w:val="24"/>
              </w:rPr>
            </w:pPr>
            <w:r w:rsidRPr="00C35F8B">
              <w:rPr>
                <w:rFonts w:ascii="Arial" w:eastAsia="Times New Roman" w:hAnsi="Arial" w:cs="Arial"/>
                <w:color w:val="000000"/>
                <w:sz w:val="24"/>
                <w:szCs w:val="24"/>
              </w:rPr>
              <w:t>22</w:t>
            </w:r>
          </w:p>
        </w:tc>
      </w:tr>
      <w:tr w:rsidR="00C24947" w:rsidRPr="00C35F8B" w14:paraId="2A7A8ABE" w14:textId="77777777" w:rsidTr="00C24947">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hideMark/>
          </w:tcPr>
          <w:p w14:paraId="63614BCD" w14:textId="77777777" w:rsidR="00C24947" w:rsidRPr="00C35F8B" w:rsidRDefault="00C24947" w:rsidP="00C24947">
            <w:pPr>
              <w:keepNext/>
              <w:keepLines/>
              <w:rPr>
                <w:rFonts w:ascii="Arial" w:eastAsia="Times New Roman" w:hAnsi="Arial" w:cs="Arial"/>
                <w:sz w:val="24"/>
                <w:szCs w:val="24"/>
              </w:rPr>
            </w:pPr>
            <w:r w:rsidRPr="00C35F8B">
              <w:rPr>
                <w:rFonts w:ascii="Arial" w:eastAsia="Times New Roman" w:hAnsi="Arial" w:cs="Arial"/>
                <w:sz w:val="24"/>
                <w:szCs w:val="24"/>
              </w:rPr>
              <w:t>White</w:t>
            </w:r>
          </w:p>
        </w:tc>
        <w:tc>
          <w:tcPr>
            <w:tcW w:w="27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A5E1B9" w14:textId="77777777" w:rsidR="00C24947" w:rsidRPr="00C35F8B" w:rsidRDefault="00C24947" w:rsidP="00C24947">
            <w:pPr>
              <w:keepNext/>
              <w:keepLines/>
              <w:tabs>
                <w:tab w:val="decimal" w:pos="1360"/>
              </w:tabs>
              <w:rPr>
                <w:rFonts w:ascii="Arial" w:eastAsia="Times New Roman" w:hAnsi="Arial" w:cs="Arial"/>
                <w:color w:val="000000"/>
                <w:sz w:val="24"/>
                <w:szCs w:val="24"/>
              </w:rPr>
            </w:pPr>
            <w:r w:rsidRPr="00C35F8B">
              <w:rPr>
                <w:rFonts w:ascii="Arial" w:eastAsia="Times New Roman" w:hAnsi="Arial" w:cs="Arial"/>
                <w:color w:val="000000"/>
                <w:sz w:val="24"/>
                <w:szCs w:val="24"/>
              </w:rPr>
              <w:t>30</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13F69" w14:textId="77777777" w:rsidR="00C24947" w:rsidRPr="00C35F8B" w:rsidRDefault="00C24947" w:rsidP="00C24947">
            <w:pPr>
              <w:keepNext/>
              <w:keepLines/>
              <w:tabs>
                <w:tab w:val="decimal" w:pos="1349"/>
              </w:tabs>
              <w:rPr>
                <w:rFonts w:ascii="Arial" w:eastAsia="Times New Roman" w:hAnsi="Arial" w:cs="Arial"/>
                <w:color w:val="000000"/>
                <w:sz w:val="24"/>
                <w:szCs w:val="24"/>
              </w:rPr>
            </w:pPr>
            <w:r w:rsidRPr="00C35F8B">
              <w:rPr>
                <w:rFonts w:ascii="Arial" w:eastAsia="Times New Roman" w:hAnsi="Arial" w:cs="Arial"/>
                <w:color w:val="000000"/>
                <w:sz w:val="24"/>
                <w:szCs w:val="24"/>
              </w:rPr>
              <w:t>51</w:t>
            </w:r>
          </w:p>
        </w:tc>
      </w:tr>
      <w:tr w:rsidR="00C24947" w:rsidRPr="00C35F8B" w14:paraId="7565DAE2" w14:textId="77777777" w:rsidTr="00C24947">
        <w:trPr>
          <w:cantSplit/>
        </w:trPr>
        <w:tc>
          <w:tcPr>
            <w:tcW w:w="3744" w:type="dxa"/>
            <w:tcBorders>
              <w:top w:val="single" w:sz="4" w:space="0" w:color="auto"/>
              <w:left w:val="single" w:sz="4" w:space="0" w:color="auto"/>
              <w:bottom w:val="single" w:sz="4" w:space="0" w:color="auto"/>
              <w:right w:val="single" w:sz="4" w:space="0" w:color="auto"/>
            </w:tcBorders>
            <w:hideMark/>
          </w:tcPr>
          <w:p w14:paraId="3A296E92" w14:textId="77777777" w:rsidR="00C24947" w:rsidRPr="00C35F8B" w:rsidRDefault="00C24947" w:rsidP="00C24947">
            <w:pPr>
              <w:keepNext/>
              <w:keepLines/>
              <w:rPr>
                <w:rFonts w:ascii="Arial" w:eastAsia="Times New Roman" w:hAnsi="Arial" w:cs="Arial"/>
                <w:sz w:val="24"/>
                <w:szCs w:val="24"/>
              </w:rPr>
            </w:pPr>
            <w:r w:rsidRPr="00C35F8B">
              <w:rPr>
                <w:rFonts w:ascii="Arial" w:eastAsia="Times New Roman" w:hAnsi="Arial" w:cs="Arial"/>
                <w:sz w:val="24"/>
                <w:szCs w:val="24"/>
              </w:rPr>
              <w:t>Decline to state</w:t>
            </w:r>
          </w:p>
        </w:tc>
        <w:tc>
          <w:tcPr>
            <w:tcW w:w="2715" w:type="dxa"/>
            <w:tcBorders>
              <w:top w:val="single" w:sz="4" w:space="0" w:color="auto"/>
              <w:left w:val="single" w:sz="4" w:space="0" w:color="auto"/>
              <w:bottom w:val="single" w:sz="4" w:space="0" w:color="auto"/>
              <w:right w:val="single" w:sz="4" w:space="0" w:color="auto"/>
            </w:tcBorders>
            <w:vAlign w:val="bottom"/>
            <w:hideMark/>
          </w:tcPr>
          <w:p w14:paraId="62839ED2" w14:textId="77777777" w:rsidR="00C24947" w:rsidRPr="00C35F8B" w:rsidRDefault="00C24947" w:rsidP="00C24947">
            <w:pPr>
              <w:keepNext/>
              <w:keepLines/>
              <w:tabs>
                <w:tab w:val="decimal" w:pos="1360"/>
              </w:tabs>
              <w:rPr>
                <w:rFonts w:ascii="Arial" w:eastAsia="Times New Roman" w:hAnsi="Arial" w:cs="Arial"/>
                <w:color w:val="000000"/>
                <w:sz w:val="24"/>
                <w:szCs w:val="24"/>
              </w:rPr>
            </w:pPr>
            <w:r w:rsidRPr="00C35F8B">
              <w:rPr>
                <w:rFonts w:ascii="Arial" w:eastAsia="Times New Roman" w:hAnsi="Arial" w:cs="Arial"/>
                <w:color w:val="000000"/>
                <w:sz w:val="24"/>
                <w:szCs w:val="24"/>
              </w:rPr>
              <w:t>1</w:t>
            </w:r>
          </w:p>
        </w:tc>
        <w:tc>
          <w:tcPr>
            <w:tcW w:w="2716" w:type="dxa"/>
            <w:tcBorders>
              <w:top w:val="single" w:sz="4" w:space="0" w:color="auto"/>
              <w:left w:val="single" w:sz="4" w:space="0" w:color="auto"/>
              <w:bottom w:val="single" w:sz="4" w:space="0" w:color="auto"/>
              <w:right w:val="single" w:sz="4" w:space="0" w:color="auto"/>
            </w:tcBorders>
            <w:vAlign w:val="bottom"/>
            <w:hideMark/>
          </w:tcPr>
          <w:p w14:paraId="6E70B893" w14:textId="77777777" w:rsidR="00C24947" w:rsidRPr="00C35F8B" w:rsidRDefault="00C24947" w:rsidP="00C24947">
            <w:pPr>
              <w:keepNext/>
              <w:keepLines/>
              <w:tabs>
                <w:tab w:val="decimal" w:pos="1349"/>
              </w:tabs>
              <w:rPr>
                <w:rFonts w:ascii="Arial" w:eastAsia="Times New Roman" w:hAnsi="Arial" w:cs="Arial"/>
                <w:color w:val="000000"/>
                <w:sz w:val="24"/>
                <w:szCs w:val="24"/>
              </w:rPr>
            </w:pPr>
            <w:r w:rsidRPr="00C35F8B">
              <w:rPr>
                <w:rFonts w:ascii="Arial" w:eastAsia="Times New Roman" w:hAnsi="Arial" w:cs="Arial"/>
                <w:color w:val="000000"/>
                <w:sz w:val="24"/>
                <w:szCs w:val="24"/>
              </w:rPr>
              <w:t>2</w:t>
            </w:r>
          </w:p>
        </w:tc>
      </w:tr>
      <w:tr w:rsidR="00C24947" w:rsidRPr="00C35F8B" w14:paraId="0B08A30A" w14:textId="77777777" w:rsidTr="00C24947">
        <w:trPr>
          <w:cantSplit/>
        </w:trPr>
        <w:tc>
          <w:tcPr>
            <w:tcW w:w="3744" w:type="dxa"/>
            <w:tcBorders>
              <w:top w:val="single" w:sz="4" w:space="0" w:color="auto"/>
              <w:left w:val="single" w:sz="4" w:space="0" w:color="auto"/>
              <w:bottom w:val="single" w:sz="4" w:space="0" w:color="auto"/>
              <w:right w:val="single" w:sz="4" w:space="0" w:color="auto"/>
            </w:tcBorders>
            <w:hideMark/>
          </w:tcPr>
          <w:p w14:paraId="5F8AF720" w14:textId="77777777" w:rsidR="00C24947" w:rsidRPr="00C35F8B" w:rsidRDefault="00C24947" w:rsidP="00C24947">
            <w:pPr>
              <w:keepNext/>
              <w:keepLines/>
              <w:rPr>
                <w:rFonts w:ascii="Arial" w:eastAsia="Times New Roman" w:hAnsi="Arial" w:cs="Arial"/>
                <w:b/>
                <w:color w:val="000000"/>
                <w:sz w:val="24"/>
                <w:szCs w:val="24"/>
              </w:rPr>
            </w:pPr>
            <w:r w:rsidRPr="00C35F8B">
              <w:rPr>
                <w:rFonts w:ascii="Arial" w:eastAsia="Times New Roman" w:hAnsi="Arial" w:cs="Arial"/>
                <w:b/>
                <w:color w:val="000000"/>
                <w:sz w:val="24"/>
                <w:szCs w:val="24"/>
              </w:rPr>
              <w:t>Total</w:t>
            </w:r>
          </w:p>
        </w:tc>
        <w:tc>
          <w:tcPr>
            <w:tcW w:w="2715" w:type="dxa"/>
            <w:tcBorders>
              <w:top w:val="single" w:sz="4" w:space="0" w:color="auto"/>
              <w:left w:val="single" w:sz="4" w:space="0" w:color="auto"/>
              <w:bottom w:val="single" w:sz="4" w:space="0" w:color="auto"/>
              <w:right w:val="single" w:sz="4" w:space="0" w:color="auto"/>
            </w:tcBorders>
            <w:vAlign w:val="bottom"/>
            <w:hideMark/>
          </w:tcPr>
          <w:p w14:paraId="71377D89" w14:textId="77777777" w:rsidR="00C24947" w:rsidRPr="00C35F8B" w:rsidRDefault="00C24947" w:rsidP="00C24947">
            <w:pPr>
              <w:keepNext/>
              <w:keepLines/>
              <w:tabs>
                <w:tab w:val="decimal" w:pos="1360"/>
              </w:tabs>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59</w:t>
            </w:r>
          </w:p>
        </w:tc>
        <w:tc>
          <w:tcPr>
            <w:tcW w:w="2716" w:type="dxa"/>
            <w:tcBorders>
              <w:top w:val="single" w:sz="4" w:space="0" w:color="auto"/>
              <w:left w:val="single" w:sz="4" w:space="0" w:color="auto"/>
              <w:bottom w:val="single" w:sz="4" w:space="0" w:color="auto"/>
              <w:right w:val="single" w:sz="4" w:space="0" w:color="auto"/>
            </w:tcBorders>
            <w:vAlign w:val="bottom"/>
            <w:hideMark/>
          </w:tcPr>
          <w:p w14:paraId="78D7D4B9" w14:textId="77777777" w:rsidR="00C24947" w:rsidRPr="00C35F8B" w:rsidRDefault="00C24947" w:rsidP="00C24947">
            <w:pPr>
              <w:keepNext/>
              <w:keepLines/>
              <w:tabs>
                <w:tab w:val="decimal" w:pos="1349"/>
              </w:tabs>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100</w:t>
            </w:r>
          </w:p>
        </w:tc>
      </w:tr>
    </w:tbl>
    <w:p w14:paraId="65636469" w14:textId="77777777" w:rsidR="00C24947" w:rsidRPr="00C35F8B" w:rsidRDefault="00C24947" w:rsidP="00C24947">
      <w:pPr>
        <w:tabs>
          <w:tab w:val="left" w:pos="720"/>
          <w:tab w:val="left" w:pos="2520"/>
        </w:tabs>
        <w:spacing w:before="120" w:after="120"/>
        <w:ind w:left="720" w:hanging="720"/>
        <w:rPr>
          <w:rFonts w:eastAsia="Times New Roman"/>
        </w:rPr>
      </w:pPr>
      <w:r w:rsidRPr="00C35F8B">
        <w:rPr>
          <w:rFonts w:eastAsia="Times New Roman"/>
          <w:b/>
          <w:bCs/>
        </w:rPr>
        <w:t>Note:</w:t>
      </w:r>
      <w:r w:rsidRPr="00C35F8B">
        <w:rPr>
          <w:rFonts w:eastAsia="Times New Roman"/>
        </w:rPr>
        <w:tab/>
        <w:t xml:space="preserve">Panelists were instructed to select all that apply; therefore, the total is more than the number of panelists who participated in the standard setting. Percent may be more than 100 </w:t>
      </w:r>
      <w:proofErr w:type="gramStart"/>
      <w:r w:rsidRPr="00C35F8B">
        <w:rPr>
          <w:rFonts w:eastAsia="Times New Roman"/>
        </w:rPr>
        <w:t>due</w:t>
      </w:r>
      <w:proofErr w:type="gramEnd"/>
      <w:r w:rsidRPr="00C35F8B">
        <w:rPr>
          <w:rFonts w:eastAsia="Times New Roman"/>
        </w:rPr>
        <w:t xml:space="preserve"> to rounding.</w:t>
      </w:r>
    </w:p>
    <w:p w14:paraId="31100FAC" w14:textId="77777777" w:rsidR="00C24947" w:rsidRPr="00C35F8B" w:rsidRDefault="00C24947" w:rsidP="00C24947">
      <w:pPr>
        <w:keepNext/>
        <w:tabs>
          <w:tab w:val="left" w:pos="2520"/>
        </w:tabs>
        <w:spacing w:before="240" w:after="120"/>
        <w:rPr>
          <w:rFonts w:eastAsia="Times New Roman"/>
        </w:rPr>
      </w:pPr>
      <w:r w:rsidRPr="00C35F8B">
        <w:rPr>
          <w:rFonts w:eastAsia="Times New Roman"/>
        </w:rPr>
        <w:lastRenderedPageBreak/>
        <w:t xml:space="preserve">Table </w:t>
      </w:r>
      <w:r w:rsidRPr="00C35F8B">
        <w:rPr>
          <w:rFonts w:eastAsia="Times New Roman"/>
          <w:color w:val="2B579A"/>
          <w:shd w:val="clear" w:color="auto" w:fill="E6E6E6"/>
        </w:rPr>
        <w:fldChar w:fldCharType="begin"/>
      </w:r>
      <w:r w:rsidRPr="00C35F8B">
        <w:rPr>
          <w:rFonts w:eastAsia="Times New Roman"/>
        </w:rPr>
        <w:instrText xml:space="preserve"> SEQ Table \* ARABIC </w:instrText>
      </w:r>
      <w:r w:rsidRPr="00C35F8B">
        <w:rPr>
          <w:rFonts w:eastAsia="Times New Roman"/>
          <w:color w:val="2B579A"/>
          <w:shd w:val="clear" w:color="auto" w:fill="E6E6E6"/>
        </w:rPr>
        <w:fldChar w:fldCharType="separate"/>
      </w:r>
      <w:r w:rsidRPr="00C35F8B">
        <w:rPr>
          <w:rFonts w:eastAsia="Times New Roman"/>
          <w:noProof/>
        </w:rPr>
        <w:t>3</w:t>
      </w:r>
      <w:r w:rsidRPr="00C35F8B">
        <w:rPr>
          <w:rFonts w:eastAsia="Times New Roman"/>
          <w:noProof/>
          <w:color w:val="2B579A"/>
          <w:shd w:val="clear" w:color="auto" w:fill="E6E6E6"/>
        </w:rPr>
        <w:fldChar w:fldCharType="end"/>
      </w:r>
      <w:r w:rsidRPr="00C35F8B">
        <w:rPr>
          <w:rFonts w:eastAsia="Times New Roman"/>
        </w:rPr>
        <w:t>. Number and Percent of Panelists by Region of California</w:t>
      </w:r>
    </w:p>
    <w:tbl>
      <w:tblPr>
        <w:tblStyle w:val="TableGrid21"/>
        <w:tblW w:w="0" w:type="auto"/>
        <w:tblInd w:w="0" w:type="dxa"/>
        <w:tblLayout w:type="fixed"/>
        <w:tblLook w:val="04A0" w:firstRow="1" w:lastRow="0" w:firstColumn="1" w:lastColumn="0" w:noHBand="0" w:noVBand="1"/>
        <w:tblDescription w:val="Number and Percent of Panelists by Region of California"/>
      </w:tblPr>
      <w:tblGrid>
        <w:gridCol w:w="1296"/>
        <w:gridCol w:w="2859"/>
        <w:gridCol w:w="3220"/>
      </w:tblGrid>
      <w:tr w:rsidR="00C24947" w:rsidRPr="00C35F8B" w14:paraId="78FDE409" w14:textId="77777777" w:rsidTr="00C24947">
        <w:trPr>
          <w:trHeight w:val="293"/>
          <w:tblHeader/>
        </w:trPr>
        <w:tc>
          <w:tcPr>
            <w:tcW w:w="12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36192B" w14:textId="77777777" w:rsidR="00C24947" w:rsidRPr="00C35F8B" w:rsidRDefault="00C24947" w:rsidP="00C24947">
            <w:pPr>
              <w:keepNext/>
              <w:keepLines/>
              <w:jc w:val="center"/>
              <w:rPr>
                <w:rFonts w:ascii="Arial" w:eastAsia="Times New Roman" w:hAnsi="Arial" w:cs="Arial"/>
                <w:b/>
                <w:bCs/>
                <w:color w:val="000000"/>
                <w:sz w:val="24"/>
                <w:szCs w:val="24"/>
                <w:vertAlign w:val="superscript"/>
              </w:rPr>
            </w:pPr>
            <w:r w:rsidRPr="00C35F8B">
              <w:rPr>
                <w:rFonts w:ascii="Arial" w:eastAsia="Times New Roman" w:hAnsi="Arial" w:cs="Arial"/>
                <w:b/>
                <w:bCs/>
                <w:color w:val="000000"/>
                <w:sz w:val="24"/>
                <w:szCs w:val="24"/>
              </w:rPr>
              <w:t>Region</w:t>
            </w:r>
          </w:p>
        </w:tc>
        <w:tc>
          <w:tcPr>
            <w:tcW w:w="285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6705EBD" w14:textId="77777777" w:rsidR="00C24947" w:rsidRPr="00C35F8B" w:rsidRDefault="00C24947" w:rsidP="00C24947">
            <w:pPr>
              <w:keepNext/>
              <w:keepLines/>
              <w:jc w:val="cente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Number of Panelists</w:t>
            </w:r>
          </w:p>
        </w:tc>
        <w:tc>
          <w:tcPr>
            <w:tcW w:w="32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FEF4383" w14:textId="77777777" w:rsidR="00C24947" w:rsidRPr="00C35F8B" w:rsidRDefault="00C24947" w:rsidP="00C24947">
            <w:pPr>
              <w:keepNext/>
              <w:keepLines/>
              <w:jc w:val="cente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Percent of Panelists</w:t>
            </w:r>
          </w:p>
        </w:tc>
      </w:tr>
      <w:tr w:rsidR="00C24947" w:rsidRPr="00C35F8B" w14:paraId="5FE37A1B" w14:textId="77777777" w:rsidTr="00C24947">
        <w:trPr>
          <w:trHeight w:val="253"/>
        </w:trPr>
        <w:tc>
          <w:tcPr>
            <w:tcW w:w="1296" w:type="dxa"/>
            <w:tcBorders>
              <w:top w:val="single" w:sz="4" w:space="0" w:color="auto"/>
              <w:left w:val="single" w:sz="4" w:space="0" w:color="auto"/>
              <w:bottom w:val="single" w:sz="4" w:space="0" w:color="auto"/>
              <w:right w:val="single" w:sz="4" w:space="0" w:color="auto"/>
            </w:tcBorders>
            <w:hideMark/>
          </w:tcPr>
          <w:p w14:paraId="3F22193E" w14:textId="77777777" w:rsidR="00C24947" w:rsidRPr="00C35F8B" w:rsidRDefault="00C24947" w:rsidP="00C24947">
            <w:pPr>
              <w:keepNext/>
              <w:keepLines/>
              <w:rPr>
                <w:rFonts w:ascii="Arial" w:eastAsia="Times New Roman" w:hAnsi="Arial" w:cs="Arial"/>
                <w:color w:val="000000"/>
                <w:sz w:val="24"/>
                <w:szCs w:val="24"/>
              </w:rPr>
            </w:pPr>
            <w:r w:rsidRPr="00C35F8B">
              <w:rPr>
                <w:rFonts w:ascii="Arial" w:eastAsia="Times New Roman" w:hAnsi="Arial" w:cs="Arial"/>
                <w:color w:val="000000"/>
                <w:sz w:val="24"/>
                <w:szCs w:val="24"/>
              </w:rPr>
              <w:t>Central</w:t>
            </w:r>
          </w:p>
        </w:tc>
        <w:tc>
          <w:tcPr>
            <w:tcW w:w="2859" w:type="dxa"/>
            <w:tcBorders>
              <w:top w:val="single" w:sz="4" w:space="0" w:color="auto"/>
              <w:left w:val="single" w:sz="4" w:space="0" w:color="auto"/>
              <w:bottom w:val="single" w:sz="4" w:space="0" w:color="auto"/>
              <w:right w:val="single" w:sz="4" w:space="0" w:color="auto"/>
            </w:tcBorders>
            <w:vAlign w:val="bottom"/>
            <w:hideMark/>
          </w:tcPr>
          <w:p w14:paraId="1A2F2FA0" w14:textId="77777777" w:rsidR="00C24947" w:rsidRPr="00C35F8B" w:rsidRDefault="00C24947" w:rsidP="00C24947">
            <w:pPr>
              <w:keepNext/>
              <w:keepLines/>
              <w:tabs>
                <w:tab w:val="decimal" w:pos="1476"/>
              </w:tabs>
              <w:rPr>
                <w:rFonts w:ascii="Arial" w:eastAsia="Times New Roman" w:hAnsi="Arial" w:cs="Arial"/>
                <w:color w:val="000000"/>
                <w:sz w:val="24"/>
                <w:szCs w:val="24"/>
              </w:rPr>
            </w:pPr>
            <w:r w:rsidRPr="00C35F8B">
              <w:rPr>
                <w:rFonts w:ascii="Arial" w:eastAsia="Times New Roman" w:hAnsi="Arial" w:cs="Arial"/>
                <w:color w:val="000000"/>
                <w:sz w:val="24"/>
                <w:szCs w:val="24"/>
              </w:rPr>
              <w:t>2</w:t>
            </w:r>
          </w:p>
        </w:tc>
        <w:tc>
          <w:tcPr>
            <w:tcW w:w="3220" w:type="dxa"/>
            <w:tcBorders>
              <w:top w:val="single" w:sz="4" w:space="0" w:color="auto"/>
              <w:left w:val="single" w:sz="4" w:space="0" w:color="auto"/>
              <w:bottom w:val="single" w:sz="4" w:space="0" w:color="auto"/>
              <w:right w:val="single" w:sz="4" w:space="0" w:color="auto"/>
            </w:tcBorders>
            <w:vAlign w:val="bottom"/>
            <w:hideMark/>
          </w:tcPr>
          <w:p w14:paraId="1F42C746" w14:textId="77777777" w:rsidR="00C24947" w:rsidRPr="00C35F8B" w:rsidRDefault="00C24947" w:rsidP="00C24947">
            <w:pPr>
              <w:keepNext/>
              <w:keepLines/>
              <w:tabs>
                <w:tab w:val="decimal" w:pos="1668"/>
              </w:tabs>
              <w:rPr>
                <w:rFonts w:ascii="Arial" w:eastAsia="Times New Roman" w:hAnsi="Arial" w:cs="Arial"/>
                <w:color w:val="000000"/>
                <w:sz w:val="24"/>
                <w:szCs w:val="24"/>
              </w:rPr>
            </w:pPr>
            <w:r w:rsidRPr="00C35F8B">
              <w:rPr>
                <w:rFonts w:ascii="Arial" w:eastAsia="Times New Roman" w:hAnsi="Arial" w:cs="Arial"/>
                <w:color w:val="000000"/>
                <w:sz w:val="24"/>
                <w:szCs w:val="24"/>
              </w:rPr>
              <w:t>5</w:t>
            </w:r>
          </w:p>
        </w:tc>
      </w:tr>
      <w:tr w:rsidR="00C24947" w:rsidRPr="00C35F8B" w14:paraId="01D29E41" w14:textId="77777777" w:rsidTr="00C24947">
        <w:trPr>
          <w:trHeight w:val="253"/>
        </w:trPr>
        <w:tc>
          <w:tcPr>
            <w:tcW w:w="1296" w:type="dxa"/>
            <w:tcBorders>
              <w:top w:val="single" w:sz="4" w:space="0" w:color="auto"/>
              <w:left w:val="single" w:sz="4" w:space="0" w:color="auto"/>
              <w:bottom w:val="single" w:sz="4" w:space="0" w:color="auto"/>
              <w:right w:val="single" w:sz="4" w:space="0" w:color="auto"/>
            </w:tcBorders>
            <w:hideMark/>
          </w:tcPr>
          <w:p w14:paraId="34D0480F" w14:textId="77777777" w:rsidR="00C24947" w:rsidRPr="00C35F8B" w:rsidRDefault="00C24947" w:rsidP="00C24947">
            <w:pPr>
              <w:keepNext/>
              <w:keepLines/>
              <w:rPr>
                <w:rFonts w:ascii="Arial" w:eastAsia="Times New Roman" w:hAnsi="Arial" w:cs="Arial"/>
                <w:color w:val="000000"/>
                <w:sz w:val="24"/>
                <w:szCs w:val="24"/>
              </w:rPr>
            </w:pPr>
            <w:r w:rsidRPr="00C35F8B">
              <w:rPr>
                <w:rFonts w:ascii="Arial" w:eastAsia="Times New Roman" w:hAnsi="Arial" w:cs="Arial"/>
                <w:color w:val="000000"/>
                <w:sz w:val="24"/>
                <w:szCs w:val="24"/>
              </w:rPr>
              <w:t>Northern</w:t>
            </w:r>
          </w:p>
        </w:tc>
        <w:tc>
          <w:tcPr>
            <w:tcW w:w="2859" w:type="dxa"/>
            <w:tcBorders>
              <w:top w:val="single" w:sz="4" w:space="0" w:color="auto"/>
              <w:left w:val="single" w:sz="4" w:space="0" w:color="auto"/>
              <w:bottom w:val="single" w:sz="4" w:space="0" w:color="auto"/>
              <w:right w:val="single" w:sz="4" w:space="0" w:color="auto"/>
            </w:tcBorders>
            <w:vAlign w:val="bottom"/>
            <w:hideMark/>
          </w:tcPr>
          <w:p w14:paraId="356930A8" w14:textId="77777777" w:rsidR="00C24947" w:rsidRPr="00C35F8B" w:rsidRDefault="00C24947" w:rsidP="00C24947">
            <w:pPr>
              <w:keepNext/>
              <w:keepLines/>
              <w:tabs>
                <w:tab w:val="decimal" w:pos="1476"/>
              </w:tabs>
              <w:rPr>
                <w:rFonts w:ascii="Arial" w:eastAsia="Times New Roman" w:hAnsi="Arial" w:cs="Arial"/>
                <w:color w:val="000000"/>
                <w:sz w:val="24"/>
                <w:szCs w:val="24"/>
              </w:rPr>
            </w:pPr>
            <w:r w:rsidRPr="00C35F8B">
              <w:rPr>
                <w:rFonts w:ascii="Arial" w:eastAsia="Times New Roman" w:hAnsi="Arial" w:cs="Arial"/>
                <w:color w:val="000000"/>
                <w:sz w:val="24"/>
                <w:szCs w:val="24"/>
              </w:rPr>
              <w:t>8</w:t>
            </w:r>
          </w:p>
        </w:tc>
        <w:tc>
          <w:tcPr>
            <w:tcW w:w="3220" w:type="dxa"/>
            <w:tcBorders>
              <w:top w:val="single" w:sz="4" w:space="0" w:color="auto"/>
              <w:left w:val="single" w:sz="4" w:space="0" w:color="auto"/>
              <w:bottom w:val="single" w:sz="4" w:space="0" w:color="auto"/>
              <w:right w:val="single" w:sz="4" w:space="0" w:color="auto"/>
            </w:tcBorders>
            <w:vAlign w:val="bottom"/>
            <w:hideMark/>
          </w:tcPr>
          <w:p w14:paraId="1F7C6244" w14:textId="77777777" w:rsidR="00C24947" w:rsidRPr="00C35F8B" w:rsidRDefault="00C24947" w:rsidP="00C24947">
            <w:pPr>
              <w:keepNext/>
              <w:keepLines/>
              <w:tabs>
                <w:tab w:val="decimal" w:pos="1668"/>
              </w:tabs>
              <w:rPr>
                <w:rFonts w:ascii="Arial" w:eastAsia="Times New Roman" w:hAnsi="Arial" w:cs="Arial"/>
                <w:color w:val="000000"/>
                <w:sz w:val="24"/>
                <w:szCs w:val="24"/>
              </w:rPr>
            </w:pPr>
            <w:r w:rsidRPr="00C35F8B">
              <w:rPr>
                <w:rFonts w:ascii="Arial" w:eastAsia="Times New Roman" w:hAnsi="Arial" w:cs="Arial"/>
                <w:color w:val="000000"/>
                <w:sz w:val="24"/>
                <w:szCs w:val="24"/>
              </w:rPr>
              <w:t>18</w:t>
            </w:r>
          </w:p>
        </w:tc>
      </w:tr>
      <w:tr w:rsidR="00C24947" w:rsidRPr="00C35F8B" w14:paraId="130C0282" w14:textId="77777777" w:rsidTr="00C24947">
        <w:trPr>
          <w:trHeight w:val="235"/>
        </w:trPr>
        <w:tc>
          <w:tcPr>
            <w:tcW w:w="1296" w:type="dxa"/>
            <w:tcBorders>
              <w:top w:val="single" w:sz="4" w:space="0" w:color="auto"/>
              <w:left w:val="single" w:sz="4" w:space="0" w:color="auto"/>
              <w:bottom w:val="single" w:sz="4" w:space="0" w:color="auto"/>
              <w:right w:val="single" w:sz="4" w:space="0" w:color="auto"/>
            </w:tcBorders>
            <w:hideMark/>
          </w:tcPr>
          <w:p w14:paraId="080DC509" w14:textId="77777777" w:rsidR="00C24947" w:rsidRPr="00C35F8B" w:rsidRDefault="00C24947" w:rsidP="00C24947">
            <w:pPr>
              <w:keepNext/>
              <w:keepLines/>
              <w:rPr>
                <w:rFonts w:ascii="Arial" w:eastAsia="Times New Roman" w:hAnsi="Arial" w:cs="Arial"/>
                <w:color w:val="000000"/>
                <w:sz w:val="24"/>
                <w:szCs w:val="24"/>
              </w:rPr>
            </w:pPr>
            <w:r w:rsidRPr="00C35F8B">
              <w:rPr>
                <w:rFonts w:ascii="Arial" w:eastAsia="Times New Roman" w:hAnsi="Arial" w:cs="Arial"/>
                <w:color w:val="000000"/>
                <w:sz w:val="24"/>
                <w:szCs w:val="24"/>
              </w:rPr>
              <w:t>Southern</w:t>
            </w:r>
          </w:p>
        </w:tc>
        <w:tc>
          <w:tcPr>
            <w:tcW w:w="2859" w:type="dxa"/>
            <w:tcBorders>
              <w:top w:val="single" w:sz="4" w:space="0" w:color="auto"/>
              <w:left w:val="single" w:sz="4" w:space="0" w:color="auto"/>
              <w:bottom w:val="single" w:sz="4" w:space="0" w:color="auto"/>
              <w:right w:val="single" w:sz="4" w:space="0" w:color="auto"/>
            </w:tcBorders>
            <w:vAlign w:val="bottom"/>
            <w:hideMark/>
          </w:tcPr>
          <w:p w14:paraId="134C9E33" w14:textId="77777777" w:rsidR="00C24947" w:rsidRPr="00C35F8B" w:rsidRDefault="00C24947" w:rsidP="00C24947">
            <w:pPr>
              <w:keepNext/>
              <w:keepLines/>
              <w:tabs>
                <w:tab w:val="decimal" w:pos="1476"/>
              </w:tabs>
              <w:rPr>
                <w:rFonts w:ascii="Arial" w:eastAsia="Times New Roman" w:hAnsi="Arial" w:cs="Arial"/>
                <w:color w:val="000000"/>
                <w:sz w:val="24"/>
                <w:szCs w:val="24"/>
              </w:rPr>
            </w:pPr>
            <w:r w:rsidRPr="00C35F8B">
              <w:rPr>
                <w:rFonts w:ascii="Arial" w:eastAsia="Times New Roman" w:hAnsi="Arial" w:cs="Arial"/>
                <w:color w:val="000000"/>
                <w:sz w:val="24"/>
                <w:szCs w:val="24"/>
              </w:rPr>
              <w:t>34</w:t>
            </w:r>
          </w:p>
        </w:tc>
        <w:tc>
          <w:tcPr>
            <w:tcW w:w="3220" w:type="dxa"/>
            <w:tcBorders>
              <w:top w:val="single" w:sz="4" w:space="0" w:color="auto"/>
              <w:left w:val="single" w:sz="4" w:space="0" w:color="auto"/>
              <w:bottom w:val="single" w:sz="4" w:space="0" w:color="auto"/>
              <w:right w:val="single" w:sz="4" w:space="0" w:color="auto"/>
            </w:tcBorders>
            <w:vAlign w:val="bottom"/>
            <w:hideMark/>
          </w:tcPr>
          <w:p w14:paraId="7D5DD046" w14:textId="77777777" w:rsidR="00C24947" w:rsidRPr="00C35F8B" w:rsidRDefault="00C24947" w:rsidP="00C24947">
            <w:pPr>
              <w:keepNext/>
              <w:keepLines/>
              <w:tabs>
                <w:tab w:val="decimal" w:pos="1668"/>
              </w:tabs>
              <w:rPr>
                <w:rFonts w:ascii="Arial" w:eastAsia="Times New Roman" w:hAnsi="Arial" w:cs="Arial"/>
                <w:color w:val="000000"/>
                <w:sz w:val="24"/>
                <w:szCs w:val="24"/>
              </w:rPr>
            </w:pPr>
            <w:r w:rsidRPr="00C35F8B">
              <w:rPr>
                <w:rFonts w:ascii="Arial" w:eastAsia="Times New Roman" w:hAnsi="Arial" w:cs="Arial"/>
                <w:color w:val="000000"/>
                <w:sz w:val="24"/>
                <w:szCs w:val="24"/>
              </w:rPr>
              <w:t>77</w:t>
            </w:r>
          </w:p>
        </w:tc>
      </w:tr>
      <w:tr w:rsidR="00C24947" w:rsidRPr="00C35F8B" w14:paraId="288D27F7" w14:textId="77777777" w:rsidTr="00C24947">
        <w:trPr>
          <w:trHeight w:val="217"/>
        </w:trPr>
        <w:tc>
          <w:tcPr>
            <w:tcW w:w="1296" w:type="dxa"/>
            <w:tcBorders>
              <w:top w:val="single" w:sz="4" w:space="0" w:color="auto"/>
              <w:left w:val="single" w:sz="4" w:space="0" w:color="auto"/>
              <w:bottom w:val="single" w:sz="4" w:space="0" w:color="auto"/>
              <w:right w:val="single" w:sz="4" w:space="0" w:color="auto"/>
            </w:tcBorders>
            <w:hideMark/>
          </w:tcPr>
          <w:p w14:paraId="4EC8F4D7" w14:textId="77777777" w:rsidR="00C24947" w:rsidRPr="00C35F8B" w:rsidRDefault="00C24947" w:rsidP="00C24947">
            <w:pPr>
              <w:rPr>
                <w:rFonts w:ascii="Arial" w:eastAsia="Times New Roman" w:hAnsi="Arial" w:cs="Arial"/>
                <w:b/>
                <w:color w:val="000000"/>
                <w:sz w:val="24"/>
                <w:szCs w:val="24"/>
              </w:rPr>
            </w:pPr>
            <w:r w:rsidRPr="00C35F8B">
              <w:rPr>
                <w:rFonts w:ascii="Arial" w:eastAsia="Times New Roman" w:hAnsi="Arial" w:cs="Arial"/>
                <w:b/>
                <w:color w:val="000000"/>
                <w:sz w:val="24"/>
                <w:szCs w:val="24"/>
              </w:rPr>
              <w:t>Total</w:t>
            </w:r>
          </w:p>
        </w:tc>
        <w:tc>
          <w:tcPr>
            <w:tcW w:w="2859" w:type="dxa"/>
            <w:tcBorders>
              <w:top w:val="single" w:sz="4" w:space="0" w:color="auto"/>
              <w:left w:val="single" w:sz="4" w:space="0" w:color="auto"/>
              <w:bottom w:val="single" w:sz="4" w:space="0" w:color="auto"/>
              <w:right w:val="single" w:sz="4" w:space="0" w:color="auto"/>
            </w:tcBorders>
            <w:vAlign w:val="bottom"/>
            <w:hideMark/>
          </w:tcPr>
          <w:p w14:paraId="0E65BE1D" w14:textId="77777777" w:rsidR="00C24947" w:rsidRPr="00C35F8B" w:rsidRDefault="00C24947" w:rsidP="00C24947">
            <w:pPr>
              <w:tabs>
                <w:tab w:val="decimal" w:pos="1476"/>
              </w:tabs>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44</w:t>
            </w:r>
          </w:p>
        </w:tc>
        <w:tc>
          <w:tcPr>
            <w:tcW w:w="3220" w:type="dxa"/>
            <w:tcBorders>
              <w:top w:val="single" w:sz="4" w:space="0" w:color="auto"/>
              <w:left w:val="single" w:sz="4" w:space="0" w:color="auto"/>
              <w:bottom w:val="single" w:sz="4" w:space="0" w:color="auto"/>
              <w:right w:val="single" w:sz="4" w:space="0" w:color="auto"/>
            </w:tcBorders>
            <w:vAlign w:val="bottom"/>
            <w:hideMark/>
          </w:tcPr>
          <w:p w14:paraId="703B287D" w14:textId="77777777" w:rsidR="00C24947" w:rsidRPr="00C35F8B" w:rsidRDefault="00C24947" w:rsidP="00C24947">
            <w:pPr>
              <w:tabs>
                <w:tab w:val="decimal" w:pos="1668"/>
              </w:tabs>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100</w:t>
            </w:r>
          </w:p>
        </w:tc>
      </w:tr>
    </w:tbl>
    <w:p w14:paraId="4A42FF94" w14:textId="77777777" w:rsidR="00C24947" w:rsidRPr="00C35F8B" w:rsidRDefault="00C24947" w:rsidP="00C24947">
      <w:pPr>
        <w:keepNext/>
        <w:tabs>
          <w:tab w:val="left" w:pos="2520"/>
        </w:tabs>
        <w:spacing w:before="240" w:after="120"/>
        <w:rPr>
          <w:rFonts w:eastAsia="Times New Roman"/>
        </w:rPr>
      </w:pPr>
      <w:r w:rsidRPr="00C35F8B">
        <w:rPr>
          <w:rFonts w:eastAsia="Times New Roman"/>
        </w:rPr>
        <w:t xml:space="preserve">Table </w:t>
      </w:r>
      <w:r w:rsidRPr="00C35F8B">
        <w:rPr>
          <w:rFonts w:eastAsia="Times New Roman"/>
          <w:color w:val="2B579A"/>
          <w:shd w:val="clear" w:color="auto" w:fill="E6E6E6"/>
        </w:rPr>
        <w:fldChar w:fldCharType="begin"/>
      </w:r>
      <w:r w:rsidRPr="00C35F8B">
        <w:rPr>
          <w:rFonts w:eastAsia="Times New Roman"/>
        </w:rPr>
        <w:instrText xml:space="preserve"> SEQ Table \* ARABIC </w:instrText>
      </w:r>
      <w:r w:rsidRPr="00C35F8B">
        <w:rPr>
          <w:rFonts w:eastAsia="Times New Roman"/>
          <w:color w:val="2B579A"/>
          <w:shd w:val="clear" w:color="auto" w:fill="E6E6E6"/>
        </w:rPr>
        <w:fldChar w:fldCharType="separate"/>
      </w:r>
      <w:r w:rsidRPr="00C35F8B">
        <w:rPr>
          <w:rFonts w:eastAsia="Times New Roman"/>
          <w:noProof/>
        </w:rPr>
        <w:t>4</w:t>
      </w:r>
      <w:r w:rsidRPr="00C35F8B">
        <w:rPr>
          <w:rFonts w:eastAsia="Times New Roman"/>
          <w:noProof/>
          <w:color w:val="2B579A"/>
          <w:shd w:val="clear" w:color="auto" w:fill="E6E6E6"/>
        </w:rPr>
        <w:fldChar w:fldCharType="end"/>
      </w:r>
      <w:r w:rsidRPr="00C35F8B">
        <w:rPr>
          <w:rFonts w:eastAsia="Times New Roman"/>
        </w:rPr>
        <w:t>. Number and Percent of Panelists by Primary Position</w:t>
      </w:r>
    </w:p>
    <w:tbl>
      <w:tblPr>
        <w:tblStyle w:val="TableGrid21"/>
        <w:tblW w:w="9445" w:type="dxa"/>
        <w:tblInd w:w="0" w:type="dxa"/>
        <w:tblLayout w:type="fixed"/>
        <w:tblLook w:val="04A0" w:firstRow="1" w:lastRow="0" w:firstColumn="1" w:lastColumn="0" w:noHBand="0" w:noVBand="1"/>
        <w:tblDescription w:val="Number and Percent of Panelists by Primary Position"/>
      </w:tblPr>
      <w:tblGrid>
        <w:gridCol w:w="4320"/>
        <w:gridCol w:w="2562"/>
        <w:gridCol w:w="2563"/>
      </w:tblGrid>
      <w:tr w:rsidR="00C24947" w:rsidRPr="00C35F8B" w14:paraId="295C179E" w14:textId="77777777" w:rsidTr="00C24947">
        <w:trPr>
          <w:trHeight w:val="257"/>
          <w:tblHeader/>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53AA3C" w14:textId="77777777" w:rsidR="00C24947" w:rsidRPr="00C35F8B" w:rsidRDefault="00C24947" w:rsidP="00C24947">
            <w:pPr>
              <w:jc w:val="cente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Primary Position</w:t>
            </w:r>
          </w:p>
        </w:tc>
        <w:tc>
          <w:tcPr>
            <w:tcW w:w="2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B66EA1" w14:textId="77777777" w:rsidR="00C24947" w:rsidRPr="00C35F8B" w:rsidRDefault="00C24947" w:rsidP="00C24947">
            <w:pPr>
              <w:jc w:val="cente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Number of Panelists</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BEDE20" w14:textId="77777777" w:rsidR="00C24947" w:rsidRPr="00C35F8B" w:rsidRDefault="00C24947" w:rsidP="00C24947">
            <w:pPr>
              <w:jc w:val="cente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Percent of Panelists</w:t>
            </w:r>
          </w:p>
        </w:tc>
      </w:tr>
      <w:tr w:rsidR="00C24947" w:rsidRPr="00C35F8B" w14:paraId="6EA4A081" w14:textId="77777777" w:rsidTr="00C24947">
        <w:tc>
          <w:tcPr>
            <w:tcW w:w="4320" w:type="dxa"/>
            <w:tcBorders>
              <w:top w:val="single" w:sz="4" w:space="0" w:color="auto"/>
              <w:left w:val="single" w:sz="4" w:space="0" w:color="auto"/>
              <w:bottom w:val="single" w:sz="4" w:space="0" w:color="auto"/>
              <w:right w:val="single" w:sz="4" w:space="0" w:color="auto"/>
            </w:tcBorders>
            <w:hideMark/>
          </w:tcPr>
          <w:p w14:paraId="4D02BF65" w14:textId="77777777" w:rsidR="00C24947" w:rsidRPr="00C35F8B" w:rsidRDefault="00C24947" w:rsidP="00C24947">
            <w:pPr>
              <w:rPr>
                <w:rFonts w:ascii="Arial" w:eastAsia="Times New Roman" w:hAnsi="Arial" w:cs="Arial"/>
                <w:color w:val="000000"/>
                <w:sz w:val="24"/>
                <w:szCs w:val="24"/>
              </w:rPr>
            </w:pPr>
            <w:r w:rsidRPr="00C35F8B">
              <w:rPr>
                <w:rFonts w:ascii="Arial" w:eastAsia="Times New Roman" w:hAnsi="Arial" w:cs="Arial"/>
                <w:color w:val="000000"/>
                <w:sz w:val="24"/>
                <w:szCs w:val="24"/>
              </w:rPr>
              <w:t>Special education teacher</w:t>
            </w:r>
          </w:p>
        </w:tc>
        <w:tc>
          <w:tcPr>
            <w:tcW w:w="2562" w:type="dxa"/>
            <w:tcBorders>
              <w:top w:val="single" w:sz="4" w:space="0" w:color="auto"/>
              <w:left w:val="single" w:sz="4" w:space="0" w:color="auto"/>
              <w:bottom w:val="single" w:sz="4" w:space="0" w:color="auto"/>
              <w:right w:val="single" w:sz="4" w:space="0" w:color="auto"/>
            </w:tcBorders>
            <w:vAlign w:val="bottom"/>
            <w:hideMark/>
          </w:tcPr>
          <w:p w14:paraId="7D756BF7" w14:textId="77777777" w:rsidR="00C24947" w:rsidRPr="00C35F8B" w:rsidRDefault="00C24947" w:rsidP="00C24947">
            <w:pPr>
              <w:tabs>
                <w:tab w:val="decimal" w:pos="1331"/>
              </w:tabs>
              <w:rPr>
                <w:rFonts w:ascii="Arial" w:eastAsia="Times New Roman" w:hAnsi="Arial" w:cs="Arial"/>
                <w:color w:val="000000"/>
                <w:sz w:val="24"/>
                <w:szCs w:val="24"/>
              </w:rPr>
            </w:pPr>
            <w:r w:rsidRPr="00C35F8B">
              <w:rPr>
                <w:rFonts w:ascii="Arial" w:eastAsia="Times New Roman" w:hAnsi="Arial" w:cs="Arial"/>
                <w:color w:val="000000"/>
                <w:sz w:val="24"/>
                <w:szCs w:val="24"/>
              </w:rPr>
              <w:t>22</w:t>
            </w:r>
          </w:p>
        </w:tc>
        <w:tc>
          <w:tcPr>
            <w:tcW w:w="2563" w:type="dxa"/>
            <w:tcBorders>
              <w:top w:val="single" w:sz="4" w:space="0" w:color="auto"/>
              <w:left w:val="single" w:sz="4" w:space="0" w:color="auto"/>
              <w:bottom w:val="single" w:sz="4" w:space="0" w:color="auto"/>
              <w:right w:val="single" w:sz="4" w:space="0" w:color="auto"/>
            </w:tcBorders>
            <w:vAlign w:val="bottom"/>
            <w:hideMark/>
          </w:tcPr>
          <w:p w14:paraId="1CBBE09D" w14:textId="77777777" w:rsidR="00C24947" w:rsidRPr="00C35F8B" w:rsidRDefault="00C24947" w:rsidP="00C24947">
            <w:pPr>
              <w:tabs>
                <w:tab w:val="decimal" w:pos="1286"/>
              </w:tabs>
              <w:rPr>
                <w:rFonts w:ascii="Arial" w:eastAsia="Times New Roman" w:hAnsi="Arial" w:cs="Arial"/>
                <w:color w:val="000000"/>
                <w:sz w:val="24"/>
                <w:szCs w:val="24"/>
              </w:rPr>
            </w:pPr>
            <w:r w:rsidRPr="00C35F8B">
              <w:rPr>
                <w:rFonts w:ascii="Arial" w:eastAsia="Times New Roman" w:hAnsi="Arial" w:cs="Arial"/>
                <w:color w:val="000000"/>
                <w:sz w:val="24"/>
                <w:szCs w:val="24"/>
              </w:rPr>
              <w:t>50</w:t>
            </w:r>
          </w:p>
        </w:tc>
      </w:tr>
      <w:tr w:rsidR="00C24947" w:rsidRPr="00C35F8B" w14:paraId="779149F2" w14:textId="77777777" w:rsidTr="00C24947">
        <w:tc>
          <w:tcPr>
            <w:tcW w:w="4320" w:type="dxa"/>
            <w:tcBorders>
              <w:top w:val="single" w:sz="4" w:space="0" w:color="auto"/>
              <w:left w:val="single" w:sz="4" w:space="0" w:color="auto"/>
              <w:bottom w:val="single" w:sz="4" w:space="0" w:color="auto"/>
              <w:right w:val="single" w:sz="4" w:space="0" w:color="auto"/>
            </w:tcBorders>
            <w:hideMark/>
          </w:tcPr>
          <w:p w14:paraId="3CAE5AEB" w14:textId="77777777" w:rsidR="00C24947" w:rsidRPr="00C35F8B" w:rsidRDefault="00C24947" w:rsidP="00C24947">
            <w:pPr>
              <w:rPr>
                <w:rFonts w:ascii="Arial" w:eastAsia="Times New Roman" w:hAnsi="Arial" w:cs="Arial"/>
                <w:color w:val="000000"/>
                <w:sz w:val="24"/>
                <w:szCs w:val="24"/>
              </w:rPr>
            </w:pPr>
            <w:r w:rsidRPr="00C35F8B">
              <w:rPr>
                <w:rFonts w:ascii="Arial" w:eastAsia="Times New Roman" w:hAnsi="Arial" w:cs="Arial"/>
                <w:color w:val="000000"/>
                <w:sz w:val="24"/>
                <w:szCs w:val="24"/>
              </w:rPr>
              <w:t>EL or literacy coach</w:t>
            </w:r>
          </w:p>
        </w:tc>
        <w:tc>
          <w:tcPr>
            <w:tcW w:w="2562" w:type="dxa"/>
            <w:tcBorders>
              <w:top w:val="single" w:sz="4" w:space="0" w:color="auto"/>
              <w:left w:val="single" w:sz="4" w:space="0" w:color="auto"/>
              <w:bottom w:val="single" w:sz="4" w:space="0" w:color="auto"/>
              <w:right w:val="single" w:sz="4" w:space="0" w:color="auto"/>
            </w:tcBorders>
            <w:vAlign w:val="bottom"/>
            <w:hideMark/>
          </w:tcPr>
          <w:p w14:paraId="07E2AC23" w14:textId="77777777" w:rsidR="00C24947" w:rsidRPr="00C35F8B" w:rsidRDefault="00C24947" w:rsidP="00C24947">
            <w:pPr>
              <w:tabs>
                <w:tab w:val="decimal" w:pos="1331"/>
              </w:tabs>
              <w:rPr>
                <w:rFonts w:ascii="Arial" w:eastAsia="Times New Roman" w:hAnsi="Arial" w:cs="Arial"/>
                <w:color w:val="000000"/>
                <w:sz w:val="24"/>
                <w:szCs w:val="24"/>
              </w:rPr>
            </w:pPr>
            <w:r w:rsidRPr="00C35F8B">
              <w:rPr>
                <w:rFonts w:ascii="Arial" w:eastAsia="Times New Roman" w:hAnsi="Arial" w:cs="Arial"/>
                <w:color w:val="000000"/>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hideMark/>
          </w:tcPr>
          <w:p w14:paraId="1DF26820" w14:textId="77777777" w:rsidR="00C24947" w:rsidRPr="00C35F8B" w:rsidRDefault="00C24947" w:rsidP="00C24947">
            <w:pPr>
              <w:tabs>
                <w:tab w:val="decimal" w:pos="1286"/>
              </w:tabs>
              <w:rPr>
                <w:rFonts w:ascii="Arial" w:eastAsia="Times New Roman" w:hAnsi="Arial" w:cs="Arial"/>
                <w:color w:val="000000"/>
                <w:sz w:val="24"/>
                <w:szCs w:val="24"/>
              </w:rPr>
            </w:pPr>
            <w:r w:rsidRPr="00C35F8B">
              <w:rPr>
                <w:rFonts w:ascii="Arial" w:eastAsia="Times New Roman" w:hAnsi="Arial" w:cs="Arial"/>
                <w:color w:val="000000"/>
                <w:sz w:val="24"/>
                <w:szCs w:val="24"/>
              </w:rPr>
              <w:t>7</w:t>
            </w:r>
          </w:p>
        </w:tc>
      </w:tr>
      <w:tr w:rsidR="00C24947" w:rsidRPr="00C35F8B" w14:paraId="0DAAC8F3" w14:textId="77777777" w:rsidTr="00C24947">
        <w:tc>
          <w:tcPr>
            <w:tcW w:w="4320" w:type="dxa"/>
            <w:tcBorders>
              <w:top w:val="single" w:sz="4" w:space="0" w:color="auto"/>
              <w:left w:val="single" w:sz="4" w:space="0" w:color="auto"/>
              <w:bottom w:val="single" w:sz="4" w:space="0" w:color="auto"/>
              <w:right w:val="single" w:sz="4" w:space="0" w:color="auto"/>
            </w:tcBorders>
            <w:hideMark/>
          </w:tcPr>
          <w:p w14:paraId="1BCEBD35" w14:textId="77777777" w:rsidR="00C24947" w:rsidRPr="00C35F8B" w:rsidRDefault="00C24947" w:rsidP="00C24947">
            <w:pPr>
              <w:rPr>
                <w:rFonts w:ascii="Arial" w:eastAsia="Times New Roman" w:hAnsi="Arial" w:cs="Arial"/>
                <w:color w:val="000000"/>
                <w:sz w:val="24"/>
                <w:szCs w:val="24"/>
              </w:rPr>
            </w:pPr>
            <w:r w:rsidRPr="00C35F8B">
              <w:rPr>
                <w:rFonts w:ascii="Arial" w:eastAsia="Times New Roman" w:hAnsi="Arial" w:cs="Arial"/>
                <w:color w:val="000000"/>
                <w:sz w:val="24"/>
                <w:szCs w:val="24"/>
              </w:rPr>
              <w:t>General education classroom teacher</w:t>
            </w:r>
          </w:p>
        </w:tc>
        <w:tc>
          <w:tcPr>
            <w:tcW w:w="2562" w:type="dxa"/>
            <w:tcBorders>
              <w:top w:val="single" w:sz="4" w:space="0" w:color="auto"/>
              <w:left w:val="single" w:sz="4" w:space="0" w:color="auto"/>
              <w:bottom w:val="single" w:sz="4" w:space="0" w:color="auto"/>
              <w:right w:val="single" w:sz="4" w:space="0" w:color="auto"/>
            </w:tcBorders>
            <w:vAlign w:val="bottom"/>
            <w:hideMark/>
          </w:tcPr>
          <w:p w14:paraId="653D4A22" w14:textId="77777777" w:rsidR="00C24947" w:rsidRPr="00C35F8B" w:rsidRDefault="00C24947" w:rsidP="00C24947">
            <w:pPr>
              <w:tabs>
                <w:tab w:val="decimal" w:pos="1331"/>
              </w:tabs>
              <w:rPr>
                <w:rFonts w:ascii="Arial" w:eastAsia="Times New Roman" w:hAnsi="Arial" w:cs="Arial"/>
                <w:color w:val="000000"/>
                <w:sz w:val="24"/>
                <w:szCs w:val="24"/>
              </w:rPr>
            </w:pPr>
            <w:r w:rsidRPr="00C35F8B">
              <w:rPr>
                <w:rFonts w:ascii="Arial" w:eastAsia="Times New Roman" w:hAnsi="Arial" w:cs="Arial"/>
                <w:color w:val="000000"/>
                <w:sz w:val="24"/>
                <w:szCs w:val="24"/>
              </w:rPr>
              <w:t>8</w:t>
            </w:r>
          </w:p>
        </w:tc>
        <w:tc>
          <w:tcPr>
            <w:tcW w:w="2563" w:type="dxa"/>
            <w:tcBorders>
              <w:top w:val="single" w:sz="4" w:space="0" w:color="auto"/>
              <w:left w:val="single" w:sz="4" w:space="0" w:color="auto"/>
              <w:bottom w:val="single" w:sz="4" w:space="0" w:color="auto"/>
              <w:right w:val="single" w:sz="4" w:space="0" w:color="auto"/>
            </w:tcBorders>
            <w:vAlign w:val="bottom"/>
            <w:hideMark/>
          </w:tcPr>
          <w:p w14:paraId="7B51D6CF" w14:textId="77777777" w:rsidR="00C24947" w:rsidRPr="00C35F8B" w:rsidRDefault="00C24947" w:rsidP="00C24947">
            <w:pPr>
              <w:tabs>
                <w:tab w:val="decimal" w:pos="1286"/>
              </w:tabs>
              <w:rPr>
                <w:rFonts w:ascii="Arial" w:eastAsia="Times New Roman" w:hAnsi="Arial" w:cs="Arial"/>
                <w:color w:val="000000"/>
                <w:sz w:val="24"/>
                <w:szCs w:val="24"/>
              </w:rPr>
            </w:pPr>
            <w:r w:rsidRPr="00C35F8B">
              <w:rPr>
                <w:rFonts w:ascii="Arial" w:eastAsia="Times New Roman" w:hAnsi="Arial" w:cs="Arial"/>
                <w:color w:val="000000"/>
                <w:sz w:val="24"/>
                <w:szCs w:val="24"/>
              </w:rPr>
              <w:t>18</w:t>
            </w:r>
          </w:p>
        </w:tc>
      </w:tr>
      <w:tr w:rsidR="00C24947" w:rsidRPr="00C35F8B" w14:paraId="3386D84C" w14:textId="77777777" w:rsidTr="00C24947">
        <w:tc>
          <w:tcPr>
            <w:tcW w:w="4320" w:type="dxa"/>
            <w:tcBorders>
              <w:top w:val="single" w:sz="4" w:space="0" w:color="auto"/>
              <w:left w:val="single" w:sz="4" w:space="0" w:color="auto"/>
              <w:bottom w:val="single" w:sz="4" w:space="0" w:color="auto"/>
              <w:right w:val="single" w:sz="4" w:space="0" w:color="auto"/>
            </w:tcBorders>
            <w:hideMark/>
          </w:tcPr>
          <w:p w14:paraId="6BEBCE98" w14:textId="77777777" w:rsidR="00C24947" w:rsidRPr="00C35F8B" w:rsidRDefault="00C24947" w:rsidP="00C24947">
            <w:pPr>
              <w:rPr>
                <w:rFonts w:ascii="Arial" w:eastAsia="Times New Roman" w:hAnsi="Arial" w:cs="Arial"/>
                <w:color w:val="000000"/>
                <w:sz w:val="24"/>
                <w:szCs w:val="24"/>
              </w:rPr>
            </w:pPr>
            <w:r w:rsidRPr="00C35F8B">
              <w:rPr>
                <w:rFonts w:ascii="Arial" w:eastAsia="Times New Roman" w:hAnsi="Arial" w:cs="Arial"/>
                <w:color w:val="000000"/>
                <w:sz w:val="24"/>
                <w:szCs w:val="24"/>
              </w:rPr>
              <w:t>Teacher on special assignment</w:t>
            </w:r>
          </w:p>
        </w:tc>
        <w:tc>
          <w:tcPr>
            <w:tcW w:w="2562" w:type="dxa"/>
            <w:tcBorders>
              <w:top w:val="single" w:sz="4" w:space="0" w:color="auto"/>
              <w:left w:val="single" w:sz="4" w:space="0" w:color="auto"/>
              <w:bottom w:val="single" w:sz="4" w:space="0" w:color="auto"/>
              <w:right w:val="single" w:sz="4" w:space="0" w:color="auto"/>
            </w:tcBorders>
            <w:vAlign w:val="bottom"/>
            <w:hideMark/>
          </w:tcPr>
          <w:p w14:paraId="50617F86" w14:textId="77777777" w:rsidR="00C24947" w:rsidRPr="00C35F8B" w:rsidRDefault="00C24947" w:rsidP="00C24947">
            <w:pPr>
              <w:tabs>
                <w:tab w:val="decimal" w:pos="1331"/>
              </w:tabs>
              <w:rPr>
                <w:rFonts w:ascii="Arial" w:eastAsia="Times New Roman" w:hAnsi="Arial" w:cs="Arial"/>
                <w:color w:val="000000"/>
                <w:sz w:val="24"/>
                <w:szCs w:val="24"/>
              </w:rPr>
            </w:pPr>
            <w:r w:rsidRPr="00C35F8B">
              <w:rPr>
                <w:rFonts w:ascii="Arial" w:eastAsia="Times New Roman" w:hAnsi="Arial" w:cs="Arial"/>
                <w:color w:val="000000"/>
                <w:sz w:val="24"/>
                <w:szCs w:val="24"/>
              </w:rPr>
              <w:t>6</w:t>
            </w:r>
          </w:p>
        </w:tc>
        <w:tc>
          <w:tcPr>
            <w:tcW w:w="2563" w:type="dxa"/>
            <w:tcBorders>
              <w:top w:val="single" w:sz="4" w:space="0" w:color="auto"/>
              <w:left w:val="single" w:sz="4" w:space="0" w:color="auto"/>
              <w:bottom w:val="single" w:sz="4" w:space="0" w:color="auto"/>
              <w:right w:val="single" w:sz="4" w:space="0" w:color="auto"/>
            </w:tcBorders>
            <w:vAlign w:val="bottom"/>
            <w:hideMark/>
          </w:tcPr>
          <w:p w14:paraId="47661D82" w14:textId="77777777" w:rsidR="00C24947" w:rsidRPr="00C35F8B" w:rsidRDefault="00C24947" w:rsidP="00C24947">
            <w:pPr>
              <w:tabs>
                <w:tab w:val="decimal" w:pos="1286"/>
              </w:tabs>
              <w:rPr>
                <w:rFonts w:ascii="Arial" w:eastAsia="Times New Roman" w:hAnsi="Arial" w:cs="Arial"/>
                <w:color w:val="000000"/>
                <w:sz w:val="24"/>
                <w:szCs w:val="24"/>
              </w:rPr>
            </w:pPr>
            <w:r w:rsidRPr="00C35F8B">
              <w:rPr>
                <w:rFonts w:ascii="Arial" w:eastAsia="Times New Roman" w:hAnsi="Arial" w:cs="Arial"/>
                <w:color w:val="000000"/>
                <w:sz w:val="24"/>
                <w:szCs w:val="24"/>
              </w:rPr>
              <w:t>14</w:t>
            </w:r>
          </w:p>
        </w:tc>
      </w:tr>
      <w:tr w:rsidR="00C24947" w:rsidRPr="00C35F8B" w14:paraId="5907AA2A" w14:textId="77777777" w:rsidTr="00C24947">
        <w:tc>
          <w:tcPr>
            <w:tcW w:w="4320" w:type="dxa"/>
            <w:tcBorders>
              <w:top w:val="single" w:sz="4" w:space="0" w:color="auto"/>
              <w:left w:val="single" w:sz="4" w:space="0" w:color="auto"/>
              <w:bottom w:val="single" w:sz="4" w:space="0" w:color="auto"/>
              <w:right w:val="single" w:sz="4" w:space="0" w:color="auto"/>
            </w:tcBorders>
            <w:hideMark/>
          </w:tcPr>
          <w:p w14:paraId="5724ADCE" w14:textId="77777777" w:rsidR="00C24947" w:rsidRPr="00C35F8B" w:rsidRDefault="00C24947" w:rsidP="00C24947">
            <w:pPr>
              <w:rPr>
                <w:rFonts w:ascii="Arial" w:eastAsia="Times New Roman" w:hAnsi="Arial" w:cs="Arial"/>
                <w:color w:val="000000"/>
                <w:sz w:val="24"/>
                <w:szCs w:val="24"/>
              </w:rPr>
            </w:pPr>
            <w:r w:rsidRPr="00C35F8B">
              <w:rPr>
                <w:rFonts w:ascii="Arial" w:eastAsia="Times New Roman" w:hAnsi="Arial" w:cs="Arial"/>
                <w:color w:val="000000"/>
                <w:sz w:val="24"/>
                <w:szCs w:val="24"/>
              </w:rPr>
              <w:t>Administrator</w:t>
            </w:r>
          </w:p>
        </w:tc>
        <w:tc>
          <w:tcPr>
            <w:tcW w:w="2562" w:type="dxa"/>
            <w:tcBorders>
              <w:top w:val="single" w:sz="4" w:space="0" w:color="auto"/>
              <w:left w:val="single" w:sz="4" w:space="0" w:color="auto"/>
              <w:bottom w:val="single" w:sz="4" w:space="0" w:color="auto"/>
              <w:right w:val="single" w:sz="4" w:space="0" w:color="auto"/>
            </w:tcBorders>
            <w:vAlign w:val="bottom"/>
            <w:hideMark/>
          </w:tcPr>
          <w:p w14:paraId="352C9BA4" w14:textId="77777777" w:rsidR="00C24947" w:rsidRPr="00C35F8B" w:rsidRDefault="00C24947" w:rsidP="00C24947">
            <w:pPr>
              <w:tabs>
                <w:tab w:val="decimal" w:pos="1331"/>
              </w:tabs>
              <w:rPr>
                <w:rFonts w:ascii="Arial" w:eastAsia="Times New Roman" w:hAnsi="Arial" w:cs="Arial"/>
                <w:color w:val="000000"/>
                <w:sz w:val="24"/>
                <w:szCs w:val="24"/>
              </w:rPr>
            </w:pPr>
            <w:r w:rsidRPr="00C35F8B">
              <w:rPr>
                <w:rFonts w:ascii="Arial" w:eastAsia="Times New Roman" w:hAnsi="Arial" w:cs="Arial"/>
                <w:color w:val="000000"/>
                <w:sz w:val="24"/>
                <w:szCs w:val="24"/>
              </w:rPr>
              <w:t>5</w:t>
            </w:r>
          </w:p>
        </w:tc>
        <w:tc>
          <w:tcPr>
            <w:tcW w:w="2563" w:type="dxa"/>
            <w:tcBorders>
              <w:top w:val="single" w:sz="4" w:space="0" w:color="auto"/>
              <w:left w:val="single" w:sz="4" w:space="0" w:color="auto"/>
              <w:bottom w:val="single" w:sz="4" w:space="0" w:color="auto"/>
              <w:right w:val="single" w:sz="4" w:space="0" w:color="auto"/>
            </w:tcBorders>
            <w:vAlign w:val="bottom"/>
            <w:hideMark/>
          </w:tcPr>
          <w:p w14:paraId="0B5BBA53" w14:textId="77777777" w:rsidR="00C24947" w:rsidRPr="00C35F8B" w:rsidRDefault="00C24947" w:rsidP="00C24947">
            <w:pPr>
              <w:tabs>
                <w:tab w:val="decimal" w:pos="1286"/>
              </w:tabs>
              <w:rPr>
                <w:rFonts w:ascii="Arial" w:eastAsia="Times New Roman" w:hAnsi="Arial" w:cs="Arial"/>
                <w:color w:val="000000"/>
                <w:sz w:val="24"/>
                <w:szCs w:val="24"/>
              </w:rPr>
            </w:pPr>
            <w:r w:rsidRPr="00C35F8B">
              <w:rPr>
                <w:rFonts w:ascii="Arial" w:eastAsia="Times New Roman" w:hAnsi="Arial" w:cs="Arial"/>
                <w:color w:val="000000"/>
                <w:sz w:val="24"/>
                <w:szCs w:val="24"/>
              </w:rPr>
              <w:t>11</w:t>
            </w:r>
          </w:p>
        </w:tc>
      </w:tr>
      <w:tr w:rsidR="00C24947" w:rsidRPr="00C35F8B" w14:paraId="1032A6B0" w14:textId="77777777" w:rsidTr="00C24947">
        <w:tc>
          <w:tcPr>
            <w:tcW w:w="4320" w:type="dxa"/>
            <w:tcBorders>
              <w:top w:val="single" w:sz="4" w:space="0" w:color="auto"/>
              <w:left w:val="single" w:sz="4" w:space="0" w:color="auto"/>
              <w:bottom w:val="single" w:sz="4" w:space="0" w:color="auto"/>
              <w:right w:val="single" w:sz="4" w:space="0" w:color="auto"/>
            </w:tcBorders>
            <w:hideMark/>
          </w:tcPr>
          <w:p w14:paraId="1617E6F3" w14:textId="77777777" w:rsidR="00C24947" w:rsidRPr="00C35F8B" w:rsidRDefault="00C24947" w:rsidP="00C24947">
            <w:pPr>
              <w:rPr>
                <w:rFonts w:ascii="Arial" w:eastAsia="Times New Roman" w:hAnsi="Arial" w:cs="Arial"/>
                <w:b/>
                <w:color w:val="000000"/>
                <w:sz w:val="24"/>
                <w:szCs w:val="24"/>
              </w:rPr>
            </w:pPr>
            <w:r w:rsidRPr="00C35F8B">
              <w:rPr>
                <w:rFonts w:ascii="Arial" w:eastAsia="Times New Roman" w:hAnsi="Arial" w:cs="Arial"/>
                <w:b/>
                <w:color w:val="000000"/>
                <w:sz w:val="24"/>
                <w:szCs w:val="24"/>
              </w:rPr>
              <w:t>Total</w:t>
            </w:r>
          </w:p>
        </w:tc>
        <w:tc>
          <w:tcPr>
            <w:tcW w:w="2562" w:type="dxa"/>
            <w:tcBorders>
              <w:top w:val="single" w:sz="4" w:space="0" w:color="auto"/>
              <w:left w:val="single" w:sz="4" w:space="0" w:color="auto"/>
              <w:bottom w:val="single" w:sz="4" w:space="0" w:color="auto"/>
              <w:right w:val="single" w:sz="4" w:space="0" w:color="auto"/>
            </w:tcBorders>
            <w:vAlign w:val="bottom"/>
            <w:hideMark/>
          </w:tcPr>
          <w:p w14:paraId="2E03BC04" w14:textId="77777777" w:rsidR="00C24947" w:rsidRPr="00C35F8B" w:rsidRDefault="00C24947" w:rsidP="00C24947">
            <w:pPr>
              <w:tabs>
                <w:tab w:val="decimal" w:pos="1331"/>
              </w:tabs>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44</w:t>
            </w:r>
          </w:p>
        </w:tc>
        <w:tc>
          <w:tcPr>
            <w:tcW w:w="2563" w:type="dxa"/>
            <w:tcBorders>
              <w:top w:val="single" w:sz="4" w:space="0" w:color="auto"/>
              <w:left w:val="single" w:sz="4" w:space="0" w:color="auto"/>
              <w:bottom w:val="single" w:sz="4" w:space="0" w:color="auto"/>
              <w:right w:val="single" w:sz="4" w:space="0" w:color="auto"/>
            </w:tcBorders>
            <w:vAlign w:val="bottom"/>
            <w:hideMark/>
          </w:tcPr>
          <w:p w14:paraId="6050A0B8" w14:textId="77777777" w:rsidR="00C24947" w:rsidRPr="00C35F8B" w:rsidRDefault="00C24947" w:rsidP="00C24947">
            <w:pPr>
              <w:tabs>
                <w:tab w:val="decimal" w:pos="1286"/>
              </w:tabs>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100</w:t>
            </w:r>
          </w:p>
        </w:tc>
      </w:tr>
    </w:tbl>
    <w:p w14:paraId="02315A60" w14:textId="77777777" w:rsidR="00C24947" w:rsidRPr="00C35F8B" w:rsidRDefault="00C24947" w:rsidP="00C24947">
      <w:pPr>
        <w:keepNext/>
        <w:tabs>
          <w:tab w:val="left" w:pos="2520"/>
        </w:tabs>
        <w:spacing w:before="240" w:after="120"/>
        <w:rPr>
          <w:rFonts w:eastAsia="Times New Roman"/>
        </w:rPr>
      </w:pPr>
      <w:r w:rsidRPr="00C35F8B">
        <w:rPr>
          <w:rFonts w:eastAsia="Times New Roman"/>
        </w:rPr>
        <w:t xml:space="preserve">Table </w:t>
      </w:r>
      <w:r w:rsidRPr="00C35F8B">
        <w:rPr>
          <w:rFonts w:eastAsia="Times New Roman"/>
          <w:color w:val="2B579A"/>
          <w:shd w:val="clear" w:color="auto" w:fill="E6E6E6"/>
        </w:rPr>
        <w:fldChar w:fldCharType="begin"/>
      </w:r>
      <w:r w:rsidRPr="00C35F8B">
        <w:rPr>
          <w:rFonts w:eastAsia="Times New Roman"/>
        </w:rPr>
        <w:instrText xml:space="preserve"> SEQ Table \* ARABIC </w:instrText>
      </w:r>
      <w:r w:rsidRPr="00C35F8B">
        <w:rPr>
          <w:rFonts w:eastAsia="Times New Roman"/>
          <w:color w:val="2B579A"/>
          <w:shd w:val="clear" w:color="auto" w:fill="E6E6E6"/>
        </w:rPr>
        <w:fldChar w:fldCharType="separate"/>
      </w:r>
      <w:r w:rsidRPr="00C35F8B">
        <w:rPr>
          <w:rFonts w:eastAsia="Times New Roman"/>
          <w:noProof/>
        </w:rPr>
        <w:t>5</w:t>
      </w:r>
      <w:r w:rsidRPr="00C35F8B">
        <w:rPr>
          <w:rFonts w:eastAsia="Times New Roman"/>
          <w:noProof/>
          <w:color w:val="2B579A"/>
          <w:shd w:val="clear" w:color="auto" w:fill="E6E6E6"/>
        </w:rPr>
        <w:fldChar w:fldCharType="end"/>
      </w:r>
      <w:r w:rsidRPr="00C35F8B">
        <w:rPr>
          <w:rFonts w:eastAsia="Times New Roman"/>
        </w:rPr>
        <w:t>. Number and Percent of Panelists by Kindergarten Through Grade Twelve (K–‍12) Credential</w:t>
      </w:r>
    </w:p>
    <w:tbl>
      <w:tblPr>
        <w:tblStyle w:val="TableGrid21"/>
        <w:tblW w:w="9445" w:type="dxa"/>
        <w:tblInd w:w="0" w:type="dxa"/>
        <w:tblLayout w:type="fixed"/>
        <w:tblLook w:val="04A0" w:firstRow="1" w:lastRow="0" w:firstColumn="1" w:lastColumn="0" w:noHBand="0" w:noVBand="1"/>
        <w:tblDescription w:val="Number and Percent of Panelists by Kindergarten Through Grade Twelve (K–12) Credential"/>
      </w:tblPr>
      <w:tblGrid>
        <w:gridCol w:w="5040"/>
        <w:gridCol w:w="2202"/>
        <w:gridCol w:w="2203"/>
      </w:tblGrid>
      <w:tr w:rsidR="00C24947" w:rsidRPr="00C35F8B" w14:paraId="2F79DFD9" w14:textId="77777777" w:rsidTr="00C24947">
        <w:trPr>
          <w:cantSplit/>
          <w:trHeight w:val="212"/>
          <w:tblHeader/>
        </w:trPr>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64BD56" w14:textId="77777777" w:rsidR="00C24947" w:rsidRPr="00C35F8B" w:rsidRDefault="00C24947" w:rsidP="00C24947">
            <w:pPr>
              <w:keepNext/>
              <w:keepLines/>
              <w:jc w:val="center"/>
              <w:rPr>
                <w:rFonts w:ascii="Arial" w:eastAsia="Times New Roman" w:hAnsi="Arial" w:cs="Arial"/>
                <w:b/>
                <w:bCs/>
                <w:color w:val="000000"/>
                <w:sz w:val="24"/>
                <w:szCs w:val="24"/>
                <w:vertAlign w:val="superscript"/>
              </w:rPr>
            </w:pPr>
            <w:r w:rsidRPr="00C35F8B">
              <w:rPr>
                <w:rFonts w:ascii="Arial" w:eastAsia="Times New Roman" w:hAnsi="Arial" w:cs="Arial"/>
                <w:b/>
                <w:bCs/>
                <w:color w:val="000000"/>
                <w:sz w:val="24"/>
                <w:szCs w:val="24"/>
              </w:rPr>
              <w:t>K–12 Credential</w:t>
            </w:r>
          </w:p>
        </w:tc>
        <w:tc>
          <w:tcPr>
            <w:tcW w:w="22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C06961" w14:textId="77777777" w:rsidR="00C24947" w:rsidRPr="00C35F8B" w:rsidRDefault="00C24947" w:rsidP="00C24947">
            <w:pPr>
              <w:keepNext/>
              <w:keepLines/>
              <w:jc w:val="cente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Number of Panelists</w:t>
            </w:r>
          </w:p>
        </w:tc>
        <w:tc>
          <w:tcPr>
            <w:tcW w:w="22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97969E" w14:textId="77777777" w:rsidR="00C24947" w:rsidRPr="00C35F8B" w:rsidRDefault="00C24947" w:rsidP="00C24947">
            <w:pPr>
              <w:keepNext/>
              <w:keepLines/>
              <w:jc w:val="cente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Percent of Panelists</w:t>
            </w:r>
          </w:p>
        </w:tc>
      </w:tr>
      <w:tr w:rsidR="00C24947" w:rsidRPr="00C35F8B" w14:paraId="2CE44186" w14:textId="77777777" w:rsidTr="00C24947">
        <w:trPr>
          <w:cantSplit/>
          <w:trHeight w:val="199"/>
        </w:trPr>
        <w:tc>
          <w:tcPr>
            <w:tcW w:w="5040" w:type="dxa"/>
            <w:tcBorders>
              <w:top w:val="single" w:sz="4" w:space="0" w:color="auto"/>
              <w:left w:val="single" w:sz="4" w:space="0" w:color="auto"/>
              <w:bottom w:val="single" w:sz="4" w:space="0" w:color="auto"/>
              <w:right w:val="single" w:sz="4" w:space="0" w:color="auto"/>
            </w:tcBorders>
            <w:hideMark/>
          </w:tcPr>
          <w:p w14:paraId="718D675D" w14:textId="77777777" w:rsidR="00C24947" w:rsidRPr="00C35F8B" w:rsidRDefault="00C24947" w:rsidP="00C24947">
            <w:pPr>
              <w:keepNext/>
              <w:keepLines/>
              <w:rPr>
                <w:rFonts w:ascii="Arial" w:eastAsia="Times New Roman" w:hAnsi="Arial" w:cs="Arial"/>
                <w:color w:val="000000"/>
                <w:sz w:val="24"/>
                <w:szCs w:val="24"/>
              </w:rPr>
            </w:pPr>
            <w:r w:rsidRPr="00C35F8B">
              <w:rPr>
                <w:rFonts w:ascii="Arial" w:eastAsia="Times New Roman" w:hAnsi="Arial" w:cs="Arial"/>
                <w:color w:val="000000"/>
                <w:sz w:val="24"/>
                <w:szCs w:val="24"/>
              </w:rPr>
              <w:t>Special Education</w:t>
            </w:r>
          </w:p>
        </w:tc>
        <w:tc>
          <w:tcPr>
            <w:tcW w:w="2202" w:type="dxa"/>
            <w:tcBorders>
              <w:top w:val="single" w:sz="4" w:space="0" w:color="auto"/>
              <w:left w:val="single" w:sz="4" w:space="0" w:color="auto"/>
              <w:bottom w:val="single" w:sz="4" w:space="0" w:color="auto"/>
              <w:right w:val="single" w:sz="4" w:space="0" w:color="auto"/>
            </w:tcBorders>
            <w:hideMark/>
          </w:tcPr>
          <w:p w14:paraId="58C356D4"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33</w:t>
            </w:r>
          </w:p>
        </w:tc>
        <w:tc>
          <w:tcPr>
            <w:tcW w:w="2203" w:type="dxa"/>
            <w:tcBorders>
              <w:top w:val="single" w:sz="4" w:space="0" w:color="auto"/>
              <w:left w:val="single" w:sz="4" w:space="0" w:color="auto"/>
              <w:bottom w:val="single" w:sz="4" w:space="0" w:color="auto"/>
              <w:right w:val="single" w:sz="4" w:space="0" w:color="auto"/>
            </w:tcBorders>
            <w:hideMark/>
          </w:tcPr>
          <w:p w14:paraId="58E6E4CC"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40</w:t>
            </w:r>
          </w:p>
        </w:tc>
      </w:tr>
      <w:tr w:rsidR="00C24947" w:rsidRPr="00C35F8B" w14:paraId="6778F3D5" w14:textId="77777777" w:rsidTr="00C24947">
        <w:trPr>
          <w:cantSplit/>
          <w:trHeight w:val="181"/>
        </w:trPr>
        <w:tc>
          <w:tcPr>
            <w:tcW w:w="5040" w:type="dxa"/>
            <w:tcBorders>
              <w:top w:val="single" w:sz="4" w:space="0" w:color="auto"/>
              <w:left w:val="single" w:sz="4" w:space="0" w:color="auto"/>
              <w:bottom w:val="single" w:sz="4" w:space="0" w:color="auto"/>
              <w:right w:val="single" w:sz="4" w:space="0" w:color="auto"/>
            </w:tcBorders>
            <w:hideMark/>
          </w:tcPr>
          <w:p w14:paraId="4BB27C3C" w14:textId="77777777" w:rsidR="00C24947" w:rsidRPr="00C35F8B" w:rsidRDefault="00C24947" w:rsidP="00C24947">
            <w:pPr>
              <w:keepNext/>
              <w:keepLines/>
              <w:rPr>
                <w:rFonts w:ascii="Arial" w:eastAsia="Times New Roman" w:hAnsi="Arial" w:cs="Arial"/>
                <w:color w:val="000000"/>
                <w:sz w:val="24"/>
                <w:szCs w:val="24"/>
              </w:rPr>
            </w:pPr>
            <w:r w:rsidRPr="00C35F8B">
              <w:rPr>
                <w:rFonts w:ascii="Arial" w:eastAsia="Times New Roman" w:hAnsi="Arial" w:cs="Arial"/>
                <w:color w:val="000000"/>
                <w:sz w:val="24"/>
                <w:szCs w:val="24"/>
              </w:rPr>
              <w:t>EL (Crosscultural, Language and Academic Development; Bilingual, Crosscultural, Language and Academic Development)</w:t>
            </w:r>
          </w:p>
        </w:tc>
        <w:tc>
          <w:tcPr>
            <w:tcW w:w="2202" w:type="dxa"/>
            <w:tcBorders>
              <w:top w:val="single" w:sz="4" w:space="0" w:color="auto"/>
              <w:left w:val="single" w:sz="4" w:space="0" w:color="auto"/>
              <w:bottom w:val="single" w:sz="4" w:space="0" w:color="auto"/>
              <w:right w:val="single" w:sz="4" w:space="0" w:color="auto"/>
            </w:tcBorders>
            <w:hideMark/>
          </w:tcPr>
          <w:p w14:paraId="1954D960"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18</w:t>
            </w:r>
          </w:p>
        </w:tc>
        <w:tc>
          <w:tcPr>
            <w:tcW w:w="2203" w:type="dxa"/>
            <w:tcBorders>
              <w:top w:val="single" w:sz="4" w:space="0" w:color="auto"/>
              <w:left w:val="single" w:sz="4" w:space="0" w:color="auto"/>
              <w:bottom w:val="single" w:sz="4" w:space="0" w:color="auto"/>
              <w:right w:val="single" w:sz="4" w:space="0" w:color="auto"/>
            </w:tcBorders>
            <w:hideMark/>
          </w:tcPr>
          <w:p w14:paraId="6723E79A"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22</w:t>
            </w:r>
          </w:p>
        </w:tc>
      </w:tr>
      <w:tr w:rsidR="00C24947" w:rsidRPr="00C35F8B" w14:paraId="67A5DE13" w14:textId="77777777" w:rsidTr="00C24947">
        <w:trPr>
          <w:cantSplit/>
          <w:trHeight w:val="181"/>
        </w:trPr>
        <w:tc>
          <w:tcPr>
            <w:tcW w:w="5040" w:type="dxa"/>
            <w:tcBorders>
              <w:top w:val="single" w:sz="4" w:space="0" w:color="auto"/>
              <w:left w:val="single" w:sz="4" w:space="0" w:color="auto"/>
              <w:bottom w:val="single" w:sz="4" w:space="0" w:color="auto"/>
              <w:right w:val="single" w:sz="4" w:space="0" w:color="auto"/>
            </w:tcBorders>
            <w:hideMark/>
          </w:tcPr>
          <w:p w14:paraId="262F1A02" w14:textId="77777777" w:rsidR="00C24947" w:rsidRPr="00C35F8B" w:rsidRDefault="00C24947" w:rsidP="00C24947">
            <w:pPr>
              <w:keepNext/>
              <w:keepLines/>
              <w:rPr>
                <w:rFonts w:ascii="Arial" w:eastAsia="Times New Roman" w:hAnsi="Arial" w:cs="Arial"/>
                <w:color w:val="000000"/>
                <w:sz w:val="24"/>
                <w:szCs w:val="24"/>
              </w:rPr>
            </w:pPr>
            <w:r w:rsidRPr="00C35F8B">
              <w:rPr>
                <w:rFonts w:ascii="Arial" w:eastAsia="Times New Roman" w:hAnsi="Arial" w:cs="Arial"/>
                <w:color w:val="000000"/>
                <w:sz w:val="24"/>
                <w:szCs w:val="24"/>
              </w:rPr>
              <w:t>Elementary Teaching (multiple subjects)</w:t>
            </w:r>
          </w:p>
        </w:tc>
        <w:tc>
          <w:tcPr>
            <w:tcW w:w="2202" w:type="dxa"/>
            <w:tcBorders>
              <w:top w:val="single" w:sz="4" w:space="0" w:color="auto"/>
              <w:left w:val="single" w:sz="4" w:space="0" w:color="auto"/>
              <w:bottom w:val="single" w:sz="4" w:space="0" w:color="auto"/>
              <w:right w:val="single" w:sz="4" w:space="0" w:color="auto"/>
            </w:tcBorders>
            <w:hideMark/>
          </w:tcPr>
          <w:p w14:paraId="78057A37"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13</w:t>
            </w:r>
          </w:p>
        </w:tc>
        <w:tc>
          <w:tcPr>
            <w:tcW w:w="2203" w:type="dxa"/>
            <w:tcBorders>
              <w:top w:val="single" w:sz="4" w:space="0" w:color="auto"/>
              <w:left w:val="single" w:sz="4" w:space="0" w:color="auto"/>
              <w:bottom w:val="single" w:sz="4" w:space="0" w:color="auto"/>
              <w:right w:val="single" w:sz="4" w:space="0" w:color="auto"/>
            </w:tcBorders>
            <w:hideMark/>
          </w:tcPr>
          <w:p w14:paraId="052E98BB"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16</w:t>
            </w:r>
          </w:p>
        </w:tc>
      </w:tr>
      <w:tr w:rsidR="00C24947" w:rsidRPr="00C35F8B" w14:paraId="0E769739" w14:textId="77777777" w:rsidTr="00C24947">
        <w:trPr>
          <w:cantSplit/>
          <w:trHeight w:val="181"/>
        </w:trPr>
        <w:tc>
          <w:tcPr>
            <w:tcW w:w="5040" w:type="dxa"/>
            <w:tcBorders>
              <w:top w:val="single" w:sz="4" w:space="0" w:color="auto"/>
              <w:left w:val="single" w:sz="4" w:space="0" w:color="auto"/>
              <w:bottom w:val="single" w:sz="4" w:space="0" w:color="auto"/>
              <w:right w:val="single" w:sz="4" w:space="0" w:color="auto"/>
            </w:tcBorders>
            <w:hideMark/>
          </w:tcPr>
          <w:p w14:paraId="61457C2E" w14:textId="77777777" w:rsidR="00C24947" w:rsidRPr="00C35F8B" w:rsidRDefault="00C24947" w:rsidP="00C24947">
            <w:pPr>
              <w:keepNext/>
              <w:keepLines/>
              <w:rPr>
                <w:rFonts w:ascii="Arial" w:eastAsia="Times New Roman" w:hAnsi="Arial" w:cs="Arial"/>
                <w:color w:val="000000"/>
                <w:sz w:val="24"/>
                <w:szCs w:val="24"/>
              </w:rPr>
            </w:pPr>
            <w:r w:rsidRPr="00C35F8B">
              <w:rPr>
                <w:rFonts w:ascii="Arial" w:eastAsia="Times New Roman" w:hAnsi="Arial" w:cs="Arial"/>
                <w:color w:val="000000"/>
                <w:sz w:val="24"/>
                <w:szCs w:val="24"/>
              </w:rPr>
              <w:t>Secondary Teaching (single subject)</w:t>
            </w:r>
          </w:p>
        </w:tc>
        <w:tc>
          <w:tcPr>
            <w:tcW w:w="2202" w:type="dxa"/>
            <w:tcBorders>
              <w:top w:val="single" w:sz="4" w:space="0" w:color="auto"/>
              <w:left w:val="single" w:sz="4" w:space="0" w:color="auto"/>
              <w:bottom w:val="single" w:sz="4" w:space="0" w:color="auto"/>
              <w:right w:val="single" w:sz="4" w:space="0" w:color="auto"/>
            </w:tcBorders>
            <w:hideMark/>
          </w:tcPr>
          <w:p w14:paraId="41B9E586"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6</w:t>
            </w:r>
          </w:p>
        </w:tc>
        <w:tc>
          <w:tcPr>
            <w:tcW w:w="2203" w:type="dxa"/>
            <w:tcBorders>
              <w:top w:val="single" w:sz="4" w:space="0" w:color="auto"/>
              <w:left w:val="single" w:sz="4" w:space="0" w:color="auto"/>
              <w:bottom w:val="single" w:sz="4" w:space="0" w:color="auto"/>
              <w:right w:val="single" w:sz="4" w:space="0" w:color="auto"/>
            </w:tcBorders>
            <w:hideMark/>
          </w:tcPr>
          <w:p w14:paraId="13A72657"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7</w:t>
            </w:r>
          </w:p>
        </w:tc>
      </w:tr>
      <w:tr w:rsidR="00C24947" w:rsidRPr="00C35F8B" w14:paraId="37FC777E" w14:textId="77777777" w:rsidTr="00C24947">
        <w:trPr>
          <w:cantSplit/>
          <w:trHeight w:val="181"/>
        </w:trPr>
        <w:tc>
          <w:tcPr>
            <w:tcW w:w="5040" w:type="dxa"/>
            <w:tcBorders>
              <w:top w:val="single" w:sz="4" w:space="0" w:color="auto"/>
              <w:left w:val="single" w:sz="4" w:space="0" w:color="auto"/>
              <w:bottom w:val="single" w:sz="4" w:space="0" w:color="auto"/>
              <w:right w:val="single" w:sz="4" w:space="0" w:color="auto"/>
            </w:tcBorders>
            <w:hideMark/>
          </w:tcPr>
          <w:p w14:paraId="76942159" w14:textId="77777777" w:rsidR="00C24947" w:rsidRPr="00C35F8B" w:rsidRDefault="00C24947" w:rsidP="00C24947">
            <w:pPr>
              <w:keepNext/>
              <w:keepLines/>
              <w:rPr>
                <w:rFonts w:ascii="Arial" w:eastAsia="Times New Roman" w:hAnsi="Arial" w:cs="Arial"/>
                <w:color w:val="000000"/>
                <w:sz w:val="24"/>
                <w:szCs w:val="24"/>
              </w:rPr>
            </w:pPr>
            <w:r w:rsidRPr="00C35F8B">
              <w:rPr>
                <w:rFonts w:ascii="Arial" w:eastAsia="Times New Roman" w:hAnsi="Arial" w:cs="Arial"/>
                <w:color w:val="000000"/>
                <w:sz w:val="24"/>
                <w:szCs w:val="24"/>
              </w:rPr>
              <w:t>Administrative</w:t>
            </w:r>
          </w:p>
        </w:tc>
        <w:tc>
          <w:tcPr>
            <w:tcW w:w="2202" w:type="dxa"/>
            <w:tcBorders>
              <w:top w:val="single" w:sz="4" w:space="0" w:color="auto"/>
              <w:left w:val="single" w:sz="4" w:space="0" w:color="auto"/>
              <w:bottom w:val="single" w:sz="4" w:space="0" w:color="auto"/>
              <w:right w:val="single" w:sz="4" w:space="0" w:color="auto"/>
            </w:tcBorders>
            <w:hideMark/>
          </w:tcPr>
          <w:p w14:paraId="2BD043A7"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10</w:t>
            </w:r>
          </w:p>
        </w:tc>
        <w:tc>
          <w:tcPr>
            <w:tcW w:w="2203" w:type="dxa"/>
            <w:tcBorders>
              <w:top w:val="single" w:sz="4" w:space="0" w:color="auto"/>
              <w:left w:val="single" w:sz="4" w:space="0" w:color="auto"/>
              <w:bottom w:val="single" w:sz="4" w:space="0" w:color="auto"/>
              <w:right w:val="single" w:sz="4" w:space="0" w:color="auto"/>
            </w:tcBorders>
            <w:hideMark/>
          </w:tcPr>
          <w:p w14:paraId="6FC01BEE"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12</w:t>
            </w:r>
          </w:p>
        </w:tc>
      </w:tr>
      <w:tr w:rsidR="00C24947" w:rsidRPr="00C35F8B" w14:paraId="2B0D02EF" w14:textId="77777777" w:rsidTr="00C24947">
        <w:trPr>
          <w:cantSplit/>
          <w:trHeight w:val="181"/>
        </w:trPr>
        <w:tc>
          <w:tcPr>
            <w:tcW w:w="5040" w:type="dxa"/>
            <w:tcBorders>
              <w:top w:val="single" w:sz="4" w:space="0" w:color="auto"/>
              <w:left w:val="single" w:sz="4" w:space="0" w:color="auto"/>
              <w:bottom w:val="single" w:sz="4" w:space="0" w:color="auto"/>
              <w:right w:val="single" w:sz="4" w:space="0" w:color="auto"/>
            </w:tcBorders>
            <w:hideMark/>
          </w:tcPr>
          <w:p w14:paraId="6B80E454" w14:textId="77777777" w:rsidR="00C24947" w:rsidRPr="00C35F8B" w:rsidRDefault="00C24947" w:rsidP="00C24947">
            <w:pPr>
              <w:keepNext/>
              <w:keepLines/>
              <w:rPr>
                <w:rFonts w:ascii="Arial" w:eastAsia="Times New Roman" w:hAnsi="Arial" w:cs="Arial"/>
                <w:color w:val="000000"/>
                <w:sz w:val="24"/>
                <w:szCs w:val="24"/>
              </w:rPr>
            </w:pPr>
            <w:r w:rsidRPr="00C35F8B">
              <w:rPr>
                <w:rFonts w:ascii="Arial" w:eastAsia="Times New Roman" w:hAnsi="Arial" w:cs="Arial"/>
                <w:color w:val="000000"/>
                <w:sz w:val="24"/>
                <w:szCs w:val="24"/>
              </w:rPr>
              <w:t>Other</w:t>
            </w:r>
          </w:p>
        </w:tc>
        <w:tc>
          <w:tcPr>
            <w:tcW w:w="2202" w:type="dxa"/>
            <w:tcBorders>
              <w:top w:val="single" w:sz="4" w:space="0" w:color="auto"/>
              <w:left w:val="single" w:sz="4" w:space="0" w:color="auto"/>
              <w:bottom w:val="single" w:sz="4" w:space="0" w:color="auto"/>
              <w:right w:val="single" w:sz="4" w:space="0" w:color="auto"/>
            </w:tcBorders>
            <w:hideMark/>
          </w:tcPr>
          <w:p w14:paraId="4AC45643"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3</w:t>
            </w:r>
          </w:p>
        </w:tc>
        <w:tc>
          <w:tcPr>
            <w:tcW w:w="2203" w:type="dxa"/>
            <w:tcBorders>
              <w:top w:val="single" w:sz="4" w:space="0" w:color="auto"/>
              <w:left w:val="single" w:sz="4" w:space="0" w:color="auto"/>
              <w:bottom w:val="single" w:sz="4" w:space="0" w:color="auto"/>
              <w:right w:val="single" w:sz="4" w:space="0" w:color="auto"/>
            </w:tcBorders>
            <w:hideMark/>
          </w:tcPr>
          <w:p w14:paraId="692E29F8" w14:textId="77777777" w:rsidR="00C24947" w:rsidRPr="00C35F8B" w:rsidRDefault="00C24947" w:rsidP="00C24947">
            <w:pPr>
              <w:keepNext/>
              <w:keepLines/>
              <w:tabs>
                <w:tab w:val="decimal" w:pos="1145"/>
              </w:tabs>
              <w:rPr>
                <w:rFonts w:ascii="Arial" w:eastAsia="Times New Roman" w:hAnsi="Arial" w:cs="Arial"/>
                <w:color w:val="000000"/>
                <w:sz w:val="24"/>
                <w:szCs w:val="24"/>
              </w:rPr>
            </w:pPr>
            <w:r w:rsidRPr="00C35F8B">
              <w:rPr>
                <w:rFonts w:ascii="Arial" w:eastAsia="Times New Roman" w:hAnsi="Arial" w:cs="Arial"/>
                <w:color w:val="000000"/>
                <w:sz w:val="24"/>
                <w:szCs w:val="24"/>
              </w:rPr>
              <w:t>4</w:t>
            </w:r>
          </w:p>
        </w:tc>
      </w:tr>
      <w:tr w:rsidR="00C24947" w:rsidRPr="00C35F8B" w14:paraId="70FA8FDC" w14:textId="77777777" w:rsidTr="00C24947">
        <w:trPr>
          <w:cantSplit/>
          <w:trHeight w:val="17"/>
        </w:trPr>
        <w:tc>
          <w:tcPr>
            <w:tcW w:w="5040" w:type="dxa"/>
            <w:tcBorders>
              <w:top w:val="single" w:sz="4" w:space="0" w:color="auto"/>
              <w:left w:val="single" w:sz="4" w:space="0" w:color="auto"/>
              <w:bottom w:val="single" w:sz="4" w:space="0" w:color="auto"/>
              <w:right w:val="single" w:sz="4" w:space="0" w:color="auto"/>
            </w:tcBorders>
            <w:hideMark/>
          </w:tcPr>
          <w:p w14:paraId="2D365D9F" w14:textId="77777777" w:rsidR="00C24947" w:rsidRPr="00C35F8B" w:rsidRDefault="00C24947" w:rsidP="00C24947">
            <w:pPr>
              <w:keepNext/>
              <w:keepLines/>
              <w:rPr>
                <w:rFonts w:ascii="Arial" w:eastAsia="Times New Roman" w:hAnsi="Arial" w:cs="Arial"/>
                <w:b/>
                <w:color w:val="000000"/>
                <w:sz w:val="24"/>
                <w:szCs w:val="24"/>
              </w:rPr>
            </w:pPr>
            <w:r w:rsidRPr="00C35F8B">
              <w:rPr>
                <w:rFonts w:ascii="Arial" w:eastAsia="Times New Roman" w:hAnsi="Arial" w:cs="Arial"/>
                <w:b/>
                <w:color w:val="000000"/>
                <w:sz w:val="24"/>
                <w:szCs w:val="24"/>
              </w:rPr>
              <w:t>Total</w:t>
            </w:r>
          </w:p>
        </w:tc>
        <w:tc>
          <w:tcPr>
            <w:tcW w:w="2202" w:type="dxa"/>
            <w:tcBorders>
              <w:top w:val="single" w:sz="4" w:space="0" w:color="auto"/>
              <w:left w:val="single" w:sz="4" w:space="0" w:color="auto"/>
              <w:bottom w:val="single" w:sz="4" w:space="0" w:color="auto"/>
              <w:right w:val="single" w:sz="4" w:space="0" w:color="auto"/>
            </w:tcBorders>
            <w:hideMark/>
          </w:tcPr>
          <w:p w14:paraId="19B26B97" w14:textId="77777777" w:rsidR="00C24947" w:rsidRPr="00C35F8B" w:rsidRDefault="00C24947" w:rsidP="00C24947">
            <w:pPr>
              <w:keepNext/>
              <w:keepLines/>
              <w:tabs>
                <w:tab w:val="decimal" w:pos="1145"/>
              </w:tabs>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83</w:t>
            </w:r>
          </w:p>
        </w:tc>
        <w:tc>
          <w:tcPr>
            <w:tcW w:w="2203" w:type="dxa"/>
            <w:tcBorders>
              <w:top w:val="single" w:sz="4" w:space="0" w:color="auto"/>
              <w:left w:val="single" w:sz="4" w:space="0" w:color="auto"/>
              <w:bottom w:val="single" w:sz="4" w:space="0" w:color="auto"/>
              <w:right w:val="single" w:sz="4" w:space="0" w:color="auto"/>
            </w:tcBorders>
            <w:hideMark/>
          </w:tcPr>
          <w:p w14:paraId="6CD636A0" w14:textId="77777777" w:rsidR="00C24947" w:rsidRPr="00C35F8B" w:rsidRDefault="00C24947" w:rsidP="00C24947">
            <w:pPr>
              <w:keepNext/>
              <w:keepLines/>
              <w:tabs>
                <w:tab w:val="decimal" w:pos="1145"/>
              </w:tabs>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100</w:t>
            </w:r>
          </w:p>
        </w:tc>
      </w:tr>
    </w:tbl>
    <w:p w14:paraId="576DCEF3" w14:textId="77777777" w:rsidR="00C24947" w:rsidRPr="00C35F8B" w:rsidRDefault="00C24947" w:rsidP="00C24947">
      <w:pPr>
        <w:tabs>
          <w:tab w:val="left" w:pos="720"/>
        </w:tabs>
        <w:spacing w:before="120" w:after="400"/>
        <w:ind w:left="720" w:hanging="720"/>
        <w:rPr>
          <w:rFonts w:eastAsia="Times New Roman"/>
        </w:rPr>
      </w:pPr>
      <w:r w:rsidRPr="00C35F8B">
        <w:rPr>
          <w:rFonts w:eastAsia="Times New Roman"/>
          <w:b/>
          <w:bCs/>
        </w:rPr>
        <w:t>Note:</w:t>
      </w:r>
      <w:r w:rsidRPr="00C35F8B">
        <w:rPr>
          <w:rFonts w:eastAsia="Times New Roman"/>
        </w:rPr>
        <w:tab/>
        <w:t xml:space="preserve">Panelists were instructed to select all that apply; therefore, the total is more than the number of panelists who participated in the standard setting. Percent may be more than 100 </w:t>
      </w:r>
      <w:proofErr w:type="gramStart"/>
      <w:r w:rsidRPr="00C35F8B">
        <w:rPr>
          <w:rFonts w:eastAsia="Times New Roman"/>
        </w:rPr>
        <w:t>due</w:t>
      </w:r>
      <w:proofErr w:type="gramEnd"/>
      <w:r w:rsidRPr="00C35F8B">
        <w:rPr>
          <w:rFonts w:eastAsia="Times New Roman"/>
        </w:rPr>
        <w:t xml:space="preserve"> to rounding.</w:t>
      </w:r>
    </w:p>
    <w:p w14:paraId="2AA92D00" w14:textId="77777777" w:rsidR="00C24947" w:rsidRPr="00C35F8B" w:rsidRDefault="00C24947" w:rsidP="00C24947">
      <w:pPr>
        <w:keepNext/>
        <w:tabs>
          <w:tab w:val="left" w:pos="2520"/>
        </w:tabs>
        <w:spacing w:before="240" w:after="120"/>
        <w:rPr>
          <w:rFonts w:eastAsia="Times New Roman"/>
        </w:rPr>
      </w:pPr>
      <w:r w:rsidRPr="00C35F8B">
        <w:rPr>
          <w:rFonts w:eastAsia="Times New Roman"/>
        </w:rPr>
        <w:lastRenderedPageBreak/>
        <w:t xml:space="preserve">Table </w:t>
      </w:r>
      <w:r w:rsidRPr="00C35F8B">
        <w:rPr>
          <w:rFonts w:eastAsia="Times New Roman"/>
          <w:color w:val="2B579A"/>
          <w:shd w:val="clear" w:color="auto" w:fill="E6E6E6"/>
        </w:rPr>
        <w:fldChar w:fldCharType="begin"/>
      </w:r>
      <w:r w:rsidRPr="00C35F8B">
        <w:rPr>
          <w:rFonts w:eastAsia="Times New Roman"/>
        </w:rPr>
        <w:instrText xml:space="preserve"> SEQ Table \* ARABIC </w:instrText>
      </w:r>
      <w:r w:rsidRPr="00C35F8B">
        <w:rPr>
          <w:rFonts w:eastAsia="Times New Roman"/>
          <w:color w:val="2B579A"/>
          <w:shd w:val="clear" w:color="auto" w:fill="E6E6E6"/>
        </w:rPr>
        <w:fldChar w:fldCharType="separate"/>
      </w:r>
      <w:r w:rsidRPr="00C35F8B">
        <w:rPr>
          <w:rFonts w:eastAsia="Times New Roman"/>
          <w:noProof/>
        </w:rPr>
        <w:t>6</w:t>
      </w:r>
      <w:r w:rsidRPr="00C35F8B">
        <w:rPr>
          <w:rFonts w:eastAsia="Times New Roman"/>
          <w:noProof/>
          <w:color w:val="2B579A"/>
          <w:shd w:val="clear" w:color="auto" w:fill="E6E6E6"/>
        </w:rPr>
        <w:fldChar w:fldCharType="end"/>
      </w:r>
      <w:r w:rsidRPr="00C35F8B">
        <w:rPr>
          <w:rFonts w:eastAsia="Times New Roman"/>
        </w:rPr>
        <w:t>. Number of Panelists by Grade Level or Grade Span</w:t>
      </w:r>
    </w:p>
    <w:tbl>
      <w:tblPr>
        <w:tblStyle w:val="TableGrid21"/>
        <w:tblW w:w="0" w:type="auto"/>
        <w:tblInd w:w="0" w:type="dxa"/>
        <w:tblLayout w:type="fixed"/>
        <w:tblLook w:val="04A0" w:firstRow="1" w:lastRow="0" w:firstColumn="1" w:lastColumn="0" w:noHBand="0" w:noVBand="1"/>
        <w:tblDescription w:val="Number and Percent of Panelists by Grade Level or Grade Span"/>
      </w:tblPr>
      <w:tblGrid>
        <w:gridCol w:w="3282"/>
        <w:gridCol w:w="3283"/>
      </w:tblGrid>
      <w:tr w:rsidR="00C24947" w:rsidRPr="00C35F8B" w14:paraId="75BB2148" w14:textId="77777777" w:rsidTr="00C24947">
        <w:trPr>
          <w:trHeight w:val="212"/>
          <w:tblHeader/>
        </w:trPr>
        <w:tc>
          <w:tcPr>
            <w:tcW w:w="3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3021FB" w14:textId="77777777" w:rsidR="00C24947" w:rsidRPr="00C35F8B" w:rsidRDefault="00C24947" w:rsidP="00C24947">
            <w:pPr>
              <w:keepNext/>
              <w:keepLines/>
              <w:jc w:val="center"/>
              <w:rPr>
                <w:rFonts w:ascii="Arial" w:eastAsia="Times New Roman" w:hAnsi="Arial" w:cs="Arial"/>
                <w:b/>
                <w:bCs/>
                <w:color w:val="000000"/>
                <w:sz w:val="24"/>
                <w:szCs w:val="24"/>
                <w:vertAlign w:val="superscript"/>
              </w:rPr>
            </w:pPr>
            <w:r w:rsidRPr="00C35F8B">
              <w:rPr>
                <w:rFonts w:ascii="Arial" w:eastAsia="Times New Roman" w:hAnsi="Arial" w:cs="Arial"/>
                <w:b/>
                <w:bCs/>
                <w:color w:val="000000"/>
                <w:sz w:val="24"/>
                <w:szCs w:val="24"/>
              </w:rPr>
              <w:t xml:space="preserve">Grade Level or </w:t>
            </w:r>
            <w:r w:rsidRPr="00C35F8B">
              <w:rPr>
                <w:rFonts w:ascii="Arial" w:eastAsia="Times New Roman" w:hAnsi="Arial" w:cs="Arial"/>
                <w:b/>
                <w:bCs/>
                <w:color w:val="000000"/>
                <w:sz w:val="24"/>
                <w:szCs w:val="24"/>
              </w:rPr>
              <w:br/>
              <w:t>Grade Span</w:t>
            </w:r>
          </w:p>
        </w:tc>
        <w:tc>
          <w:tcPr>
            <w:tcW w:w="32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9470E0" w14:textId="77777777" w:rsidR="00C24947" w:rsidRPr="00C35F8B" w:rsidRDefault="00C24947" w:rsidP="00C24947">
            <w:pPr>
              <w:keepNext/>
              <w:keepLines/>
              <w:jc w:val="cente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Number of Panelists</w:t>
            </w:r>
          </w:p>
        </w:tc>
      </w:tr>
      <w:tr w:rsidR="00C24947" w:rsidRPr="00C35F8B" w14:paraId="5D94FBF8" w14:textId="77777777" w:rsidTr="00C24947">
        <w:trPr>
          <w:trHeight w:val="199"/>
        </w:trPr>
        <w:tc>
          <w:tcPr>
            <w:tcW w:w="3282" w:type="dxa"/>
            <w:tcBorders>
              <w:top w:val="single" w:sz="4" w:space="0" w:color="auto"/>
              <w:left w:val="single" w:sz="4" w:space="0" w:color="auto"/>
              <w:bottom w:val="single" w:sz="4" w:space="0" w:color="auto"/>
              <w:right w:val="single" w:sz="4" w:space="0" w:color="auto"/>
            </w:tcBorders>
            <w:hideMark/>
          </w:tcPr>
          <w:p w14:paraId="26F8B42E" w14:textId="77777777" w:rsidR="00C24947" w:rsidRPr="00C35F8B" w:rsidRDefault="00C24947" w:rsidP="00C24947">
            <w:pPr>
              <w:keepNext/>
              <w:keepLines/>
              <w:ind w:firstLine="791"/>
              <w:rPr>
                <w:rFonts w:ascii="Arial" w:eastAsia="Times New Roman" w:hAnsi="Arial" w:cs="Arial"/>
                <w:color w:val="000000"/>
                <w:sz w:val="24"/>
                <w:szCs w:val="24"/>
              </w:rPr>
            </w:pPr>
            <w:r w:rsidRPr="00C35F8B">
              <w:rPr>
                <w:rFonts w:ascii="Arial" w:eastAsia="Times New Roman" w:hAnsi="Arial" w:cs="Arial"/>
                <w:color w:val="000000"/>
                <w:sz w:val="24"/>
                <w:szCs w:val="24"/>
              </w:rPr>
              <w:t>Kindergarten</w:t>
            </w:r>
          </w:p>
        </w:tc>
        <w:tc>
          <w:tcPr>
            <w:tcW w:w="3283" w:type="dxa"/>
            <w:tcBorders>
              <w:top w:val="single" w:sz="4" w:space="0" w:color="auto"/>
              <w:left w:val="single" w:sz="4" w:space="0" w:color="auto"/>
              <w:bottom w:val="single" w:sz="4" w:space="0" w:color="auto"/>
              <w:right w:val="single" w:sz="4" w:space="0" w:color="auto"/>
            </w:tcBorders>
            <w:vAlign w:val="bottom"/>
            <w:hideMark/>
          </w:tcPr>
          <w:p w14:paraId="2E250747" w14:textId="77777777" w:rsidR="00C24947" w:rsidRPr="00C35F8B" w:rsidRDefault="00C24947" w:rsidP="00C24947">
            <w:pPr>
              <w:keepNext/>
              <w:keepLines/>
              <w:tabs>
                <w:tab w:val="decimal" w:pos="1640"/>
              </w:tabs>
              <w:rPr>
                <w:rFonts w:ascii="Arial" w:eastAsia="Times New Roman" w:hAnsi="Arial" w:cs="Arial"/>
                <w:color w:val="000000"/>
                <w:sz w:val="24"/>
                <w:szCs w:val="24"/>
              </w:rPr>
            </w:pPr>
            <w:r w:rsidRPr="00C35F8B">
              <w:rPr>
                <w:rFonts w:ascii="Arial" w:eastAsia="Times New Roman" w:hAnsi="Arial" w:cs="Arial"/>
                <w:color w:val="000000"/>
                <w:sz w:val="24"/>
                <w:szCs w:val="24"/>
              </w:rPr>
              <w:t>8</w:t>
            </w:r>
          </w:p>
        </w:tc>
      </w:tr>
      <w:tr w:rsidR="00C24947" w:rsidRPr="00C35F8B" w14:paraId="20FA0480" w14:textId="77777777" w:rsidTr="00C24947">
        <w:trPr>
          <w:trHeight w:val="181"/>
        </w:trPr>
        <w:tc>
          <w:tcPr>
            <w:tcW w:w="3282" w:type="dxa"/>
            <w:tcBorders>
              <w:top w:val="single" w:sz="4" w:space="0" w:color="auto"/>
              <w:left w:val="single" w:sz="4" w:space="0" w:color="auto"/>
              <w:bottom w:val="single" w:sz="4" w:space="0" w:color="auto"/>
              <w:right w:val="single" w:sz="4" w:space="0" w:color="auto"/>
            </w:tcBorders>
            <w:hideMark/>
          </w:tcPr>
          <w:p w14:paraId="37933661" w14:textId="77777777" w:rsidR="00C24947" w:rsidRPr="00C35F8B" w:rsidRDefault="00C24947" w:rsidP="00C24947">
            <w:pPr>
              <w:keepNext/>
              <w:keepLines/>
              <w:ind w:firstLine="791"/>
              <w:rPr>
                <w:rFonts w:ascii="Arial" w:eastAsia="Times New Roman" w:hAnsi="Arial" w:cs="Arial"/>
                <w:color w:val="000000"/>
                <w:sz w:val="24"/>
                <w:szCs w:val="24"/>
              </w:rPr>
            </w:pPr>
            <w:r w:rsidRPr="00C35F8B">
              <w:rPr>
                <w:rFonts w:ascii="Arial" w:eastAsia="Times New Roman" w:hAnsi="Arial" w:cs="Arial"/>
                <w:color w:val="000000"/>
                <w:sz w:val="24"/>
                <w:szCs w:val="24"/>
              </w:rPr>
              <w:t>1</w:t>
            </w:r>
          </w:p>
        </w:tc>
        <w:tc>
          <w:tcPr>
            <w:tcW w:w="3283" w:type="dxa"/>
            <w:tcBorders>
              <w:top w:val="single" w:sz="4" w:space="0" w:color="auto"/>
              <w:left w:val="single" w:sz="4" w:space="0" w:color="auto"/>
              <w:bottom w:val="single" w:sz="4" w:space="0" w:color="auto"/>
              <w:right w:val="single" w:sz="4" w:space="0" w:color="auto"/>
            </w:tcBorders>
            <w:vAlign w:val="bottom"/>
            <w:hideMark/>
          </w:tcPr>
          <w:p w14:paraId="259A068D" w14:textId="77777777" w:rsidR="00C24947" w:rsidRPr="00C35F8B" w:rsidRDefault="00C24947" w:rsidP="00C24947">
            <w:pPr>
              <w:keepNext/>
              <w:keepLines/>
              <w:tabs>
                <w:tab w:val="decimal" w:pos="1640"/>
              </w:tabs>
              <w:rPr>
                <w:rFonts w:ascii="Arial" w:eastAsia="Times New Roman" w:hAnsi="Arial" w:cs="Arial"/>
                <w:color w:val="000000"/>
                <w:sz w:val="24"/>
                <w:szCs w:val="24"/>
              </w:rPr>
            </w:pPr>
            <w:r w:rsidRPr="00C35F8B">
              <w:rPr>
                <w:rFonts w:ascii="Arial" w:eastAsia="Times New Roman" w:hAnsi="Arial" w:cs="Arial"/>
                <w:color w:val="000000"/>
                <w:sz w:val="24"/>
                <w:szCs w:val="24"/>
              </w:rPr>
              <w:t>8</w:t>
            </w:r>
          </w:p>
        </w:tc>
      </w:tr>
      <w:tr w:rsidR="00C24947" w:rsidRPr="00C35F8B" w14:paraId="39DBA5F7" w14:textId="77777777" w:rsidTr="00C24947">
        <w:trPr>
          <w:trHeight w:val="181"/>
        </w:trPr>
        <w:tc>
          <w:tcPr>
            <w:tcW w:w="3282" w:type="dxa"/>
            <w:tcBorders>
              <w:top w:val="single" w:sz="4" w:space="0" w:color="auto"/>
              <w:left w:val="single" w:sz="4" w:space="0" w:color="auto"/>
              <w:bottom w:val="single" w:sz="4" w:space="0" w:color="auto"/>
              <w:right w:val="single" w:sz="4" w:space="0" w:color="auto"/>
            </w:tcBorders>
            <w:hideMark/>
          </w:tcPr>
          <w:p w14:paraId="328B5B99" w14:textId="77777777" w:rsidR="00C24947" w:rsidRPr="00C35F8B" w:rsidRDefault="00C24947" w:rsidP="00C24947">
            <w:pPr>
              <w:keepNext/>
              <w:keepLines/>
              <w:ind w:firstLine="791"/>
              <w:rPr>
                <w:rFonts w:ascii="Arial" w:eastAsia="Times New Roman" w:hAnsi="Arial" w:cs="Arial"/>
                <w:color w:val="000000"/>
                <w:sz w:val="24"/>
                <w:szCs w:val="24"/>
              </w:rPr>
            </w:pPr>
            <w:r w:rsidRPr="00C35F8B">
              <w:rPr>
                <w:rFonts w:ascii="Arial" w:eastAsia="Times New Roman" w:hAnsi="Arial" w:cs="Arial"/>
                <w:color w:val="000000"/>
                <w:sz w:val="24"/>
                <w:szCs w:val="24"/>
              </w:rPr>
              <w:t>2</w:t>
            </w:r>
          </w:p>
        </w:tc>
        <w:tc>
          <w:tcPr>
            <w:tcW w:w="3283" w:type="dxa"/>
            <w:tcBorders>
              <w:top w:val="single" w:sz="4" w:space="0" w:color="auto"/>
              <w:left w:val="single" w:sz="4" w:space="0" w:color="auto"/>
              <w:bottom w:val="single" w:sz="4" w:space="0" w:color="auto"/>
              <w:right w:val="single" w:sz="4" w:space="0" w:color="auto"/>
            </w:tcBorders>
            <w:vAlign w:val="bottom"/>
            <w:hideMark/>
          </w:tcPr>
          <w:p w14:paraId="2745BFCB" w14:textId="77777777" w:rsidR="00C24947" w:rsidRPr="00C35F8B" w:rsidRDefault="00C24947" w:rsidP="00C24947">
            <w:pPr>
              <w:keepNext/>
              <w:keepLines/>
              <w:tabs>
                <w:tab w:val="decimal" w:pos="1640"/>
              </w:tabs>
              <w:rPr>
                <w:rFonts w:ascii="Arial" w:eastAsia="Times New Roman" w:hAnsi="Arial" w:cs="Arial"/>
                <w:color w:val="000000"/>
                <w:sz w:val="24"/>
                <w:szCs w:val="24"/>
              </w:rPr>
            </w:pPr>
            <w:r w:rsidRPr="00C35F8B">
              <w:rPr>
                <w:rFonts w:ascii="Arial" w:eastAsia="Times New Roman" w:hAnsi="Arial" w:cs="Arial"/>
                <w:color w:val="000000"/>
                <w:sz w:val="24"/>
                <w:szCs w:val="24"/>
              </w:rPr>
              <w:t>6</w:t>
            </w:r>
          </w:p>
        </w:tc>
      </w:tr>
      <w:tr w:rsidR="00C24947" w:rsidRPr="00C35F8B" w14:paraId="1B5FBF70" w14:textId="77777777" w:rsidTr="00C24947">
        <w:trPr>
          <w:trHeight w:val="181"/>
        </w:trPr>
        <w:tc>
          <w:tcPr>
            <w:tcW w:w="3282" w:type="dxa"/>
            <w:tcBorders>
              <w:top w:val="single" w:sz="4" w:space="0" w:color="auto"/>
              <w:left w:val="single" w:sz="4" w:space="0" w:color="auto"/>
              <w:bottom w:val="single" w:sz="4" w:space="0" w:color="auto"/>
              <w:right w:val="single" w:sz="4" w:space="0" w:color="auto"/>
            </w:tcBorders>
            <w:hideMark/>
          </w:tcPr>
          <w:p w14:paraId="3A7AB8B1" w14:textId="77777777" w:rsidR="00C24947" w:rsidRPr="00C35F8B" w:rsidRDefault="00C24947" w:rsidP="00C24947">
            <w:pPr>
              <w:keepNext/>
              <w:keepLines/>
              <w:ind w:firstLine="791"/>
              <w:rPr>
                <w:rFonts w:ascii="Arial" w:eastAsia="Times New Roman" w:hAnsi="Arial" w:cs="Arial"/>
                <w:color w:val="000000"/>
                <w:sz w:val="24"/>
                <w:szCs w:val="24"/>
              </w:rPr>
            </w:pPr>
            <w:bookmarkStart w:id="3" w:name="_Hlk99128015"/>
            <w:r w:rsidRPr="00C35F8B">
              <w:rPr>
                <w:rFonts w:ascii="Arial" w:eastAsia="Times New Roman" w:hAnsi="Arial" w:cs="Arial"/>
                <w:color w:val="000000"/>
                <w:sz w:val="24"/>
                <w:szCs w:val="24"/>
              </w:rPr>
              <w:t>3–5</w:t>
            </w:r>
          </w:p>
        </w:tc>
        <w:tc>
          <w:tcPr>
            <w:tcW w:w="3283" w:type="dxa"/>
            <w:tcBorders>
              <w:top w:val="single" w:sz="4" w:space="0" w:color="auto"/>
              <w:left w:val="single" w:sz="4" w:space="0" w:color="auto"/>
              <w:bottom w:val="single" w:sz="4" w:space="0" w:color="auto"/>
              <w:right w:val="single" w:sz="4" w:space="0" w:color="auto"/>
            </w:tcBorders>
            <w:vAlign w:val="bottom"/>
            <w:hideMark/>
          </w:tcPr>
          <w:p w14:paraId="110C2E7A" w14:textId="77777777" w:rsidR="00C24947" w:rsidRPr="00C35F8B" w:rsidRDefault="00C24947" w:rsidP="00C24947">
            <w:pPr>
              <w:keepNext/>
              <w:keepLines/>
              <w:tabs>
                <w:tab w:val="decimal" w:pos="1640"/>
              </w:tabs>
              <w:rPr>
                <w:rFonts w:ascii="Arial" w:eastAsia="Times New Roman" w:hAnsi="Arial" w:cs="Arial"/>
                <w:color w:val="000000"/>
                <w:sz w:val="24"/>
                <w:szCs w:val="24"/>
              </w:rPr>
            </w:pPr>
            <w:r w:rsidRPr="00C35F8B">
              <w:rPr>
                <w:rFonts w:ascii="Arial" w:eastAsia="Times New Roman" w:hAnsi="Arial" w:cs="Arial"/>
                <w:color w:val="000000"/>
                <w:sz w:val="24"/>
                <w:szCs w:val="24"/>
              </w:rPr>
              <w:t>9</w:t>
            </w:r>
          </w:p>
        </w:tc>
      </w:tr>
      <w:tr w:rsidR="00C24947" w:rsidRPr="00C35F8B" w14:paraId="1558197E" w14:textId="77777777" w:rsidTr="00C24947">
        <w:trPr>
          <w:trHeight w:val="181"/>
        </w:trPr>
        <w:tc>
          <w:tcPr>
            <w:tcW w:w="3282" w:type="dxa"/>
            <w:tcBorders>
              <w:top w:val="single" w:sz="4" w:space="0" w:color="auto"/>
              <w:left w:val="single" w:sz="4" w:space="0" w:color="auto"/>
              <w:bottom w:val="single" w:sz="4" w:space="0" w:color="auto"/>
              <w:right w:val="single" w:sz="4" w:space="0" w:color="auto"/>
            </w:tcBorders>
            <w:hideMark/>
          </w:tcPr>
          <w:p w14:paraId="433FD93E" w14:textId="77777777" w:rsidR="00C24947" w:rsidRPr="00C35F8B" w:rsidRDefault="00C24947" w:rsidP="00C24947">
            <w:pPr>
              <w:keepNext/>
              <w:keepLines/>
              <w:ind w:firstLine="791"/>
              <w:rPr>
                <w:rFonts w:ascii="Arial" w:eastAsia="Times New Roman" w:hAnsi="Arial" w:cs="Arial"/>
                <w:color w:val="000000"/>
                <w:sz w:val="24"/>
                <w:szCs w:val="24"/>
              </w:rPr>
            </w:pPr>
            <w:r w:rsidRPr="00C35F8B">
              <w:rPr>
                <w:rFonts w:ascii="Arial" w:eastAsia="Times New Roman" w:hAnsi="Arial" w:cs="Arial"/>
                <w:color w:val="000000"/>
                <w:sz w:val="24"/>
                <w:szCs w:val="24"/>
              </w:rPr>
              <w:t>6–8</w:t>
            </w:r>
          </w:p>
        </w:tc>
        <w:tc>
          <w:tcPr>
            <w:tcW w:w="3283" w:type="dxa"/>
            <w:tcBorders>
              <w:top w:val="single" w:sz="4" w:space="0" w:color="auto"/>
              <w:left w:val="single" w:sz="4" w:space="0" w:color="auto"/>
              <w:bottom w:val="single" w:sz="4" w:space="0" w:color="auto"/>
              <w:right w:val="single" w:sz="4" w:space="0" w:color="auto"/>
            </w:tcBorders>
            <w:vAlign w:val="bottom"/>
            <w:hideMark/>
          </w:tcPr>
          <w:p w14:paraId="037E0A27" w14:textId="77777777" w:rsidR="00C24947" w:rsidRPr="00C35F8B" w:rsidRDefault="00C24947" w:rsidP="00C24947">
            <w:pPr>
              <w:keepNext/>
              <w:keepLines/>
              <w:tabs>
                <w:tab w:val="decimal" w:pos="1640"/>
              </w:tabs>
              <w:rPr>
                <w:rFonts w:ascii="Arial" w:eastAsia="Times New Roman" w:hAnsi="Arial" w:cs="Arial"/>
                <w:color w:val="000000"/>
                <w:sz w:val="24"/>
                <w:szCs w:val="24"/>
              </w:rPr>
            </w:pPr>
            <w:r w:rsidRPr="00C35F8B">
              <w:rPr>
                <w:rFonts w:ascii="Arial" w:eastAsia="Times New Roman" w:hAnsi="Arial" w:cs="Arial"/>
                <w:color w:val="000000"/>
                <w:sz w:val="24"/>
                <w:szCs w:val="24"/>
              </w:rPr>
              <w:t>11</w:t>
            </w:r>
          </w:p>
        </w:tc>
      </w:tr>
      <w:tr w:rsidR="00C24947" w:rsidRPr="00C35F8B" w14:paraId="085DC148" w14:textId="77777777" w:rsidTr="00C24947">
        <w:trPr>
          <w:trHeight w:val="181"/>
        </w:trPr>
        <w:tc>
          <w:tcPr>
            <w:tcW w:w="3282" w:type="dxa"/>
            <w:tcBorders>
              <w:top w:val="single" w:sz="4" w:space="0" w:color="auto"/>
              <w:left w:val="single" w:sz="4" w:space="0" w:color="auto"/>
              <w:bottom w:val="single" w:sz="4" w:space="0" w:color="auto"/>
              <w:right w:val="single" w:sz="4" w:space="0" w:color="auto"/>
            </w:tcBorders>
            <w:hideMark/>
          </w:tcPr>
          <w:p w14:paraId="6FD6A766" w14:textId="77777777" w:rsidR="00C24947" w:rsidRPr="00C35F8B" w:rsidRDefault="00C24947" w:rsidP="00C24947">
            <w:pPr>
              <w:keepNext/>
              <w:keepLines/>
              <w:ind w:firstLine="791"/>
              <w:rPr>
                <w:rFonts w:ascii="Arial" w:eastAsia="Times New Roman" w:hAnsi="Arial" w:cs="Arial"/>
                <w:color w:val="000000"/>
                <w:sz w:val="24"/>
                <w:szCs w:val="24"/>
              </w:rPr>
            </w:pPr>
            <w:r w:rsidRPr="00C35F8B">
              <w:rPr>
                <w:rFonts w:ascii="Arial" w:eastAsia="Times New Roman" w:hAnsi="Arial" w:cs="Arial"/>
                <w:color w:val="000000"/>
                <w:sz w:val="24"/>
                <w:szCs w:val="24"/>
              </w:rPr>
              <w:t>9–12</w:t>
            </w:r>
          </w:p>
        </w:tc>
        <w:tc>
          <w:tcPr>
            <w:tcW w:w="3283" w:type="dxa"/>
            <w:tcBorders>
              <w:top w:val="single" w:sz="4" w:space="0" w:color="auto"/>
              <w:left w:val="single" w:sz="4" w:space="0" w:color="auto"/>
              <w:bottom w:val="single" w:sz="4" w:space="0" w:color="auto"/>
              <w:right w:val="single" w:sz="4" w:space="0" w:color="auto"/>
            </w:tcBorders>
            <w:vAlign w:val="bottom"/>
            <w:hideMark/>
          </w:tcPr>
          <w:p w14:paraId="18E0EFD7" w14:textId="77777777" w:rsidR="00C24947" w:rsidRPr="00C35F8B" w:rsidRDefault="00C24947" w:rsidP="00C24947">
            <w:pPr>
              <w:keepNext/>
              <w:keepLines/>
              <w:tabs>
                <w:tab w:val="decimal" w:pos="1640"/>
              </w:tabs>
              <w:rPr>
                <w:rFonts w:ascii="Arial" w:eastAsia="Times New Roman" w:hAnsi="Arial" w:cs="Arial"/>
                <w:color w:val="000000"/>
                <w:sz w:val="24"/>
                <w:szCs w:val="24"/>
              </w:rPr>
            </w:pPr>
            <w:r w:rsidRPr="00C35F8B">
              <w:rPr>
                <w:rFonts w:ascii="Arial" w:eastAsia="Times New Roman" w:hAnsi="Arial" w:cs="Arial"/>
                <w:color w:val="000000"/>
                <w:sz w:val="24"/>
                <w:szCs w:val="24"/>
              </w:rPr>
              <w:t>11</w:t>
            </w:r>
          </w:p>
        </w:tc>
      </w:tr>
      <w:tr w:rsidR="00C24947" w:rsidRPr="00C35F8B" w14:paraId="4470A3CF" w14:textId="77777777" w:rsidTr="00C24947">
        <w:tc>
          <w:tcPr>
            <w:tcW w:w="3282" w:type="dxa"/>
            <w:tcBorders>
              <w:top w:val="single" w:sz="4" w:space="0" w:color="auto"/>
              <w:left w:val="single" w:sz="4" w:space="0" w:color="auto"/>
              <w:bottom w:val="single" w:sz="4" w:space="0" w:color="auto"/>
              <w:right w:val="single" w:sz="4" w:space="0" w:color="auto"/>
            </w:tcBorders>
            <w:hideMark/>
          </w:tcPr>
          <w:p w14:paraId="0FCCA726" w14:textId="77777777" w:rsidR="00C24947" w:rsidRPr="00C35F8B" w:rsidRDefault="00C24947" w:rsidP="00C24947">
            <w:pPr>
              <w:keepNext/>
              <w:keepLines/>
              <w:ind w:firstLine="791"/>
              <w:rPr>
                <w:rFonts w:ascii="Arial" w:eastAsia="Times New Roman" w:hAnsi="Arial" w:cs="Arial"/>
                <w:b/>
                <w:color w:val="000000"/>
                <w:sz w:val="24"/>
                <w:szCs w:val="24"/>
              </w:rPr>
            </w:pPr>
            <w:r w:rsidRPr="00C35F8B">
              <w:rPr>
                <w:rFonts w:ascii="Arial" w:eastAsia="Times New Roman" w:hAnsi="Arial" w:cs="Arial"/>
                <w:b/>
                <w:color w:val="000000"/>
                <w:sz w:val="24"/>
                <w:szCs w:val="24"/>
              </w:rPr>
              <w:t>Total</w:t>
            </w:r>
          </w:p>
        </w:tc>
        <w:tc>
          <w:tcPr>
            <w:tcW w:w="3283" w:type="dxa"/>
            <w:tcBorders>
              <w:top w:val="single" w:sz="4" w:space="0" w:color="auto"/>
              <w:left w:val="single" w:sz="4" w:space="0" w:color="auto"/>
              <w:bottom w:val="single" w:sz="4" w:space="0" w:color="auto"/>
              <w:right w:val="single" w:sz="4" w:space="0" w:color="auto"/>
            </w:tcBorders>
            <w:vAlign w:val="bottom"/>
            <w:hideMark/>
          </w:tcPr>
          <w:p w14:paraId="393514ED" w14:textId="77777777" w:rsidR="00C24947" w:rsidRPr="00C35F8B" w:rsidRDefault="00C24947" w:rsidP="00C24947">
            <w:pPr>
              <w:keepNext/>
              <w:keepLines/>
              <w:tabs>
                <w:tab w:val="decimal" w:pos="1640"/>
              </w:tabs>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53</w:t>
            </w:r>
          </w:p>
        </w:tc>
      </w:tr>
    </w:tbl>
    <w:bookmarkEnd w:id="3"/>
    <w:p w14:paraId="304922A1" w14:textId="77777777" w:rsidR="00C24947" w:rsidRPr="00C35F8B" w:rsidRDefault="00C24947" w:rsidP="00C24947">
      <w:pPr>
        <w:tabs>
          <w:tab w:val="left" w:pos="720"/>
          <w:tab w:val="left" w:pos="2520"/>
        </w:tabs>
        <w:spacing w:before="120" w:after="120"/>
        <w:rPr>
          <w:rFonts w:eastAsia="Times New Roman"/>
        </w:rPr>
      </w:pPr>
      <w:r w:rsidRPr="00C35F8B">
        <w:rPr>
          <w:rFonts w:eastAsia="Times New Roman"/>
          <w:b/>
          <w:bCs/>
        </w:rPr>
        <w:t>Note:</w:t>
      </w:r>
      <w:r w:rsidRPr="00C35F8B">
        <w:rPr>
          <w:rFonts w:eastAsia="Times New Roman"/>
          <w:b/>
          <w:bCs/>
        </w:rPr>
        <w:tab/>
      </w:r>
      <w:r w:rsidRPr="00C35F8B">
        <w:rPr>
          <w:rFonts w:eastAsia="Times New Roman"/>
        </w:rPr>
        <w:t>Nine panelists served on more than one panel.</w:t>
      </w:r>
    </w:p>
    <w:p w14:paraId="00C23995" w14:textId="77777777" w:rsidR="00C24947" w:rsidRPr="00C35F8B" w:rsidRDefault="00C24947" w:rsidP="00C24947">
      <w:pPr>
        <w:keepNext/>
        <w:tabs>
          <w:tab w:val="left" w:pos="2520"/>
        </w:tabs>
        <w:spacing w:before="240" w:after="120"/>
        <w:rPr>
          <w:rFonts w:eastAsia="Times New Roman"/>
        </w:rPr>
      </w:pPr>
      <w:r w:rsidRPr="00C35F8B">
        <w:rPr>
          <w:rFonts w:eastAsia="Times New Roman"/>
        </w:rPr>
        <w:t xml:space="preserve">Table </w:t>
      </w:r>
      <w:r w:rsidRPr="00C35F8B">
        <w:rPr>
          <w:rFonts w:eastAsia="Times New Roman"/>
          <w:color w:val="2B579A"/>
          <w:shd w:val="clear" w:color="auto" w:fill="E6E6E6"/>
        </w:rPr>
        <w:fldChar w:fldCharType="begin"/>
      </w:r>
      <w:r w:rsidRPr="00C35F8B">
        <w:rPr>
          <w:rFonts w:eastAsia="Times New Roman"/>
        </w:rPr>
        <w:instrText xml:space="preserve"> SEQ Table \* ARABIC </w:instrText>
      </w:r>
      <w:r w:rsidRPr="00C35F8B">
        <w:rPr>
          <w:rFonts w:eastAsia="Times New Roman"/>
          <w:color w:val="2B579A"/>
          <w:shd w:val="clear" w:color="auto" w:fill="E6E6E6"/>
        </w:rPr>
        <w:fldChar w:fldCharType="separate"/>
      </w:r>
      <w:r w:rsidRPr="00C35F8B">
        <w:rPr>
          <w:rFonts w:eastAsia="Times New Roman"/>
          <w:noProof/>
        </w:rPr>
        <w:t>7</w:t>
      </w:r>
      <w:r w:rsidRPr="00C35F8B">
        <w:rPr>
          <w:rFonts w:eastAsia="Times New Roman"/>
          <w:noProof/>
          <w:color w:val="2B579A"/>
          <w:shd w:val="clear" w:color="auto" w:fill="E6E6E6"/>
        </w:rPr>
        <w:fldChar w:fldCharType="end"/>
      </w:r>
      <w:r w:rsidRPr="00C35F8B">
        <w:rPr>
          <w:rFonts w:eastAsia="Times New Roman"/>
        </w:rPr>
        <w:t>. Number and Percent of Panelists by Familiarity with ELD Standards</w:t>
      </w:r>
    </w:p>
    <w:tbl>
      <w:tblPr>
        <w:tblStyle w:val="TableGrid21"/>
        <w:tblW w:w="8185" w:type="dxa"/>
        <w:tblInd w:w="0" w:type="dxa"/>
        <w:tblLayout w:type="fixed"/>
        <w:tblLook w:val="04A0" w:firstRow="1" w:lastRow="0" w:firstColumn="1" w:lastColumn="0" w:noHBand="0" w:noVBand="1"/>
        <w:tblDescription w:val="Number and Percent of Panelists by Self-Reported Familiarity with ELD Standards"/>
      </w:tblPr>
      <w:tblGrid>
        <w:gridCol w:w="2304"/>
        <w:gridCol w:w="2940"/>
        <w:gridCol w:w="2941"/>
      </w:tblGrid>
      <w:tr w:rsidR="00C24947" w:rsidRPr="00C35F8B" w14:paraId="46D468C2" w14:textId="77777777" w:rsidTr="00C24947">
        <w:trPr>
          <w:trHeight w:val="212"/>
          <w:tblHeader/>
        </w:trPr>
        <w:tc>
          <w:tcPr>
            <w:tcW w:w="2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7BA5C" w14:textId="77777777" w:rsidR="00C24947" w:rsidRPr="00C35F8B" w:rsidRDefault="00C24947" w:rsidP="00C24947">
            <w:pPr>
              <w:jc w:val="center"/>
              <w:rPr>
                <w:rFonts w:ascii="Arial" w:eastAsia="Times New Roman" w:hAnsi="Arial" w:cs="Arial"/>
                <w:b/>
                <w:bCs/>
                <w:color w:val="000000"/>
                <w:sz w:val="24"/>
                <w:szCs w:val="24"/>
              </w:rPr>
            </w:pPr>
            <w:r w:rsidRPr="00C35F8B">
              <w:rPr>
                <w:rFonts w:ascii="Arial" w:eastAsia="Calibri" w:hAnsi="Arial" w:cs="Arial"/>
                <w:b/>
                <w:bCs/>
                <w:color w:val="000000"/>
                <w:sz w:val="24"/>
                <w:szCs w:val="24"/>
              </w:rPr>
              <w:t>Familiarity with ELD Standards</w:t>
            </w:r>
          </w:p>
        </w:tc>
        <w:tc>
          <w:tcPr>
            <w:tcW w:w="294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D251BDD" w14:textId="77777777" w:rsidR="00C24947" w:rsidRPr="00C35F8B" w:rsidRDefault="00C24947" w:rsidP="00C24947">
            <w:pP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Number of Panelists</w:t>
            </w:r>
          </w:p>
        </w:tc>
        <w:tc>
          <w:tcPr>
            <w:tcW w:w="294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3AAB452" w14:textId="77777777" w:rsidR="00C24947" w:rsidRPr="00C35F8B" w:rsidRDefault="00C24947" w:rsidP="00C24947">
            <w:pPr>
              <w:rPr>
                <w:rFonts w:ascii="Arial" w:eastAsia="Times New Roman" w:hAnsi="Arial" w:cs="Arial"/>
                <w:b/>
                <w:bCs/>
                <w:color w:val="000000"/>
                <w:sz w:val="24"/>
                <w:szCs w:val="24"/>
              </w:rPr>
            </w:pPr>
            <w:r w:rsidRPr="00C35F8B">
              <w:rPr>
                <w:rFonts w:ascii="Arial" w:eastAsia="Times New Roman" w:hAnsi="Arial" w:cs="Arial"/>
                <w:b/>
                <w:bCs/>
                <w:color w:val="000000"/>
                <w:sz w:val="24"/>
                <w:szCs w:val="24"/>
              </w:rPr>
              <w:t>Percent of Panelists</w:t>
            </w:r>
          </w:p>
        </w:tc>
      </w:tr>
      <w:tr w:rsidR="00C24947" w:rsidRPr="00C35F8B" w14:paraId="282E341D" w14:textId="77777777" w:rsidTr="00C24947">
        <w:trPr>
          <w:trHeight w:val="199"/>
        </w:trPr>
        <w:tc>
          <w:tcPr>
            <w:tcW w:w="2304" w:type="dxa"/>
            <w:tcBorders>
              <w:top w:val="single" w:sz="4" w:space="0" w:color="auto"/>
              <w:left w:val="single" w:sz="4" w:space="0" w:color="auto"/>
              <w:bottom w:val="single" w:sz="4" w:space="0" w:color="auto"/>
              <w:right w:val="single" w:sz="4" w:space="0" w:color="auto"/>
            </w:tcBorders>
            <w:hideMark/>
          </w:tcPr>
          <w:p w14:paraId="5DC3B271" w14:textId="77777777" w:rsidR="00C24947" w:rsidRPr="00C35F8B" w:rsidRDefault="00C24947" w:rsidP="00C24947">
            <w:pPr>
              <w:rPr>
                <w:rFonts w:ascii="Arial" w:eastAsia="Times New Roman" w:hAnsi="Arial" w:cs="Arial"/>
                <w:color w:val="000000"/>
                <w:sz w:val="24"/>
                <w:szCs w:val="24"/>
              </w:rPr>
            </w:pPr>
            <w:r w:rsidRPr="00C35F8B">
              <w:rPr>
                <w:rFonts w:ascii="Arial" w:eastAsia="Calibri" w:hAnsi="Arial" w:cs="Arial"/>
                <w:color w:val="000000"/>
                <w:sz w:val="24"/>
                <w:szCs w:val="24"/>
              </w:rPr>
              <w:t>Very familiar</w:t>
            </w:r>
          </w:p>
        </w:tc>
        <w:tc>
          <w:tcPr>
            <w:tcW w:w="2940" w:type="dxa"/>
            <w:tcBorders>
              <w:top w:val="single" w:sz="4" w:space="0" w:color="auto"/>
              <w:left w:val="single" w:sz="4" w:space="0" w:color="auto"/>
              <w:bottom w:val="single" w:sz="4" w:space="0" w:color="auto"/>
              <w:right w:val="single" w:sz="4" w:space="0" w:color="auto"/>
            </w:tcBorders>
            <w:vAlign w:val="bottom"/>
            <w:hideMark/>
          </w:tcPr>
          <w:p w14:paraId="37A17C55" w14:textId="77777777" w:rsidR="00C24947" w:rsidRPr="00C35F8B" w:rsidRDefault="00C24947" w:rsidP="00C24947">
            <w:pPr>
              <w:tabs>
                <w:tab w:val="decimal" w:pos="1360"/>
              </w:tabs>
              <w:rPr>
                <w:rFonts w:ascii="Arial" w:eastAsia="Times New Roman" w:hAnsi="Arial" w:cs="Arial"/>
                <w:color w:val="000000"/>
                <w:sz w:val="24"/>
                <w:szCs w:val="24"/>
              </w:rPr>
            </w:pPr>
            <w:r w:rsidRPr="00C35F8B">
              <w:rPr>
                <w:rFonts w:ascii="Arial" w:eastAsia="Calibri" w:hAnsi="Arial" w:cs="Arial"/>
                <w:sz w:val="24"/>
                <w:szCs w:val="24"/>
              </w:rPr>
              <w:t>28</w:t>
            </w:r>
          </w:p>
        </w:tc>
        <w:tc>
          <w:tcPr>
            <w:tcW w:w="2941" w:type="dxa"/>
            <w:tcBorders>
              <w:top w:val="single" w:sz="4" w:space="0" w:color="auto"/>
              <w:left w:val="single" w:sz="4" w:space="0" w:color="auto"/>
              <w:bottom w:val="single" w:sz="4" w:space="0" w:color="auto"/>
              <w:right w:val="single" w:sz="4" w:space="0" w:color="auto"/>
            </w:tcBorders>
            <w:vAlign w:val="bottom"/>
            <w:hideMark/>
          </w:tcPr>
          <w:p w14:paraId="492B9634" w14:textId="77777777" w:rsidR="00C24947" w:rsidRPr="00C35F8B" w:rsidRDefault="00C24947" w:rsidP="00C24947">
            <w:pPr>
              <w:tabs>
                <w:tab w:val="decimal" w:pos="1299"/>
              </w:tabs>
              <w:rPr>
                <w:rFonts w:ascii="Arial" w:eastAsia="Times New Roman" w:hAnsi="Arial" w:cs="Arial"/>
                <w:color w:val="000000"/>
                <w:sz w:val="24"/>
                <w:szCs w:val="24"/>
              </w:rPr>
            </w:pPr>
            <w:r w:rsidRPr="00C35F8B">
              <w:rPr>
                <w:rFonts w:ascii="Arial" w:eastAsia="Times New Roman" w:hAnsi="Arial" w:cs="Arial"/>
                <w:color w:val="000000"/>
                <w:sz w:val="24"/>
                <w:szCs w:val="24"/>
              </w:rPr>
              <w:t>64</w:t>
            </w:r>
          </w:p>
        </w:tc>
      </w:tr>
      <w:tr w:rsidR="00C24947" w:rsidRPr="00C35F8B" w14:paraId="3C9B13F9" w14:textId="77777777" w:rsidTr="00C24947">
        <w:trPr>
          <w:trHeight w:val="181"/>
        </w:trPr>
        <w:tc>
          <w:tcPr>
            <w:tcW w:w="2304" w:type="dxa"/>
            <w:tcBorders>
              <w:top w:val="single" w:sz="4" w:space="0" w:color="auto"/>
              <w:left w:val="single" w:sz="4" w:space="0" w:color="auto"/>
              <w:bottom w:val="single" w:sz="4" w:space="0" w:color="auto"/>
              <w:right w:val="single" w:sz="4" w:space="0" w:color="auto"/>
            </w:tcBorders>
            <w:hideMark/>
          </w:tcPr>
          <w:p w14:paraId="0F92139B" w14:textId="77777777" w:rsidR="00C24947" w:rsidRPr="00C35F8B" w:rsidRDefault="00C24947" w:rsidP="00C24947">
            <w:pPr>
              <w:rPr>
                <w:rFonts w:ascii="Arial" w:eastAsia="Times New Roman" w:hAnsi="Arial" w:cs="Arial"/>
                <w:color w:val="000000"/>
                <w:sz w:val="24"/>
                <w:szCs w:val="24"/>
              </w:rPr>
            </w:pPr>
            <w:r w:rsidRPr="00C35F8B">
              <w:rPr>
                <w:rFonts w:ascii="Arial" w:eastAsia="Calibri" w:hAnsi="Arial" w:cs="Arial"/>
                <w:color w:val="000000"/>
                <w:sz w:val="24"/>
                <w:szCs w:val="24"/>
              </w:rPr>
              <w:t>Somewhat familiar</w:t>
            </w:r>
          </w:p>
        </w:tc>
        <w:tc>
          <w:tcPr>
            <w:tcW w:w="2940" w:type="dxa"/>
            <w:tcBorders>
              <w:top w:val="single" w:sz="4" w:space="0" w:color="auto"/>
              <w:left w:val="single" w:sz="4" w:space="0" w:color="auto"/>
              <w:bottom w:val="single" w:sz="4" w:space="0" w:color="auto"/>
              <w:right w:val="single" w:sz="4" w:space="0" w:color="auto"/>
            </w:tcBorders>
            <w:vAlign w:val="bottom"/>
            <w:hideMark/>
          </w:tcPr>
          <w:p w14:paraId="7206D754" w14:textId="77777777" w:rsidR="00C24947" w:rsidRPr="00C35F8B" w:rsidRDefault="00C24947" w:rsidP="00C24947">
            <w:pPr>
              <w:tabs>
                <w:tab w:val="decimal" w:pos="1360"/>
              </w:tabs>
              <w:rPr>
                <w:rFonts w:ascii="Arial" w:eastAsia="Times New Roman" w:hAnsi="Arial" w:cs="Arial"/>
                <w:color w:val="000000"/>
                <w:sz w:val="24"/>
                <w:szCs w:val="24"/>
              </w:rPr>
            </w:pPr>
            <w:r w:rsidRPr="00C35F8B">
              <w:rPr>
                <w:rFonts w:ascii="Arial" w:eastAsia="Calibri" w:hAnsi="Arial" w:cs="Arial"/>
                <w:sz w:val="24"/>
                <w:szCs w:val="24"/>
              </w:rPr>
              <w:t>12</w:t>
            </w:r>
          </w:p>
        </w:tc>
        <w:tc>
          <w:tcPr>
            <w:tcW w:w="2941" w:type="dxa"/>
            <w:tcBorders>
              <w:top w:val="single" w:sz="4" w:space="0" w:color="auto"/>
              <w:left w:val="single" w:sz="4" w:space="0" w:color="auto"/>
              <w:bottom w:val="single" w:sz="4" w:space="0" w:color="auto"/>
              <w:right w:val="single" w:sz="4" w:space="0" w:color="auto"/>
            </w:tcBorders>
            <w:vAlign w:val="bottom"/>
            <w:hideMark/>
          </w:tcPr>
          <w:p w14:paraId="0B7FB04C" w14:textId="77777777" w:rsidR="00C24947" w:rsidRPr="00C35F8B" w:rsidRDefault="00C24947" w:rsidP="00C24947">
            <w:pPr>
              <w:tabs>
                <w:tab w:val="decimal" w:pos="1299"/>
              </w:tabs>
              <w:rPr>
                <w:rFonts w:ascii="Arial" w:eastAsia="Times New Roman" w:hAnsi="Arial" w:cs="Arial"/>
                <w:color w:val="000000"/>
                <w:sz w:val="24"/>
                <w:szCs w:val="24"/>
              </w:rPr>
            </w:pPr>
            <w:r w:rsidRPr="00C35F8B">
              <w:rPr>
                <w:rFonts w:ascii="Arial" w:eastAsia="Calibri" w:hAnsi="Arial" w:cs="Arial"/>
                <w:sz w:val="24"/>
                <w:szCs w:val="24"/>
              </w:rPr>
              <w:t>27</w:t>
            </w:r>
          </w:p>
        </w:tc>
      </w:tr>
      <w:tr w:rsidR="00C24947" w:rsidRPr="00C35F8B" w14:paraId="6C8FA520" w14:textId="77777777" w:rsidTr="00C24947">
        <w:trPr>
          <w:trHeight w:val="181"/>
        </w:trPr>
        <w:tc>
          <w:tcPr>
            <w:tcW w:w="2304" w:type="dxa"/>
            <w:tcBorders>
              <w:top w:val="single" w:sz="4" w:space="0" w:color="auto"/>
              <w:left w:val="single" w:sz="4" w:space="0" w:color="auto"/>
              <w:bottom w:val="single" w:sz="4" w:space="0" w:color="auto"/>
              <w:right w:val="single" w:sz="4" w:space="0" w:color="auto"/>
            </w:tcBorders>
            <w:hideMark/>
          </w:tcPr>
          <w:p w14:paraId="245A126C" w14:textId="77777777" w:rsidR="00C24947" w:rsidRPr="00C35F8B" w:rsidRDefault="00C24947" w:rsidP="00C24947">
            <w:pPr>
              <w:rPr>
                <w:rFonts w:ascii="Arial" w:eastAsia="Times New Roman" w:hAnsi="Arial" w:cs="Arial"/>
                <w:color w:val="000000"/>
                <w:sz w:val="24"/>
                <w:szCs w:val="24"/>
              </w:rPr>
            </w:pPr>
            <w:r w:rsidRPr="00C35F8B">
              <w:rPr>
                <w:rFonts w:ascii="Arial" w:eastAsia="Calibri" w:hAnsi="Arial" w:cs="Arial"/>
                <w:color w:val="000000"/>
                <w:sz w:val="24"/>
                <w:szCs w:val="24"/>
              </w:rPr>
              <w:t>Not at all familiar</w:t>
            </w:r>
          </w:p>
        </w:tc>
        <w:tc>
          <w:tcPr>
            <w:tcW w:w="2940" w:type="dxa"/>
            <w:tcBorders>
              <w:top w:val="single" w:sz="4" w:space="0" w:color="auto"/>
              <w:left w:val="single" w:sz="4" w:space="0" w:color="auto"/>
              <w:bottom w:val="single" w:sz="4" w:space="0" w:color="auto"/>
              <w:right w:val="single" w:sz="4" w:space="0" w:color="auto"/>
            </w:tcBorders>
            <w:vAlign w:val="bottom"/>
            <w:hideMark/>
          </w:tcPr>
          <w:p w14:paraId="2E818058" w14:textId="77777777" w:rsidR="00C24947" w:rsidRPr="00C35F8B" w:rsidRDefault="00C24947" w:rsidP="00C24947">
            <w:pPr>
              <w:tabs>
                <w:tab w:val="decimal" w:pos="1360"/>
              </w:tabs>
              <w:rPr>
                <w:rFonts w:ascii="Arial" w:eastAsia="Times New Roman" w:hAnsi="Arial" w:cs="Arial"/>
                <w:color w:val="000000"/>
                <w:sz w:val="24"/>
                <w:szCs w:val="24"/>
              </w:rPr>
            </w:pPr>
            <w:r w:rsidRPr="00C35F8B">
              <w:rPr>
                <w:rFonts w:ascii="Arial" w:eastAsia="Calibri" w:hAnsi="Arial" w:cs="Arial"/>
                <w:sz w:val="24"/>
                <w:szCs w:val="24"/>
              </w:rPr>
              <w:t>4</w:t>
            </w:r>
          </w:p>
        </w:tc>
        <w:tc>
          <w:tcPr>
            <w:tcW w:w="2941" w:type="dxa"/>
            <w:tcBorders>
              <w:top w:val="single" w:sz="4" w:space="0" w:color="auto"/>
              <w:left w:val="single" w:sz="4" w:space="0" w:color="auto"/>
              <w:bottom w:val="single" w:sz="4" w:space="0" w:color="auto"/>
              <w:right w:val="single" w:sz="4" w:space="0" w:color="auto"/>
            </w:tcBorders>
            <w:vAlign w:val="bottom"/>
            <w:hideMark/>
          </w:tcPr>
          <w:p w14:paraId="392571E8" w14:textId="77777777" w:rsidR="00C24947" w:rsidRPr="00C35F8B" w:rsidRDefault="00C24947" w:rsidP="00C24947">
            <w:pPr>
              <w:tabs>
                <w:tab w:val="decimal" w:pos="1299"/>
              </w:tabs>
              <w:rPr>
                <w:rFonts w:ascii="Arial" w:eastAsia="Times New Roman" w:hAnsi="Arial" w:cs="Arial"/>
                <w:color w:val="000000"/>
                <w:sz w:val="24"/>
                <w:szCs w:val="24"/>
              </w:rPr>
            </w:pPr>
            <w:r w:rsidRPr="00C35F8B">
              <w:rPr>
                <w:rFonts w:ascii="Arial" w:eastAsia="Calibri" w:hAnsi="Arial" w:cs="Arial"/>
                <w:sz w:val="24"/>
                <w:szCs w:val="24"/>
              </w:rPr>
              <w:t>9</w:t>
            </w:r>
          </w:p>
        </w:tc>
      </w:tr>
      <w:tr w:rsidR="00C24947" w:rsidRPr="00C35F8B" w14:paraId="3522026B" w14:textId="77777777" w:rsidTr="00C24947">
        <w:trPr>
          <w:trHeight w:val="181"/>
        </w:trPr>
        <w:tc>
          <w:tcPr>
            <w:tcW w:w="2304" w:type="dxa"/>
            <w:tcBorders>
              <w:top w:val="single" w:sz="4" w:space="0" w:color="auto"/>
              <w:left w:val="single" w:sz="4" w:space="0" w:color="auto"/>
              <w:bottom w:val="single" w:sz="4" w:space="0" w:color="auto"/>
              <w:right w:val="single" w:sz="4" w:space="0" w:color="auto"/>
            </w:tcBorders>
            <w:hideMark/>
          </w:tcPr>
          <w:p w14:paraId="5DBEA047" w14:textId="77777777" w:rsidR="00C24947" w:rsidRPr="00C35F8B" w:rsidRDefault="00C24947" w:rsidP="00C24947">
            <w:pPr>
              <w:rPr>
                <w:rFonts w:ascii="Arial" w:eastAsia="Times New Roman" w:hAnsi="Arial" w:cs="Arial"/>
                <w:b/>
                <w:color w:val="000000"/>
                <w:sz w:val="24"/>
                <w:szCs w:val="24"/>
              </w:rPr>
            </w:pPr>
            <w:r w:rsidRPr="00C35F8B">
              <w:rPr>
                <w:rFonts w:ascii="Arial" w:eastAsia="Calibri" w:hAnsi="Arial" w:cs="Arial"/>
                <w:b/>
                <w:color w:val="000000"/>
                <w:sz w:val="24"/>
                <w:szCs w:val="24"/>
              </w:rPr>
              <w:t>Total</w:t>
            </w:r>
          </w:p>
        </w:tc>
        <w:tc>
          <w:tcPr>
            <w:tcW w:w="2940" w:type="dxa"/>
            <w:tcBorders>
              <w:top w:val="single" w:sz="4" w:space="0" w:color="auto"/>
              <w:left w:val="single" w:sz="4" w:space="0" w:color="auto"/>
              <w:bottom w:val="single" w:sz="4" w:space="0" w:color="auto"/>
              <w:right w:val="single" w:sz="4" w:space="0" w:color="auto"/>
            </w:tcBorders>
            <w:vAlign w:val="bottom"/>
            <w:hideMark/>
          </w:tcPr>
          <w:p w14:paraId="7517B41C" w14:textId="77777777" w:rsidR="00C24947" w:rsidRPr="00C35F8B" w:rsidRDefault="00C24947" w:rsidP="00C24947">
            <w:pPr>
              <w:tabs>
                <w:tab w:val="decimal" w:pos="1360"/>
              </w:tabs>
              <w:rPr>
                <w:rFonts w:ascii="Arial" w:eastAsia="Times New Roman" w:hAnsi="Arial" w:cs="Arial"/>
                <w:b/>
                <w:bCs/>
                <w:color w:val="000000"/>
                <w:sz w:val="24"/>
                <w:szCs w:val="24"/>
              </w:rPr>
            </w:pPr>
            <w:r w:rsidRPr="00C35F8B">
              <w:rPr>
                <w:rFonts w:ascii="Arial" w:eastAsia="Calibri" w:hAnsi="Arial" w:cs="Arial"/>
                <w:b/>
                <w:sz w:val="24"/>
                <w:szCs w:val="24"/>
              </w:rPr>
              <w:t>44</w:t>
            </w:r>
          </w:p>
        </w:tc>
        <w:tc>
          <w:tcPr>
            <w:tcW w:w="2941" w:type="dxa"/>
            <w:tcBorders>
              <w:top w:val="single" w:sz="4" w:space="0" w:color="auto"/>
              <w:left w:val="single" w:sz="4" w:space="0" w:color="auto"/>
              <w:bottom w:val="single" w:sz="4" w:space="0" w:color="auto"/>
              <w:right w:val="single" w:sz="4" w:space="0" w:color="auto"/>
            </w:tcBorders>
            <w:vAlign w:val="bottom"/>
            <w:hideMark/>
          </w:tcPr>
          <w:p w14:paraId="29657ABA" w14:textId="77777777" w:rsidR="00C24947" w:rsidRPr="00C35F8B" w:rsidRDefault="00C24947" w:rsidP="00C24947">
            <w:pPr>
              <w:tabs>
                <w:tab w:val="decimal" w:pos="1299"/>
              </w:tabs>
              <w:rPr>
                <w:rFonts w:ascii="Arial" w:eastAsia="Times New Roman" w:hAnsi="Arial" w:cs="Arial"/>
                <w:b/>
                <w:bCs/>
                <w:color w:val="000000"/>
                <w:sz w:val="24"/>
                <w:szCs w:val="24"/>
              </w:rPr>
            </w:pPr>
            <w:r w:rsidRPr="00C35F8B">
              <w:rPr>
                <w:rFonts w:ascii="Arial" w:eastAsia="Calibri" w:hAnsi="Arial" w:cs="Arial"/>
                <w:b/>
                <w:sz w:val="24"/>
                <w:szCs w:val="24"/>
              </w:rPr>
              <w:t>100</w:t>
            </w:r>
          </w:p>
        </w:tc>
      </w:tr>
    </w:tbl>
    <w:p w14:paraId="74C39C55" w14:textId="77777777" w:rsidR="00C24947" w:rsidRPr="00C35F8B" w:rsidRDefault="00C24947" w:rsidP="00C24947">
      <w:pPr>
        <w:tabs>
          <w:tab w:val="left" w:pos="720"/>
          <w:tab w:val="left" w:pos="2520"/>
        </w:tabs>
        <w:spacing w:before="120" w:after="120"/>
        <w:rPr>
          <w:rFonts w:eastAsia="Times New Roman"/>
        </w:rPr>
      </w:pPr>
      <w:bookmarkStart w:id="4" w:name="_Ref99372096"/>
      <w:r w:rsidRPr="00C35F8B">
        <w:rPr>
          <w:rFonts w:eastAsia="Times New Roman"/>
          <w:b/>
          <w:bCs/>
        </w:rPr>
        <w:t>Note:</w:t>
      </w:r>
      <w:r w:rsidRPr="00C35F8B">
        <w:rPr>
          <w:rFonts w:eastAsia="Times New Roman"/>
        </w:rPr>
        <w:tab/>
        <w:t>Panelists self-reported experience with ELD Standards.</w:t>
      </w:r>
    </w:p>
    <w:p w14:paraId="0F516470" w14:textId="77777777" w:rsidR="00C24947" w:rsidRPr="00C35F8B" w:rsidRDefault="00C24947" w:rsidP="00C24947">
      <w:pPr>
        <w:keepNext/>
        <w:tabs>
          <w:tab w:val="left" w:pos="2520"/>
        </w:tabs>
        <w:spacing w:before="240" w:after="120"/>
        <w:rPr>
          <w:rFonts w:eastAsia="Times New Roman"/>
        </w:rPr>
      </w:pPr>
      <w:r w:rsidRPr="00C35F8B">
        <w:rPr>
          <w:rFonts w:eastAsia="Times New Roman"/>
        </w:rPr>
        <w:t xml:space="preserve">Table </w:t>
      </w:r>
      <w:r w:rsidRPr="00C35F8B">
        <w:rPr>
          <w:rFonts w:eastAsia="Times New Roman"/>
          <w:color w:val="2B579A"/>
          <w:shd w:val="clear" w:color="auto" w:fill="E6E6E6"/>
        </w:rPr>
        <w:fldChar w:fldCharType="begin"/>
      </w:r>
      <w:r w:rsidRPr="00C35F8B">
        <w:rPr>
          <w:rFonts w:eastAsia="Times New Roman"/>
        </w:rPr>
        <w:instrText xml:space="preserve"> SEQ Table \* ARABIC </w:instrText>
      </w:r>
      <w:r w:rsidRPr="00C35F8B">
        <w:rPr>
          <w:rFonts w:eastAsia="Times New Roman"/>
          <w:color w:val="2B579A"/>
          <w:shd w:val="clear" w:color="auto" w:fill="E6E6E6"/>
        </w:rPr>
        <w:fldChar w:fldCharType="separate"/>
      </w:r>
      <w:r w:rsidRPr="00C35F8B">
        <w:rPr>
          <w:rFonts w:eastAsia="Times New Roman"/>
          <w:noProof/>
        </w:rPr>
        <w:t>8</w:t>
      </w:r>
      <w:r w:rsidRPr="00C35F8B">
        <w:rPr>
          <w:rFonts w:eastAsia="Times New Roman"/>
          <w:noProof/>
          <w:color w:val="2B579A"/>
          <w:shd w:val="clear" w:color="auto" w:fill="E6E6E6"/>
        </w:rPr>
        <w:fldChar w:fldCharType="end"/>
      </w:r>
      <w:bookmarkEnd w:id="4"/>
      <w:r w:rsidRPr="00C35F8B">
        <w:rPr>
          <w:rFonts w:eastAsia="Times New Roman"/>
        </w:rPr>
        <w:t>. Number and Percent of Panelists by Experience Supporting Students Using Special Education Services</w:t>
      </w:r>
    </w:p>
    <w:tbl>
      <w:tblPr>
        <w:tblStyle w:val="TableGrid21"/>
        <w:tblW w:w="0" w:type="auto"/>
        <w:tblInd w:w="3" w:type="dxa"/>
        <w:tblLayout w:type="fixed"/>
        <w:tblLook w:val="04A0" w:firstRow="1" w:lastRow="0" w:firstColumn="1" w:lastColumn="0" w:noHBand="0" w:noVBand="1"/>
        <w:tblDescription w:val="Number and Percent of Panelists by Self-Reported Experience with Special Education Services"/>
      </w:tblPr>
      <w:tblGrid>
        <w:gridCol w:w="3600"/>
        <w:gridCol w:w="2741"/>
        <w:gridCol w:w="2741"/>
      </w:tblGrid>
      <w:tr w:rsidR="00C24947" w:rsidRPr="00C35F8B" w14:paraId="708AB32A" w14:textId="77777777" w:rsidTr="00C24947">
        <w:trPr>
          <w:tblHeader/>
        </w:trPr>
        <w:tc>
          <w:tcPr>
            <w:tcW w:w="3600" w:type="dxa"/>
            <w:shd w:val="clear" w:color="auto" w:fill="D9D9D9"/>
            <w:vAlign w:val="center"/>
            <w:hideMark/>
          </w:tcPr>
          <w:p w14:paraId="4086E465" w14:textId="77777777" w:rsidR="00C24947" w:rsidRPr="00C35F8B" w:rsidRDefault="00C24947" w:rsidP="00C24947">
            <w:pPr>
              <w:keepNext/>
              <w:jc w:val="center"/>
              <w:rPr>
                <w:rFonts w:ascii="Arial" w:eastAsia="Calibri" w:hAnsi="Arial" w:cs="Arial"/>
                <w:b/>
                <w:color w:val="000000"/>
                <w:sz w:val="24"/>
                <w:szCs w:val="24"/>
                <w:vertAlign w:val="superscript"/>
              </w:rPr>
            </w:pPr>
            <w:r w:rsidRPr="00C35F8B">
              <w:rPr>
                <w:rFonts w:ascii="Arial" w:eastAsia="Calibri" w:hAnsi="Arial" w:cs="Arial"/>
                <w:b/>
                <w:color w:val="000000"/>
                <w:sz w:val="24"/>
                <w:szCs w:val="24"/>
              </w:rPr>
              <w:t>Special Education Service</w:t>
            </w:r>
          </w:p>
        </w:tc>
        <w:tc>
          <w:tcPr>
            <w:tcW w:w="2741" w:type="dxa"/>
            <w:shd w:val="clear" w:color="auto" w:fill="D9D9D9"/>
            <w:vAlign w:val="center"/>
            <w:hideMark/>
          </w:tcPr>
          <w:p w14:paraId="11F4CA04" w14:textId="77777777" w:rsidR="00C24947" w:rsidRPr="00C35F8B" w:rsidRDefault="00C24947" w:rsidP="00C24947">
            <w:pPr>
              <w:keepNext/>
              <w:jc w:val="center"/>
              <w:rPr>
                <w:rFonts w:ascii="Arial" w:eastAsia="Calibri" w:hAnsi="Arial" w:cs="Arial"/>
                <w:b/>
                <w:color w:val="000000"/>
                <w:sz w:val="24"/>
                <w:szCs w:val="24"/>
              </w:rPr>
            </w:pPr>
            <w:r w:rsidRPr="00C35F8B">
              <w:rPr>
                <w:rFonts w:ascii="Arial" w:eastAsia="Calibri" w:hAnsi="Arial" w:cs="Arial"/>
                <w:b/>
                <w:color w:val="000000"/>
                <w:sz w:val="24"/>
                <w:szCs w:val="24"/>
              </w:rPr>
              <w:t>Number of Panelists</w:t>
            </w:r>
          </w:p>
        </w:tc>
        <w:tc>
          <w:tcPr>
            <w:tcW w:w="2741" w:type="dxa"/>
            <w:shd w:val="clear" w:color="auto" w:fill="D9D9D9"/>
            <w:vAlign w:val="center"/>
            <w:hideMark/>
          </w:tcPr>
          <w:p w14:paraId="76F6AE54" w14:textId="77777777" w:rsidR="00C24947" w:rsidRPr="00C35F8B" w:rsidRDefault="00C24947" w:rsidP="00C24947">
            <w:pPr>
              <w:keepNext/>
              <w:jc w:val="center"/>
              <w:rPr>
                <w:rFonts w:ascii="Arial" w:eastAsia="Calibri" w:hAnsi="Arial" w:cs="Arial"/>
                <w:b/>
                <w:color w:val="000000"/>
                <w:sz w:val="24"/>
                <w:szCs w:val="24"/>
              </w:rPr>
            </w:pPr>
            <w:r w:rsidRPr="00C35F8B">
              <w:rPr>
                <w:rFonts w:ascii="Arial" w:eastAsia="Calibri" w:hAnsi="Arial" w:cs="Arial"/>
                <w:b/>
                <w:color w:val="000000"/>
                <w:sz w:val="24"/>
                <w:szCs w:val="24"/>
              </w:rPr>
              <w:t>Percent of Panelists</w:t>
            </w:r>
          </w:p>
        </w:tc>
      </w:tr>
      <w:tr w:rsidR="00C24947" w:rsidRPr="00C35F8B" w14:paraId="2DA3A263" w14:textId="77777777" w:rsidTr="00C24947">
        <w:tc>
          <w:tcPr>
            <w:tcW w:w="3600" w:type="dxa"/>
            <w:hideMark/>
          </w:tcPr>
          <w:p w14:paraId="14084CC5" w14:textId="77777777" w:rsidR="00C24947" w:rsidRPr="00C35F8B" w:rsidRDefault="00C24947" w:rsidP="00C24947">
            <w:pPr>
              <w:keepNext/>
              <w:rPr>
                <w:rFonts w:ascii="Arial" w:eastAsia="Calibri" w:hAnsi="Arial" w:cs="Arial"/>
                <w:color w:val="000000"/>
                <w:sz w:val="24"/>
                <w:szCs w:val="24"/>
              </w:rPr>
            </w:pPr>
            <w:r w:rsidRPr="00C35F8B">
              <w:rPr>
                <w:rFonts w:ascii="Arial" w:eastAsia="Calibri" w:hAnsi="Arial" w:cs="Arial"/>
                <w:color w:val="000000"/>
                <w:sz w:val="24"/>
                <w:szCs w:val="24"/>
              </w:rPr>
              <w:t>Vision impairment</w:t>
            </w:r>
          </w:p>
        </w:tc>
        <w:tc>
          <w:tcPr>
            <w:tcW w:w="2741" w:type="dxa"/>
            <w:vAlign w:val="bottom"/>
            <w:hideMark/>
          </w:tcPr>
          <w:p w14:paraId="1D75D472" w14:textId="77777777" w:rsidR="00C24947" w:rsidRPr="00C35F8B" w:rsidRDefault="00C24947" w:rsidP="00C24947">
            <w:pPr>
              <w:keepNext/>
              <w:tabs>
                <w:tab w:val="decimal" w:pos="1415"/>
              </w:tabs>
              <w:rPr>
                <w:rFonts w:ascii="Arial" w:eastAsia="Calibri" w:hAnsi="Arial" w:cs="Arial"/>
                <w:color w:val="000000"/>
                <w:sz w:val="24"/>
                <w:szCs w:val="24"/>
              </w:rPr>
            </w:pPr>
            <w:r w:rsidRPr="00C35F8B">
              <w:rPr>
                <w:rFonts w:ascii="Arial" w:eastAsia="Calibri" w:hAnsi="Arial" w:cs="Arial"/>
                <w:color w:val="000000"/>
                <w:sz w:val="24"/>
                <w:szCs w:val="24"/>
              </w:rPr>
              <w:t>16</w:t>
            </w:r>
          </w:p>
        </w:tc>
        <w:tc>
          <w:tcPr>
            <w:tcW w:w="2741" w:type="dxa"/>
            <w:vAlign w:val="bottom"/>
            <w:hideMark/>
          </w:tcPr>
          <w:p w14:paraId="4C63D9B4" w14:textId="77777777" w:rsidR="00C24947" w:rsidRPr="00C35F8B" w:rsidRDefault="00C24947" w:rsidP="00C24947">
            <w:pPr>
              <w:keepNext/>
              <w:tabs>
                <w:tab w:val="decimal" w:pos="1368"/>
              </w:tabs>
              <w:rPr>
                <w:rFonts w:ascii="Arial" w:eastAsia="Calibri" w:hAnsi="Arial" w:cs="Arial"/>
                <w:color w:val="000000"/>
                <w:sz w:val="24"/>
                <w:szCs w:val="24"/>
              </w:rPr>
            </w:pPr>
            <w:r w:rsidRPr="00C35F8B">
              <w:rPr>
                <w:rFonts w:ascii="Arial" w:eastAsia="Calibri" w:hAnsi="Arial" w:cs="Arial"/>
                <w:color w:val="000000"/>
                <w:sz w:val="24"/>
                <w:szCs w:val="24"/>
              </w:rPr>
              <w:t>15</w:t>
            </w:r>
          </w:p>
        </w:tc>
      </w:tr>
      <w:tr w:rsidR="00C24947" w:rsidRPr="00C35F8B" w14:paraId="6381A4F4" w14:textId="77777777" w:rsidTr="00C24947">
        <w:tc>
          <w:tcPr>
            <w:tcW w:w="3600" w:type="dxa"/>
            <w:hideMark/>
          </w:tcPr>
          <w:p w14:paraId="79997B31" w14:textId="77777777" w:rsidR="00C24947" w:rsidRPr="00C35F8B" w:rsidRDefault="00C24947" w:rsidP="00C24947">
            <w:pPr>
              <w:keepNext/>
              <w:rPr>
                <w:rFonts w:ascii="Arial" w:eastAsia="Calibri" w:hAnsi="Arial" w:cs="Arial"/>
                <w:color w:val="000000"/>
                <w:sz w:val="24"/>
                <w:szCs w:val="24"/>
              </w:rPr>
            </w:pPr>
            <w:r w:rsidRPr="00C35F8B">
              <w:rPr>
                <w:rFonts w:ascii="Arial" w:eastAsia="Calibri" w:hAnsi="Arial" w:cs="Arial"/>
                <w:color w:val="000000"/>
                <w:sz w:val="24"/>
                <w:szCs w:val="24"/>
              </w:rPr>
              <w:t>Hearing impairment</w:t>
            </w:r>
          </w:p>
        </w:tc>
        <w:tc>
          <w:tcPr>
            <w:tcW w:w="2741" w:type="dxa"/>
            <w:vAlign w:val="bottom"/>
            <w:hideMark/>
          </w:tcPr>
          <w:p w14:paraId="1017EEBB" w14:textId="77777777" w:rsidR="00C24947" w:rsidRPr="00C35F8B" w:rsidRDefault="00C24947" w:rsidP="00C24947">
            <w:pPr>
              <w:keepNext/>
              <w:tabs>
                <w:tab w:val="decimal" w:pos="1415"/>
              </w:tabs>
              <w:rPr>
                <w:rFonts w:ascii="Arial" w:eastAsia="Calibri" w:hAnsi="Arial" w:cs="Arial"/>
                <w:color w:val="000000"/>
                <w:sz w:val="24"/>
                <w:szCs w:val="24"/>
              </w:rPr>
            </w:pPr>
            <w:r w:rsidRPr="00C35F8B">
              <w:rPr>
                <w:rFonts w:ascii="Arial" w:eastAsia="Calibri" w:hAnsi="Arial" w:cs="Arial"/>
                <w:color w:val="000000"/>
                <w:sz w:val="24"/>
                <w:szCs w:val="24"/>
              </w:rPr>
              <w:t>17</w:t>
            </w:r>
          </w:p>
        </w:tc>
        <w:tc>
          <w:tcPr>
            <w:tcW w:w="2741" w:type="dxa"/>
            <w:vAlign w:val="bottom"/>
            <w:hideMark/>
          </w:tcPr>
          <w:p w14:paraId="012E2D04" w14:textId="77777777" w:rsidR="00C24947" w:rsidRPr="00C35F8B" w:rsidRDefault="00C24947" w:rsidP="00C24947">
            <w:pPr>
              <w:keepNext/>
              <w:tabs>
                <w:tab w:val="decimal" w:pos="1368"/>
              </w:tabs>
              <w:rPr>
                <w:rFonts w:ascii="Arial" w:eastAsia="Calibri" w:hAnsi="Arial" w:cs="Arial"/>
                <w:color w:val="000000"/>
                <w:sz w:val="24"/>
                <w:szCs w:val="24"/>
              </w:rPr>
            </w:pPr>
            <w:r w:rsidRPr="00C35F8B">
              <w:rPr>
                <w:rFonts w:ascii="Arial" w:eastAsia="Calibri" w:hAnsi="Arial" w:cs="Arial"/>
                <w:color w:val="000000"/>
                <w:sz w:val="24"/>
                <w:szCs w:val="24"/>
              </w:rPr>
              <w:t>15</w:t>
            </w:r>
          </w:p>
        </w:tc>
      </w:tr>
      <w:tr w:rsidR="00C24947" w:rsidRPr="00C35F8B" w14:paraId="1D9CC15A" w14:textId="77777777" w:rsidTr="00C24947">
        <w:tc>
          <w:tcPr>
            <w:tcW w:w="3600" w:type="dxa"/>
            <w:hideMark/>
          </w:tcPr>
          <w:p w14:paraId="7FA20ED0" w14:textId="77777777" w:rsidR="00C24947" w:rsidRPr="00C35F8B" w:rsidRDefault="00C24947" w:rsidP="00C24947">
            <w:pPr>
              <w:keepNext/>
              <w:rPr>
                <w:rFonts w:ascii="Arial" w:eastAsia="Calibri" w:hAnsi="Arial" w:cs="Arial"/>
                <w:color w:val="000000"/>
                <w:sz w:val="24"/>
                <w:szCs w:val="24"/>
              </w:rPr>
            </w:pPr>
            <w:r w:rsidRPr="00C35F8B">
              <w:rPr>
                <w:rFonts w:ascii="Arial" w:eastAsia="Calibri" w:hAnsi="Arial" w:cs="Arial"/>
                <w:color w:val="000000"/>
                <w:sz w:val="24"/>
                <w:szCs w:val="24"/>
              </w:rPr>
              <w:t>Significant cognitive disabilities</w:t>
            </w:r>
          </w:p>
        </w:tc>
        <w:tc>
          <w:tcPr>
            <w:tcW w:w="2741" w:type="dxa"/>
            <w:vAlign w:val="bottom"/>
            <w:hideMark/>
          </w:tcPr>
          <w:p w14:paraId="071F35A1" w14:textId="77777777" w:rsidR="00C24947" w:rsidRPr="00C35F8B" w:rsidRDefault="00C24947" w:rsidP="00C24947">
            <w:pPr>
              <w:keepNext/>
              <w:tabs>
                <w:tab w:val="decimal" w:pos="1415"/>
              </w:tabs>
              <w:rPr>
                <w:rFonts w:ascii="Arial" w:eastAsia="Calibri" w:hAnsi="Arial" w:cs="Arial"/>
                <w:color w:val="000000"/>
                <w:sz w:val="24"/>
                <w:szCs w:val="24"/>
              </w:rPr>
            </w:pPr>
            <w:r w:rsidRPr="00C35F8B">
              <w:rPr>
                <w:rFonts w:ascii="Arial" w:eastAsia="Calibri" w:hAnsi="Arial" w:cs="Arial"/>
                <w:color w:val="000000"/>
                <w:sz w:val="24"/>
                <w:szCs w:val="24"/>
              </w:rPr>
              <w:t>31</w:t>
            </w:r>
          </w:p>
        </w:tc>
        <w:tc>
          <w:tcPr>
            <w:tcW w:w="2741" w:type="dxa"/>
            <w:vAlign w:val="bottom"/>
            <w:hideMark/>
          </w:tcPr>
          <w:p w14:paraId="535922E6" w14:textId="77777777" w:rsidR="00C24947" w:rsidRPr="00C35F8B" w:rsidRDefault="00C24947" w:rsidP="00C24947">
            <w:pPr>
              <w:keepNext/>
              <w:tabs>
                <w:tab w:val="decimal" w:pos="1368"/>
              </w:tabs>
              <w:rPr>
                <w:rFonts w:ascii="Arial" w:eastAsia="Calibri" w:hAnsi="Arial" w:cs="Arial"/>
                <w:color w:val="000000"/>
                <w:sz w:val="24"/>
                <w:szCs w:val="24"/>
              </w:rPr>
            </w:pPr>
            <w:r w:rsidRPr="00C35F8B">
              <w:rPr>
                <w:rFonts w:ascii="Arial" w:eastAsia="Calibri" w:hAnsi="Arial" w:cs="Arial"/>
                <w:color w:val="000000"/>
                <w:sz w:val="24"/>
                <w:szCs w:val="24"/>
              </w:rPr>
              <w:t>28</w:t>
            </w:r>
          </w:p>
        </w:tc>
      </w:tr>
      <w:tr w:rsidR="00C24947" w:rsidRPr="00C35F8B" w14:paraId="03685E46" w14:textId="77777777" w:rsidTr="00C24947">
        <w:tc>
          <w:tcPr>
            <w:tcW w:w="3600" w:type="dxa"/>
            <w:hideMark/>
          </w:tcPr>
          <w:p w14:paraId="21B24D79" w14:textId="77777777" w:rsidR="00C24947" w:rsidRPr="00C35F8B" w:rsidRDefault="00C24947" w:rsidP="00C24947">
            <w:pPr>
              <w:keepNext/>
              <w:rPr>
                <w:rFonts w:ascii="Arial" w:eastAsia="Calibri" w:hAnsi="Arial" w:cs="Arial"/>
                <w:color w:val="000000"/>
                <w:sz w:val="24"/>
                <w:szCs w:val="24"/>
              </w:rPr>
            </w:pPr>
            <w:r w:rsidRPr="00C35F8B">
              <w:rPr>
                <w:rFonts w:ascii="Arial" w:eastAsia="Calibri" w:hAnsi="Arial" w:cs="Arial"/>
                <w:color w:val="000000"/>
                <w:sz w:val="24"/>
                <w:szCs w:val="24"/>
              </w:rPr>
              <w:t>Assistive technology</w:t>
            </w:r>
          </w:p>
        </w:tc>
        <w:tc>
          <w:tcPr>
            <w:tcW w:w="2741" w:type="dxa"/>
            <w:vAlign w:val="bottom"/>
            <w:hideMark/>
          </w:tcPr>
          <w:p w14:paraId="5052E223" w14:textId="77777777" w:rsidR="00C24947" w:rsidRPr="00C35F8B" w:rsidRDefault="00C24947" w:rsidP="00C24947">
            <w:pPr>
              <w:keepNext/>
              <w:tabs>
                <w:tab w:val="decimal" w:pos="1415"/>
              </w:tabs>
              <w:rPr>
                <w:rFonts w:ascii="Arial" w:eastAsia="Calibri" w:hAnsi="Arial" w:cs="Arial"/>
                <w:color w:val="000000"/>
                <w:sz w:val="24"/>
                <w:szCs w:val="24"/>
              </w:rPr>
            </w:pPr>
            <w:r w:rsidRPr="00C35F8B">
              <w:rPr>
                <w:rFonts w:ascii="Arial" w:eastAsia="Calibri" w:hAnsi="Arial" w:cs="Arial"/>
                <w:color w:val="000000"/>
                <w:sz w:val="24"/>
                <w:szCs w:val="24"/>
              </w:rPr>
              <w:t>26</w:t>
            </w:r>
          </w:p>
        </w:tc>
        <w:tc>
          <w:tcPr>
            <w:tcW w:w="2741" w:type="dxa"/>
            <w:vAlign w:val="bottom"/>
            <w:hideMark/>
          </w:tcPr>
          <w:p w14:paraId="16BA47FC" w14:textId="77777777" w:rsidR="00C24947" w:rsidRPr="00C35F8B" w:rsidRDefault="00C24947" w:rsidP="00C24947">
            <w:pPr>
              <w:keepNext/>
              <w:tabs>
                <w:tab w:val="decimal" w:pos="1368"/>
              </w:tabs>
              <w:rPr>
                <w:rFonts w:ascii="Arial" w:eastAsia="Calibri" w:hAnsi="Arial" w:cs="Arial"/>
                <w:color w:val="000000"/>
                <w:sz w:val="24"/>
                <w:szCs w:val="24"/>
              </w:rPr>
            </w:pPr>
            <w:r w:rsidRPr="00C35F8B">
              <w:rPr>
                <w:rFonts w:ascii="Arial" w:eastAsia="Calibri" w:hAnsi="Arial" w:cs="Arial"/>
                <w:color w:val="000000"/>
                <w:sz w:val="24"/>
                <w:szCs w:val="24"/>
              </w:rPr>
              <w:t>24</w:t>
            </w:r>
          </w:p>
        </w:tc>
      </w:tr>
      <w:tr w:rsidR="00C24947" w:rsidRPr="00C35F8B" w14:paraId="719FC9B4" w14:textId="77777777" w:rsidTr="00C24947">
        <w:tc>
          <w:tcPr>
            <w:tcW w:w="3600" w:type="dxa"/>
            <w:hideMark/>
          </w:tcPr>
          <w:p w14:paraId="55F56118" w14:textId="77777777" w:rsidR="00C24947" w:rsidRPr="00C35F8B" w:rsidRDefault="00C24947" w:rsidP="00C24947">
            <w:pPr>
              <w:keepNext/>
              <w:rPr>
                <w:rFonts w:ascii="Arial" w:eastAsia="Calibri" w:hAnsi="Arial" w:cs="Arial"/>
                <w:color w:val="000000"/>
                <w:sz w:val="24"/>
                <w:szCs w:val="24"/>
              </w:rPr>
            </w:pPr>
            <w:r w:rsidRPr="00C35F8B">
              <w:rPr>
                <w:rFonts w:ascii="Arial" w:eastAsia="Calibri" w:hAnsi="Arial" w:cs="Arial"/>
                <w:color w:val="000000"/>
                <w:sz w:val="24"/>
                <w:szCs w:val="24"/>
              </w:rPr>
              <w:t>Speech-language pathology</w:t>
            </w:r>
          </w:p>
        </w:tc>
        <w:tc>
          <w:tcPr>
            <w:tcW w:w="2741" w:type="dxa"/>
            <w:vAlign w:val="bottom"/>
            <w:hideMark/>
          </w:tcPr>
          <w:p w14:paraId="419AC25D" w14:textId="77777777" w:rsidR="00C24947" w:rsidRPr="00C35F8B" w:rsidRDefault="00C24947" w:rsidP="00C24947">
            <w:pPr>
              <w:keepNext/>
              <w:tabs>
                <w:tab w:val="decimal" w:pos="1415"/>
              </w:tabs>
              <w:rPr>
                <w:rFonts w:ascii="Arial" w:eastAsia="Calibri" w:hAnsi="Arial" w:cs="Arial"/>
                <w:color w:val="000000"/>
                <w:sz w:val="24"/>
                <w:szCs w:val="24"/>
              </w:rPr>
            </w:pPr>
            <w:r w:rsidRPr="00C35F8B">
              <w:rPr>
                <w:rFonts w:ascii="Arial" w:eastAsia="Calibri" w:hAnsi="Arial" w:cs="Arial"/>
                <w:color w:val="000000"/>
                <w:sz w:val="24"/>
                <w:szCs w:val="24"/>
              </w:rPr>
              <w:t>20</w:t>
            </w:r>
          </w:p>
        </w:tc>
        <w:tc>
          <w:tcPr>
            <w:tcW w:w="2741" w:type="dxa"/>
            <w:vAlign w:val="bottom"/>
            <w:hideMark/>
          </w:tcPr>
          <w:p w14:paraId="691F5228" w14:textId="77777777" w:rsidR="00C24947" w:rsidRPr="00C35F8B" w:rsidRDefault="00C24947" w:rsidP="00C24947">
            <w:pPr>
              <w:keepNext/>
              <w:tabs>
                <w:tab w:val="decimal" w:pos="1368"/>
              </w:tabs>
              <w:rPr>
                <w:rFonts w:ascii="Arial" w:eastAsia="Calibri" w:hAnsi="Arial" w:cs="Arial"/>
                <w:color w:val="000000"/>
                <w:sz w:val="24"/>
                <w:szCs w:val="24"/>
              </w:rPr>
            </w:pPr>
            <w:r w:rsidRPr="00C35F8B">
              <w:rPr>
                <w:rFonts w:ascii="Arial" w:eastAsia="Calibri" w:hAnsi="Arial" w:cs="Arial"/>
                <w:color w:val="000000"/>
                <w:sz w:val="24"/>
                <w:szCs w:val="24"/>
              </w:rPr>
              <w:t>18</w:t>
            </w:r>
          </w:p>
        </w:tc>
      </w:tr>
      <w:tr w:rsidR="00C24947" w:rsidRPr="00C35F8B" w14:paraId="077C2DE0" w14:textId="77777777" w:rsidTr="00C24947">
        <w:tc>
          <w:tcPr>
            <w:tcW w:w="3600" w:type="dxa"/>
            <w:hideMark/>
          </w:tcPr>
          <w:p w14:paraId="1A0A044A" w14:textId="77777777" w:rsidR="00C24947" w:rsidRPr="00C35F8B" w:rsidRDefault="00C24947" w:rsidP="00C24947">
            <w:pPr>
              <w:keepNext/>
              <w:rPr>
                <w:rFonts w:ascii="Arial" w:eastAsia="Calibri" w:hAnsi="Arial" w:cs="Arial"/>
                <w:b/>
                <w:color w:val="000000"/>
                <w:sz w:val="24"/>
                <w:szCs w:val="24"/>
              </w:rPr>
            </w:pPr>
            <w:r w:rsidRPr="00C35F8B">
              <w:rPr>
                <w:rFonts w:ascii="Arial" w:eastAsia="Calibri" w:hAnsi="Arial" w:cs="Arial"/>
                <w:b/>
                <w:color w:val="000000"/>
                <w:sz w:val="24"/>
                <w:szCs w:val="24"/>
              </w:rPr>
              <w:t>Total</w:t>
            </w:r>
          </w:p>
        </w:tc>
        <w:tc>
          <w:tcPr>
            <w:tcW w:w="2741" w:type="dxa"/>
            <w:vAlign w:val="bottom"/>
            <w:hideMark/>
          </w:tcPr>
          <w:p w14:paraId="0D535524" w14:textId="77777777" w:rsidR="00C24947" w:rsidRPr="00C35F8B" w:rsidRDefault="00C24947" w:rsidP="00C24947">
            <w:pPr>
              <w:keepNext/>
              <w:tabs>
                <w:tab w:val="decimal" w:pos="1415"/>
              </w:tabs>
              <w:rPr>
                <w:rFonts w:ascii="Arial" w:eastAsia="Calibri" w:hAnsi="Arial" w:cs="Arial"/>
                <w:color w:val="000000"/>
                <w:sz w:val="24"/>
                <w:szCs w:val="24"/>
              </w:rPr>
            </w:pPr>
            <w:r w:rsidRPr="00C35F8B">
              <w:rPr>
                <w:rFonts w:ascii="Arial" w:eastAsia="Calibri" w:hAnsi="Arial" w:cs="Arial"/>
                <w:b/>
                <w:bCs/>
                <w:color w:val="000000"/>
                <w:sz w:val="24"/>
                <w:szCs w:val="24"/>
              </w:rPr>
              <w:t>110</w:t>
            </w:r>
          </w:p>
        </w:tc>
        <w:tc>
          <w:tcPr>
            <w:tcW w:w="2741" w:type="dxa"/>
            <w:vAlign w:val="bottom"/>
            <w:hideMark/>
          </w:tcPr>
          <w:p w14:paraId="50F5F9C7" w14:textId="77777777" w:rsidR="00C24947" w:rsidRPr="00C35F8B" w:rsidRDefault="00C24947" w:rsidP="00C24947">
            <w:pPr>
              <w:keepNext/>
              <w:tabs>
                <w:tab w:val="decimal" w:pos="1368"/>
              </w:tabs>
              <w:rPr>
                <w:rFonts w:ascii="Arial" w:eastAsia="Calibri" w:hAnsi="Arial" w:cs="Arial"/>
                <w:b/>
                <w:bCs/>
                <w:color w:val="000000"/>
                <w:sz w:val="24"/>
                <w:szCs w:val="24"/>
              </w:rPr>
            </w:pPr>
            <w:r w:rsidRPr="00C35F8B">
              <w:rPr>
                <w:rFonts w:ascii="Arial" w:eastAsia="Calibri" w:hAnsi="Arial" w:cs="Arial"/>
                <w:b/>
                <w:color w:val="000000"/>
                <w:sz w:val="24"/>
                <w:szCs w:val="24"/>
              </w:rPr>
              <w:t>100</w:t>
            </w:r>
          </w:p>
        </w:tc>
      </w:tr>
    </w:tbl>
    <w:p w14:paraId="41F8910A" w14:textId="77777777" w:rsidR="00C86E83" w:rsidRPr="000D2A58" w:rsidRDefault="00C24947" w:rsidP="000D2A58">
      <w:pPr>
        <w:tabs>
          <w:tab w:val="left" w:pos="720"/>
          <w:tab w:val="left" w:pos="2520"/>
        </w:tabs>
        <w:spacing w:before="120" w:after="120"/>
        <w:ind w:left="720" w:hanging="720"/>
        <w:rPr>
          <w:rFonts w:eastAsia="Times New Roman"/>
          <w:b/>
          <w:bCs/>
        </w:rPr>
      </w:pPr>
      <w:r w:rsidRPr="00C35F8B">
        <w:rPr>
          <w:rFonts w:eastAsia="Times New Roman"/>
          <w:b/>
          <w:bCs/>
        </w:rPr>
        <w:t>Note:</w:t>
      </w:r>
      <w:r w:rsidRPr="00C35F8B">
        <w:rPr>
          <w:rFonts w:eastAsia="Times New Roman"/>
          <w:b/>
          <w:bCs/>
        </w:rPr>
        <w:tab/>
      </w:r>
      <w:r w:rsidRPr="00C35F8B">
        <w:rPr>
          <w:rFonts w:eastAsia="Times New Roman"/>
          <w:bCs/>
        </w:rPr>
        <w:t>Panelists self-reported experience with</w:t>
      </w:r>
      <w:r w:rsidR="000B1537" w:rsidRPr="00C35F8B">
        <w:rPr>
          <w:rFonts w:eastAsia="Times New Roman"/>
          <w:bCs/>
        </w:rPr>
        <w:t xml:space="preserve"> </w:t>
      </w:r>
      <w:r w:rsidR="00066927" w:rsidRPr="00C35F8B">
        <w:rPr>
          <w:rFonts w:eastAsia="Times New Roman"/>
          <w:bCs/>
        </w:rPr>
        <w:t xml:space="preserve">special education </w:t>
      </w:r>
      <w:r w:rsidRPr="00C35F8B">
        <w:rPr>
          <w:rFonts w:eastAsia="Times New Roman"/>
          <w:bCs/>
        </w:rPr>
        <w:t xml:space="preserve">services and were instructed to select all that apply; therefore, the </w:t>
      </w:r>
      <w:r w:rsidR="000B1537" w:rsidRPr="00C35F8B">
        <w:rPr>
          <w:rFonts w:eastAsia="Times New Roman"/>
          <w:bCs/>
        </w:rPr>
        <w:t>total is more than the number of panelists who participated in the standard setting.</w:t>
      </w:r>
    </w:p>
    <w:sectPr w:rsidR="00C86E83" w:rsidRPr="000D2A58" w:rsidSect="002D2765">
      <w:headerReference w:type="default" r:id="rId45"/>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EEE5EB" w16cex:dateUtc="2022-03-30T21:21:00Z"/>
  <w16cex:commentExtensible w16cex:durableId="25E5C2BD" w16cex:dateUtc="2022-03-23T23:01:00Z"/>
  <w16cex:commentExtensible w16cex:durableId="25E5C2F4" w16cex:dateUtc="2022-03-23T23:01:00Z"/>
  <w16cex:commentExtensible w16cex:durableId="25E5C39A" w16cex:dateUtc="2022-03-23T23:04:00Z"/>
  <w16cex:commentExtensible w16cex:durableId="25E5C619" w16cex:dateUtc="2022-03-23T23:15:00Z"/>
  <w16cex:commentExtensible w16cex:durableId="31D15D76" w16cex:dateUtc="2022-04-07T18:59:19.893Z"/>
  <w16cex:commentExtensible w16cex:durableId="4DCDD9E2" w16cex:dateUtc="2022-04-15T20:54:45.568Z"/>
  <w16cex:commentExtensible w16cex:durableId="22B27998" w16cex:dateUtc="2022-04-15T21:31:19.915Z"/>
  <w16cex:commentExtensible w16cex:durableId="0A7BA094" w16cex:dateUtc="2022-04-15T21:35:03.442Z"/>
  <w16cex:commentExtensible w16cex:durableId="0BD85075" w16cex:dateUtc="2022-04-15T21:34:11.022Z"/>
  <w16cex:commentExtensible w16cex:durableId="7A8CD6E9" w16cex:dateUtc="2022-04-15T21:38:07.065Z"/>
  <w16cex:commentExtensible w16cex:durableId="75D95BDB" w16cex:dateUtc="2022-04-18T17:55:00.495Z"/>
  <w16cex:commentExtensible w16cex:durableId="4F9CA7A5" w16cex:dateUtc="2022-04-18T17:55:46.527Z"/>
  <w16cex:commentExtensible w16cex:durableId="06A68392" w16cex:dateUtc="2022-04-18T21:36:50.54Z"/>
  <w16cex:commentExtensible w16cex:durableId="71A35F72" w16cex:dateUtc="2022-04-18T21:37:19.371Z"/>
  <w16cex:commentExtensible w16cex:durableId="4CA51CF4" w16cex:dateUtc="2022-04-18T21:57:51.961Z"/>
  <w16cex:commentExtensible w16cex:durableId="711E8A66" w16cex:dateUtc="2022-04-18T22:31:39.316Z"/>
  <w16cex:commentExtensible w16cex:durableId="1A30D96E" w16cex:dateUtc="2022-04-18T23:10:30.321Z"/>
  <w16cex:commentExtensible w16cex:durableId="7B6C2D7B" w16cex:dateUtc="2022-04-19T20:03:43.6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83791" w14:textId="77777777" w:rsidR="00DE541B" w:rsidRDefault="00DE541B" w:rsidP="000E09DC">
      <w:r>
        <w:separator/>
      </w:r>
    </w:p>
  </w:endnote>
  <w:endnote w:type="continuationSeparator" w:id="0">
    <w:p w14:paraId="3A9256E7" w14:textId="77777777" w:rsidR="00DE541B" w:rsidRDefault="00DE541B" w:rsidP="000E09DC">
      <w:r>
        <w:continuationSeparator/>
      </w:r>
    </w:p>
  </w:endnote>
  <w:endnote w:type="continuationNotice" w:id="1">
    <w:p w14:paraId="347BE76C" w14:textId="77777777" w:rsidR="00DE541B" w:rsidRDefault="00DE5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8" w:type="dxa"/>
      <w:tblLayout w:type="fixed"/>
      <w:tblLook w:val="06A0" w:firstRow="1" w:lastRow="0" w:firstColumn="1" w:lastColumn="0" w:noHBand="1" w:noVBand="1"/>
    </w:tblPr>
    <w:tblGrid>
      <w:gridCol w:w="3120"/>
      <w:gridCol w:w="3120"/>
      <w:gridCol w:w="3120"/>
    </w:tblGrid>
    <w:tr w:rsidR="00DE541B" w14:paraId="10315FDD" w14:textId="77777777" w:rsidTr="00D24ED3">
      <w:tc>
        <w:tcPr>
          <w:tcW w:w="3120" w:type="dxa"/>
        </w:tcPr>
        <w:p w14:paraId="3AD05329" w14:textId="77777777" w:rsidR="00DE541B" w:rsidRDefault="00DE541B" w:rsidP="4EBBCBA9">
          <w:pPr>
            <w:pStyle w:val="Header"/>
            <w:ind w:left="-115"/>
          </w:pPr>
        </w:p>
      </w:tc>
      <w:tc>
        <w:tcPr>
          <w:tcW w:w="3120" w:type="dxa"/>
        </w:tcPr>
        <w:p w14:paraId="65132C53" w14:textId="77777777" w:rsidR="00DE541B" w:rsidRDefault="00DE541B" w:rsidP="4EBBCBA9">
          <w:pPr>
            <w:pStyle w:val="Header"/>
            <w:jc w:val="center"/>
          </w:pPr>
        </w:p>
      </w:tc>
      <w:tc>
        <w:tcPr>
          <w:tcW w:w="3120" w:type="dxa"/>
        </w:tcPr>
        <w:p w14:paraId="2B986397" w14:textId="77777777" w:rsidR="00DE541B" w:rsidRDefault="00DE541B" w:rsidP="4EBBCBA9">
          <w:pPr>
            <w:pStyle w:val="Header"/>
            <w:ind w:right="-115"/>
            <w:jc w:val="right"/>
          </w:pPr>
        </w:p>
      </w:tc>
    </w:tr>
  </w:tbl>
  <w:p w14:paraId="51376A1D" w14:textId="77777777" w:rsidR="00DE541B" w:rsidRDefault="00DE5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8" w:type="dxa"/>
      <w:tblLayout w:type="fixed"/>
      <w:tblLook w:val="06A0" w:firstRow="1" w:lastRow="0" w:firstColumn="1" w:lastColumn="0" w:noHBand="1" w:noVBand="1"/>
    </w:tblPr>
    <w:tblGrid>
      <w:gridCol w:w="3120"/>
      <w:gridCol w:w="3120"/>
      <w:gridCol w:w="3120"/>
    </w:tblGrid>
    <w:tr w:rsidR="00DE541B" w14:paraId="69371DDE" w14:textId="77777777" w:rsidTr="00D24ED3">
      <w:tc>
        <w:tcPr>
          <w:tcW w:w="3120" w:type="dxa"/>
        </w:tcPr>
        <w:p w14:paraId="44BAF3D1" w14:textId="77777777" w:rsidR="00DE541B" w:rsidRDefault="00DE541B" w:rsidP="4EBBCBA9">
          <w:pPr>
            <w:pStyle w:val="Header"/>
            <w:ind w:left="-115"/>
          </w:pPr>
        </w:p>
      </w:tc>
      <w:tc>
        <w:tcPr>
          <w:tcW w:w="3120" w:type="dxa"/>
        </w:tcPr>
        <w:p w14:paraId="53288532" w14:textId="77777777" w:rsidR="00DE541B" w:rsidRDefault="00DE541B" w:rsidP="4EBBCBA9">
          <w:pPr>
            <w:pStyle w:val="Header"/>
            <w:jc w:val="center"/>
          </w:pPr>
        </w:p>
      </w:tc>
      <w:tc>
        <w:tcPr>
          <w:tcW w:w="3120" w:type="dxa"/>
        </w:tcPr>
        <w:p w14:paraId="548ABB0F" w14:textId="77777777" w:rsidR="00DE541B" w:rsidRDefault="00DE541B" w:rsidP="4EBBCBA9">
          <w:pPr>
            <w:pStyle w:val="Header"/>
            <w:ind w:right="-115"/>
            <w:jc w:val="right"/>
          </w:pPr>
        </w:p>
      </w:tc>
    </w:tr>
  </w:tbl>
  <w:p w14:paraId="0281AB50" w14:textId="77777777" w:rsidR="00DE541B" w:rsidRDefault="00DE5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2064" w14:textId="77777777" w:rsidR="00DE541B" w:rsidRDefault="00DE54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0688" w14:textId="77777777" w:rsidR="00DE541B" w:rsidRDefault="00DE54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7528" w14:textId="77777777" w:rsidR="00DE541B" w:rsidRDefault="00DE54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DEF4" w14:textId="77777777" w:rsidR="00DE541B" w:rsidRDefault="00DE54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7182" w14:textId="77777777" w:rsidR="00DE541B" w:rsidRDefault="00DE541B" w:rsidP="4EBBCBA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1672" w14:textId="77777777" w:rsidR="00DE541B" w:rsidRDefault="00DE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8F73" w14:textId="77777777" w:rsidR="00DE541B" w:rsidRDefault="00DE541B" w:rsidP="000E09DC">
      <w:r>
        <w:separator/>
      </w:r>
    </w:p>
  </w:footnote>
  <w:footnote w:type="continuationSeparator" w:id="0">
    <w:p w14:paraId="5D18354B" w14:textId="77777777" w:rsidR="00DE541B" w:rsidRDefault="00DE541B" w:rsidP="000E09DC">
      <w:r>
        <w:continuationSeparator/>
      </w:r>
    </w:p>
  </w:footnote>
  <w:footnote w:type="continuationNotice" w:id="1">
    <w:p w14:paraId="0CFD6063" w14:textId="77777777" w:rsidR="00DE541B" w:rsidRDefault="00DE5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4BBC" w14:textId="77777777" w:rsidR="00DE541B" w:rsidRPr="00527B0E" w:rsidRDefault="00DE541B" w:rsidP="000E09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6F71" w14:textId="77777777" w:rsidR="00DE541B" w:rsidRPr="006A04A7" w:rsidRDefault="00DE541B" w:rsidP="00782339">
    <w:pPr>
      <w:pStyle w:val="Header"/>
      <w:jc w:val="right"/>
    </w:pPr>
    <w:r w:rsidRPr="006A04A7">
      <w:t>imab-adad-ma</w:t>
    </w:r>
    <w:r>
      <w:t>y</w:t>
    </w:r>
    <w:r w:rsidRPr="006A04A7">
      <w:t>22item01</w:t>
    </w:r>
  </w:p>
  <w:sdt>
    <w:sdtPr>
      <w:rPr>
        <w:color w:val="2B579A"/>
        <w:shd w:val="clear" w:color="auto" w:fill="E6E6E6"/>
      </w:rPr>
      <w:id w:val="98381352"/>
      <w:docPartObj>
        <w:docPartGallery w:val="Page Numbers (Top of Page)"/>
        <w:docPartUnique/>
      </w:docPartObj>
    </w:sdtPr>
    <w:sdtEndPr>
      <w:rPr>
        <w:color w:val="auto"/>
        <w:shd w:val="clear" w:color="auto" w:fill="auto"/>
      </w:rPr>
    </w:sdtEndPr>
    <w:sdtContent>
      <w:p w14:paraId="3DCA3A63" w14:textId="68DE3A60" w:rsidR="00DE541B" w:rsidRPr="006A04A7" w:rsidRDefault="00DE541B" w:rsidP="00782339">
        <w:pPr>
          <w:pStyle w:val="Header"/>
          <w:spacing w:after="360"/>
          <w:jc w:val="right"/>
          <w:rPr>
            <w:bCs/>
          </w:rPr>
        </w:pPr>
        <w:r w:rsidRPr="006A04A7">
          <w:t xml:space="preserve">Page </w:t>
        </w:r>
        <w:r w:rsidRPr="00966404">
          <w:rPr>
            <w:bCs/>
            <w:color w:val="2B579A"/>
          </w:rPr>
          <w:fldChar w:fldCharType="begin"/>
        </w:r>
        <w:r w:rsidRPr="00966404">
          <w:rPr>
            <w:bCs/>
          </w:rPr>
          <w:instrText xml:space="preserve"> PAGE </w:instrText>
        </w:r>
        <w:r w:rsidRPr="00966404">
          <w:rPr>
            <w:bCs/>
            <w:color w:val="2B579A"/>
          </w:rPr>
          <w:fldChar w:fldCharType="separate"/>
        </w:r>
        <w:r w:rsidRPr="00966404">
          <w:rPr>
            <w:bCs/>
            <w:noProof/>
          </w:rPr>
          <w:t>11</w:t>
        </w:r>
        <w:r w:rsidRPr="00966404">
          <w:rPr>
            <w:bCs/>
            <w:color w:val="2B579A"/>
          </w:rPr>
          <w:fldChar w:fldCharType="end"/>
        </w:r>
        <w:r w:rsidRPr="006A04A7">
          <w:t xml:space="preserve"> of </w:t>
        </w:r>
        <w:r>
          <w:rPr>
            <w:bCs/>
          </w:rPr>
          <w:t>13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716217"/>
      <w:docPartObj>
        <w:docPartGallery w:val="Page Numbers (Top of Page)"/>
        <w:docPartUnique/>
      </w:docPartObj>
    </w:sdtPr>
    <w:sdtEndPr/>
    <w:sdtContent>
      <w:p w14:paraId="3BC43705" w14:textId="77777777" w:rsidR="00DE541B" w:rsidRPr="00EE55D6" w:rsidRDefault="00DE541B" w:rsidP="00EE55D6">
        <w:pPr>
          <w:pStyle w:val="Header"/>
          <w:jc w:val="right"/>
        </w:pPr>
        <w:r w:rsidRPr="00EE55D6">
          <w:t>imab-adad-may22item01</w:t>
        </w:r>
      </w:p>
      <w:p w14:paraId="717F9600" w14:textId="77777777" w:rsidR="00DE541B" w:rsidRDefault="00DE541B" w:rsidP="00EE55D6">
        <w:pPr>
          <w:pStyle w:val="Header"/>
          <w:jc w:val="right"/>
        </w:pPr>
        <w:r w:rsidRPr="00EE55D6">
          <w:t>Attachment 1</w:t>
        </w:r>
      </w:p>
      <w:p w14:paraId="46AA8060" w14:textId="2BECE631" w:rsidR="00DE541B" w:rsidRPr="006A04A7" w:rsidRDefault="00DE541B" w:rsidP="00EE55D6">
        <w:pPr>
          <w:pStyle w:val="Header"/>
          <w:spacing w:after="360"/>
          <w:jc w:val="right"/>
        </w:pPr>
        <w:r w:rsidRPr="00EE55D6">
          <w:t>Page</w:t>
        </w:r>
        <w:r w:rsidRPr="00966404">
          <w:t xml:space="preserve"> </w:t>
        </w:r>
        <w:r w:rsidRPr="00966404">
          <w:rPr>
            <w:bCs/>
            <w:color w:val="2B579A"/>
          </w:rPr>
          <w:fldChar w:fldCharType="begin"/>
        </w:r>
        <w:r w:rsidRPr="00966404">
          <w:rPr>
            <w:bCs/>
          </w:rPr>
          <w:instrText xml:space="preserve"> PAGE </w:instrText>
        </w:r>
        <w:r w:rsidRPr="00966404">
          <w:rPr>
            <w:bCs/>
            <w:color w:val="2B579A"/>
          </w:rPr>
          <w:fldChar w:fldCharType="separate"/>
        </w:r>
        <w:r w:rsidRPr="00966404">
          <w:rPr>
            <w:bCs/>
            <w:noProof/>
          </w:rPr>
          <w:t>3</w:t>
        </w:r>
        <w:r w:rsidRPr="00966404">
          <w:rPr>
            <w:bCs/>
            <w:color w:val="2B579A"/>
          </w:rPr>
          <w:fldChar w:fldCharType="end"/>
        </w:r>
        <w:r w:rsidRPr="00EE55D6">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794973"/>
      <w:docPartObj>
        <w:docPartGallery w:val="Page Numbers (Top of Page)"/>
        <w:docPartUnique/>
      </w:docPartObj>
    </w:sdtPr>
    <w:sdtEndPr/>
    <w:sdtContent>
      <w:p w14:paraId="6B04A8D9" w14:textId="77777777" w:rsidR="00DE541B" w:rsidRPr="00EE55D6" w:rsidRDefault="00DE541B" w:rsidP="00EE55D6">
        <w:pPr>
          <w:pStyle w:val="Header"/>
          <w:jc w:val="right"/>
        </w:pPr>
        <w:r w:rsidRPr="00EE55D6">
          <w:t>imab-adad-may22item01</w:t>
        </w:r>
      </w:p>
      <w:p w14:paraId="2CCE8F6F" w14:textId="77777777" w:rsidR="00DE541B" w:rsidRDefault="00DE541B" w:rsidP="00EE55D6">
        <w:pPr>
          <w:pStyle w:val="Header"/>
          <w:jc w:val="right"/>
        </w:pPr>
        <w:r w:rsidRPr="00EE55D6">
          <w:t xml:space="preserve">Attachment </w:t>
        </w:r>
        <w:r>
          <w:t>2</w:t>
        </w:r>
      </w:p>
      <w:p w14:paraId="0B615FE2" w14:textId="11E108E8" w:rsidR="00DE541B" w:rsidRPr="006A04A7" w:rsidRDefault="00DE541B" w:rsidP="00EE55D6">
        <w:pPr>
          <w:pStyle w:val="Header"/>
          <w:spacing w:after="360"/>
          <w:jc w:val="right"/>
        </w:pPr>
        <w:r w:rsidRPr="00EE55D6">
          <w:t xml:space="preserve">Page </w:t>
        </w:r>
        <w:r w:rsidRPr="00966404">
          <w:rPr>
            <w:bCs/>
            <w:color w:val="2B579A"/>
          </w:rPr>
          <w:fldChar w:fldCharType="begin"/>
        </w:r>
        <w:r w:rsidRPr="00966404">
          <w:rPr>
            <w:bCs/>
          </w:rPr>
          <w:instrText xml:space="preserve"> PAGE </w:instrText>
        </w:r>
        <w:r w:rsidRPr="00966404">
          <w:rPr>
            <w:bCs/>
            <w:color w:val="2B579A"/>
          </w:rPr>
          <w:fldChar w:fldCharType="separate"/>
        </w:r>
        <w:r w:rsidRPr="00966404">
          <w:rPr>
            <w:bCs/>
            <w:noProof/>
          </w:rPr>
          <w:t>2</w:t>
        </w:r>
        <w:r w:rsidRPr="00966404">
          <w:rPr>
            <w:bCs/>
            <w:color w:val="2B579A"/>
          </w:rPr>
          <w:fldChar w:fldCharType="end"/>
        </w:r>
        <w:r w:rsidRPr="00EE55D6">
          <w:t xml:space="preserve"> of </w:t>
        </w:r>
        <w:r>
          <w:rPr>
            <w:bCs/>
          </w:rPr>
          <w:t>2</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678721"/>
      <w:docPartObj>
        <w:docPartGallery w:val="Page Numbers (Top of Page)"/>
        <w:docPartUnique/>
      </w:docPartObj>
    </w:sdtPr>
    <w:sdtEndPr/>
    <w:sdtContent>
      <w:p w14:paraId="40AE56B6" w14:textId="77777777" w:rsidR="00DE541B" w:rsidRPr="00EE55D6" w:rsidRDefault="00DE541B" w:rsidP="00E43693">
        <w:pPr>
          <w:pStyle w:val="Header"/>
          <w:jc w:val="right"/>
        </w:pPr>
        <w:r w:rsidRPr="00EE55D6">
          <w:t>imab-adad-may22item01</w:t>
        </w:r>
      </w:p>
      <w:p w14:paraId="7B4165F8" w14:textId="77777777" w:rsidR="00DE541B" w:rsidRDefault="00DE541B" w:rsidP="00E43693">
        <w:pPr>
          <w:pStyle w:val="Header"/>
          <w:jc w:val="right"/>
        </w:pPr>
        <w:r w:rsidRPr="00EE55D6">
          <w:t xml:space="preserve">Attachment </w:t>
        </w:r>
        <w:r>
          <w:t>3</w:t>
        </w:r>
      </w:p>
      <w:p w14:paraId="16F1E3D7" w14:textId="1E3D21A3" w:rsidR="00DE541B" w:rsidRPr="00E43693" w:rsidRDefault="00DE541B" w:rsidP="00E43693">
        <w:pPr>
          <w:pStyle w:val="Header"/>
          <w:spacing w:after="360"/>
          <w:jc w:val="right"/>
        </w:pPr>
        <w:r w:rsidRPr="00E43693">
          <w:t xml:space="preserve">Page </w:t>
        </w:r>
        <w:r w:rsidRPr="00966404">
          <w:rPr>
            <w:bCs/>
            <w:color w:val="2B579A"/>
          </w:rPr>
          <w:fldChar w:fldCharType="begin"/>
        </w:r>
        <w:r w:rsidRPr="00966404">
          <w:rPr>
            <w:bCs/>
          </w:rPr>
          <w:instrText xml:space="preserve"> PAGE </w:instrText>
        </w:r>
        <w:r w:rsidRPr="00966404">
          <w:rPr>
            <w:bCs/>
            <w:color w:val="2B579A"/>
          </w:rPr>
          <w:fldChar w:fldCharType="separate"/>
        </w:r>
        <w:r w:rsidRPr="00966404">
          <w:rPr>
            <w:bCs/>
            <w:noProof/>
          </w:rPr>
          <w:t>2</w:t>
        </w:r>
        <w:r w:rsidRPr="00966404">
          <w:rPr>
            <w:bCs/>
            <w:color w:val="2B579A"/>
          </w:rPr>
          <w:fldChar w:fldCharType="end"/>
        </w:r>
        <w:r w:rsidRPr="00966404">
          <w:t xml:space="preserve"> </w:t>
        </w:r>
        <w:r w:rsidRPr="00E43693">
          <w:t xml:space="preserve">of </w:t>
        </w:r>
        <w:r>
          <w:rPr>
            <w:bCs/>
          </w:rPr>
          <w:t>2</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09271"/>
      <w:docPartObj>
        <w:docPartGallery w:val="Page Numbers (Top of Page)"/>
        <w:docPartUnique/>
      </w:docPartObj>
    </w:sdtPr>
    <w:sdtEndPr/>
    <w:sdtContent>
      <w:p w14:paraId="51702403" w14:textId="77777777" w:rsidR="00DE541B" w:rsidRPr="00EE55D6" w:rsidRDefault="00DE541B" w:rsidP="00E43693">
        <w:pPr>
          <w:pStyle w:val="Header"/>
          <w:jc w:val="right"/>
        </w:pPr>
        <w:r w:rsidRPr="00EE55D6">
          <w:t>imab-adad-may22item01</w:t>
        </w:r>
      </w:p>
      <w:p w14:paraId="56226D37" w14:textId="77777777" w:rsidR="00DE541B" w:rsidRDefault="00DE541B" w:rsidP="00E43693">
        <w:pPr>
          <w:pStyle w:val="Header"/>
          <w:jc w:val="right"/>
        </w:pPr>
        <w:r w:rsidRPr="00EE55D6">
          <w:t xml:space="preserve">Attachment </w:t>
        </w:r>
        <w:r>
          <w:t>4</w:t>
        </w:r>
      </w:p>
      <w:p w14:paraId="01C4C6ED" w14:textId="6437DA1C" w:rsidR="00DE541B" w:rsidRPr="00E43693" w:rsidRDefault="00DE541B" w:rsidP="00B625AF">
        <w:pPr>
          <w:pStyle w:val="Header"/>
          <w:spacing w:after="240"/>
          <w:jc w:val="right"/>
        </w:pPr>
        <w:r w:rsidRPr="00E43693">
          <w:t xml:space="preserve">Page </w:t>
        </w:r>
        <w:r w:rsidRPr="00966404">
          <w:rPr>
            <w:bCs/>
            <w:color w:val="2B579A"/>
          </w:rPr>
          <w:fldChar w:fldCharType="begin"/>
        </w:r>
        <w:r w:rsidRPr="00966404">
          <w:rPr>
            <w:bCs/>
          </w:rPr>
          <w:instrText xml:space="preserve"> PAGE </w:instrText>
        </w:r>
        <w:r w:rsidRPr="00966404">
          <w:rPr>
            <w:bCs/>
            <w:color w:val="2B579A"/>
          </w:rPr>
          <w:fldChar w:fldCharType="separate"/>
        </w:r>
        <w:r w:rsidRPr="00966404">
          <w:rPr>
            <w:bCs/>
            <w:noProof/>
          </w:rPr>
          <w:t>2</w:t>
        </w:r>
        <w:r w:rsidRPr="00966404">
          <w:rPr>
            <w:bCs/>
            <w:color w:val="2B579A"/>
          </w:rPr>
          <w:fldChar w:fldCharType="end"/>
        </w:r>
        <w:r w:rsidRPr="00E43693">
          <w:t xml:space="preserve"> of </w:t>
        </w:r>
        <w:r>
          <w:rPr>
            <w:bCs/>
          </w:rPr>
          <w:t>2</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712131"/>
      <w:docPartObj>
        <w:docPartGallery w:val="Page Numbers (Top of Page)"/>
        <w:docPartUnique/>
      </w:docPartObj>
    </w:sdtPr>
    <w:sdtEndPr/>
    <w:sdtContent>
      <w:p w14:paraId="0F1AAE2B" w14:textId="77777777" w:rsidR="00DE541B" w:rsidRPr="00EE55D6" w:rsidRDefault="00DE541B" w:rsidP="00E43693">
        <w:pPr>
          <w:pStyle w:val="Header"/>
          <w:jc w:val="right"/>
        </w:pPr>
        <w:r w:rsidRPr="00EE55D6">
          <w:t>imab-adad-may22item01</w:t>
        </w:r>
      </w:p>
      <w:p w14:paraId="0D985F4C" w14:textId="77777777" w:rsidR="00DE541B" w:rsidRDefault="00DE541B" w:rsidP="00E43693">
        <w:pPr>
          <w:pStyle w:val="Header"/>
          <w:jc w:val="right"/>
        </w:pPr>
        <w:r w:rsidRPr="00EE55D6">
          <w:t xml:space="preserve">Attachment </w:t>
        </w:r>
        <w:r>
          <w:t>5</w:t>
        </w:r>
      </w:p>
      <w:p w14:paraId="298C9883" w14:textId="5C4C9051" w:rsidR="00DE541B" w:rsidRPr="00E43693" w:rsidRDefault="00DE541B" w:rsidP="00E43693">
        <w:pPr>
          <w:pStyle w:val="Header"/>
          <w:spacing w:after="360"/>
          <w:jc w:val="right"/>
        </w:pPr>
        <w:r w:rsidRPr="00E43693">
          <w:t xml:space="preserve">Page </w:t>
        </w:r>
        <w:r w:rsidRPr="00966404">
          <w:rPr>
            <w:bCs/>
            <w:color w:val="2B579A"/>
          </w:rPr>
          <w:fldChar w:fldCharType="begin"/>
        </w:r>
        <w:r w:rsidRPr="00966404">
          <w:rPr>
            <w:bCs/>
          </w:rPr>
          <w:instrText xml:space="preserve"> PAGE </w:instrText>
        </w:r>
        <w:r w:rsidRPr="00966404">
          <w:rPr>
            <w:bCs/>
            <w:color w:val="2B579A"/>
          </w:rPr>
          <w:fldChar w:fldCharType="separate"/>
        </w:r>
        <w:r w:rsidRPr="00966404">
          <w:rPr>
            <w:bCs/>
            <w:noProof/>
          </w:rPr>
          <w:t>1</w:t>
        </w:r>
        <w:r w:rsidRPr="00966404">
          <w:rPr>
            <w:bCs/>
            <w:color w:val="2B579A"/>
          </w:rPr>
          <w:fldChar w:fldCharType="end"/>
        </w:r>
        <w:r w:rsidRPr="00E43693">
          <w:t xml:space="preserve"> of </w:t>
        </w:r>
        <w:r>
          <w:rPr>
            <w:bCs/>
          </w:rPr>
          <w:t>2</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139134"/>
      <w:docPartObj>
        <w:docPartGallery w:val="Page Numbers (Top of Page)"/>
        <w:docPartUnique/>
      </w:docPartObj>
    </w:sdtPr>
    <w:sdtEndPr/>
    <w:sdtContent>
      <w:p w14:paraId="70AB49E8" w14:textId="77777777" w:rsidR="00DE541B" w:rsidRPr="00EE55D6" w:rsidRDefault="00DE541B" w:rsidP="002D2765">
        <w:pPr>
          <w:pStyle w:val="Header"/>
          <w:spacing w:after="240"/>
          <w:contextualSpacing/>
          <w:jc w:val="right"/>
        </w:pPr>
        <w:r>
          <w:t>imab</w:t>
        </w:r>
        <w:r w:rsidRPr="00EE55D6">
          <w:t>-adad-may22item01</w:t>
        </w:r>
      </w:p>
      <w:sdt>
        <w:sdtPr>
          <w:rPr>
            <w:color w:val="2B579A"/>
            <w:shd w:val="clear" w:color="auto" w:fill="E6E6E6"/>
          </w:rPr>
          <w:id w:val="-60942535"/>
          <w:docPartObj>
            <w:docPartGallery w:val="Page Numbers (Top of Page)"/>
            <w:docPartUnique/>
          </w:docPartObj>
        </w:sdtPr>
        <w:sdtEndPr>
          <w:rPr>
            <w:color w:val="auto"/>
            <w:shd w:val="clear" w:color="auto" w:fill="auto"/>
          </w:rPr>
        </w:sdtEndPr>
        <w:sdtContent>
          <w:p w14:paraId="763F4655" w14:textId="77777777" w:rsidR="00DE541B" w:rsidRDefault="00DE541B" w:rsidP="002D2765">
            <w:pPr>
              <w:pStyle w:val="Header"/>
              <w:spacing w:after="240"/>
              <w:contextualSpacing/>
              <w:jc w:val="right"/>
            </w:pPr>
            <w:r>
              <w:t>Attachment 6</w:t>
            </w:r>
          </w:p>
        </w:sdtContent>
      </w:sdt>
      <w:p w14:paraId="747A3139" w14:textId="69C20A3D" w:rsidR="00DE541B" w:rsidRPr="00E43693" w:rsidRDefault="00DE541B" w:rsidP="00E43693">
        <w:pPr>
          <w:pStyle w:val="Header"/>
          <w:spacing w:after="360"/>
          <w:jc w:val="right"/>
        </w:pPr>
        <w:r w:rsidRPr="00E43693">
          <w:t xml:space="preserve">Page </w:t>
        </w:r>
        <w:r w:rsidRPr="00966404">
          <w:rPr>
            <w:bCs/>
            <w:color w:val="2B579A"/>
          </w:rPr>
          <w:fldChar w:fldCharType="begin"/>
        </w:r>
        <w:r w:rsidRPr="00966404">
          <w:rPr>
            <w:bCs/>
          </w:rPr>
          <w:instrText xml:space="preserve"> PAGE </w:instrText>
        </w:r>
        <w:r w:rsidRPr="00966404">
          <w:rPr>
            <w:bCs/>
            <w:color w:val="2B579A"/>
          </w:rPr>
          <w:fldChar w:fldCharType="separate"/>
        </w:r>
        <w:r w:rsidRPr="00966404">
          <w:rPr>
            <w:bCs/>
            <w:noProof/>
          </w:rPr>
          <w:t>3</w:t>
        </w:r>
        <w:r w:rsidRPr="00966404">
          <w:rPr>
            <w:bCs/>
            <w:color w:val="2B579A"/>
          </w:rPr>
          <w:fldChar w:fldCharType="end"/>
        </w:r>
        <w:r w:rsidRPr="002D2765">
          <w:t xml:space="preserve"> of </w:t>
        </w:r>
        <w:r w:rsidRPr="002D2765">
          <w:rPr>
            <w:bCs/>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0FBF"/>
    <w:multiLevelType w:val="hybridMultilevel"/>
    <w:tmpl w:val="84424372"/>
    <w:lvl w:ilvl="0" w:tplc="CDDC2C6A">
      <w:start w:val="1"/>
      <w:numFmt w:val="bullet"/>
      <w:lvlText w:val=""/>
      <w:lvlJc w:val="left"/>
      <w:pPr>
        <w:ind w:left="720" w:hanging="360"/>
      </w:pPr>
      <w:rPr>
        <w:rFonts w:ascii="Symbol" w:hAnsi="Symbol" w:hint="default"/>
      </w:rPr>
    </w:lvl>
    <w:lvl w:ilvl="1" w:tplc="2ADEEA3E">
      <w:start w:val="1"/>
      <w:numFmt w:val="bullet"/>
      <w:lvlText w:val="o"/>
      <w:lvlJc w:val="left"/>
      <w:pPr>
        <w:ind w:left="1440" w:hanging="360"/>
      </w:pPr>
      <w:rPr>
        <w:rFonts w:ascii="Courier New" w:hAnsi="Courier New" w:hint="default"/>
      </w:rPr>
    </w:lvl>
    <w:lvl w:ilvl="2" w:tplc="F410B050">
      <w:start w:val="1"/>
      <w:numFmt w:val="bullet"/>
      <w:lvlText w:val=""/>
      <w:lvlJc w:val="left"/>
      <w:pPr>
        <w:ind w:left="2160" w:hanging="360"/>
      </w:pPr>
      <w:rPr>
        <w:rFonts w:ascii="Wingdings" w:hAnsi="Wingdings" w:hint="default"/>
      </w:rPr>
    </w:lvl>
    <w:lvl w:ilvl="3" w:tplc="A068575E">
      <w:start w:val="1"/>
      <w:numFmt w:val="bullet"/>
      <w:lvlText w:val=""/>
      <w:lvlJc w:val="left"/>
      <w:pPr>
        <w:ind w:left="2880" w:hanging="360"/>
      </w:pPr>
      <w:rPr>
        <w:rFonts w:ascii="Symbol" w:hAnsi="Symbol" w:hint="default"/>
      </w:rPr>
    </w:lvl>
    <w:lvl w:ilvl="4" w:tplc="21DC5EDE">
      <w:start w:val="1"/>
      <w:numFmt w:val="bullet"/>
      <w:lvlText w:val="o"/>
      <w:lvlJc w:val="left"/>
      <w:pPr>
        <w:ind w:left="3600" w:hanging="360"/>
      </w:pPr>
      <w:rPr>
        <w:rFonts w:ascii="Courier New" w:hAnsi="Courier New" w:hint="default"/>
      </w:rPr>
    </w:lvl>
    <w:lvl w:ilvl="5" w:tplc="DC90FE52">
      <w:start w:val="1"/>
      <w:numFmt w:val="bullet"/>
      <w:lvlText w:val=""/>
      <w:lvlJc w:val="left"/>
      <w:pPr>
        <w:ind w:left="4320" w:hanging="360"/>
      </w:pPr>
      <w:rPr>
        <w:rFonts w:ascii="Wingdings" w:hAnsi="Wingdings" w:hint="default"/>
      </w:rPr>
    </w:lvl>
    <w:lvl w:ilvl="6" w:tplc="27B6CBCE">
      <w:start w:val="1"/>
      <w:numFmt w:val="bullet"/>
      <w:lvlText w:val=""/>
      <w:lvlJc w:val="left"/>
      <w:pPr>
        <w:ind w:left="5040" w:hanging="360"/>
      </w:pPr>
      <w:rPr>
        <w:rFonts w:ascii="Symbol" w:hAnsi="Symbol" w:hint="default"/>
      </w:rPr>
    </w:lvl>
    <w:lvl w:ilvl="7" w:tplc="4EE4DE1E">
      <w:start w:val="1"/>
      <w:numFmt w:val="bullet"/>
      <w:lvlText w:val="o"/>
      <w:lvlJc w:val="left"/>
      <w:pPr>
        <w:ind w:left="5760" w:hanging="360"/>
      </w:pPr>
      <w:rPr>
        <w:rFonts w:ascii="Courier New" w:hAnsi="Courier New" w:hint="default"/>
      </w:rPr>
    </w:lvl>
    <w:lvl w:ilvl="8" w:tplc="B29A57C0">
      <w:start w:val="1"/>
      <w:numFmt w:val="bullet"/>
      <w:lvlText w:val=""/>
      <w:lvlJc w:val="left"/>
      <w:pPr>
        <w:ind w:left="6480" w:hanging="360"/>
      </w:pPr>
      <w:rPr>
        <w:rFonts w:ascii="Wingdings" w:hAnsi="Wingdings" w:hint="default"/>
      </w:rPr>
    </w:lvl>
  </w:abstractNum>
  <w:abstractNum w:abstractNumId="1" w15:restartNumberingAfterBreak="0">
    <w:nsid w:val="08623A94"/>
    <w:multiLevelType w:val="hybridMultilevel"/>
    <w:tmpl w:val="E7C87EA6"/>
    <w:lvl w:ilvl="0" w:tplc="36E09B28">
      <w:start w:val="1"/>
      <w:numFmt w:val="bullet"/>
      <w:lvlText w:val=""/>
      <w:lvlJc w:val="left"/>
      <w:pPr>
        <w:ind w:left="720" w:hanging="360"/>
      </w:pPr>
      <w:rPr>
        <w:rFonts w:ascii="Symbol" w:hAnsi="Symbol" w:hint="default"/>
      </w:rPr>
    </w:lvl>
    <w:lvl w:ilvl="1" w:tplc="C71AAC10">
      <w:start w:val="1"/>
      <w:numFmt w:val="bullet"/>
      <w:lvlText w:val="o"/>
      <w:lvlJc w:val="left"/>
      <w:pPr>
        <w:ind w:left="1440" w:hanging="360"/>
      </w:pPr>
      <w:rPr>
        <w:rFonts w:ascii="Courier New" w:hAnsi="Courier New" w:hint="default"/>
      </w:rPr>
    </w:lvl>
    <w:lvl w:ilvl="2" w:tplc="92ECDC4E">
      <w:start w:val="1"/>
      <w:numFmt w:val="bullet"/>
      <w:lvlText w:val=""/>
      <w:lvlJc w:val="left"/>
      <w:pPr>
        <w:ind w:left="2160" w:hanging="360"/>
      </w:pPr>
      <w:rPr>
        <w:rFonts w:ascii="Wingdings" w:hAnsi="Wingdings" w:hint="default"/>
      </w:rPr>
    </w:lvl>
    <w:lvl w:ilvl="3" w:tplc="3EB4EE8C">
      <w:start w:val="1"/>
      <w:numFmt w:val="bullet"/>
      <w:lvlText w:val=""/>
      <w:lvlJc w:val="left"/>
      <w:pPr>
        <w:ind w:left="2880" w:hanging="360"/>
      </w:pPr>
      <w:rPr>
        <w:rFonts w:ascii="Symbol" w:hAnsi="Symbol" w:hint="default"/>
      </w:rPr>
    </w:lvl>
    <w:lvl w:ilvl="4" w:tplc="05D2BB9E">
      <w:start w:val="1"/>
      <w:numFmt w:val="bullet"/>
      <w:lvlText w:val="o"/>
      <w:lvlJc w:val="left"/>
      <w:pPr>
        <w:ind w:left="3600" w:hanging="360"/>
      </w:pPr>
      <w:rPr>
        <w:rFonts w:ascii="Courier New" w:hAnsi="Courier New" w:hint="default"/>
      </w:rPr>
    </w:lvl>
    <w:lvl w:ilvl="5" w:tplc="26B8E538">
      <w:start w:val="1"/>
      <w:numFmt w:val="bullet"/>
      <w:lvlText w:val=""/>
      <w:lvlJc w:val="left"/>
      <w:pPr>
        <w:ind w:left="4320" w:hanging="360"/>
      </w:pPr>
      <w:rPr>
        <w:rFonts w:ascii="Wingdings" w:hAnsi="Wingdings" w:hint="default"/>
      </w:rPr>
    </w:lvl>
    <w:lvl w:ilvl="6" w:tplc="320A274C">
      <w:start w:val="1"/>
      <w:numFmt w:val="bullet"/>
      <w:lvlText w:val=""/>
      <w:lvlJc w:val="left"/>
      <w:pPr>
        <w:ind w:left="5040" w:hanging="360"/>
      </w:pPr>
      <w:rPr>
        <w:rFonts w:ascii="Symbol" w:hAnsi="Symbol" w:hint="default"/>
      </w:rPr>
    </w:lvl>
    <w:lvl w:ilvl="7" w:tplc="FCEC7E4A">
      <w:start w:val="1"/>
      <w:numFmt w:val="bullet"/>
      <w:lvlText w:val="o"/>
      <w:lvlJc w:val="left"/>
      <w:pPr>
        <w:ind w:left="5760" w:hanging="360"/>
      </w:pPr>
      <w:rPr>
        <w:rFonts w:ascii="Courier New" w:hAnsi="Courier New" w:hint="default"/>
      </w:rPr>
    </w:lvl>
    <w:lvl w:ilvl="8" w:tplc="3F3A1D5E">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02B49"/>
    <w:multiLevelType w:val="hybridMultilevel"/>
    <w:tmpl w:val="A3C07996"/>
    <w:lvl w:ilvl="0" w:tplc="86B44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C7EC9"/>
    <w:multiLevelType w:val="hybridMultilevel"/>
    <w:tmpl w:val="54C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F5342"/>
    <w:multiLevelType w:val="multilevel"/>
    <w:tmpl w:val="C4520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0E168C"/>
    <w:multiLevelType w:val="hybridMultilevel"/>
    <w:tmpl w:val="7FF68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A0666"/>
    <w:multiLevelType w:val="hybridMultilevel"/>
    <w:tmpl w:val="5A3E567A"/>
    <w:lvl w:ilvl="0" w:tplc="E85A66BE">
      <w:start w:val="1"/>
      <w:numFmt w:val="bullet"/>
      <w:lvlText w:val=""/>
      <w:lvlJc w:val="left"/>
      <w:pPr>
        <w:ind w:left="360" w:hanging="360"/>
      </w:pPr>
      <w:rPr>
        <w:rFonts w:ascii="Symbol" w:hAnsi="Symbol" w:hint="default"/>
      </w:rPr>
    </w:lvl>
    <w:lvl w:ilvl="1" w:tplc="DCCCFCFA">
      <w:start w:val="1"/>
      <w:numFmt w:val="bullet"/>
      <w:lvlText w:val="o"/>
      <w:lvlJc w:val="left"/>
      <w:pPr>
        <w:ind w:left="1080" w:hanging="360"/>
      </w:pPr>
      <w:rPr>
        <w:rFonts w:ascii="Courier New" w:hAnsi="Courier New" w:cs="Times New Roman" w:hint="default"/>
      </w:rPr>
    </w:lvl>
    <w:lvl w:ilvl="2" w:tplc="C24EBE9A">
      <w:start w:val="1"/>
      <w:numFmt w:val="bullet"/>
      <w:lvlText w:val=""/>
      <w:lvlJc w:val="left"/>
      <w:pPr>
        <w:ind w:left="1800" w:hanging="360"/>
      </w:pPr>
      <w:rPr>
        <w:rFonts w:ascii="Wingdings" w:hAnsi="Wingdings" w:hint="default"/>
      </w:rPr>
    </w:lvl>
    <w:lvl w:ilvl="3" w:tplc="B8EEF860">
      <w:start w:val="1"/>
      <w:numFmt w:val="bullet"/>
      <w:lvlText w:val=""/>
      <w:lvlJc w:val="left"/>
      <w:pPr>
        <w:ind w:left="2520" w:hanging="360"/>
      </w:pPr>
      <w:rPr>
        <w:rFonts w:ascii="Symbol" w:hAnsi="Symbol" w:hint="default"/>
      </w:rPr>
    </w:lvl>
    <w:lvl w:ilvl="4" w:tplc="15E07502">
      <w:start w:val="1"/>
      <w:numFmt w:val="bullet"/>
      <w:lvlText w:val="o"/>
      <w:lvlJc w:val="left"/>
      <w:pPr>
        <w:ind w:left="3240" w:hanging="360"/>
      </w:pPr>
      <w:rPr>
        <w:rFonts w:ascii="Courier New" w:hAnsi="Courier New" w:cs="Times New Roman" w:hint="default"/>
      </w:rPr>
    </w:lvl>
    <w:lvl w:ilvl="5" w:tplc="28605DE6">
      <w:start w:val="1"/>
      <w:numFmt w:val="bullet"/>
      <w:lvlText w:val=""/>
      <w:lvlJc w:val="left"/>
      <w:pPr>
        <w:ind w:left="3960" w:hanging="360"/>
      </w:pPr>
      <w:rPr>
        <w:rFonts w:ascii="Wingdings" w:hAnsi="Wingdings" w:hint="default"/>
      </w:rPr>
    </w:lvl>
    <w:lvl w:ilvl="6" w:tplc="CFBC0C1C">
      <w:start w:val="1"/>
      <w:numFmt w:val="bullet"/>
      <w:lvlText w:val=""/>
      <w:lvlJc w:val="left"/>
      <w:pPr>
        <w:ind w:left="4680" w:hanging="360"/>
      </w:pPr>
      <w:rPr>
        <w:rFonts w:ascii="Symbol" w:hAnsi="Symbol" w:hint="default"/>
      </w:rPr>
    </w:lvl>
    <w:lvl w:ilvl="7" w:tplc="126E575C">
      <w:start w:val="1"/>
      <w:numFmt w:val="bullet"/>
      <w:lvlText w:val="o"/>
      <w:lvlJc w:val="left"/>
      <w:pPr>
        <w:ind w:left="5400" w:hanging="360"/>
      </w:pPr>
      <w:rPr>
        <w:rFonts w:ascii="Courier New" w:hAnsi="Courier New" w:cs="Times New Roman" w:hint="default"/>
      </w:rPr>
    </w:lvl>
    <w:lvl w:ilvl="8" w:tplc="D55499F6">
      <w:start w:val="1"/>
      <w:numFmt w:val="bullet"/>
      <w:lvlText w:val=""/>
      <w:lvlJc w:val="left"/>
      <w:pPr>
        <w:ind w:left="6120" w:hanging="360"/>
      </w:pPr>
      <w:rPr>
        <w:rFonts w:ascii="Wingdings" w:hAnsi="Wingdings" w:hint="default"/>
      </w:rPr>
    </w:lvl>
  </w:abstractNum>
  <w:abstractNum w:abstractNumId="8" w15:restartNumberingAfterBreak="0">
    <w:nsid w:val="153E258C"/>
    <w:multiLevelType w:val="hybridMultilevel"/>
    <w:tmpl w:val="3D4C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9D1530"/>
    <w:multiLevelType w:val="hybridMultilevel"/>
    <w:tmpl w:val="1FD6B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481BB1"/>
    <w:multiLevelType w:val="hybridMultilevel"/>
    <w:tmpl w:val="3A542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80B03"/>
    <w:multiLevelType w:val="hybridMultilevel"/>
    <w:tmpl w:val="637AC05A"/>
    <w:lvl w:ilvl="0" w:tplc="CF023D6A">
      <w:start w:val="1"/>
      <w:numFmt w:val="bullet"/>
      <w:lvlText w:val=""/>
      <w:lvlJc w:val="left"/>
      <w:pPr>
        <w:ind w:left="720" w:hanging="360"/>
      </w:pPr>
      <w:rPr>
        <w:rFonts w:ascii="Symbol" w:hAnsi="Symbol" w:hint="default"/>
      </w:rPr>
    </w:lvl>
    <w:lvl w:ilvl="1" w:tplc="691E2C7E">
      <w:start w:val="1"/>
      <w:numFmt w:val="bullet"/>
      <w:lvlText w:val="o"/>
      <w:lvlJc w:val="left"/>
      <w:pPr>
        <w:ind w:left="1440" w:hanging="360"/>
      </w:pPr>
      <w:rPr>
        <w:rFonts w:ascii="Courier New" w:hAnsi="Courier New" w:hint="default"/>
      </w:rPr>
    </w:lvl>
    <w:lvl w:ilvl="2" w:tplc="626AF0DC">
      <w:start w:val="1"/>
      <w:numFmt w:val="bullet"/>
      <w:lvlText w:val=""/>
      <w:lvlJc w:val="left"/>
      <w:pPr>
        <w:ind w:left="2160" w:hanging="360"/>
      </w:pPr>
      <w:rPr>
        <w:rFonts w:ascii="Wingdings" w:hAnsi="Wingdings" w:hint="default"/>
      </w:rPr>
    </w:lvl>
    <w:lvl w:ilvl="3" w:tplc="B6BE377A">
      <w:start w:val="1"/>
      <w:numFmt w:val="bullet"/>
      <w:lvlText w:val=""/>
      <w:lvlJc w:val="left"/>
      <w:pPr>
        <w:ind w:left="2880" w:hanging="360"/>
      </w:pPr>
      <w:rPr>
        <w:rFonts w:ascii="Symbol" w:hAnsi="Symbol" w:hint="default"/>
      </w:rPr>
    </w:lvl>
    <w:lvl w:ilvl="4" w:tplc="C1C64C96">
      <w:start w:val="1"/>
      <w:numFmt w:val="bullet"/>
      <w:lvlText w:val="o"/>
      <w:lvlJc w:val="left"/>
      <w:pPr>
        <w:ind w:left="3600" w:hanging="360"/>
      </w:pPr>
      <w:rPr>
        <w:rFonts w:ascii="Courier New" w:hAnsi="Courier New" w:hint="default"/>
      </w:rPr>
    </w:lvl>
    <w:lvl w:ilvl="5" w:tplc="9D2E9E20">
      <w:start w:val="1"/>
      <w:numFmt w:val="bullet"/>
      <w:lvlText w:val=""/>
      <w:lvlJc w:val="left"/>
      <w:pPr>
        <w:ind w:left="4320" w:hanging="360"/>
      </w:pPr>
      <w:rPr>
        <w:rFonts w:ascii="Wingdings" w:hAnsi="Wingdings" w:hint="default"/>
      </w:rPr>
    </w:lvl>
    <w:lvl w:ilvl="6" w:tplc="E20EC394">
      <w:start w:val="1"/>
      <w:numFmt w:val="bullet"/>
      <w:lvlText w:val=""/>
      <w:lvlJc w:val="left"/>
      <w:pPr>
        <w:ind w:left="5040" w:hanging="360"/>
      </w:pPr>
      <w:rPr>
        <w:rFonts w:ascii="Symbol" w:hAnsi="Symbol" w:hint="default"/>
      </w:rPr>
    </w:lvl>
    <w:lvl w:ilvl="7" w:tplc="8CEE1C8E">
      <w:start w:val="1"/>
      <w:numFmt w:val="bullet"/>
      <w:lvlText w:val="o"/>
      <w:lvlJc w:val="left"/>
      <w:pPr>
        <w:ind w:left="5760" w:hanging="360"/>
      </w:pPr>
      <w:rPr>
        <w:rFonts w:ascii="Courier New" w:hAnsi="Courier New" w:hint="default"/>
      </w:rPr>
    </w:lvl>
    <w:lvl w:ilvl="8" w:tplc="C46E390C">
      <w:start w:val="1"/>
      <w:numFmt w:val="bullet"/>
      <w:lvlText w:val=""/>
      <w:lvlJc w:val="left"/>
      <w:pPr>
        <w:ind w:left="6480" w:hanging="360"/>
      </w:pPr>
      <w:rPr>
        <w:rFonts w:ascii="Wingdings" w:hAnsi="Wingdings" w:hint="default"/>
      </w:rPr>
    </w:lvl>
  </w:abstractNum>
  <w:abstractNum w:abstractNumId="13" w15:restartNumberingAfterBreak="0">
    <w:nsid w:val="1FA64F10"/>
    <w:multiLevelType w:val="multilevel"/>
    <w:tmpl w:val="D1320D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15E48B6"/>
    <w:multiLevelType w:val="hybridMultilevel"/>
    <w:tmpl w:val="3FF856D6"/>
    <w:lvl w:ilvl="0" w:tplc="86B44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24A38"/>
    <w:multiLevelType w:val="hybridMultilevel"/>
    <w:tmpl w:val="F5B49006"/>
    <w:lvl w:ilvl="0" w:tplc="06A8C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2E672A"/>
    <w:multiLevelType w:val="hybridMultilevel"/>
    <w:tmpl w:val="FC889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21" w15:restartNumberingAfterBreak="0">
    <w:nsid w:val="43EE3CBE"/>
    <w:multiLevelType w:val="multilevel"/>
    <w:tmpl w:val="F0FCA2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620E55"/>
    <w:multiLevelType w:val="hybridMultilevel"/>
    <w:tmpl w:val="10EA4F32"/>
    <w:lvl w:ilvl="0" w:tplc="86B44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B6CC8"/>
    <w:multiLevelType w:val="hybridMultilevel"/>
    <w:tmpl w:val="299E1AB4"/>
    <w:lvl w:ilvl="0" w:tplc="0448A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105E3"/>
    <w:multiLevelType w:val="hybridMultilevel"/>
    <w:tmpl w:val="1D36225A"/>
    <w:lvl w:ilvl="0" w:tplc="D5F22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34E7A"/>
    <w:multiLevelType w:val="hybridMultilevel"/>
    <w:tmpl w:val="CBC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80CFC"/>
    <w:multiLevelType w:val="multilevel"/>
    <w:tmpl w:val="B80C45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21665"/>
    <w:multiLevelType w:val="hybridMultilevel"/>
    <w:tmpl w:val="3A542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834A0"/>
    <w:multiLevelType w:val="hybridMultilevel"/>
    <w:tmpl w:val="497A4898"/>
    <w:lvl w:ilvl="0" w:tplc="7C289C72">
      <w:start w:val="1"/>
      <w:numFmt w:val="decimal"/>
      <w:lvlText w:val="%1."/>
      <w:lvlJc w:val="left"/>
      <w:pPr>
        <w:ind w:left="720" w:hanging="360"/>
      </w:pPr>
    </w:lvl>
    <w:lvl w:ilvl="1" w:tplc="5638188A">
      <w:start w:val="1"/>
      <w:numFmt w:val="lowerLetter"/>
      <w:lvlText w:val="%2."/>
      <w:lvlJc w:val="left"/>
      <w:pPr>
        <w:ind w:left="1440" w:hanging="360"/>
      </w:pPr>
    </w:lvl>
    <w:lvl w:ilvl="2" w:tplc="C4F22B2C">
      <w:start w:val="1"/>
      <w:numFmt w:val="lowerRoman"/>
      <w:lvlText w:val="%3."/>
      <w:lvlJc w:val="right"/>
      <w:pPr>
        <w:ind w:left="2160" w:hanging="180"/>
      </w:pPr>
    </w:lvl>
    <w:lvl w:ilvl="3" w:tplc="8116CFB4">
      <w:start w:val="1"/>
      <w:numFmt w:val="decimal"/>
      <w:lvlText w:val="%4."/>
      <w:lvlJc w:val="left"/>
      <w:pPr>
        <w:ind w:left="2880" w:hanging="360"/>
      </w:pPr>
    </w:lvl>
    <w:lvl w:ilvl="4" w:tplc="A80A0E6E">
      <w:start w:val="1"/>
      <w:numFmt w:val="lowerLetter"/>
      <w:lvlText w:val="%5."/>
      <w:lvlJc w:val="left"/>
      <w:pPr>
        <w:ind w:left="3600" w:hanging="360"/>
      </w:pPr>
    </w:lvl>
    <w:lvl w:ilvl="5" w:tplc="D0ACCED4">
      <w:start w:val="1"/>
      <w:numFmt w:val="lowerRoman"/>
      <w:lvlText w:val="%6."/>
      <w:lvlJc w:val="right"/>
      <w:pPr>
        <w:ind w:left="4320" w:hanging="180"/>
      </w:pPr>
    </w:lvl>
    <w:lvl w:ilvl="6" w:tplc="1A1021AE">
      <w:start w:val="1"/>
      <w:numFmt w:val="decimal"/>
      <w:lvlText w:val="%7."/>
      <w:lvlJc w:val="left"/>
      <w:pPr>
        <w:ind w:left="5040" w:hanging="360"/>
      </w:pPr>
    </w:lvl>
    <w:lvl w:ilvl="7" w:tplc="53BA9FDA">
      <w:start w:val="1"/>
      <w:numFmt w:val="lowerLetter"/>
      <w:lvlText w:val="%8."/>
      <w:lvlJc w:val="left"/>
      <w:pPr>
        <w:ind w:left="5760" w:hanging="360"/>
      </w:pPr>
    </w:lvl>
    <w:lvl w:ilvl="8" w:tplc="021AFB4A">
      <w:start w:val="1"/>
      <w:numFmt w:val="lowerRoman"/>
      <w:lvlText w:val="%9."/>
      <w:lvlJc w:val="right"/>
      <w:pPr>
        <w:ind w:left="6480" w:hanging="180"/>
      </w:pPr>
    </w:lvl>
  </w:abstractNum>
  <w:abstractNum w:abstractNumId="3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C85828"/>
    <w:multiLevelType w:val="hybridMultilevel"/>
    <w:tmpl w:val="7C80B9D2"/>
    <w:lvl w:ilvl="0" w:tplc="D196E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54F13"/>
    <w:multiLevelType w:val="hybridMultilevel"/>
    <w:tmpl w:val="D2B85E70"/>
    <w:lvl w:ilvl="0" w:tplc="F5D0D1D0">
      <w:start w:val="1"/>
      <w:numFmt w:val="decimal"/>
      <w:lvlText w:val="%1."/>
      <w:lvlJc w:val="left"/>
      <w:pPr>
        <w:ind w:left="720" w:hanging="360"/>
      </w:pPr>
    </w:lvl>
    <w:lvl w:ilvl="1" w:tplc="91026A22">
      <w:start w:val="1"/>
      <w:numFmt w:val="lowerLetter"/>
      <w:lvlText w:val="%2."/>
      <w:lvlJc w:val="left"/>
      <w:pPr>
        <w:ind w:left="1440" w:hanging="360"/>
      </w:pPr>
    </w:lvl>
    <w:lvl w:ilvl="2" w:tplc="023E621C">
      <w:start w:val="1"/>
      <w:numFmt w:val="lowerRoman"/>
      <w:lvlText w:val="%3."/>
      <w:lvlJc w:val="right"/>
      <w:pPr>
        <w:ind w:left="2160" w:hanging="180"/>
      </w:pPr>
    </w:lvl>
    <w:lvl w:ilvl="3" w:tplc="5ED2326A">
      <w:start w:val="1"/>
      <w:numFmt w:val="decimal"/>
      <w:lvlText w:val="%4."/>
      <w:lvlJc w:val="left"/>
      <w:pPr>
        <w:ind w:left="2880" w:hanging="360"/>
      </w:pPr>
    </w:lvl>
    <w:lvl w:ilvl="4" w:tplc="61764888">
      <w:start w:val="1"/>
      <w:numFmt w:val="lowerLetter"/>
      <w:lvlText w:val="%5."/>
      <w:lvlJc w:val="left"/>
      <w:pPr>
        <w:ind w:left="3600" w:hanging="360"/>
      </w:pPr>
    </w:lvl>
    <w:lvl w:ilvl="5" w:tplc="EDB6F4F6">
      <w:start w:val="1"/>
      <w:numFmt w:val="lowerRoman"/>
      <w:lvlText w:val="%6."/>
      <w:lvlJc w:val="right"/>
      <w:pPr>
        <w:ind w:left="4320" w:hanging="180"/>
      </w:pPr>
    </w:lvl>
    <w:lvl w:ilvl="6" w:tplc="030E7B7A">
      <w:start w:val="1"/>
      <w:numFmt w:val="decimal"/>
      <w:lvlText w:val="%7."/>
      <w:lvlJc w:val="left"/>
      <w:pPr>
        <w:ind w:left="5040" w:hanging="360"/>
      </w:pPr>
    </w:lvl>
    <w:lvl w:ilvl="7" w:tplc="70E45E3E">
      <w:start w:val="1"/>
      <w:numFmt w:val="lowerLetter"/>
      <w:lvlText w:val="%8."/>
      <w:lvlJc w:val="left"/>
      <w:pPr>
        <w:ind w:left="5760" w:hanging="360"/>
      </w:pPr>
    </w:lvl>
    <w:lvl w:ilvl="8" w:tplc="FAD8BE4C">
      <w:start w:val="1"/>
      <w:numFmt w:val="lowerRoman"/>
      <w:lvlText w:val="%9."/>
      <w:lvlJc w:val="right"/>
      <w:pPr>
        <w:ind w:left="6480" w:hanging="180"/>
      </w:pPr>
    </w:lvl>
  </w:abstractNum>
  <w:abstractNum w:abstractNumId="34" w15:restartNumberingAfterBreak="0">
    <w:nsid w:val="79F86C78"/>
    <w:multiLevelType w:val="multilevel"/>
    <w:tmpl w:val="30521D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7D0C0BC1"/>
    <w:multiLevelType w:val="multilevel"/>
    <w:tmpl w:val="2C94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0"/>
  </w:num>
  <w:num w:numId="4">
    <w:abstractNumId w:val="30"/>
  </w:num>
  <w:num w:numId="5">
    <w:abstractNumId w:val="18"/>
  </w:num>
  <w:num w:numId="6">
    <w:abstractNumId w:val="31"/>
  </w:num>
  <w:num w:numId="7">
    <w:abstractNumId w:val="15"/>
  </w:num>
  <w:num w:numId="8">
    <w:abstractNumId w:val="25"/>
  </w:num>
  <w:num w:numId="9">
    <w:abstractNumId w:val="28"/>
  </w:num>
  <w:num w:numId="10">
    <w:abstractNumId w:val="2"/>
  </w:num>
  <w:num w:numId="11">
    <w:abstractNumId w:val="16"/>
  </w:num>
  <w:num w:numId="12">
    <w:abstractNumId w:val="20"/>
  </w:num>
  <w:num w:numId="13">
    <w:abstractNumId w:val="9"/>
  </w:num>
  <w:num w:numId="14">
    <w:abstractNumId w:val="35"/>
  </w:num>
  <w:num w:numId="15">
    <w:abstractNumId w:val="26"/>
  </w:num>
  <w:num w:numId="16">
    <w:abstractNumId w:val="5"/>
  </w:num>
  <w:num w:numId="17">
    <w:abstractNumId w:val="13"/>
  </w:num>
  <w:num w:numId="18">
    <w:abstractNumId w:val="27"/>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9"/>
  </w:num>
  <w:num w:numId="25">
    <w:abstractNumId w:val="10"/>
  </w:num>
  <w:num w:numId="26">
    <w:abstractNumId w:val="6"/>
  </w:num>
  <w:num w:numId="27">
    <w:abstractNumId w:val="8"/>
  </w:num>
  <w:num w:numId="28">
    <w:abstractNumId w:val="4"/>
  </w:num>
  <w:num w:numId="29">
    <w:abstractNumId w:val="11"/>
  </w:num>
  <w:num w:numId="30">
    <w:abstractNumId w:val="29"/>
  </w:num>
  <w:num w:numId="31">
    <w:abstractNumId w:val="23"/>
  </w:num>
  <w:num w:numId="32">
    <w:abstractNumId w:val="32"/>
  </w:num>
  <w:num w:numId="33">
    <w:abstractNumId w:val="22"/>
  </w:num>
  <w:num w:numId="34">
    <w:abstractNumId w:val="17"/>
  </w:num>
  <w:num w:numId="35">
    <w:abstractNumId w:val="14"/>
  </w:num>
  <w:num w:numId="36">
    <w:abstractNumId w:val="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B65"/>
    <w:rsid w:val="000040D5"/>
    <w:rsid w:val="00007B2D"/>
    <w:rsid w:val="000143DF"/>
    <w:rsid w:val="00014876"/>
    <w:rsid w:val="000152D6"/>
    <w:rsid w:val="00016E21"/>
    <w:rsid w:val="0002255A"/>
    <w:rsid w:val="00022DB2"/>
    <w:rsid w:val="000230DE"/>
    <w:rsid w:val="00024CFE"/>
    <w:rsid w:val="0003005C"/>
    <w:rsid w:val="000301B5"/>
    <w:rsid w:val="000317EA"/>
    <w:rsid w:val="000324AD"/>
    <w:rsid w:val="00034188"/>
    <w:rsid w:val="000366F6"/>
    <w:rsid w:val="00037508"/>
    <w:rsid w:val="00040878"/>
    <w:rsid w:val="00041688"/>
    <w:rsid w:val="00044688"/>
    <w:rsid w:val="000458F5"/>
    <w:rsid w:val="00046871"/>
    <w:rsid w:val="00050765"/>
    <w:rsid w:val="000557B4"/>
    <w:rsid w:val="000559C5"/>
    <w:rsid w:val="00063E80"/>
    <w:rsid w:val="00066927"/>
    <w:rsid w:val="00071C8F"/>
    <w:rsid w:val="00076735"/>
    <w:rsid w:val="000808AF"/>
    <w:rsid w:val="0008243C"/>
    <w:rsid w:val="00083963"/>
    <w:rsid w:val="00086EEE"/>
    <w:rsid w:val="00087E20"/>
    <w:rsid w:val="00090726"/>
    <w:rsid w:val="0009105C"/>
    <w:rsid w:val="000928F5"/>
    <w:rsid w:val="000A5C5F"/>
    <w:rsid w:val="000A7AD5"/>
    <w:rsid w:val="000A7CEE"/>
    <w:rsid w:val="000B1537"/>
    <w:rsid w:val="000B2855"/>
    <w:rsid w:val="000B3138"/>
    <w:rsid w:val="000C06DD"/>
    <w:rsid w:val="000C9AA7"/>
    <w:rsid w:val="000D1E9E"/>
    <w:rsid w:val="000D2A4D"/>
    <w:rsid w:val="000D2A58"/>
    <w:rsid w:val="000D4547"/>
    <w:rsid w:val="000E01A7"/>
    <w:rsid w:val="000E09DC"/>
    <w:rsid w:val="000E4532"/>
    <w:rsid w:val="000E4D42"/>
    <w:rsid w:val="000E4FBA"/>
    <w:rsid w:val="000E5214"/>
    <w:rsid w:val="000F116C"/>
    <w:rsid w:val="000F1177"/>
    <w:rsid w:val="000F39F1"/>
    <w:rsid w:val="000F5936"/>
    <w:rsid w:val="000F6893"/>
    <w:rsid w:val="0010075A"/>
    <w:rsid w:val="00100FE1"/>
    <w:rsid w:val="001019A4"/>
    <w:rsid w:val="00103D45"/>
    <w:rsid w:val="001048F3"/>
    <w:rsid w:val="00106159"/>
    <w:rsid w:val="00106566"/>
    <w:rsid w:val="00106810"/>
    <w:rsid w:val="0011185B"/>
    <w:rsid w:val="00112DC9"/>
    <w:rsid w:val="00115CE1"/>
    <w:rsid w:val="00115F1F"/>
    <w:rsid w:val="0011755E"/>
    <w:rsid w:val="00120A9E"/>
    <w:rsid w:val="00121D44"/>
    <w:rsid w:val="00121D98"/>
    <w:rsid w:val="0012574F"/>
    <w:rsid w:val="00130059"/>
    <w:rsid w:val="001301DD"/>
    <w:rsid w:val="00131ABD"/>
    <w:rsid w:val="00132DB2"/>
    <w:rsid w:val="0013361D"/>
    <w:rsid w:val="0013625C"/>
    <w:rsid w:val="001373C0"/>
    <w:rsid w:val="00140552"/>
    <w:rsid w:val="00140D19"/>
    <w:rsid w:val="0014231D"/>
    <w:rsid w:val="0014236B"/>
    <w:rsid w:val="00142481"/>
    <w:rsid w:val="001521E4"/>
    <w:rsid w:val="0015531C"/>
    <w:rsid w:val="00155FF0"/>
    <w:rsid w:val="00156ECE"/>
    <w:rsid w:val="001610DF"/>
    <w:rsid w:val="00161A0A"/>
    <w:rsid w:val="001620C3"/>
    <w:rsid w:val="0016214E"/>
    <w:rsid w:val="001623FE"/>
    <w:rsid w:val="0016276D"/>
    <w:rsid w:val="00163228"/>
    <w:rsid w:val="00171AC1"/>
    <w:rsid w:val="0017343F"/>
    <w:rsid w:val="001740F5"/>
    <w:rsid w:val="00175959"/>
    <w:rsid w:val="001761AE"/>
    <w:rsid w:val="001761CE"/>
    <w:rsid w:val="0017740A"/>
    <w:rsid w:val="00181204"/>
    <w:rsid w:val="0018148D"/>
    <w:rsid w:val="001837E5"/>
    <w:rsid w:val="001853CD"/>
    <w:rsid w:val="0019160A"/>
    <w:rsid w:val="00194320"/>
    <w:rsid w:val="001963D7"/>
    <w:rsid w:val="001967B2"/>
    <w:rsid w:val="0019727C"/>
    <w:rsid w:val="001A0CA5"/>
    <w:rsid w:val="001A1B5E"/>
    <w:rsid w:val="001A35E7"/>
    <w:rsid w:val="001A4055"/>
    <w:rsid w:val="001A5833"/>
    <w:rsid w:val="001B175F"/>
    <w:rsid w:val="001B26A5"/>
    <w:rsid w:val="001B2CBA"/>
    <w:rsid w:val="001B336F"/>
    <w:rsid w:val="001B3958"/>
    <w:rsid w:val="001B57BA"/>
    <w:rsid w:val="001C0BA4"/>
    <w:rsid w:val="001C0E96"/>
    <w:rsid w:val="001C224F"/>
    <w:rsid w:val="001C2D46"/>
    <w:rsid w:val="001C2FAD"/>
    <w:rsid w:val="001C30C4"/>
    <w:rsid w:val="001C3316"/>
    <w:rsid w:val="001C5093"/>
    <w:rsid w:val="001C5FF8"/>
    <w:rsid w:val="001C62AB"/>
    <w:rsid w:val="001C6AFA"/>
    <w:rsid w:val="001C75E0"/>
    <w:rsid w:val="001C7EB3"/>
    <w:rsid w:val="001D0A62"/>
    <w:rsid w:val="001D23F1"/>
    <w:rsid w:val="001D4142"/>
    <w:rsid w:val="001D7974"/>
    <w:rsid w:val="001E1929"/>
    <w:rsid w:val="001E2C95"/>
    <w:rsid w:val="001E2CB5"/>
    <w:rsid w:val="001E3AEC"/>
    <w:rsid w:val="001F21D6"/>
    <w:rsid w:val="001F2C4D"/>
    <w:rsid w:val="001F36F6"/>
    <w:rsid w:val="001F3E31"/>
    <w:rsid w:val="001F5804"/>
    <w:rsid w:val="001F6EB5"/>
    <w:rsid w:val="001F757F"/>
    <w:rsid w:val="002032D7"/>
    <w:rsid w:val="00206E79"/>
    <w:rsid w:val="002104E4"/>
    <w:rsid w:val="0021174B"/>
    <w:rsid w:val="00214A3D"/>
    <w:rsid w:val="00216926"/>
    <w:rsid w:val="00216AB8"/>
    <w:rsid w:val="002215AB"/>
    <w:rsid w:val="00221F27"/>
    <w:rsid w:val="00223112"/>
    <w:rsid w:val="002266D1"/>
    <w:rsid w:val="00227836"/>
    <w:rsid w:val="0023198C"/>
    <w:rsid w:val="0023315D"/>
    <w:rsid w:val="00233898"/>
    <w:rsid w:val="002339A9"/>
    <w:rsid w:val="00233BD1"/>
    <w:rsid w:val="00233EDA"/>
    <w:rsid w:val="00240551"/>
    <w:rsid w:val="00240B26"/>
    <w:rsid w:val="00241956"/>
    <w:rsid w:val="002475B5"/>
    <w:rsid w:val="00251008"/>
    <w:rsid w:val="00252171"/>
    <w:rsid w:val="00254310"/>
    <w:rsid w:val="002546FE"/>
    <w:rsid w:val="0025607C"/>
    <w:rsid w:val="00256998"/>
    <w:rsid w:val="00260DEB"/>
    <w:rsid w:val="0026141E"/>
    <w:rsid w:val="00265263"/>
    <w:rsid w:val="00265430"/>
    <w:rsid w:val="00270D8B"/>
    <w:rsid w:val="0027241E"/>
    <w:rsid w:val="002726C9"/>
    <w:rsid w:val="00272ABC"/>
    <w:rsid w:val="002744C6"/>
    <w:rsid w:val="00274896"/>
    <w:rsid w:val="002753C2"/>
    <w:rsid w:val="00284921"/>
    <w:rsid w:val="0028614B"/>
    <w:rsid w:val="00286DC3"/>
    <w:rsid w:val="002873DF"/>
    <w:rsid w:val="002874FB"/>
    <w:rsid w:val="0028BD8D"/>
    <w:rsid w:val="00290761"/>
    <w:rsid w:val="0029763E"/>
    <w:rsid w:val="002A0975"/>
    <w:rsid w:val="002A43E1"/>
    <w:rsid w:val="002A5B14"/>
    <w:rsid w:val="002B011F"/>
    <w:rsid w:val="002B06CE"/>
    <w:rsid w:val="002B2F54"/>
    <w:rsid w:val="002B45CA"/>
    <w:rsid w:val="002B4B14"/>
    <w:rsid w:val="002B4ED6"/>
    <w:rsid w:val="002B6B1C"/>
    <w:rsid w:val="002C0390"/>
    <w:rsid w:val="002C1C4F"/>
    <w:rsid w:val="002C2880"/>
    <w:rsid w:val="002C3EA8"/>
    <w:rsid w:val="002D0531"/>
    <w:rsid w:val="002D0834"/>
    <w:rsid w:val="002D19C0"/>
    <w:rsid w:val="002D1A82"/>
    <w:rsid w:val="002D2765"/>
    <w:rsid w:val="002D3EEF"/>
    <w:rsid w:val="002D4BFF"/>
    <w:rsid w:val="002D726C"/>
    <w:rsid w:val="002D7AE8"/>
    <w:rsid w:val="002E0659"/>
    <w:rsid w:val="002E110E"/>
    <w:rsid w:val="002E1ABE"/>
    <w:rsid w:val="002E221F"/>
    <w:rsid w:val="002E46B5"/>
    <w:rsid w:val="002E4CB5"/>
    <w:rsid w:val="002E4D5F"/>
    <w:rsid w:val="002E55A8"/>
    <w:rsid w:val="002E56E6"/>
    <w:rsid w:val="002E5702"/>
    <w:rsid w:val="002E58B6"/>
    <w:rsid w:val="002E6B48"/>
    <w:rsid w:val="002E6FCA"/>
    <w:rsid w:val="002F1144"/>
    <w:rsid w:val="002F279B"/>
    <w:rsid w:val="002F294F"/>
    <w:rsid w:val="002F3002"/>
    <w:rsid w:val="002F59AA"/>
    <w:rsid w:val="002F5DF3"/>
    <w:rsid w:val="002F6F7A"/>
    <w:rsid w:val="002F76FE"/>
    <w:rsid w:val="002F7A69"/>
    <w:rsid w:val="003006ED"/>
    <w:rsid w:val="00301E1A"/>
    <w:rsid w:val="00304477"/>
    <w:rsid w:val="00304C40"/>
    <w:rsid w:val="00306376"/>
    <w:rsid w:val="00306D7D"/>
    <w:rsid w:val="00307C4F"/>
    <w:rsid w:val="00315131"/>
    <w:rsid w:val="00316FDB"/>
    <w:rsid w:val="003214B8"/>
    <w:rsid w:val="00322089"/>
    <w:rsid w:val="003220EA"/>
    <w:rsid w:val="0032455B"/>
    <w:rsid w:val="00326470"/>
    <w:rsid w:val="003270AD"/>
    <w:rsid w:val="0033055B"/>
    <w:rsid w:val="00334BD8"/>
    <w:rsid w:val="0033597B"/>
    <w:rsid w:val="00335EE9"/>
    <w:rsid w:val="0033731C"/>
    <w:rsid w:val="0034018F"/>
    <w:rsid w:val="00340FDE"/>
    <w:rsid w:val="0034147E"/>
    <w:rsid w:val="003416CE"/>
    <w:rsid w:val="00343653"/>
    <w:rsid w:val="00343FD7"/>
    <w:rsid w:val="00345377"/>
    <w:rsid w:val="003466BC"/>
    <w:rsid w:val="00346FA3"/>
    <w:rsid w:val="00350C74"/>
    <w:rsid w:val="00354DE6"/>
    <w:rsid w:val="00363520"/>
    <w:rsid w:val="003638FA"/>
    <w:rsid w:val="003705FC"/>
    <w:rsid w:val="00371586"/>
    <w:rsid w:val="00375659"/>
    <w:rsid w:val="00377733"/>
    <w:rsid w:val="00382F5C"/>
    <w:rsid w:val="00382F73"/>
    <w:rsid w:val="00383C3D"/>
    <w:rsid w:val="00384ACF"/>
    <w:rsid w:val="003851BC"/>
    <w:rsid w:val="0038706F"/>
    <w:rsid w:val="00390764"/>
    <w:rsid w:val="0039207B"/>
    <w:rsid w:val="0039464E"/>
    <w:rsid w:val="003946F4"/>
    <w:rsid w:val="00394757"/>
    <w:rsid w:val="003978CA"/>
    <w:rsid w:val="00397EDD"/>
    <w:rsid w:val="003A2143"/>
    <w:rsid w:val="003A7423"/>
    <w:rsid w:val="003A7E5E"/>
    <w:rsid w:val="003B0070"/>
    <w:rsid w:val="003B0827"/>
    <w:rsid w:val="003B226D"/>
    <w:rsid w:val="003B605F"/>
    <w:rsid w:val="003B6B32"/>
    <w:rsid w:val="003B6C5B"/>
    <w:rsid w:val="003B7E82"/>
    <w:rsid w:val="003C1244"/>
    <w:rsid w:val="003C164F"/>
    <w:rsid w:val="003C192D"/>
    <w:rsid w:val="003C4046"/>
    <w:rsid w:val="003C4A96"/>
    <w:rsid w:val="003C5A97"/>
    <w:rsid w:val="003C6649"/>
    <w:rsid w:val="003C6D0D"/>
    <w:rsid w:val="003C7F74"/>
    <w:rsid w:val="003D106C"/>
    <w:rsid w:val="003D138A"/>
    <w:rsid w:val="003D1ECD"/>
    <w:rsid w:val="003D2FFC"/>
    <w:rsid w:val="003D3279"/>
    <w:rsid w:val="003E0101"/>
    <w:rsid w:val="003E1E8D"/>
    <w:rsid w:val="003E2EF5"/>
    <w:rsid w:val="003E368E"/>
    <w:rsid w:val="003E4DF7"/>
    <w:rsid w:val="003E6306"/>
    <w:rsid w:val="003E7FB7"/>
    <w:rsid w:val="003F0826"/>
    <w:rsid w:val="003F0FD3"/>
    <w:rsid w:val="003F3399"/>
    <w:rsid w:val="003F7A4A"/>
    <w:rsid w:val="004038F3"/>
    <w:rsid w:val="00404ACD"/>
    <w:rsid w:val="004052C8"/>
    <w:rsid w:val="004068EB"/>
    <w:rsid w:val="00406B93"/>
    <w:rsid w:val="00406F50"/>
    <w:rsid w:val="00407704"/>
    <w:rsid w:val="00407E9B"/>
    <w:rsid w:val="00412AEA"/>
    <w:rsid w:val="00413E28"/>
    <w:rsid w:val="0041522E"/>
    <w:rsid w:val="004203BC"/>
    <w:rsid w:val="00421FDD"/>
    <w:rsid w:val="0042213E"/>
    <w:rsid w:val="00423A35"/>
    <w:rsid w:val="004244FC"/>
    <w:rsid w:val="00424B86"/>
    <w:rsid w:val="00425626"/>
    <w:rsid w:val="00430D86"/>
    <w:rsid w:val="00430FF0"/>
    <w:rsid w:val="00433AC1"/>
    <w:rsid w:val="00433F10"/>
    <w:rsid w:val="00434D78"/>
    <w:rsid w:val="0043525F"/>
    <w:rsid w:val="004425B4"/>
    <w:rsid w:val="0044269B"/>
    <w:rsid w:val="0044670C"/>
    <w:rsid w:val="00446ED6"/>
    <w:rsid w:val="004530A8"/>
    <w:rsid w:val="004567B8"/>
    <w:rsid w:val="00456985"/>
    <w:rsid w:val="0046312C"/>
    <w:rsid w:val="00465B2A"/>
    <w:rsid w:val="00466EBC"/>
    <w:rsid w:val="004702B3"/>
    <w:rsid w:val="0047505B"/>
    <w:rsid w:val="0047534A"/>
    <w:rsid w:val="00475F0E"/>
    <w:rsid w:val="00476621"/>
    <w:rsid w:val="00480459"/>
    <w:rsid w:val="004813EF"/>
    <w:rsid w:val="0048276E"/>
    <w:rsid w:val="00482D09"/>
    <w:rsid w:val="00484A94"/>
    <w:rsid w:val="00487036"/>
    <w:rsid w:val="00487827"/>
    <w:rsid w:val="00490E3C"/>
    <w:rsid w:val="0049115B"/>
    <w:rsid w:val="00497148"/>
    <w:rsid w:val="00497AA8"/>
    <w:rsid w:val="004A09B9"/>
    <w:rsid w:val="004A25F3"/>
    <w:rsid w:val="004A539B"/>
    <w:rsid w:val="004A791A"/>
    <w:rsid w:val="004A7CB9"/>
    <w:rsid w:val="004B22E9"/>
    <w:rsid w:val="004B2A9C"/>
    <w:rsid w:val="004B31D2"/>
    <w:rsid w:val="004B3282"/>
    <w:rsid w:val="004B61BD"/>
    <w:rsid w:val="004B64FA"/>
    <w:rsid w:val="004B75F1"/>
    <w:rsid w:val="004B7DFD"/>
    <w:rsid w:val="004C0671"/>
    <w:rsid w:val="004C1FD8"/>
    <w:rsid w:val="004C4EA7"/>
    <w:rsid w:val="004C60B4"/>
    <w:rsid w:val="004C7A0A"/>
    <w:rsid w:val="004C7CF5"/>
    <w:rsid w:val="004D07D0"/>
    <w:rsid w:val="004D0F26"/>
    <w:rsid w:val="004D1C98"/>
    <w:rsid w:val="004D2368"/>
    <w:rsid w:val="004D3D84"/>
    <w:rsid w:val="004D555B"/>
    <w:rsid w:val="004D721B"/>
    <w:rsid w:val="004D73CD"/>
    <w:rsid w:val="004E029B"/>
    <w:rsid w:val="004E33C7"/>
    <w:rsid w:val="004E3D5C"/>
    <w:rsid w:val="004F56C8"/>
    <w:rsid w:val="0050411A"/>
    <w:rsid w:val="00507E2B"/>
    <w:rsid w:val="0051142E"/>
    <w:rsid w:val="00512973"/>
    <w:rsid w:val="00515B8F"/>
    <w:rsid w:val="0051729C"/>
    <w:rsid w:val="00517C00"/>
    <w:rsid w:val="00522F23"/>
    <w:rsid w:val="00524F1F"/>
    <w:rsid w:val="005257E1"/>
    <w:rsid w:val="00525EFE"/>
    <w:rsid w:val="0052650A"/>
    <w:rsid w:val="00527B0E"/>
    <w:rsid w:val="00530D92"/>
    <w:rsid w:val="005330EF"/>
    <w:rsid w:val="005356C3"/>
    <w:rsid w:val="005360B3"/>
    <w:rsid w:val="00540477"/>
    <w:rsid w:val="00546AE2"/>
    <w:rsid w:val="005509D2"/>
    <w:rsid w:val="00550B08"/>
    <w:rsid w:val="00551193"/>
    <w:rsid w:val="005540C4"/>
    <w:rsid w:val="005548DB"/>
    <w:rsid w:val="0055628C"/>
    <w:rsid w:val="00560DD7"/>
    <w:rsid w:val="00563482"/>
    <w:rsid w:val="00564275"/>
    <w:rsid w:val="00564C5D"/>
    <w:rsid w:val="00564D09"/>
    <w:rsid w:val="0056618E"/>
    <w:rsid w:val="0057142E"/>
    <w:rsid w:val="00571551"/>
    <w:rsid w:val="00573E42"/>
    <w:rsid w:val="005753A2"/>
    <w:rsid w:val="00575D75"/>
    <w:rsid w:val="00577C6D"/>
    <w:rsid w:val="00583B53"/>
    <w:rsid w:val="00585BBD"/>
    <w:rsid w:val="00591210"/>
    <w:rsid w:val="00591235"/>
    <w:rsid w:val="005912D8"/>
    <w:rsid w:val="005941D3"/>
    <w:rsid w:val="005950A1"/>
    <w:rsid w:val="0059579D"/>
    <w:rsid w:val="00595BF2"/>
    <w:rsid w:val="00596F8C"/>
    <w:rsid w:val="005A0378"/>
    <w:rsid w:val="005A189E"/>
    <w:rsid w:val="005A6CB2"/>
    <w:rsid w:val="005B0682"/>
    <w:rsid w:val="005B2E85"/>
    <w:rsid w:val="005B6959"/>
    <w:rsid w:val="005C0397"/>
    <w:rsid w:val="005C03DD"/>
    <w:rsid w:val="005C0401"/>
    <w:rsid w:val="005C07BA"/>
    <w:rsid w:val="005C1598"/>
    <w:rsid w:val="005C1EA6"/>
    <w:rsid w:val="005C1ED9"/>
    <w:rsid w:val="005C42EB"/>
    <w:rsid w:val="005C4838"/>
    <w:rsid w:val="005C5206"/>
    <w:rsid w:val="005C64F6"/>
    <w:rsid w:val="005C65C2"/>
    <w:rsid w:val="005C77F5"/>
    <w:rsid w:val="005C7D8E"/>
    <w:rsid w:val="005D01E0"/>
    <w:rsid w:val="005D13BA"/>
    <w:rsid w:val="005D1DA6"/>
    <w:rsid w:val="005D2FB1"/>
    <w:rsid w:val="005D38E7"/>
    <w:rsid w:val="005D5A4C"/>
    <w:rsid w:val="005D5AE0"/>
    <w:rsid w:val="005D6CE0"/>
    <w:rsid w:val="005D75DA"/>
    <w:rsid w:val="005D7783"/>
    <w:rsid w:val="005D7DD0"/>
    <w:rsid w:val="005E1372"/>
    <w:rsid w:val="005E1A83"/>
    <w:rsid w:val="005E538F"/>
    <w:rsid w:val="005E5DBB"/>
    <w:rsid w:val="005E722D"/>
    <w:rsid w:val="005E7D3F"/>
    <w:rsid w:val="005F2271"/>
    <w:rsid w:val="005F2733"/>
    <w:rsid w:val="005F2A52"/>
    <w:rsid w:val="005F3320"/>
    <w:rsid w:val="005F7393"/>
    <w:rsid w:val="00602CBE"/>
    <w:rsid w:val="00604A5F"/>
    <w:rsid w:val="006061C3"/>
    <w:rsid w:val="00606DF2"/>
    <w:rsid w:val="00607406"/>
    <w:rsid w:val="006105B3"/>
    <w:rsid w:val="00611F8F"/>
    <w:rsid w:val="00616255"/>
    <w:rsid w:val="00616B28"/>
    <w:rsid w:val="00617392"/>
    <w:rsid w:val="00617A14"/>
    <w:rsid w:val="0062282B"/>
    <w:rsid w:val="006278F0"/>
    <w:rsid w:val="00627F56"/>
    <w:rsid w:val="006312B1"/>
    <w:rsid w:val="00631AB4"/>
    <w:rsid w:val="00632867"/>
    <w:rsid w:val="00635F78"/>
    <w:rsid w:val="00637320"/>
    <w:rsid w:val="006378B0"/>
    <w:rsid w:val="0063C641"/>
    <w:rsid w:val="00640DCB"/>
    <w:rsid w:val="00641AE0"/>
    <w:rsid w:val="00641E0D"/>
    <w:rsid w:val="00641FB5"/>
    <w:rsid w:val="00642D61"/>
    <w:rsid w:val="00643416"/>
    <w:rsid w:val="006450C6"/>
    <w:rsid w:val="00645544"/>
    <w:rsid w:val="006461FA"/>
    <w:rsid w:val="00650C48"/>
    <w:rsid w:val="00650D48"/>
    <w:rsid w:val="006555B4"/>
    <w:rsid w:val="00656ADC"/>
    <w:rsid w:val="006638EF"/>
    <w:rsid w:val="00663D25"/>
    <w:rsid w:val="00671146"/>
    <w:rsid w:val="00671F35"/>
    <w:rsid w:val="006748EF"/>
    <w:rsid w:val="00675031"/>
    <w:rsid w:val="00677EE1"/>
    <w:rsid w:val="00681ECA"/>
    <w:rsid w:val="00683132"/>
    <w:rsid w:val="00683839"/>
    <w:rsid w:val="00686080"/>
    <w:rsid w:val="00691B3D"/>
    <w:rsid w:val="00692300"/>
    <w:rsid w:val="00693951"/>
    <w:rsid w:val="00697662"/>
    <w:rsid w:val="006A04A7"/>
    <w:rsid w:val="006A2C3E"/>
    <w:rsid w:val="006A3035"/>
    <w:rsid w:val="006A429C"/>
    <w:rsid w:val="006A5781"/>
    <w:rsid w:val="006A5A04"/>
    <w:rsid w:val="006A5DE4"/>
    <w:rsid w:val="006A6C84"/>
    <w:rsid w:val="006B2111"/>
    <w:rsid w:val="006B2F50"/>
    <w:rsid w:val="006B4AE7"/>
    <w:rsid w:val="006B4BEB"/>
    <w:rsid w:val="006B54BD"/>
    <w:rsid w:val="006B66A1"/>
    <w:rsid w:val="006B6C65"/>
    <w:rsid w:val="006B73F1"/>
    <w:rsid w:val="006B75F9"/>
    <w:rsid w:val="006C16D2"/>
    <w:rsid w:val="006C29CB"/>
    <w:rsid w:val="006C3BBF"/>
    <w:rsid w:val="006C401B"/>
    <w:rsid w:val="006C4A4A"/>
    <w:rsid w:val="006C56D3"/>
    <w:rsid w:val="006D0223"/>
    <w:rsid w:val="006D1CCE"/>
    <w:rsid w:val="006D2049"/>
    <w:rsid w:val="006D27C5"/>
    <w:rsid w:val="006D37AE"/>
    <w:rsid w:val="006D5478"/>
    <w:rsid w:val="006E06C6"/>
    <w:rsid w:val="006E24D5"/>
    <w:rsid w:val="006E3253"/>
    <w:rsid w:val="006E6137"/>
    <w:rsid w:val="006E7777"/>
    <w:rsid w:val="006F4E45"/>
    <w:rsid w:val="006F5CBC"/>
    <w:rsid w:val="006F637E"/>
    <w:rsid w:val="006F78CF"/>
    <w:rsid w:val="00700419"/>
    <w:rsid w:val="0070378C"/>
    <w:rsid w:val="0070468E"/>
    <w:rsid w:val="00705246"/>
    <w:rsid w:val="007068EA"/>
    <w:rsid w:val="00711827"/>
    <w:rsid w:val="007121EE"/>
    <w:rsid w:val="00713283"/>
    <w:rsid w:val="007133EC"/>
    <w:rsid w:val="007133F8"/>
    <w:rsid w:val="00713C9E"/>
    <w:rsid w:val="00713FA4"/>
    <w:rsid w:val="007164C1"/>
    <w:rsid w:val="0071653E"/>
    <w:rsid w:val="00716FF6"/>
    <w:rsid w:val="00717178"/>
    <w:rsid w:val="007200D5"/>
    <w:rsid w:val="0072461E"/>
    <w:rsid w:val="00726EDA"/>
    <w:rsid w:val="007313A3"/>
    <w:rsid w:val="00733DEB"/>
    <w:rsid w:val="00734952"/>
    <w:rsid w:val="007349D8"/>
    <w:rsid w:val="007371D4"/>
    <w:rsid w:val="00737206"/>
    <w:rsid w:val="007408AF"/>
    <w:rsid w:val="007428B8"/>
    <w:rsid w:val="007429C5"/>
    <w:rsid w:val="007432B1"/>
    <w:rsid w:val="007448B0"/>
    <w:rsid w:val="00744EAE"/>
    <w:rsid w:val="00746164"/>
    <w:rsid w:val="00746D44"/>
    <w:rsid w:val="00750C71"/>
    <w:rsid w:val="0075119E"/>
    <w:rsid w:val="00751A02"/>
    <w:rsid w:val="007521FF"/>
    <w:rsid w:val="00754E9E"/>
    <w:rsid w:val="0076048F"/>
    <w:rsid w:val="00761781"/>
    <w:rsid w:val="007619CC"/>
    <w:rsid w:val="0076379C"/>
    <w:rsid w:val="0076419B"/>
    <w:rsid w:val="007641F2"/>
    <w:rsid w:val="007648A5"/>
    <w:rsid w:val="00765304"/>
    <w:rsid w:val="00766DF6"/>
    <w:rsid w:val="007675DC"/>
    <w:rsid w:val="00767E32"/>
    <w:rsid w:val="0077008C"/>
    <w:rsid w:val="007700CD"/>
    <w:rsid w:val="007705F6"/>
    <w:rsid w:val="0077076A"/>
    <w:rsid w:val="00773381"/>
    <w:rsid w:val="007758B1"/>
    <w:rsid w:val="00776B7F"/>
    <w:rsid w:val="00777823"/>
    <w:rsid w:val="00777AD2"/>
    <w:rsid w:val="00780536"/>
    <w:rsid w:val="00780BB6"/>
    <w:rsid w:val="0078149D"/>
    <w:rsid w:val="00782339"/>
    <w:rsid w:val="007824A5"/>
    <w:rsid w:val="00786978"/>
    <w:rsid w:val="007915E9"/>
    <w:rsid w:val="00792ADA"/>
    <w:rsid w:val="00793532"/>
    <w:rsid w:val="00793E86"/>
    <w:rsid w:val="007962C2"/>
    <w:rsid w:val="0079636C"/>
    <w:rsid w:val="00796C31"/>
    <w:rsid w:val="007A00B5"/>
    <w:rsid w:val="007A00D5"/>
    <w:rsid w:val="007A02C9"/>
    <w:rsid w:val="007A0417"/>
    <w:rsid w:val="007A12FC"/>
    <w:rsid w:val="007A36B2"/>
    <w:rsid w:val="007B220D"/>
    <w:rsid w:val="007B362B"/>
    <w:rsid w:val="007B49EA"/>
    <w:rsid w:val="007B7812"/>
    <w:rsid w:val="007B7CD8"/>
    <w:rsid w:val="007C1E73"/>
    <w:rsid w:val="007C5697"/>
    <w:rsid w:val="007C59FB"/>
    <w:rsid w:val="007C7008"/>
    <w:rsid w:val="007C760C"/>
    <w:rsid w:val="007C767D"/>
    <w:rsid w:val="007C7F1A"/>
    <w:rsid w:val="007D4183"/>
    <w:rsid w:val="007D5613"/>
    <w:rsid w:val="007D6A8F"/>
    <w:rsid w:val="007E1140"/>
    <w:rsid w:val="007E3050"/>
    <w:rsid w:val="007E3CE9"/>
    <w:rsid w:val="007E408F"/>
    <w:rsid w:val="007E5F26"/>
    <w:rsid w:val="007E6140"/>
    <w:rsid w:val="007F0DC3"/>
    <w:rsid w:val="007F32D3"/>
    <w:rsid w:val="007F3E86"/>
    <w:rsid w:val="007F59B9"/>
    <w:rsid w:val="00802A00"/>
    <w:rsid w:val="00802ED7"/>
    <w:rsid w:val="00804CAC"/>
    <w:rsid w:val="00806516"/>
    <w:rsid w:val="00806A03"/>
    <w:rsid w:val="008102EA"/>
    <w:rsid w:val="0081065D"/>
    <w:rsid w:val="00813930"/>
    <w:rsid w:val="0081776E"/>
    <w:rsid w:val="008216DA"/>
    <w:rsid w:val="00827562"/>
    <w:rsid w:val="008307B9"/>
    <w:rsid w:val="00837E9B"/>
    <w:rsid w:val="008410B7"/>
    <w:rsid w:val="008411E3"/>
    <w:rsid w:val="008439B3"/>
    <w:rsid w:val="00844D5C"/>
    <w:rsid w:val="008468FA"/>
    <w:rsid w:val="008469D1"/>
    <w:rsid w:val="00854ACE"/>
    <w:rsid w:val="00854B3D"/>
    <w:rsid w:val="00856A86"/>
    <w:rsid w:val="008637F6"/>
    <w:rsid w:val="00865C6C"/>
    <w:rsid w:val="008700CE"/>
    <w:rsid w:val="008703FA"/>
    <w:rsid w:val="008723EF"/>
    <w:rsid w:val="008737C3"/>
    <w:rsid w:val="008738E5"/>
    <w:rsid w:val="00877638"/>
    <w:rsid w:val="00880C5E"/>
    <w:rsid w:val="00882730"/>
    <w:rsid w:val="00882C74"/>
    <w:rsid w:val="008867ED"/>
    <w:rsid w:val="00886BE6"/>
    <w:rsid w:val="00886DD5"/>
    <w:rsid w:val="00887587"/>
    <w:rsid w:val="008904A3"/>
    <w:rsid w:val="00890833"/>
    <w:rsid w:val="008909EE"/>
    <w:rsid w:val="00891C9D"/>
    <w:rsid w:val="00892465"/>
    <w:rsid w:val="00896CED"/>
    <w:rsid w:val="008A0287"/>
    <w:rsid w:val="008A1ED6"/>
    <w:rsid w:val="008A5628"/>
    <w:rsid w:val="008B3043"/>
    <w:rsid w:val="008B38A5"/>
    <w:rsid w:val="008B3EFD"/>
    <w:rsid w:val="008B65DB"/>
    <w:rsid w:val="008B6D61"/>
    <w:rsid w:val="008B765A"/>
    <w:rsid w:val="008C1EFD"/>
    <w:rsid w:val="008C311A"/>
    <w:rsid w:val="008C38B0"/>
    <w:rsid w:val="008C3A88"/>
    <w:rsid w:val="008C508E"/>
    <w:rsid w:val="008C7579"/>
    <w:rsid w:val="008D71EF"/>
    <w:rsid w:val="008D7C78"/>
    <w:rsid w:val="008E09F3"/>
    <w:rsid w:val="008E16C1"/>
    <w:rsid w:val="008E2772"/>
    <w:rsid w:val="008E27D5"/>
    <w:rsid w:val="008E35D6"/>
    <w:rsid w:val="008E6408"/>
    <w:rsid w:val="008E6BC2"/>
    <w:rsid w:val="008E7EA4"/>
    <w:rsid w:val="008F570B"/>
    <w:rsid w:val="008F7DDC"/>
    <w:rsid w:val="0090010D"/>
    <w:rsid w:val="00902440"/>
    <w:rsid w:val="00902FD2"/>
    <w:rsid w:val="00903D6F"/>
    <w:rsid w:val="00903F88"/>
    <w:rsid w:val="00904E3F"/>
    <w:rsid w:val="0090607D"/>
    <w:rsid w:val="00907E94"/>
    <w:rsid w:val="0091117B"/>
    <w:rsid w:val="009112EB"/>
    <w:rsid w:val="00912ADC"/>
    <w:rsid w:val="00914E57"/>
    <w:rsid w:val="00914EE8"/>
    <w:rsid w:val="00914F75"/>
    <w:rsid w:val="00915E70"/>
    <w:rsid w:val="00916673"/>
    <w:rsid w:val="0091722A"/>
    <w:rsid w:val="009219FF"/>
    <w:rsid w:val="00923C7A"/>
    <w:rsid w:val="009245A1"/>
    <w:rsid w:val="00924BED"/>
    <w:rsid w:val="0093200C"/>
    <w:rsid w:val="009350D8"/>
    <w:rsid w:val="009353C7"/>
    <w:rsid w:val="009355AD"/>
    <w:rsid w:val="00935D09"/>
    <w:rsid w:val="00943C7B"/>
    <w:rsid w:val="009459C1"/>
    <w:rsid w:val="00945F66"/>
    <w:rsid w:val="00946203"/>
    <w:rsid w:val="009568E6"/>
    <w:rsid w:val="00957F69"/>
    <w:rsid w:val="00962BFC"/>
    <w:rsid w:val="00965AB5"/>
    <w:rsid w:val="00966404"/>
    <w:rsid w:val="0097104B"/>
    <w:rsid w:val="00971331"/>
    <w:rsid w:val="0097162D"/>
    <w:rsid w:val="009726B3"/>
    <w:rsid w:val="009745FF"/>
    <w:rsid w:val="0097567B"/>
    <w:rsid w:val="009817C4"/>
    <w:rsid w:val="009826BD"/>
    <w:rsid w:val="009856FE"/>
    <w:rsid w:val="0098588A"/>
    <w:rsid w:val="00985DB6"/>
    <w:rsid w:val="00987E4C"/>
    <w:rsid w:val="009950A0"/>
    <w:rsid w:val="00995CCA"/>
    <w:rsid w:val="009973D0"/>
    <w:rsid w:val="00997C24"/>
    <w:rsid w:val="009A028A"/>
    <w:rsid w:val="009A290C"/>
    <w:rsid w:val="009A2EAD"/>
    <w:rsid w:val="009A4F6D"/>
    <w:rsid w:val="009A5BBD"/>
    <w:rsid w:val="009A7AAC"/>
    <w:rsid w:val="009B04E1"/>
    <w:rsid w:val="009B1D48"/>
    <w:rsid w:val="009B37D1"/>
    <w:rsid w:val="009B5C56"/>
    <w:rsid w:val="009B613E"/>
    <w:rsid w:val="009B67EA"/>
    <w:rsid w:val="009C16B7"/>
    <w:rsid w:val="009C2A77"/>
    <w:rsid w:val="009C2B10"/>
    <w:rsid w:val="009C35A4"/>
    <w:rsid w:val="009C3C70"/>
    <w:rsid w:val="009C6FF3"/>
    <w:rsid w:val="009D0458"/>
    <w:rsid w:val="009D0B9D"/>
    <w:rsid w:val="009D448D"/>
    <w:rsid w:val="009D5028"/>
    <w:rsid w:val="009D5462"/>
    <w:rsid w:val="009E09B3"/>
    <w:rsid w:val="009E191D"/>
    <w:rsid w:val="009E1EDF"/>
    <w:rsid w:val="009E378D"/>
    <w:rsid w:val="009E4C33"/>
    <w:rsid w:val="009E7AC2"/>
    <w:rsid w:val="009F4C2F"/>
    <w:rsid w:val="009F4C7F"/>
    <w:rsid w:val="009F653E"/>
    <w:rsid w:val="009F664E"/>
    <w:rsid w:val="009F79CE"/>
    <w:rsid w:val="00A03BDB"/>
    <w:rsid w:val="00A05757"/>
    <w:rsid w:val="00A07F42"/>
    <w:rsid w:val="00A10AC1"/>
    <w:rsid w:val="00A10E1B"/>
    <w:rsid w:val="00A11D72"/>
    <w:rsid w:val="00A11DCC"/>
    <w:rsid w:val="00A1398A"/>
    <w:rsid w:val="00A149AB"/>
    <w:rsid w:val="00A15C3E"/>
    <w:rsid w:val="00A16315"/>
    <w:rsid w:val="00A165F0"/>
    <w:rsid w:val="00A172C8"/>
    <w:rsid w:val="00A17FE7"/>
    <w:rsid w:val="00A22022"/>
    <w:rsid w:val="00A2326A"/>
    <w:rsid w:val="00A23D56"/>
    <w:rsid w:val="00A24535"/>
    <w:rsid w:val="00A252E7"/>
    <w:rsid w:val="00A2546E"/>
    <w:rsid w:val="00A25F1F"/>
    <w:rsid w:val="00A30B3C"/>
    <w:rsid w:val="00A31B8C"/>
    <w:rsid w:val="00A336C3"/>
    <w:rsid w:val="00A37BC2"/>
    <w:rsid w:val="00A404A6"/>
    <w:rsid w:val="00A440AD"/>
    <w:rsid w:val="00A443DE"/>
    <w:rsid w:val="00A458B4"/>
    <w:rsid w:val="00A50F93"/>
    <w:rsid w:val="00A510BA"/>
    <w:rsid w:val="00A532D9"/>
    <w:rsid w:val="00A53EFB"/>
    <w:rsid w:val="00A544D6"/>
    <w:rsid w:val="00A5464A"/>
    <w:rsid w:val="00A546AA"/>
    <w:rsid w:val="00A56196"/>
    <w:rsid w:val="00A563CD"/>
    <w:rsid w:val="00A613B3"/>
    <w:rsid w:val="00A64E63"/>
    <w:rsid w:val="00A65341"/>
    <w:rsid w:val="00A723A0"/>
    <w:rsid w:val="00A72F75"/>
    <w:rsid w:val="00A74EC0"/>
    <w:rsid w:val="00A76643"/>
    <w:rsid w:val="00A76E8E"/>
    <w:rsid w:val="00A80346"/>
    <w:rsid w:val="00A83D70"/>
    <w:rsid w:val="00A843EF"/>
    <w:rsid w:val="00A84CCF"/>
    <w:rsid w:val="00A84FAF"/>
    <w:rsid w:val="00A85C53"/>
    <w:rsid w:val="00A87535"/>
    <w:rsid w:val="00A921ED"/>
    <w:rsid w:val="00A94017"/>
    <w:rsid w:val="00A95404"/>
    <w:rsid w:val="00A9552B"/>
    <w:rsid w:val="00A96DDA"/>
    <w:rsid w:val="00A97C97"/>
    <w:rsid w:val="00AA27E8"/>
    <w:rsid w:val="00AA2BBE"/>
    <w:rsid w:val="00AA4E85"/>
    <w:rsid w:val="00AA5768"/>
    <w:rsid w:val="00AB0115"/>
    <w:rsid w:val="00AB04CB"/>
    <w:rsid w:val="00AB0CFD"/>
    <w:rsid w:val="00AB2BAC"/>
    <w:rsid w:val="00AB2DA1"/>
    <w:rsid w:val="00AB397D"/>
    <w:rsid w:val="00AB4E27"/>
    <w:rsid w:val="00AB5141"/>
    <w:rsid w:val="00AB5E5B"/>
    <w:rsid w:val="00AB690B"/>
    <w:rsid w:val="00AB6EE9"/>
    <w:rsid w:val="00AB741D"/>
    <w:rsid w:val="00AC1239"/>
    <w:rsid w:val="00AC2054"/>
    <w:rsid w:val="00AC3D94"/>
    <w:rsid w:val="00AC40B8"/>
    <w:rsid w:val="00AC49B1"/>
    <w:rsid w:val="00AC6858"/>
    <w:rsid w:val="00AC7E8B"/>
    <w:rsid w:val="00AD00CE"/>
    <w:rsid w:val="00AD11A6"/>
    <w:rsid w:val="00AD3536"/>
    <w:rsid w:val="00AD4635"/>
    <w:rsid w:val="00AD6C1F"/>
    <w:rsid w:val="00AD6F14"/>
    <w:rsid w:val="00AE022D"/>
    <w:rsid w:val="00AE391D"/>
    <w:rsid w:val="00AE39C8"/>
    <w:rsid w:val="00AE3CA2"/>
    <w:rsid w:val="00AE4241"/>
    <w:rsid w:val="00AE4288"/>
    <w:rsid w:val="00AE46B1"/>
    <w:rsid w:val="00AF5A37"/>
    <w:rsid w:val="00AF6BEA"/>
    <w:rsid w:val="00B012ED"/>
    <w:rsid w:val="00B0270B"/>
    <w:rsid w:val="00B03A65"/>
    <w:rsid w:val="00B03AC1"/>
    <w:rsid w:val="00B0442F"/>
    <w:rsid w:val="00B04D6B"/>
    <w:rsid w:val="00B05C49"/>
    <w:rsid w:val="00B073BB"/>
    <w:rsid w:val="00B10E79"/>
    <w:rsid w:val="00B1798E"/>
    <w:rsid w:val="00B21205"/>
    <w:rsid w:val="00B230B0"/>
    <w:rsid w:val="00B23E61"/>
    <w:rsid w:val="00B2418C"/>
    <w:rsid w:val="00B32AB3"/>
    <w:rsid w:val="00B32D6C"/>
    <w:rsid w:val="00B34F71"/>
    <w:rsid w:val="00B37BA5"/>
    <w:rsid w:val="00B40396"/>
    <w:rsid w:val="00B436C5"/>
    <w:rsid w:val="00B44804"/>
    <w:rsid w:val="00B47955"/>
    <w:rsid w:val="00B51A8C"/>
    <w:rsid w:val="00B563E4"/>
    <w:rsid w:val="00B61980"/>
    <w:rsid w:val="00B619EF"/>
    <w:rsid w:val="00B625AF"/>
    <w:rsid w:val="00B62B23"/>
    <w:rsid w:val="00B62B45"/>
    <w:rsid w:val="00B63896"/>
    <w:rsid w:val="00B67E84"/>
    <w:rsid w:val="00B702C4"/>
    <w:rsid w:val="00B70D24"/>
    <w:rsid w:val="00B71F69"/>
    <w:rsid w:val="00B723BE"/>
    <w:rsid w:val="00B7674F"/>
    <w:rsid w:val="00B8082E"/>
    <w:rsid w:val="00B80A87"/>
    <w:rsid w:val="00B82705"/>
    <w:rsid w:val="00B83D8C"/>
    <w:rsid w:val="00B86392"/>
    <w:rsid w:val="00B9140D"/>
    <w:rsid w:val="00B9330E"/>
    <w:rsid w:val="00B96762"/>
    <w:rsid w:val="00BA198C"/>
    <w:rsid w:val="00BA2925"/>
    <w:rsid w:val="00BA559C"/>
    <w:rsid w:val="00BB0538"/>
    <w:rsid w:val="00BB159D"/>
    <w:rsid w:val="00BB4EB1"/>
    <w:rsid w:val="00BB560C"/>
    <w:rsid w:val="00BB6123"/>
    <w:rsid w:val="00BB799A"/>
    <w:rsid w:val="00BC0767"/>
    <w:rsid w:val="00BC0EAF"/>
    <w:rsid w:val="00BC2F31"/>
    <w:rsid w:val="00BC4C6F"/>
    <w:rsid w:val="00BC6B4E"/>
    <w:rsid w:val="00BD3578"/>
    <w:rsid w:val="00BD40A2"/>
    <w:rsid w:val="00BD4506"/>
    <w:rsid w:val="00BD5821"/>
    <w:rsid w:val="00BD627E"/>
    <w:rsid w:val="00BD7DEB"/>
    <w:rsid w:val="00BD7EEF"/>
    <w:rsid w:val="00BE231F"/>
    <w:rsid w:val="00BE7E76"/>
    <w:rsid w:val="00BF2670"/>
    <w:rsid w:val="00BF2839"/>
    <w:rsid w:val="00BF4E82"/>
    <w:rsid w:val="00BF507B"/>
    <w:rsid w:val="00C0017E"/>
    <w:rsid w:val="00C00CB5"/>
    <w:rsid w:val="00C018E9"/>
    <w:rsid w:val="00C0204E"/>
    <w:rsid w:val="00C02995"/>
    <w:rsid w:val="00C05E84"/>
    <w:rsid w:val="00C05FC8"/>
    <w:rsid w:val="00C07492"/>
    <w:rsid w:val="00C1088F"/>
    <w:rsid w:val="00C108DC"/>
    <w:rsid w:val="00C10F0D"/>
    <w:rsid w:val="00C15F54"/>
    <w:rsid w:val="00C163B1"/>
    <w:rsid w:val="00C203DE"/>
    <w:rsid w:val="00C20560"/>
    <w:rsid w:val="00C22120"/>
    <w:rsid w:val="00C24947"/>
    <w:rsid w:val="00C254E7"/>
    <w:rsid w:val="00C27D57"/>
    <w:rsid w:val="00C307E1"/>
    <w:rsid w:val="00C33CF8"/>
    <w:rsid w:val="00C35F1A"/>
    <w:rsid w:val="00C35F34"/>
    <w:rsid w:val="00C35F8B"/>
    <w:rsid w:val="00C37BB4"/>
    <w:rsid w:val="00C40933"/>
    <w:rsid w:val="00C41CB8"/>
    <w:rsid w:val="00C43CFE"/>
    <w:rsid w:val="00C464DD"/>
    <w:rsid w:val="00C5159F"/>
    <w:rsid w:val="00C51840"/>
    <w:rsid w:val="00C53517"/>
    <w:rsid w:val="00C5522E"/>
    <w:rsid w:val="00C558A3"/>
    <w:rsid w:val="00C56DE9"/>
    <w:rsid w:val="00C573E1"/>
    <w:rsid w:val="00C57D69"/>
    <w:rsid w:val="00C6043F"/>
    <w:rsid w:val="00C62212"/>
    <w:rsid w:val="00C64369"/>
    <w:rsid w:val="00C67FE8"/>
    <w:rsid w:val="00C72377"/>
    <w:rsid w:val="00C77269"/>
    <w:rsid w:val="00C77A00"/>
    <w:rsid w:val="00C80E1A"/>
    <w:rsid w:val="00C82CBA"/>
    <w:rsid w:val="00C84BB6"/>
    <w:rsid w:val="00C86E83"/>
    <w:rsid w:val="00C91AA7"/>
    <w:rsid w:val="00C91F86"/>
    <w:rsid w:val="00C962E0"/>
    <w:rsid w:val="00C97181"/>
    <w:rsid w:val="00CA2E89"/>
    <w:rsid w:val="00CA47E5"/>
    <w:rsid w:val="00CA6EF1"/>
    <w:rsid w:val="00CA7474"/>
    <w:rsid w:val="00CB0C56"/>
    <w:rsid w:val="00CB1FC3"/>
    <w:rsid w:val="00CB40DA"/>
    <w:rsid w:val="00CB4522"/>
    <w:rsid w:val="00CB47EC"/>
    <w:rsid w:val="00CB6D95"/>
    <w:rsid w:val="00CB7AAB"/>
    <w:rsid w:val="00CB7BBB"/>
    <w:rsid w:val="00CC690F"/>
    <w:rsid w:val="00CC6BCA"/>
    <w:rsid w:val="00CC7623"/>
    <w:rsid w:val="00CD1C0C"/>
    <w:rsid w:val="00CD23F4"/>
    <w:rsid w:val="00CD3778"/>
    <w:rsid w:val="00CD6767"/>
    <w:rsid w:val="00CE1C84"/>
    <w:rsid w:val="00CE3947"/>
    <w:rsid w:val="00CE3EDC"/>
    <w:rsid w:val="00CE4012"/>
    <w:rsid w:val="00CE4BD8"/>
    <w:rsid w:val="00CE50D0"/>
    <w:rsid w:val="00CE6285"/>
    <w:rsid w:val="00CF0107"/>
    <w:rsid w:val="00CF2334"/>
    <w:rsid w:val="00CF3CA4"/>
    <w:rsid w:val="00CF66F6"/>
    <w:rsid w:val="00CF6D05"/>
    <w:rsid w:val="00CF6FA6"/>
    <w:rsid w:val="00D035ED"/>
    <w:rsid w:val="00D10226"/>
    <w:rsid w:val="00D133C9"/>
    <w:rsid w:val="00D15A57"/>
    <w:rsid w:val="00D17A68"/>
    <w:rsid w:val="00D17E0F"/>
    <w:rsid w:val="00D2291A"/>
    <w:rsid w:val="00D23DF4"/>
    <w:rsid w:val="00D24ED3"/>
    <w:rsid w:val="00D2722A"/>
    <w:rsid w:val="00D27F20"/>
    <w:rsid w:val="00D307F7"/>
    <w:rsid w:val="00D3181D"/>
    <w:rsid w:val="00D31D24"/>
    <w:rsid w:val="00D333C5"/>
    <w:rsid w:val="00D35806"/>
    <w:rsid w:val="00D4056F"/>
    <w:rsid w:val="00D4077C"/>
    <w:rsid w:val="00D46F1B"/>
    <w:rsid w:val="00D47DAB"/>
    <w:rsid w:val="00D50F99"/>
    <w:rsid w:val="00D5115F"/>
    <w:rsid w:val="00D54F67"/>
    <w:rsid w:val="00D56253"/>
    <w:rsid w:val="00D57CA7"/>
    <w:rsid w:val="00D60B80"/>
    <w:rsid w:val="00D6269F"/>
    <w:rsid w:val="00D632E4"/>
    <w:rsid w:val="00D65624"/>
    <w:rsid w:val="00D65B99"/>
    <w:rsid w:val="00D65F51"/>
    <w:rsid w:val="00D66596"/>
    <w:rsid w:val="00D707DC"/>
    <w:rsid w:val="00D75325"/>
    <w:rsid w:val="00D808C8"/>
    <w:rsid w:val="00D828D5"/>
    <w:rsid w:val="00D83704"/>
    <w:rsid w:val="00D837FE"/>
    <w:rsid w:val="00D84933"/>
    <w:rsid w:val="00D85517"/>
    <w:rsid w:val="00D86175"/>
    <w:rsid w:val="00D8667C"/>
    <w:rsid w:val="00D86AB9"/>
    <w:rsid w:val="00D921EA"/>
    <w:rsid w:val="00D93C21"/>
    <w:rsid w:val="00D9460E"/>
    <w:rsid w:val="00D97CD6"/>
    <w:rsid w:val="00DA0F15"/>
    <w:rsid w:val="00DA2305"/>
    <w:rsid w:val="00DA3CCB"/>
    <w:rsid w:val="00DB1E50"/>
    <w:rsid w:val="00DB6066"/>
    <w:rsid w:val="00DB613E"/>
    <w:rsid w:val="00DC09BC"/>
    <w:rsid w:val="00DC1F91"/>
    <w:rsid w:val="00DC229C"/>
    <w:rsid w:val="00DC29C7"/>
    <w:rsid w:val="00DC2E7B"/>
    <w:rsid w:val="00DC6966"/>
    <w:rsid w:val="00DD2850"/>
    <w:rsid w:val="00DD59A7"/>
    <w:rsid w:val="00DE344B"/>
    <w:rsid w:val="00DE419B"/>
    <w:rsid w:val="00DE4DE7"/>
    <w:rsid w:val="00DE541B"/>
    <w:rsid w:val="00DE5C23"/>
    <w:rsid w:val="00DE78C6"/>
    <w:rsid w:val="00DF2155"/>
    <w:rsid w:val="00DF2C2F"/>
    <w:rsid w:val="00DF414B"/>
    <w:rsid w:val="00DF4202"/>
    <w:rsid w:val="00DF7553"/>
    <w:rsid w:val="00E008B8"/>
    <w:rsid w:val="00E02146"/>
    <w:rsid w:val="00E04FB3"/>
    <w:rsid w:val="00E06A57"/>
    <w:rsid w:val="00E071B5"/>
    <w:rsid w:val="00E1102F"/>
    <w:rsid w:val="00E1136D"/>
    <w:rsid w:val="00E11743"/>
    <w:rsid w:val="00E13129"/>
    <w:rsid w:val="00E16F8A"/>
    <w:rsid w:val="00E23FF6"/>
    <w:rsid w:val="00E24102"/>
    <w:rsid w:val="00E253E9"/>
    <w:rsid w:val="00E259D7"/>
    <w:rsid w:val="00E27015"/>
    <w:rsid w:val="00E319DF"/>
    <w:rsid w:val="00E33D3D"/>
    <w:rsid w:val="00E33E43"/>
    <w:rsid w:val="00E34804"/>
    <w:rsid w:val="00E35C9E"/>
    <w:rsid w:val="00E36548"/>
    <w:rsid w:val="00E42944"/>
    <w:rsid w:val="00E43693"/>
    <w:rsid w:val="00E44A51"/>
    <w:rsid w:val="00E4563E"/>
    <w:rsid w:val="00E4733C"/>
    <w:rsid w:val="00E53391"/>
    <w:rsid w:val="00E56E71"/>
    <w:rsid w:val="00E61387"/>
    <w:rsid w:val="00E62A2D"/>
    <w:rsid w:val="00E64592"/>
    <w:rsid w:val="00E66453"/>
    <w:rsid w:val="00E66732"/>
    <w:rsid w:val="00E67AFC"/>
    <w:rsid w:val="00E7055A"/>
    <w:rsid w:val="00E70842"/>
    <w:rsid w:val="00E716BA"/>
    <w:rsid w:val="00E7283C"/>
    <w:rsid w:val="00E72A7B"/>
    <w:rsid w:val="00E72CF8"/>
    <w:rsid w:val="00E7404B"/>
    <w:rsid w:val="00E82301"/>
    <w:rsid w:val="00E848E5"/>
    <w:rsid w:val="00E86D60"/>
    <w:rsid w:val="00E87B42"/>
    <w:rsid w:val="00E93C9A"/>
    <w:rsid w:val="00E95521"/>
    <w:rsid w:val="00E96144"/>
    <w:rsid w:val="00E96D77"/>
    <w:rsid w:val="00EA1827"/>
    <w:rsid w:val="00EA6377"/>
    <w:rsid w:val="00EA7D4F"/>
    <w:rsid w:val="00EB16F7"/>
    <w:rsid w:val="00EB2082"/>
    <w:rsid w:val="00EB2B89"/>
    <w:rsid w:val="00EB3CAA"/>
    <w:rsid w:val="00EB48E3"/>
    <w:rsid w:val="00EB50C5"/>
    <w:rsid w:val="00EB7478"/>
    <w:rsid w:val="00EC11C3"/>
    <w:rsid w:val="00EC2212"/>
    <w:rsid w:val="00EC24FE"/>
    <w:rsid w:val="00EC504C"/>
    <w:rsid w:val="00EC6405"/>
    <w:rsid w:val="00EC6B4D"/>
    <w:rsid w:val="00ED08C2"/>
    <w:rsid w:val="00ED4B7C"/>
    <w:rsid w:val="00ED5052"/>
    <w:rsid w:val="00ED739C"/>
    <w:rsid w:val="00EE07F7"/>
    <w:rsid w:val="00EE1E13"/>
    <w:rsid w:val="00EE2A6B"/>
    <w:rsid w:val="00EE4280"/>
    <w:rsid w:val="00EE44B9"/>
    <w:rsid w:val="00EE4608"/>
    <w:rsid w:val="00EE55D6"/>
    <w:rsid w:val="00EE5C18"/>
    <w:rsid w:val="00EF12BD"/>
    <w:rsid w:val="00EF2EA1"/>
    <w:rsid w:val="00EF3E1A"/>
    <w:rsid w:val="00EF484B"/>
    <w:rsid w:val="00EF5727"/>
    <w:rsid w:val="00EF5CA9"/>
    <w:rsid w:val="00F01BA2"/>
    <w:rsid w:val="00F02000"/>
    <w:rsid w:val="00F03AE5"/>
    <w:rsid w:val="00F05440"/>
    <w:rsid w:val="00F1183A"/>
    <w:rsid w:val="00F13D9E"/>
    <w:rsid w:val="00F14784"/>
    <w:rsid w:val="00F177EF"/>
    <w:rsid w:val="00F21D8C"/>
    <w:rsid w:val="00F23A7F"/>
    <w:rsid w:val="00F243AC"/>
    <w:rsid w:val="00F2568E"/>
    <w:rsid w:val="00F25A2E"/>
    <w:rsid w:val="00F277BC"/>
    <w:rsid w:val="00F27CEF"/>
    <w:rsid w:val="00F316B1"/>
    <w:rsid w:val="00F325FF"/>
    <w:rsid w:val="00F335C6"/>
    <w:rsid w:val="00F3674E"/>
    <w:rsid w:val="00F3692A"/>
    <w:rsid w:val="00F37F45"/>
    <w:rsid w:val="00F40510"/>
    <w:rsid w:val="00F41804"/>
    <w:rsid w:val="00F419E4"/>
    <w:rsid w:val="00F471B8"/>
    <w:rsid w:val="00F50896"/>
    <w:rsid w:val="00F508B4"/>
    <w:rsid w:val="00F51FA0"/>
    <w:rsid w:val="00F55C88"/>
    <w:rsid w:val="00F56712"/>
    <w:rsid w:val="00F56BD4"/>
    <w:rsid w:val="00F56BDF"/>
    <w:rsid w:val="00F6038F"/>
    <w:rsid w:val="00F61B83"/>
    <w:rsid w:val="00F669D6"/>
    <w:rsid w:val="00F67158"/>
    <w:rsid w:val="00F726F7"/>
    <w:rsid w:val="00F76FF3"/>
    <w:rsid w:val="00F773A9"/>
    <w:rsid w:val="00F815AC"/>
    <w:rsid w:val="00F83EA9"/>
    <w:rsid w:val="00F86E72"/>
    <w:rsid w:val="00F86FED"/>
    <w:rsid w:val="00F901DF"/>
    <w:rsid w:val="00F90F3B"/>
    <w:rsid w:val="00F92D3E"/>
    <w:rsid w:val="00F93A5E"/>
    <w:rsid w:val="00F96A01"/>
    <w:rsid w:val="00F978EC"/>
    <w:rsid w:val="00FA047B"/>
    <w:rsid w:val="00FA281D"/>
    <w:rsid w:val="00FA3193"/>
    <w:rsid w:val="00FA39A0"/>
    <w:rsid w:val="00FA47D8"/>
    <w:rsid w:val="00FA549B"/>
    <w:rsid w:val="00FB304A"/>
    <w:rsid w:val="00FB3A0F"/>
    <w:rsid w:val="00FB4465"/>
    <w:rsid w:val="00FB4618"/>
    <w:rsid w:val="00FB4F9B"/>
    <w:rsid w:val="00FB5834"/>
    <w:rsid w:val="00FB653B"/>
    <w:rsid w:val="00FB7A46"/>
    <w:rsid w:val="00FC1FCE"/>
    <w:rsid w:val="00FC2CAC"/>
    <w:rsid w:val="00FC318A"/>
    <w:rsid w:val="00FC5FE9"/>
    <w:rsid w:val="00FC72AD"/>
    <w:rsid w:val="00FC74B3"/>
    <w:rsid w:val="00FC7EC0"/>
    <w:rsid w:val="00FD0F1A"/>
    <w:rsid w:val="00FD1636"/>
    <w:rsid w:val="00FD4882"/>
    <w:rsid w:val="00FD6844"/>
    <w:rsid w:val="00FE0CCA"/>
    <w:rsid w:val="00FE11BD"/>
    <w:rsid w:val="00FE3007"/>
    <w:rsid w:val="00FE4BD6"/>
    <w:rsid w:val="00FE5C12"/>
    <w:rsid w:val="00FF00F2"/>
    <w:rsid w:val="00FF1E16"/>
    <w:rsid w:val="00FF240C"/>
    <w:rsid w:val="00FF277C"/>
    <w:rsid w:val="00FF2999"/>
    <w:rsid w:val="00FF50A7"/>
    <w:rsid w:val="00FF7438"/>
    <w:rsid w:val="0109769A"/>
    <w:rsid w:val="0120D1C9"/>
    <w:rsid w:val="01231803"/>
    <w:rsid w:val="0137C794"/>
    <w:rsid w:val="01421C34"/>
    <w:rsid w:val="015FC2E5"/>
    <w:rsid w:val="0167C78A"/>
    <w:rsid w:val="01986801"/>
    <w:rsid w:val="01AB1C68"/>
    <w:rsid w:val="01AF44B7"/>
    <w:rsid w:val="01CB0A75"/>
    <w:rsid w:val="01E16DBB"/>
    <w:rsid w:val="01E84779"/>
    <w:rsid w:val="0213CC61"/>
    <w:rsid w:val="023CBBAA"/>
    <w:rsid w:val="0265F8A3"/>
    <w:rsid w:val="02743FB9"/>
    <w:rsid w:val="027C5F82"/>
    <w:rsid w:val="02930CE9"/>
    <w:rsid w:val="02AC9D31"/>
    <w:rsid w:val="02B6306A"/>
    <w:rsid w:val="02C1562E"/>
    <w:rsid w:val="02C3C6F8"/>
    <w:rsid w:val="02EC4C23"/>
    <w:rsid w:val="02F7A313"/>
    <w:rsid w:val="02FC60E3"/>
    <w:rsid w:val="0326CC4B"/>
    <w:rsid w:val="036791D6"/>
    <w:rsid w:val="036962E8"/>
    <w:rsid w:val="037712E1"/>
    <w:rsid w:val="03820A69"/>
    <w:rsid w:val="038417DA"/>
    <w:rsid w:val="03860239"/>
    <w:rsid w:val="038E1869"/>
    <w:rsid w:val="0391E0E3"/>
    <w:rsid w:val="03AF9CC2"/>
    <w:rsid w:val="03E24F73"/>
    <w:rsid w:val="03F8E8DE"/>
    <w:rsid w:val="0401C904"/>
    <w:rsid w:val="04036F37"/>
    <w:rsid w:val="041B4FD0"/>
    <w:rsid w:val="042F2134"/>
    <w:rsid w:val="043DB228"/>
    <w:rsid w:val="046C898E"/>
    <w:rsid w:val="04745D23"/>
    <w:rsid w:val="0489FF77"/>
    <w:rsid w:val="04A08A61"/>
    <w:rsid w:val="04AA0E72"/>
    <w:rsid w:val="04E2BD2A"/>
    <w:rsid w:val="04F947BA"/>
    <w:rsid w:val="0507F562"/>
    <w:rsid w:val="0514DB3D"/>
    <w:rsid w:val="05168624"/>
    <w:rsid w:val="05256B7B"/>
    <w:rsid w:val="052CD388"/>
    <w:rsid w:val="052D9BB3"/>
    <w:rsid w:val="055B3037"/>
    <w:rsid w:val="057913CF"/>
    <w:rsid w:val="057D3D3E"/>
    <w:rsid w:val="059C22CD"/>
    <w:rsid w:val="05AF0BF3"/>
    <w:rsid w:val="05C90971"/>
    <w:rsid w:val="05D643D9"/>
    <w:rsid w:val="05FFA9CC"/>
    <w:rsid w:val="06110471"/>
    <w:rsid w:val="061146DB"/>
    <w:rsid w:val="062C069E"/>
    <w:rsid w:val="0640C633"/>
    <w:rsid w:val="0682B5DA"/>
    <w:rsid w:val="06D0781F"/>
    <w:rsid w:val="06FE443D"/>
    <w:rsid w:val="07056F4B"/>
    <w:rsid w:val="0728945C"/>
    <w:rsid w:val="07343E60"/>
    <w:rsid w:val="073E8932"/>
    <w:rsid w:val="07402DE1"/>
    <w:rsid w:val="07442DE4"/>
    <w:rsid w:val="0762296D"/>
    <w:rsid w:val="07808A45"/>
    <w:rsid w:val="07A3FE17"/>
    <w:rsid w:val="07ABDB67"/>
    <w:rsid w:val="07C7D6FF"/>
    <w:rsid w:val="07D3C8CE"/>
    <w:rsid w:val="07FA562C"/>
    <w:rsid w:val="080DDBBF"/>
    <w:rsid w:val="0817FCA7"/>
    <w:rsid w:val="0850AF3F"/>
    <w:rsid w:val="087F20A4"/>
    <w:rsid w:val="08BBDFED"/>
    <w:rsid w:val="08BE8D43"/>
    <w:rsid w:val="08CA5C5A"/>
    <w:rsid w:val="09207385"/>
    <w:rsid w:val="09233960"/>
    <w:rsid w:val="09234C67"/>
    <w:rsid w:val="092DFD3E"/>
    <w:rsid w:val="0947ABC8"/>
    <w:rsid w:val="0951AC9A"/>
    <w:rsid w:val="09760930"/>
    <w:rsid w:val="09AF0571"/>
    <w:rsid w:val="09D3F797"/>
    <w:rsid w:val="09D45B87"/>
    <w:rsid w:val="09E29E2B"/>
    <w:rsid w:val="09E788B8"/>
    <w:rsid w:val="09F4FFCC"/>
    <w:rsid w:val="0A1934E1"/>
    <w:rsid w:val="0A3BC88C"/>
    <w:rsid w:val="0A48E5D7"/>
    <w:rsid w:val="0A492A86"/>
    <w:rsid w:val="0A4BDBF6"/>
    <w:rsid w:val="0A64D006"/>
    <w:rsid w:val="0A802EA9"/>
    <w:rsid w:val="0A9E62B8"/>
    <w:rsid w:val="0AA22BC9"/>
    <w:rsid w:val="0AA8DE84"/>
    <w:rsid w:val="0AE5E769"/>
    <w:rsid w:val="0AEF08A9"/>
    <w:rsid w:val="0B24935D"/>
    <w:rsid w:val="0B389E46"/>
    <w:rsid w:val="0B47D148"/>
    <w:rsid w:val="0B6A15E6"/>
    <w:rsid w:val="0B6BD21F"/>
    <w:rsid w:val="0BA5C7FF"/>
    <w:rsid w:val="0BC13CF7"/>
    <w:rsid w:val="0BCCD014"/>
    <w:rsid w:val="0BD90872"/>
    <w:rsid w:val="0C2B62A3"/>
    <w:rsid w:val="0C5EDC50"/>
    <w:rsid w:val="0C787737"/>
    <w:rsid w:val="0C8686FE"/>
    <w:rsid w:val="0C91CB80"/>
    <w:rsid w:val="0CD2456D"/>
    <w:rsid w:val="0CD613F8"/>
    <w:rsid w:val="0CE14CE2"/>
    <w:rsid w:val="0CEF6F56"/>
    <w:rsid w:val="0CF1A79B"/>
    <w:rsid w:val="0CFD527E"/>
    <w:rsid w:val="0D1E409C"/>
    <w:rsid w:val="0D3656EE"/>
    <w:rsid w:val="0D3EF9AB"/>
    <w:rsid w:val="0D43830B"/>
    <w:rsid w:val="0D4A2D6E"/>
    <w:rsid w:val="0D4E2FFC"/>
    <w:rsid w:val="0D568C74"/>
    <w:rsid w:val="0D76304B"/>
    <w:rsid w:val="0D91601F"/>
    <w:rsid w:val="0DAA6BBD"/>
    <w:rsid w:val="0DFEBAF8"/>
    <w:rsid w:val="0E03E072"/>
    <w:rsid w:val="0E4E3436"/>
    <w:rsid w:val="0E5BF529"/>
    <w:rsid w:val="0E732427"/>
    <w:rsid w:val="0E9E3F45"/>
    <w:rsid w:val="0EC242D0"/>
    <w:rsid w:val="0ECA12A1"/>
    <w:rsid w:val="0EE8DD66"/>
    <w:rsid w:val="0EF0B783"/>
    <w:rsid w:val="0EF71241"/>
    <w:rsid w:val="0F1DA4E8"/>
    <w:rsid w:val="0F58FA47"/>
    <w:rsid w:val="0F70E036"/>
    <w:rsid w:val="0F8DC43C"/>
    <w:rsid w:val="0FA315E0"/>
    <w:rsid w:val="0FBBDBEE"/>
    <w:rsid w:val="0FC51BD9"/>
    <w:rsid w:val="0FD1F0C6"/>
    <w:rsid w:val="0FDBFE43"/>
    <w:rsid w:val="0FF52F48"/>
    <w:rsid w:val="1018EDA4"/>
    <w:rsid w:val="10291143"/>
    <w:rsid w:val="102C65E8"/>
    <w:rsid w:val="1039D909"/>
    <w:rsid w:val="104B18F3"/>
    <w:rsid w:val="106ADBE3"/>
    <w:rsid w:val="1082D8E7"/>
    <w:rsid w:val="10B7CC85"/>
    <w:rsid w:val="10C2A97B"/>
    <w:rsid w:val="10C5AA7C"/>
    <w:rsid w:val="10CC62C8"/>
    <w:rsid w:val="10CEB4C5"/>
    <w:rsid w:val="10D35D46"/>
    <w:rsid w:val="110BBC18"/>
    <w:rsid w:val="110D038C"/>
    <w:rsid w:val="11272D45"/>
    <w:rsid w:val="112E2A26"/>
    <w:rsid w:val="11365BBA"/>
    <w:rsid w:val="1157AC4F"/>
    <w:rsid w:val="1167F2B8"/>
    <w:rsid w:val="11750CC5"/>
    <w:rsid w:val="119EB012"/>
    <w:rsid w:val="11B1F145"/>
    <w:rsid w:val="11BFA2C7"/>
    <w:rsid w:val="11C3FC28"/>
    <w:rsid w:val="11C696D2"/>
    <w:rsid w:val="11D23425"/>
    <w:rsid w:val="11E6E954"/>
    <w:rsid w:val="1206AC44"/>
    <w:rsid w:val="124F26B5"/>
    <w:rsid w:val="12790BF0"/>
    <w:rsid w:val="128C4209"/>
    <w:rsid w:val="129039BE"/>
    <w:rsid w:val="12B2D58B"/>
    <w:rsid w:val="12E3E613"/>
    <w:rsid w:val="12E83BD8"/>
    <w:rsid w:val="137225C0"/>
    <w:rsid w:val="13874C89"/>
    <w:rsid w:val="1389734C"/>
    <w:rsid w:val="13900ED7"/>
    <w:rsid w:val="13931D3C"/>
    <w:rsid w:val="1396B53B"/>
    <w:rsid w:val="139BE212"/>
    <w:rsid w:val="13A15E3E"/>
    <w:rsid w:val="13A27CA5"/>
    <w:rsid w:val="13B3CED3"/>
    <w:rsid w:val="13D15B2D"/>
    <w:rsid w:val="13F1160B"/>
    <w:rsid w:val="1424C0D9"/>
    <w:rsid w:val="1465CAE8"/>
    <w:rsid w:val="146ADB43"/>
    <w:rsid w:val="149A9F83"/>
    <w:rsid w:val="14A110FF"/>
    <w:rsid w:val="14ABDCBA"/>
    <w:rsid w:val="14B02180"/>
    <w:rsid w:val="14B039AF"/>
    <w:rsid w:val="14EB55F8"/>
    <w:rsid w:val="14EDB268"/>
    <w:rsid w:val="14EEB38E"/>
    <w:rsid w:val="150D4A2C"/>
    <w:rsid w:val="15118270"/>
    <w:rsid w:val="1524B95A"/>
    <w:rsid w:val="152F3CB8"/>
    <w:rsid w:val="154507A8"/>
    <w:rsid w:val="155DB128"/>
    <w:rsid w:val="156333DC"/>
    <w:rsid w:val="15867026"/>
    <w:rsid w:val="15E123CE"/>
    <w:rsid w:val="15F1478B"/>
    <w:rsid w:val="160CE609"/>
    <w:rsid w:val="162AD40F"/>
    <w:rsid w:val="163A1226"/>
    <w:rsid w:val="163A3BA2"/>
    <w:rsid w:val="165302B8"/>
    <w:rsid w:val="167927B3"/>
    <w:rsid w:val="16A51466"/>
    <w:rsid w:val="16AC886D"/>
    <w:rsid w:val="16EA7840"/>
    <w:rsid w:val="172614EB"/>
    <w:rsid w:val="172DD519"/>
    <w:rsid w:val="174FA619"/>
    <w:rsid w:val="175A9949"/>
    <w:rsid w:val="17837DC8"/>
    <w:rsid w:val="17CB8DAE"/>
    <w:rsid w:val="17D02174"/>
    <w:rsid w:val="17FB1F35"/>
    <w:rsid w:val="17FC5635"/>
    <w:rsid w:val="18265450"/>
    <w:rsid w:val="1829BF35"/>
    <w:rsid w:val="184596E3"/>
    <w:rsid w:val="188B7CC4"/>
    <w:rsid w:val="18B17885"/>
    <w:rsid w:val="18E65685"/>
    <w:rsid w:val="194EC5E6"/>
    <w:rsid w:val="1952170C"/>
    <w:rsid w:val="1960D048"/>
    <w:rsid w:val="19616FBA"/>
    <w:rsid w:val="19625713"/>
    <w:rsid w:val="19737AD2"/>
    <w:rsid w:val="19FD2AA1"/>
    <w:rsid w:val="1A0EECE9"/>
    <w:rsid w:val="1A16304E"/>
    <w:rsid w:val="1A2F58AB"/>
    <w:rsid w:val="1A5A8CCF"/>
    <w:rsid w:val="1A62C230"/>
    <w:rsid w:val="1A79C90B"/>
    <w:rsid w:val="1A8F1BD8"/>
    <w:rsid w:val="1A943B44"/>
    <w:rsid w:val="1AA0871E"/>
    <w:rsid w:val="1AB0D85E"/>
    <w:rsid w:val="1ADAB5A7"/>
    <w:rsid w:val="1AF5049C"/>
    <w:rsid w:val="1B216202"/>
    <w:rsid w:val="1B57E151"/>
    <w:rsid w:val="1B5DF512"/>
    <w:rsid w:val="1B640369"/>
    <w:rsid w:val="1B6F0EC2"/>
    <w:rsid w:val="1B8D38F4"/>
    <w:rsid w:val="1B8DD948"/>
    <w:rsid w:val="1B8E9315"/>
    <w:rsid w:val="1BBC4CF6"/>
    <w:rsid w:val="1BBDB3DD"/>
    <w:rsid w:val="1BCA3AD1"/>
    <w:rsid w:val="1BD143FC"/>
    <w:rsid w:val="1BDAB6CB"/>
    <w:rsid w:val="1C0BB500"/>
    <w:rsid w:val="1C1AAA9A"/>
    <w:rsid w:val="1C640AE4"/>
    <w:rsid w:val="1C8D9B97"/>
    <w:rsid w:val="1C9CB40E"/>
    <w:rsid w:val="1CB72157"/>
    <w:rsid w:val="1CEB5996"/>
    <w:rsid w:val="1CF374FC"/>
    <w:rsid w:val="1CFE15C3"/>
    <w:rsid w:val="1D14C284"/>
    <w:rsid w:val="1D2E6859"/>
    <w:rsid w:val="1D342347"/>
    <w:rsid w:val="1D50854F"/>
    <w:rsid w:val="1D664642"/>
    <w:rsid w:val="1DC030D5"/>
    <w:rsid w:val="1DE63EB1"/>
    <w:rsid w:val="1E2098DA"/>
    <w:rsid w:val="1E20C58D"/>
    <w:rsid w:val="1E3BD839"/>
    <w:rsid w:val="1E494431"/>
    <w:rsid w:val="1E5C4A7C"/>
    <w:rsid w:val="1E5D0EFE"/>
    <w:rsid w:val="1E61BAF8"/>
    <w:rsid w:val="1E8F8213"/>
    <w:rsid w:val="1E9595D4"/>
    <w:rsid w:val="1E97193C"/>
    <w:rsid w:val="1E975AE7"/>
    <w:rsid w:val="1EA44779"/>
    <w:rsid w:val="1EA94CED"/>
    <w:rsid w:val="1EC19589"/>
    <w:rsid w:val="1EC9D12F"/>
    <w:rsid w:val="1ECB9BA0"/>
    <w:rsid w:val="1EE43C5F"/>
    <w:rsid w:val="1F00D785"/>
    <w:rsid w:val="1F1D322B"/>
    <w:rsid w:val="1F3BB638"/>
    <w:rsid w:val="1F3E44C9"/>
    <w:rsid w:val="1F55A73F"/>
    <w:rsid w:val="1F5C0136"/>
    <w:rsid w:val="1F699415"/>
    <w:rsid w:val="1F70306A"/>
    <w:rsid w:val="1F7320AA"/>
    <w:rsid w:val="1F870400"/>
    <w:rsid w:val="20316635"/>
    <w:rsid w:val="203986BD"/>
    <w:rsid w:val="205D5629"/>
    <w:rsid w:val="2060AA17"/>
    <w:rsid w:val="2062923B"/>
    <w:rsid w:val="2063AC50"/>
    <w:rsid w:val="2065965E"/>
    <w:rsid w:val="208568B6"/>
    <w:rsid w:val="208DFE28"/>
    <w:rsid w:val="208F6DE9"/>
    <w:rsid w:val="209C938B"/>
    <w:rsid w:val="20D60914"/>
    <w:rsid w:val="20E7D87F"/>
    <w:rsid w:val="2100A3BC"/>
    <w:rsid w:val="2100F149"/>
    <w:rsid w:val="2118C609"/>
    <w:rsid w:val="212CC939"/>
    <w:rsid w:val="213920FB"/>
    <w:rsid w:val="21429E0F"/>
    <w:rsid w:val="2149F72B"/>
    <w:rsid w:val="217934C5"/>
    <w:rsid w:val="217DE36C"/>
    <w:rsid w:val="2205B715"/>
    <w:rsid w:val="2209F124"/>
    <w:rsid w:val="2210075C"/>
    <w:rsid w:val="22179968"/>
    <w:rsid w:val="221BDD21"/>
    <w:rsid w:val="2227BD25"/>
    <w:rsid w:val="22494E0D"/>
    <w:rsid w:val="225BC231"/>
    <w:rsid w:val="2260140C"/>
    <w:rsid w:val="22893159"/>
    <w:rsid w:val="2291E70A"/>
    <w:rsid w:val="229A837A"/>
    <w:rsid w:val="22A26E05"/>
    <w:rsid w:val="22C93E05"/>
    <w:rsid w:val="22CD5343"/>
    <w:rsid w:val="230251D5"/>
    <w:rsid w:val="233E73A9"/>
    <w:rsid w:val="2370C45E"/>
    <w:rsid w:val="237A8A95"/>
    <w:rsid w:val="237DD936"/>
    <w:rsid w:val="2386B3D3"/>
    <w:rsid w:val="2389DFF8"/>
    <w:rsid w:val="238C5CE4"/>
    <w:rsid w:val="239A9CE6"/>
    <w:rsid w:val="23A2FAFA"/>
    <w:rsid w:val="23B23D37"/>
    <w:rsid w:val="23B53031"/>
    <w:rsid w:val="23D25D47"/>
    <w:rsid w:val="23EDC553"/>
    <w:rsid w:val="23F32FC4"/>
    <w:rsid w:val="23FD4439"/>
    <w:rsid w:val="2406D0CE"/>
    <w:rsid w:val="240AE4EA"/>
    <w:rsid w:val="24324551"/>
    <w:rsid w:val="2471F775"/>
    <w:rsid w:val="24AB42FA"/>
    <w:rsid w:val="24B7A0F1"/>
    <w:rsid w:val="24CFBB11"/>
    <w:rsid w:val="24FB68A2"/>
    <w:rsid w:val="24FCA4C3"/>
    <w:rsid w:val="2504D758"/>
    <w:rsid w:val="252A5573"/>
    <w:rsid w:val="255A2EB2"/>
    <w:rsid w:val="2560D07B"/>
    <w:rsid w:val="256A495A"/>
    <w:rsid w:val="257FF27B"/>
    <w:rsid w:val="25822C3F"/>
    <w:rsid w:val="25A4BC08"/>
    <w:rsid w:val="25A58FB3"/>
    <w:rsid w:val="25AC48A8"/>
    <w:rsid w:val="25C36A83"/>
    <w:rsid w:val="25DDB7A6"/>
    <w:rsid w:val="263A221C"/>
    <w:rsid w:val="265C01C5"/>
    <w:rsid w:val="265C2DE2"/>
    <w:rsid w:val="26795508"/>
    <w:rsid w:val="269A93F8"/>
    <w:rsid w:val="26A436DF"/>
    <w:rsid w:val="26A88857"/>
    <w:rsid w:val="26C322FC"/>
    <w:rsid w:val="26C5C11D"/>
    <w:rsid w:val="26D01C90"/>
    <w:rsid w:val="26E7F2B5"/>
    <w:rsid w:val="26ECABFD"/>
    <w:rsid w:val="26F62E93"/>
    <w:rsid w:val="2723BBA4"/>
    <w:rsid w:val="27514434"/>
    <w:rsid w:val="2767B839"/>
    <w:rsid w:val="278ED8F2"/>
    <w:rsid w:val="27914EB2"/>
    <w:rsid w:val="27A70C11"/>
    <w:rsid w:val="27AE0248"/>
    <w:rsid w:val="27BB7CFA"/>
    <w:rsid w:val="27CA7078"/>
    <w:rsid w:val="27D8FBF9"/>
    <w:rsid w:val="27FF3F32"/>
    <w:rsid w:val="28146B2F"/>
    <w:rsid w:val="28186BEE"/>
    <w:rsid w:val="283F69F7"/>
    <w:rsid w:val="2894AEBC"/>
    <w:rsid w:val="28C0487C"/>
    <w:rsid w:val="28DC1458"/>
    <w:rsid w:val="28DC924C"/>
    <w:rsid w:val="28DEF0B9"/>
    <w:rsid w:val="28F039D5"/>
    <w:rsid w:val="28F8C3EA"/>
    <w:rsid w:val="291BF5D6"/>
    <w:rsid w:val="29202A7D"/>
    <w:rsid w:val="292FD469"/>
    <w:rsid w:val="2935D3CC"/>
    <w:rsid w:val="2937332A"/>
    <w:rsid w:val="296640D9"/>
    <w:rsid w:val="296658AD"/>
    <w:rsid w:val="2976F412"/>
    <w:rsid w:val="299D2484"/>
    <w:rsid w:val="29C55147"/>
    <w:rsid w:val="29E55982"/>
    <w:rsid w:val="29EC0E39"/>
    <w:rsid w:val="29ECD4F1"/>
    <w:rsid w:val="2A04386F"/>
    <w:rsid w:val="2A09C69C"/>
    <w:rsid w:val="2A20AB88"/>
    <w:rsid w:val="2A38EDE9"/>
    <w:rsid w:val="2A627148"/>
    <w:rsid w:val="2A6EAA28"/>
    <w:rsid w:val="2A7BD5A6"/>
    <w:rsid w:val="2AF21A86"/>
    <w:rsid w:val="2AF31DBC"/>
    <w:rsid w:val="2B095240"/>
    <w:rsid w:val="2B38E7DD"/>
    <w:rsid w:val="2B79C468"/>
    <w:rsid w:val="2B88B7E9"/>
    <w:rsid w:val="2B89EF92"/>
    <w:rsid w:val="2BA30EBE"/>
    <w:rsid w:val="2BA35CBE"/>
    <w:rsid w:val="2BC5BA15"/>
    <w:rsid w:val="2BD3C634"/>
    <w:rsid w:val="2BD6601A"/>
    <w:rsid w:val="2BD8594A"/>
    <w:rsid w:val="2BD8DA26"/>
    <w:rsid w:val="2BFE41A9"/>
    <w:rsid w:val="2C0D152D"/>
    <w:rsid w:val="2C17A607"/>
    <w:rsid w:val="2C2EEEC0"/>
    <w:rsid w:val="2C46E72E"/>
    <w:rsid w:val="2C4CA298"/>
    <w:rsid w:val="2C6D748E"/>
    <w:rsid w:val="2C7C2F10"/>
    <w:rsid w:val="2C81736B"/>
    <w:rsid w:val="2C8DD8EC"/>
    <w:rsid w:val="2C8FB14C"/>
    <w:rsid w:val="2CA93C1F"/>
    <w:rsid w:val="2CB2557C"/>
    <w:rsid w:val="2CB721CC"/>
    <w:rsid w:val="2CC9AD33"/>
    <w:rsid w:val="2CD9A879"/>
    <w:rsid w:val="2CE22B14"/>
    <w:rsid w:val="2CF91E1E"/>
    <w:rsid w:val="2D12A639"/>
    <w:rsid w:val="2D183CDE"/>
    <w:rsid w:val="2D23D88A"/>
    <w:rsid w:val="2D2856CF"/>
    <w:rsid w:val="2D2EFD4E"/>
    <w:rsid w:val="2D3586A2"/>
    <w:rsid w:val="2D4FA7F1"/>
    <w:rsid w:val="2DB609A1"/>
    <w:rsid w:val="2DC085B8"/>
    <w:rsid w:val="2DD3DD18"/>
    <w:rsid w:val="2DD71CF7"/>
    <w:rsid w:val="2DE5D92B"/>
    <w:rsid w:val="2DE8C827"/>
    <w:rsid w:val="2E313CD8"/>
    <w:rsid w:val="2E39C9D0"/>
    <w:rsid w:val="2E3E6E80"/>
    <w:rsid w:val="2E467CF6"/>
    <w:rsid w:val="2E604B23"/>
    <w:rsid w:val="2E6F829F"/>
    <w:rsid w:val="2E8ED17B"/>
    <w:rsid w:val="2E94EE7F"/>
    <w:rsid w:val="2ECAE76E"/>
    <w:rsid w:val="2ECDE1D9"/>
    <w:rsid w:val="2EFA7526"/>
    <w:rsid w:val="2F066EF5"/>
    <w:rsid w:val="2F17983F"/>
    <w:rsid w:val="2F24FFCB"/>
    <w:rsid w:val="2F40B53D"/>
    <w:rsid w:val="2F4F46C9"/>
    <w:rsid w:val="2F5D8996"/>
    <w:rsid w:val="2F7BE77D"/>
    <w:rsid w:val="2F8018F2"/>
    <w:rsid w:val="2F945F44"/>
    <w:rsid w:val="2F966ACD"/>
    <w:rsid w:val="2FC68EDF"/>
    <w:rsid w:val="2FDF69E0"/>
    <w:rsid w:val="2FEEC28E"/>
    <w:rsid w:val="3008E2A2"/>
    <w:rsid w:val="300FA1B5"/>
    <w:rsid w:val="300FD853"/>
    <w:rsid w:val="3054EB71"/>
    <w:rsid w:val="305EC33B"/>
    <w:rsid w:val="309B959C"/>
    <w:rsid w:val="30AFAC09"/>
    <w:rsid w:val="30B5F73E"/>
    <w:rsid w:val="30BE751F"/>
    <w:rsid w:val="30D1B2CC"/>
    <w:rsid w:val="30D81A91"/>
    <w:rsid w:val="3127BD54"/>
    <w:rsid w:val="3140E5B1"/>
    <w:rsid w:val="3165EC94"/>
    <w:rsid w:val="318DBCCF"/>
    <w:rsid w:val="31B3D886"/>
    <w:rsid w:val="31BB9871"/>
    <w:rsid w:val="31D8103F"/>
    <w:rsid w:val="31EC61B1"/>
    <w:rsid w:val="31F7D234"/>
    <w:rsid w:val="32069B02"/>
    <w:rsid w:val="32092FAA"/>
    <w:rsid w:val="323CF67E"/>
    <w:rsid w:val="324BEED3"/>
    <w:rsid w:val="32552CE6"/>
    <w:rsid w:val="32705267"/>
    <w:rsid w:val="32897AC4"/>
    <w:rsid w:val="3293F6DB"/>
    <w:rsid w:val="32988A8F"/>
    <w:rsid w:val="3298AF3D"/>
    <w:rsid w:val="329C24C8"/>
    <w:rsid w:val="329D4336"/>
    <w:rsid w:val="32A70C81"/>
    <w:rsid w:val="32C38DB5"/>
    <w:rsid w:val="32E7A1EE"/>
    <w:rsid w:val="330D3AF3"/>
    <w:rsid w:val="331FBA4C"/>
    <w:rsid w:val="333DBCA3"/>
    <w:rsid w:val="3383F969"/>
    <w:rsid w:val="33D19FE0"/>
    <w:rsid w:val="33DAD80B"/>
    <w:rsid w:val="33DB23E4"/>
    <w:rsid w:val="33EFAA53"/>
    <w:rsid w:val="33FE37E1"/>
    <w:rsid w:val="3433FA9A"/>
    <w:rsid w:val="3435E350"/>
    <w:rsid w:val="3436B6B5"/>
    <w:rsid w:val="345D7DDC"/>
    <w:rsid w:val="34A90B54"/>
    <w:rsid w:val="34C233B1"/>
    <w:rsid w:val="34F9CACB"/>
    <w:rsid w:val="34FBCC5F"/>
    <w:rsid w:val="3526AF6F"/>
    <w:rsid w:val="353D1C7E"/>
    <w:rsid w:val="3544AA1D"/>
    <w:rsid w:val="356431BE"/>
    <w:rsid w:val="359CAEAF"/>
    <w:rsid w:val="35B26F40"/>
    <w:rsid w:val="35C444B9"/>
    <w:rsid w:val="35C865D6"/>
    <w:rsid w:val="35D33176"/>
    <w:rsid w:val="3609DE73"/>
    <w:rsid w:val="36497C2B"/>
    <w:rsid w:val="364F5299"/>
    <w:rsid w:val="36528C96"/>
    <w:rsid w:val="365E0412"/>
    <w:rsid w:val="366339EC"/>
    <w:rsid w:val="3698A25F"/>
    <w:rsid w:val="369C96E4"/>
    <w:rsid w:val="36BA5F66"/>
    <w:rsid w:val="36E60633"/>
    <w:rsid w:val="36EDC41A"/>
    <w:rsid w:val="3706CD92"/>
    <w:rsid w:val="3714558F"/>
    <w:rsid w:val="375E9DB9"/>
    <w:rsid w:val="376399A8"/>
    <w:rsid w:val="376677A5"/>
    <w:rsid w:val="379744AA"/>
    <w:rsid w:val="37DC2465"/>
    <w:rsid w:val="3800F50C"/>
    <w:rsid w:val="38308CDC"/>
    <w:rsid w:val="3844AB32"/>
    <w:rsid w:val="3848233A"/>
    <w:rsid w:val="3877DD77"/>
    <w:rsid w:val="3885F25A"/>
    <w:rsid w:val="388B14C0"/>
    <w:rsid w:val="38AA6D0E"/>
    <w:rsid w:val="38C70A39"/>
    <w:rsid w:val="38CBE211"/>
    <w:rsid w:val="38E8CB16"/>
    <w:rsid w:val="38FA6E1A"/>
    <w:rsid w:val="3909B349"/>
    <w:rsid w:val="3911D53B"/>
    <w:rsid w:val="391C89CA"/>
    <w:rsid w:val="39378ACF"/>
    <w:rsid w:val="3946CE16"/>
    <w:rsid w:val="395D1AB0"/>
    <w:rsid w:val="396F3889"/>
    <w:rsid w:val="3973EF7F"/>
    <w:rsid w:val="39762D23"/>
    <w:rsid w:val="399B4D45"/>
    <w:rsid w:val="39F3A1DC"/>
    <w:rsid w:val="3A00F5D0"/>
    <w:rsid w:val="3A0D07F6"/>
    <w:rsid w:val="3A45F8E4"/>
    <w:rsid w:val="3AC1C15F"/>
    <w:rsid w:val="3AC906DB"/>
    <w:rsid w:val="3AD8A118"/>
    <w:rsid w:val="3AE07867"/>
    <w:rsid w:val="3B0874A0"/>
    <w:rsid w:val="3B17F829"/>
    <w:rsid w:val="3B418059"/>
    <w:rsid w:val="3B50A332"/>
    <w:rsid w:val="3B5A3B9E"/>
    <w:rsid w:val="3B8052AC"/>
    <w:rsid w:val="3B88EB77"/>
    <w:rsid w:val="3B8B758F"/>
    <w:rsid w:val="3B9DE45A"/>
    <w:rsid w:val="3BBC4A93"/>
    <w:rsid w:val="3BBD931C"/>
    <w:rsid w:val="3BDB36AD"/>
    <w:rsid w:val="3BE197D1"/>
    <w:rsid w:val="3C1734AD"/>
    <w:rsid w:val="3C1C52F9"/>
    <w:rsid w:val="3C474AD2"/>
    <w:rsid w:val="3C5B6886"/>
    <w:rsid w:val="3C5EC37B"/>
    <w:rsid w:val="3C64CF45"/>
    <w:rsid w:val="3C69520D"/>
    <w:rsid w:val="3C716430"/>
    <w:rsid w:val="3C8D6629"/>
    <w:rsid w:val="3C8F88A6"/>
    <w:rsid w:val="3C999DED"/>
    <w:rsid w:val="3CEC4631"/>
    <w:rsid w:val="3D23EA4D"/>
    <w:rsid w:val="3D252ECE"/>
    <w:rsid w:val="3D2E9C14"/>
    <w:rsid w:val="3D363CB4"/>
    <w:rsid w:val="3D4F142A"/>
    <w:rsid w:val="3D58C018"/>
    <w:rsid w:val="3D5994F9"/>
    <w:rsid w:val="3D5B08B3"/>
    <w:rsid w:val="3D77DCC2"/>
    <w:rsid w:val="3DB8235A"/>
    <w:rsid w:val="3DBC650F"/>
    <w:rsid w:val="3DD7C02A"/>
    <w:rsid w:val="3DE44441"/>
    <w:rsid w:val="3DF520AA"/>
    <w:rsid w:val="3E22B593"/>
    <w:rsid w:val="3E2A8092"/>
    <w:rsid w:val="3E323D8C"/>
    <w:rsid w:val="3E3E0BE9"/>
    <w:rsid w:val="3E4094EC"/>
    <w:rsid w:val="3E437863"/>
    <w:rsid w:val="3E4EAAF6"/>
    <w:rsid w:val="3EA18D3E"/>
    <w:rsid w:val="3ED444EE"/>
    <w:rsid w:val="3EDD821B"/>
    <w:rsid w:val="3EF24A19"/>
    <w:rsid w:val="3F13B76C"/>
    <w:rsid w:val="3F4ED56F"/>
    <w:rsid w:val="3F9012E8"/>
    <w:rsid w:val="3F962BC0"/>
    <w:rsid w:val="3F9D8882"/>
    <w:rsid w:val="3FC1DA6B"/>
    <w:rsid w:val="3FD0FF07"/>
    <w:rsid w:val="4024462B"/>
    <w:rsid w:val="403F2954"/>
    <w:rsid w:val="404813DE"/>
    <w:rsid w:val="4049EB30"/>
    <w:rsid w:val="406DD6AF"/>
    <w:rsid w:val="40709206"/>
    <w:rsid w:val="407C87BE"/>
    <w:rsid w:val="40940EC7"/>
    <w:rsid w:val="409E2207"/>
    <w:rsid w:val="40C12579"/>
    <w:rsid w:val="40C62F6C"/>
    <w:rsid w:val="40DD2242"/>
    <w:rsid w:val="40F1DD79"/>
    <w:rsid w:val="40F29356"/>
    <w:rsid w:val="4103BEC3"/>
    <w:rsid w:val="4108287B"/>
    <w:rsid w:val="412F09AA"/>
    <w:rsid w:val="414028FD"/>
    <w:rsid w:val="417B1925"/>
    <w:rsid w:val="418C53FC"/>
    <w:rsid w:val="418DCF39"/>
    <w:rsid w:val="41947A05"/>
    <w:rsid w:val="41BBB41A"/>
    <w:rsid w:val="41DA3F41"/>
    <w:rsid w:val="41EA37AB"/>
    <w:rsid w:val="41F72C20"/>
    <w:rsid w:val="41FF006B"/>
    <w:rsid w:val="420B5992"/>
    <w:rsid w:val="421522DD"/>
    <w:rsid w:val="421EF74C"/>
    <w:rsid w:val="4245A2EE"/>
    <w:rsid w:val="424BE77E"/>
    <w:rsid w:val="42695224"/>
    <w:rsid w:val="42BC4194"/>
    <w:rsid w:val="42FE497B"/>
    <w:rsid w:val="4328245D"/>
    <w:rsid w:val="432BECEC"/>
    <w:rsid w:val="433FEEBF"/>
    <w:rsid w:val="43488715"/>
    <w:rsid w:val="4361AF72"/>
    <w:rsid w:val="436E4755"/>
    <w:rsid w:val="436F681E"/>
    <w:rsid w:val="4370D7D6"/>
    <w:rsid w:val="4380910C"/>
    <w:rsid w:val="43A83EDD"/>
    <w:rsid w:val="43BBA9BD"/>
    <w:rsid w:val="43C0CE42"/>
    <w:rsid w:val="43C355AC"/>
    <w:rsid w:val="43D1A95B"/>
    <w:rsid w:val="43D320E8"/>
    <w:rsid w:val="440E94B8"/>
    <w:rsid w:val="441BE750"/>
    <w:rsid w:val="442365A8"/>
    <w:rsid w:val="44354140"/>
    <w:rsid w:val="443A1C2C"/>
    <w:rsid w:val="443EE8B9"/>
    <w:rsid w:val="445F29B8"/>
    <w:rsid w:val="4470C936"/>
    <w:rsid w:val="4487FD43"/>
    <w:rsid w:val="44A17F10"/>
    <w:rsid w:val="44A383D4"/>
    <w:rsid w:val="44B6FF49"/>
    <w:rsid w:val="44BD9281"/>
    <w:rsid w:val="44BDCDD2"/>
    <w:rsid w:val="44C2EC87"/>
    <w:rsid w:val="44E07829"/>
    <w:rsid w:val="4533DD96"/>
    <w:rsid w:val="4559231F"/>
    <w:rsid w:val="455C9EA3"/>
    <w:rsid w:val="456EF149"/>
    <w:rsid w:val="4571B724"/>
    <w:rsid w:val="45C45364"/>
    <w:rsid w:val="45C60479"/>
    <w:rsid w:val="45CD2C00"/>
    <w:rsid w:val="45D32FF2"/>
    <w:rsid w:val="45E57D6E"/>
    <w:rsid w:val="462A7820"/>
    <w:rsid w:val="462DC346"/>
    <w:rsid w:val="46437D90"/>
    <w:rsid w:val="46484373"/>
    <w:rsid w:val="465E896C"/>
    <w:rsid w:val="466E2465"/>
    <w:rsid w:val="46C3B17A"/>
    <w:rsid w:val="46E58D6B"/>
    <w:rsid w:val="471635BE"/>
    <w:rsid w:val="4728E870"/>
    <w:rsid w:val="4745EF76"/>
    <w:rsid w:val="474EF792"/>
    <w:rsid w:val="47EA6EBF"/>
    <w:rsid w:val="47EA9AF6"/>
    <w:rsid w:val="481C6C01"/>
    <w:rsid w:val="4843F6B8"/>
    <w:rsid w:val="48576FEB"/>
    <w:rsid w:val="48625FC7"/>
    <w:rsid w:val="487A169A"/>
    <w:rsid w:val="487C0597"/>
    <w:rsid w:val="48A4EFA2"/>
    <w:rsid w:val="48B4E472"/>
    <w:rsid w:val="48C5FE40"/>
    <w:rsid w:val="48E0ADBD"/>
    <w:rsid w:val="4911AC13"/>
    <w:rsid w:val="491C1846"/>
    <w:rsid w:val="4922EC6B"/>
    <w:rsid w:val="49413CFF"/>
    <w:rsid w:val="494AEB44"/>
    <w:rsid w:val="496EA637"/>
    <w:rsid w:val="4975F3C5"/>
    <w:rsid w:val="49845DD0"/>
    <w:rsid w:val="498D1D88"/>
    <w:rsid w:val="498F1C0A"/>
    <w:rsid w:val="49B7C899"/>
    <w:rsid w:val="49F93E96"/>
    <w:rsid w:val="4A1FA977"/>
    <w:rsid w:val="4A622DD9"/>
    <w:rsid w:val="4A64BD68"/>
    <w:rsid w:val="4A660107"/>
    <w:rsid w:val="4A663724"/>
    <w:rsid w:val="4A7058FF"/>
    <w:rsid w:val="4A770A86"/>
    <w:rsid w:val="4A97009B"/>
    <w:rsid w:val="4AAB47A8"/>
    <w:rsid w:val="4AADFD55"/>
    <w:rsid w:val="4AB69D05"/>
    <w:rsid w:val="4AE6358F"/>
    <w:rsid w:val="4AF00B6D"/>
    <w:rsid w:val="4B01CD75"/>
    <w:rsid w:val="4B0E9E63"/>
    <w:rsid w:val="4B239675"/>
    <w:rsid w:val="4B2C8E76"/>
    <w:rsid w:val="4B94B9E2"/>
    <w:rsid w:val="4BA400A5"/>
    <w:rsid w:val="4BB8EEDA"/>
    <w:rsid w:val="4BC0D3F6"/>
    <w:rsid w:val="4BC7E1B0"/>
    <w:rsid w:val="4BD2AF04"/>
    <w:rsid w:val="4BD90347"/>
    <w:rsid w:val="4BFC063F"/>
    <w:rsid w:val="4C059BAB"/>
    <w:rsid w:val="4C219423"/>
    <w:rsid w:val="4C3C8EC6"/>
    <w:rsid w:val="4C42D24A"/>
    <w:rsid w:val="4C46D8A2"/>
    <w:rsid w:val="4C4C13D2"/>
    <w:rsid w:val="4C4FC366"/>
    <w:rsid w:val="4C721B89"/>
    <w:rsid w:val="4C96FB71"/>
    <w:rsid w:val="4CA0432E"/>
    <w:rsid w:val="4CD6EB0D"/>
    <w:rsid w:val="4CD7B587"/>
    <w:rsid w:val="4CDE1C71"/>
    <w:rsid w:val="4CE000D0"/>
    <w:rsid w:val="4CE96845"/>
    <w:rsid w:val="4D310005"/>
    <w:rsid w:val="4D430A1C"/>
    <w:rsid w:val="4D8CE8C0"/>
    <w:rsid w:val="4D8DB931"/>
    <w:rsid w:val="4D94E8C1"/>
    <w:rsid w:val="4DA2F5EF"/>
    <w:rsid w:val="4DC35BA0"/>
    <w:rsid w:val="4DDAAB83"/>
    <w:rsid w:val="4DF6BF7B"/>
    <w:rsid w:val="4E0A5220"/>
    <w:rsid w:val="4E24D323"/>
    <w:rsid w:val="4E2FFFF3"/>
    <w:rsid w:val="4E5BFFBF"/>
    <w:rsid w:val="4E66CD76"/>
    <w:rsid w:val="4E72C48A"/>
    <w:rsid w:val="4E825E39"/>
    <w:rsid w:val="4EBBCBA9"/>
    <w:rsid w:val="4EC857CC"/>
    <w:rsid w:val="4ED0B43D"/>
    <w:rsid w:val="4EE7F747"/>
    <w:rsid w:val="4EF95383"/>
    <w:rsid w:val="4EFBA157"/>
    <w:rsid w:val="4F0B6E6F"/>
    <w:rsid w:val="4F40ABFA"/>
    <w:rsid w:val="4F4C741F"/>
    <w:rsid w:val="4F673AC4"/>
    <w:rsid w:val="4F6CE6BF"/>
    <w:rsid w:val="4F7EB58B"/>
    <w:rsid w:val="4FDCC8B7"/>
    <w:rsid w:val="4FDF75B9"/>
    <w:rsid w:val="4FF4B0BC"/>
    <w:rsid w:val="4FF56C8E"/>
    <w:rsid w:val="500166CD"/>
    <w:rsid w:val="50057DA3"/>
    <w:rsid w:val="5021E087"/>
    <w:rsid w:val="50270A1D"/>
    <w:rsid w:val="502BAE40"/>
    <w:rsid w:val="503633DC"/>
    <w:rsid w:val="503FCCFF"/>
    <w:rsid w:val="50706E4D"/>
    <w:rsid w:val="5073F7AA"/>
    <w:rsid w:val="5076C68F"/>
    <w:rsid w:val="50A0E9DF"/>
    <w:rsid w:val="50D10AB6"/>
    <w:rsid w:val="50EED8E6"/>
    <w:rsid w:val="50FF26B2"/>
    <w:rsid w:val="51321469"/>
    <w:rsid w:val="51434FD7"/>
    <w:rsid w:val="514C0450"/>
    <w:rsid w:val="514D4687"/>
    <w:rsid w:val="5182ED2C"/>
    <w:rsid w:val="51913CEF"/>
    <w:rsid w:val="51A119CB"/>
    <w:rsid w:val="51BA0300"/>
    <w:rsid w:val="51C13294"/>
    <w:rsid w:val="51C33A61"/>
    <w:rsid w:val="51F48671"/>
    <w:rsid w:val="51FC5DEF"/>
    <w:rsid w:val="5224A2B2"/>
    <w:rsid w:val="522A9E6E"/>
    <w:rsid w:val="522E9F7E"/>
    <w:rsid w:val="523C7243"/>
    <w:rsid w:val="52436D66"/>
    <w:rsid w:val="5246AB9E"/>
    <w:rsid w:val="5250190D"/>
    <w:rsid w:val="52502DE4"/>
    <w:rsid w:val="527BF04E"/>
    <w:rsid w:val="5280F25A"/>
    <w:rsid w:val="529AC95A"/>
    <w:rsid w:val="52AC8B86"/>
    <w:rsid w:val="52E64F3E"/>
    <w:rsid w:val="53098965"/>
    <w:rsid w:val="531E9941"/>
    <w:rsid w:val="532E2461"/>
    <w:rsid w:val="534DD0B6"/>
    <w:rsid w:val="535E4D66"/>
    <w:rsid w:val="536F2F26"/>
    <w:rsid w:val="538724D0"/>
    <w:rsid w:val="53987BAC"/>
    <w:rsid w:val="53CCC4A6"/>
    <w:rsid w:val="53EFBCAA"/>
    <w:rsid w:val="53F60326"/>
    <w:rsid w:val="541C5638"/>
    <w:rsid w:val="541E32B2"/>
    <w:rsid w:val="542ABB5D"/>
    <w:rsid w:val="544FFC6B"/>
    <w:rsid w:val="54880987"/>
    <w:rsid w:val="5499C710"/>
    <w:rsid w:val="54A3CA23"/>
    <w:rsid w:val="54BE85C7"/>
    <w:rsid w:val="54BF9060"/>
    <w:rsid w:val="54DD07A5"/>
    <w:rsid w:val="54ED6CF9"/>
    <w:rsid w:val="54FC73DA"/>
    <w:rsid w:val="5526F6C2"/>
    <w:rsid w:val="553B3D76"/>
    <w:rsid w:val="556E7024"/>
    <w:rsid w:val="558FEB63"/>
    <w:rsid w:val="55C241A0"/>
    <w:rsid w:val="55C87669"/>
    <w:rsid w:val="55CFCEC6"/>
    <w:rsid w:val="55D578C6"/>
    <w:rsid w:val="5624598E"/>
    <w:rsid w:val="563FE657"/>
    <w:rsid w:val="5647DB3A"/>
    <w:rsid w:val="5652E379"/>
    <w:rsid w:val="5653733B"/>
    <w:rsid w:val="56556C48"/>
    <w:rsid w:val="565AC620"/>
    <w:rsid w:val="56B163E9"/>
    <w:rsid w:val="5713E96E"/>
    <w:rsid w:val="57431A68"/>
    <w:rsid w:val="5754150B"/>
    <w:rsid w:val="57545430"/>
    <w:rsid w:val="5766F7B4"/>
    <w:rsid w:val="577FE39D"/>
    <w:rsid w:val="57BD8B5E"/>
    <w:rsid w:val="57DCC170"/>
    <w:rsid w:val="57DD9EDC"/>
    <w:rsid w:val="57E57BCD"/>
    <w:rsid w:val="5828A7B1"/>
    <w:rsid w:val="584D3668"/>
    <w:rsid w:val="586041A0"/>
    <w:rsid w:val="5866909B"/>
    <w:rsid w:val="58795CEE"/>
    <w:rsid w:val="5886350A"/>
    <w:rsid w:val="58984843"/>
    <w:rsid w:val="58ABF9B2"/>
    <w:rsid w:val="58D83592"/>
    <w:rsid w:val="58EB31D2"/>
    <w:rsid w:val="58F44166"/>
    <w:rsid w:val="58F90D11"/>
    <w:rsid w:val="59108836"/>
    <w:rsid w:val="59127E6F"/>
    <w:rsid w:val="5916FFCF"/>
    <w:rsid w:val="594AA075"/>
    <w:rsid w:val="5959181B"/>
    <w:rsid w:val="59A43C5A"/>
    <w:rsid w:val="59BDB5E0"/>
    <w:rsid w:val="5A0359E1"/>
    <w:rsid w:val="5A11CA11"/>
    <w:rsid w:val="5A1CFE05"/>
    <w:rsid w:val="5A216B6D"/>
    <w:rsid w:val="5A32F103"/>
    <w:rsid w:val="5A39B163"/>
    <w:rsid w:val="5A56700B"/>
    <w:rsid w:val="5A710A2B"/>
    <w:rsid w:val="5AA5191C"/>
    <w:rsid w:val="5AC4D496"/>
    <w:rsid w:val="5AC78026"/>
    <w:rsid w:val="5B1D4B2A"/>
    <w:rsid w:val="5B24F675"/>
    <w:rsid w:val="5B2ACC0A"/>
    <w:rsid w:val="5B3D4AB9"/>
    <w:rsid w:val="5B4E63CF"/>
    <w:rsid w:val="5B77583F"/>
    <w:rsid w:val="5B84D50C"/>
    <w:rsid w:val="5B8764C2"/>
    <w:rsid w:val="5B976A8A"/>
    <w:rsid w:val="5BC67A4F"/>
    <w:rsid w:val="5BD5C148"/>
    <w:rsid w:val="5BF6F08C"/>
    <w:rsid w:val="5C37BC75"/>
    <w:rsid w:val="5C69B597"/>
    <w:rsid w:val="5CA545CA"/>
    <w:rsid w:val="5CC45849"/>
    <w:rsid w:val="5CD1B708"/>
    <w:rsid w:val="5CF2DEA3"/>
    <w:rsid w:val="5D79C571"/>
    <w:rsid w:val="5D7D8CCA"/>
    <w:rsid w:val="5D911BD3"/>
    <w:rsid w:val="5D9874EF"/>
    <w:rsid w:val="5DAEBA16"/>
    <w:rsid w:val="5DC7880F"/>
    <w:rsid w:val="5DD5045C"/>
    <w:rsid w:val="5DEF947F"/>
    <w:rsid w:val="5DF01AE8"/>
    <w:rsid w:val="5E15A099"/>
    <w:rsid w:val="5E1B8CC0"/>
    <w:rsid w:val="5E227235"/>
    <w:rsid w:val="5E25BB24"/>
    <w:rsid w:val="5E410C09"/>
    <w:rsid w:val="5E447FC2"/>
    <w:rsid w:val="5E4665C4"/>
    <w:rsid w:val="5E560DA3"/>
    <w:rsid w:val="5E77EDCA"/>
    <w:rsid w:val="5E868EA7"/>
    <w:rsid w:val="5EA5DD27"/>
    <w:rsid w:val="5F0869DC"/>
    <w:rsid w:val="5F1D825D"/>
    <w:rsid w:val="5F2CEC34"/>
    <w:rsid w:val="5F602405"/>
    <w:rsid w:val="5F75F706"/>
    <w:rsid w:val="5F7BF81C"/>
    <w:rsid w:val="5F85379D"/>
    <w:rsid w:val="5FA4B3D6"/>
    <w:rsid w:val="5FE6C89D"/>
    <w:rsid w:val="600957CA"/>
    <w:rsid w:val="6013BE2B"/>
    <w:rsid w:val="6082EC4F"/>
    <w:rsid w:val="60A43A3D"/>
    <w:rsid w:val="60B952BE"/>
    <w:rsid w:val="60DA8B90"/>
    <w:rsid w:val="610B7C32"/>
    <w:rsid w:val="614A8FA4"/>
    <w:rsid w:val="616ACC10"/>
    <w:rsid w:val="617E0117"/>
    <w:rsid w:val="617F4510"/>
    <w:rsid w:val="6191C41D"/>
    <w:rsid w:val="6199F511"/>
    <w:rsid w:val="61AB184E"/>
    <w:rsid w:val="61ABABE7"/>
    <w:rsid w:val="61BF2B1B"/>
    <w:rsid w:val="61DB916B"/>
    <w:rsid w:val="61DDD620"/>
    <w:rsid w:val="61E04D23"/>
    <w:rsid w:val="61F2B584"/>
    <w:rsid w:val="6203F197"/>
    <w:rsid w:val="623643DE"/>
    <w:rsid w:val="626CB42B"/>
    <w:rsid w:val="626EED8C"/>
    <w:rsid w:val="62ABF797"/>
    <w:rsid w:val="62B44C09"/>
    <w:rsid w:val="62C77ECB"/>
    <w:rsid w:val="62FB046C"/>
    <w:rsid w:val="632634C4"/>
    <w:rsid w:val="638BC4C7"/>
    <w:rsid w:val="639545E1"/>
    <w:rsid w:val="63A290CA"/>
    <w:rsid w:val="63CB1065"/>
    <w:rsid w:val="63D4617C"/>
    <w:rsid w:val="63F4D5A8"/>
    <w:rsid w:val="6412CCA6"/>
    <w:rsid w:val="641A3B94"/>
    <w:rsid w:val="642332A6"/>
    <w:rsid w:val="6444CB22"/>
    <w:rsid w:val="64469242"/>
    <w:rsid w:val="6447C7F8"/>
    <w:rsid w:val="645A04AE"/>
    <w:rsid w:val="64B3C240"/>
    <w:rsid w:val="64D02D1D"/>
    <w:rsid w:val="64D05654"/>
    <w:rsid w:val="64F829D8"/>
    <w:rsid w:val="64FB3040"/>
    <w:rsid w:val="64FC7139"/>
    <w:rsid w:val="6507A2D9"/>
    <w:rsid w:val="650AF35A"/>
    <w:rsid w:val="652B94BA"/>
    <w:rsid w:val="652E2C6E"/>
    <w:rsid w:val="6591BE38"/>
    <w:rsid w:val="659B9640"/>
    <w:rsid w:val="65B9DC5E"/>
    <w:rsid w:val="65BBFFA3"/>
    <w:rsid w:val="65C571D6"/>
    <w:rsid w:val="65D5E191"/>
    <w:rsid w:val="65E8BED2"/>
    <w:rsid w:val="66672696"/>
    <w:rsid w:val="668DC5E1"/>
    <w:rsid w:val="6696A07C"/>
    <w:rsid w:val="669AC027"/>
    <w:rsid w:val="66D80587"/>
    <w:rsid w:val="670904E3"/>
    <w:rsid w:val="6717A410"/>
    <w:rsid w:val="671E5D08"/>
    <w:rsid w:val="672363D7"/>
    <w:rsid w:val="6744A0C6"/>
    <w:rsid w:val="6745C2ED"/>
    <w:rsid w:val="6754B0A0"/>
    <w:rsid w:val="676005CE"/>
    <w:rsid w:val="67908A7F"/>
    <w:rsid w:val="67C8F590"/>
    <w:rsid w:val="67D76D82"/>
    <w:rsid w:val="681437D9"/>
    <w:rsid w:val="6819F1CB"/>
    <w:rsid w:val="683103DF"/>
    <w:rsid w:val="6842A050"/>
    <w:rsid w:val="684C0FB4"/>
    <w:rsid w:val="684ED8CA"/>
    <w:rsid w:val="68553305"/>
    <w:rsid w:val="685CC535"/>
    <w:rsid w:val="6882E6CB"/>
    <w:rsid w:val="689D3136"/>
    <w:rsid w:val="68A5551F"/>
    <w:rsid w:val="68D33702"/>
    <w:rsid w:val="68EDACB7"/>
    <w:rsid w:val="68F42F1F"/>
    <w:rsid w:val="690A5C14"/>
    <w:rsid w:val="69213278"/>
    <w:rsid w:val="69228411"/>
    <w:rsid w:val="692998BF"/>
    <w:rsid w:val="692E85EF"/>
    <w:rsid w:val="693CDD4F"/>
    <w:rsid w:val="6951FFBA"/>
    <w:rsid w:val="69570484"/>
    <w:rsid w:val="695BC0DD"/>
    <w:rsid w:val="6972345D"/>
    <w:rsid w:val="69730F1B"/>
    <w:rsid w:val="6983EE36"/>
    <w:rsid w:val="6990F429"/>
    <w:rsid w:val="69ADA065"/>
    <w:rsid w:val="69B7F47B"/>
    <w:rsid w:val="69DFF2FF"/>
    <w:rsid w:val="6A166533"/>
    <w:rsid w:val="6A5F1916"/>
    <w:rsid w:val="6A8C5162"/>
    <w:rsid w:val="6AA16FF1"/>
    <w:rsid w:val="6AC8DF95"/>
    <w:rsid w:val="6AD7A04F"/>
    <w:rsid w:val="6AED61BD"/>
    <w:rsid w:val="6B01C862"/>
    <w:rsid w:val="6B05EBAF"/>
    <w:rsid w:val="6B4BD89B"/>
    <w:rsid w:val="6B562769"/>
    <w:rsid w:val="6B5B8ABC"/>
    <w:rsid w:val="6B5C2A28"/>
    <w:rsid w:val="6B676B5C"/>
    <w:rsid w:val="6B7530C9"/>
    <w:rsid w:val="6B7C742D"/>
    <w:rsid w:val="6B8128AE"/>
    <w:rsid w:val="6B86798C"/>
    <w:rsid w:val="6B971748"/>
    <w:rsid w:val="6BB66966"/>
    <w:rsid w:val="6BCB9184"/>
    <w:rsid w:val="6BCEBE37"/>
    <w:rsid w:val="6BD4D1F8"/>
    <w:rsid w:val="6BD57E49"/>
    <w:rsid w:val="6BEB1533"/>
    <w:rsid w:val="6BEE1745"/>
    <w:rsid w:val="6C115042"/>
    <w:rsid w:val="6C1D3E37"/>
    <w:rsid w:val="6C3D4052"/>
    <w:rsid w:val="6C418D65"/>
    <w:rsid w:val="6C4354F2"/>
    <w:rsid w:val="6C4ECDF1"/>
    <w:rsid w:val="6C53DE92"/>
    <w:rsid w:val="6C60E682"/>
    <w:rsid w:val="6C9AF2CA"/>
    <w:rsid w:val="6C9B3D5A"/>
    <w:rsid w:val="6CA911FA"/>
    <w:rsid w:val="6CFD26AA"/>
    <w:rsid w:val="6D0FFFE0"/>
    <w:rsid w:val="6D11A10D"/>
    <w:rsid w:val="6D3F515A"/>
    <w:rsid w:val="6D61E777"/>
    <w:rsid w:val="6D6F69FE"/>
    <w:rsid w:val="6D83C0EA"/>
    <w:rsid w:val="6DCCDA34"/>
    <w:rsid w:val="6DE8914D"/>
    <w:rsid w:val="6DED7407"/>
    <w:rsid w:val="6E11C059"/>
    <w:rsid w:val="6E785D1F"/>
    <w:rsid w:val="6E9B6BB3"/>
    <w:rsid w:val="6EB414EF"/>
    <w:rsid w:val="6EC80756"/>
    <w:rsid w:val="6EDFE381"/>
    <w:rsid w:val="6EE435E6"/>
    <w:rsid w:val="6EE890B3"/>
    <w:rsid w:val="6EE96418"/>
    <w:rsid w:val="6EFEAE5B"/>
    <w:rsid w:val="6F03B86D"/>
    <w:rsid w:val="6F03E663"/>
    <w:rsid w:val="6F065EF9"/>
    <w:rsid w:val="6F14E8B8"/>
    <w:rsid w:val="6F259B17"/>
    <w:rsid w:val="6F3F5068"/>
    <w:rsid w:val="6F573106"/>
    <w:rsid w:val="6F576D8D"/>
    <w:rsid w:val="6F594F5F"/>
    <w:rsid w:val="6F5D5F25"/>
    <w:rsid w:val="6F5F5C49"/>
    <w:rsid w:val="6F68C24F"/>
    <w:rsid w:val="6F7256F7"/>
    <w:rsid w:val="6F801672"/>
    <w:rsid w:val="6F9205EA"/>
    <w:rsid w:val="700035AD"/>
    <w:rsid w:val="7015FBB8"/>
    <w:rsid w:val="70260F9C"/>
    <w:rsid w:val="702B6B48"/>
    <w:rsid w:val="704DCF01"/>
    <w:rsid w:val="705AA08C"/>
    <w:rsid w:val="705C2ED0"/>
    <w:rsid w:val="7063D7B7"/>
    <w:rsid w:val="707287A5"/>
    <w:rsid w:val="70906B10"/>
    <w:rsid w:val="709B45D1"/>
    <w:rsid w:val="70C24B8D"/>
    <w:rsid w:val="70C50AC7"/>
    <w:rsid w:val="70CB074A"/>
    <w:rsid w:val="7110B175"/>
    <w:rsid w:val="714939A5"/>
    <w:rsid w:val="7195CB01"/>
    <w:rsid w:val="71C0D411"/>
    <w:rsid w:val="71C73BA9"/>
    <w:rsid w:val="71DEB4A1"/>
    <w:rsid w:val="71E20DF5"/>
    <w:rsid w:val="7257CA95"/>
    <w:rsid w:val="72AC81D6"/>
    <w:rsid w:val="72AFB0F8"/>
    <w:rsid w:val="730209F0"/>
    <w:rsid w:val="730967A4"/>
    <w:rsid w:val="7315176B"/>
    <w:rsid w:val="733D8495"/>
    <w:rsid w:val="734FFE31"/>
    <w:rsid w:val="7354C593"/>
    <w:rsid w:val="736C0AD1"/>
    <w:rsid w:val="73C4E9A9"/>
    <w:rsid w:val="73F39AF6"/>
    <w:rsid w:val="742AA229"/>
    <w:rsid w:val="743BDD00"/>
    <w:rsid w:val="744CC412"/>
    <w:rsid w:val="7458B992"/>
    <w:rsid w:val="746457E1"/>
    <w:rsid w:val="74691AFC"/>
    <w:rsid w:val="7479B2D3"/>
    <w:rsid w:val="7487C75B"/>
    <w:rsid w:val="7496EB28"/>
    <w:rsid w:val="74BE096C"/>
    <w:rsid w:val="74D9EE10"/>
    <w:rsid w:val="74E623CF"/>
    <w:rsid w:val="74F8AB7B"/>
    <w:rsid w:val="75176ECF"/>
    <w:rsid w:val="7517994B"/>
    <w:rsid w:val="752AC472"/>
    <w:rsid w:val="7531CAEB"/>
    <w:rsid w:val="753596EE"/>
    <w:rsid w:val="753AD1CE"/>
    <w:rsid w:val="754AC521"/>
    <w:rsid w:val="754CC321"/>
    <w:rsid w:val="754F2505"/>
    <w:rsid w:val="7574C4EF"/>
    <w:rsid w:val="758BF5F0"/>
    <w:rsid w:val="758F1568"/>
    <w:rsid w:val="759325CA"/>
    <w:rsid w:val="75A776D0"/>
    <w:rsid w:val="75BE8504"/>
    <w:rsid w:val="75C5E020"/>
    <w:rsid w:val="75CBDFCD"/>
    <w:rsid w:val="75D43418"/>
    <w:rsid w:val="75D7AD61"/>
    <w:rsid w:val="75E1987B"/>
    <w:rsid w:val="76002842"/>
    <w:rsid w:val="760BC9C7"/>
    <w:rsid w:val="7620571D"/>
    <w:rsid w:val="762C4EE9"/>
    <w:rsid w:val="7654E9F6"/>
    <w:rsid w:val="767CB724"/>
    <w:rsid w:val="7681B7EC"/>
    <w:rsid w:val="76C4D2DA"/>
    <w:rsid w:val="76DDD3E0"/>
    <w:rsid w:val="76EC48DF"/>
    <w:rsid w:val="771BD532"/>
    <w:rsid w:val="772B437F"/>
    <w:rsid w:val="77350452"/>
    <w:rsid w:val="77C7BA15"/>
    <w:rsid w:val="77CFE0A8"/>
    <w:rsid w:val="77DCA42D"/>
    <w:rsid w:val="7817AE7A"/>
    <w:rsid w:val="784BE950"/>
    <w:rsid w:val="786DE041"/>
    <w:rsid w:val="7879A441"/>
    <w:rsid w:val="78DC6DA7"/>
    <w:rsid w:val="78F625C6"/>
    <w:rsid w:val="79051DD2"/>
    <w:rsid w:val="7923D888"/>
    <w:rsid w:val="79598719"/>
    <w:rsid w:val="795A673A"/>
    <w:rsid w:val="796579B7"/>
    <w:rsid w:val="798315D2"/>
    <w:rsid w:val="799D2D42"/>
    <w:rsid w:val="79BACF0C"/>
    <w:rsid w:val="79C1C084"/>
    <w:rsid w:val="79E98F4E"/>
    <w:rsid w:val="79F042E5"/>
    <w:rsid w:val="7A0827C2"/>
    <w:rsid w:val="7A0D79CD"/>
    <w:rsid w:val="7A480E7D"/>
    <w:rsid w:val="7A4911A0"/>
    <w:rsid w:val="7A83545A"/>
    <w:rsid w:val="7A850D21"/>
    <w:rsid w:val="7ACB0431"/>
    <w:rsid w:val="7AD08E9F"/>
    <w:rsid w:val="7AD581B8"/>
    <w:rsid w:val="7ADCBC13"/>
    <w:rsid w:val="7B0C205F"/>
    <w:rsid w:val="7B5281AB"/>
    <w:rsid w:val="7B5C78E4"/>
    <w:rsid w:val="7B69450F"/>
    <w:rsid w:val="7B6D969E"/>
    <w:rsid w:val="7BB15C4E"/>
    <w:rsid w:val="7BCA87E9"/>
    <w:rsid w:val="7BE5F4FB"/>
    <w:rsid w:val="7C04FE34"/>
    <w:rsid w:val="7C238943"/>
    <w:rsid w:val="7C4B0010"/>
    <w:rsid w:val="7C4DF002"/>
    <w:rsid w:val="7C89608C"/>
    <w:rsid w:val="7CB0A11C"/>
    <w:rsid w:val="7CBFD59A"/>
    <w:rsid w:val="7CDEB8B5"/>
    <w:rsid w:val="7CF85051"/>
    <w:rsid w:val="7D068E32"/>
    <w:rsid w:val="7D09E7E0"/>
    <w:rsid w:val="7D14BE81"/>
    <w:rsid w:val="7D95C1AF"/>
    <w:rsid w:val="7D9B6E3D"/>
    <w:rsid w:val="7DA5DA34"/>
    <w:rsid w:val="7DB205BF"/>
    <w:rsid w:val="7DB95FA4"/>
    <w:rsid w:val="7DBE8A31"/>
    <w:rsid w:val="7DCBA190"/>
    <w:rsid w:val="7DEE5EE7"/>
    <w:rsid w:val="7E20F4B8"/>
    <w:rsid w:val="7E37629E"/>
    <w:rsid w:val="7E3A3232"/>
    <w:rsid w:val="7E613FB0"/>
    <w:rsid w:val="7E7BCFA9"/>
    <w:rsid w:val="7E7F9297"/>
    <w:rsid w:val="7E7FF757"/>
    <w:rsid w:val="7E9C5474"/>
    <w:rsid w:val="7EBD59DC"/>
    <w:rsid w:val="7F3C9EF6"/>
    <w:rsid w:val="7F441EED"/>
    <w:rsid w:val="7F6AEC15"/>
    <w:rsid w:val="7F779660"/>
    <w:rsid w:val="7FD283D4"/>
    <w:rsid w:val="7FF49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EA431"/>
  <w15:chartTrackingRefBased/>
  <w15:docId w15:val="{204F9128-826C-47BF-B568-34ADDBA2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521"/>
    <w:pPr>
      <w:spacing w:after="0" w:line="240" w:lineRule="auto"/>
    </w:p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75031"/>
    <w:pPr>
      <w:keepNext/>
      <w:keepLines/>
      <w:spacing w:before="240" w:after="240"/>
      <w:outlineLvl w:val="1"/>
    </w:pPr>
    <w:rPr>
      <w:rFonts w:eastAsiaTheme="majorEastAsia"/>
      <w:b/>
      <w:sz w:val="36"/>
      <w:szCs w:val="36"/>
    </w:rPr>
  </w:style>
  <w:style w:type="paragraph" w:styleId="Heading3">
    <w:name w:val="heading 3"/>
    <w:basedOn w:val="Normal"/>
    <w:next w:val="Normal"/>
    <w:link w:val="Heading3Char"/>
    <w:uiPriority w:val="9"/>
    <w:unhideWhenUsed/>
    <w:qFormat/>
    <w:rsid w:val="008737C3"/>
    <w:pPr>
      <w:keepNext/>
      <w:keepLines/>
      <w:spacing w:before="240" w:after="240"/>
      <w:outlineLvl w:val="2"/>
    </w:pPr>
    <w:rPr>
      <w:rFonts w:eastAsiaTheme="majorEastAsia"/>
      <w:b/>
      <w:sz w:val="36"/>
      <w:szCs w:val="36"/>
    </w:rPr>
  </w:style>
  <w:style w:type="paragraph" w:styleId="Heading4">
    <w:name w:val="heading 4"/>
    <w:basedOn w:val="Normal"/>
    <w:next w:val="Normal"/>
    <w:link w:val="Heading4Char"/>
    <w:uiPriority w:val="9"/>
    <w:unhideWhenUsed/>
    <w:qFormat/>
    <w:rsid w:val="00F51FA0"/>
    <w:pPr>
      <w:keepNext/>
      <w:keepLines/>
      <w:spacing w:before="240" w:after="240"/>
      <w:outlineLvl w:val="3"/>
    </w:pPr>
    <w:rPr>
      <w:rFonts w:eastAsiaTheme="majorEastAsia"/>
      <w:b/>
      <w:iCs/>
      <w:sz w:val="28"/>
      <w:szCs w:val="28"/>
    </w:rPr>
  </w:style>
  <w:style w:type="paragraph" w:styleId="Heading5">
    <w:name w:val="heading 5"/>
    <w:basedOn w:val="Heading4"/>
    <w:next w:val="Normal"/>
    <w:link w:val="Heading5Char"/>
    <w:uiPriority w:val="9"/>
    <w:unhideWhenUsed/>
    <w:qFormat/>
    <w:rsid w:val="00B86392"/>
    <w:pPr>
      <w:outlineLvl w:val="4"/>
    </w:pPr>
    <w:rPr>
      <w:rFonts w:eastAsia="Arial"/>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75031"/>
    <w:rPr>
      <w:rFonts w:eastAsiaTheme="majorEastAsia"/>
      <w:b/>
      <w:sz w:val="36"/>
      <w:szCs w:val="36"/>
    </w:rPr>
  </w:style>
  <w:style w:type="character" w:customStyle="1" w:styleId="Heading3Char">
    <w:name w:val="Heading 3 Char"/>
    <w:basedOn w:val="DefaultParagraphFont"/>
    <w:link w:val="Heading3"/>
    <w:uiPriority w:val="9"/>
    <w:rsid w:val="008737C3"/>
    <w:rPr>
      <w:rFonts w:eastAsiaTheme="majorEastAsia"/>
      <w:b/>
      <w:sz w:val="36"/>
      <w:szCs w:val="36"/>
    </w:rPr>
  </w:style>
  <w:style w:type="character" w:customStyle="1" w:styleId="Heading4Char">
    <w:name w:val="Heading 4 Char"/>
    <w:basedOn w:val="DefaultParagraphFont"/>
    <w:link w:val="Heading4"/>
    <w:uiPriority w:val="9"/>
    <w:rsid w:val="00F51FA0"/>
    <w:rPr>
      <w:rFonts w:eastAsiaTheme="majorEastAsia"/>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B86392"/>
    <w:rPr>
      <w:rFonts w:eastAsia="Arial"/>
      <w:b/>
      <w:iCs/>
      <w:sz w:val="28"/>
      <w:szCs w:val="28"/>
    </w:rPr>
  </w:style>
  <w:style w:type="paragraph" w:styleId="NoSpacing">
    <w:name w:val="No Spacing"/>
    <w:uiPriority w:val="1"/>
    <w:qFormat/>
    <w:rsid w:val="007428B8"/>
    <w:pPr>
      <w:spacing w:after="0" w:line="240" w:lineRule="auto"/>
    </w:p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2D4BFF"/>
    <w:rPr>
      <w:sz w:val="20"/>
      <w:szCs w:val="20"/>
    </w:rPr>
  </w:style>
  <w:style w:type="character" w:customStyle="1" w:styleId="CommentTextChar">
    <w:name w:val="Comment Text Char"/>
    <w:basedOn w:val="DefaultParagraphFont"/>
    <w:link w:val="CommentText"/>
    <w:uiPriority w:val="99"/>
    <w:semiHidden/>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Indented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semiHidden/>
    <w:unhideWhenUsed/>
    <w:rsid w:val="002D4BFF"/>
    <w:pPr>
      <w:spacing w:before="100" w:beforeAutospacing="1" w:after="100" w:afterAutospacing="1"/>
    </w:p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8C38B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CB4522"/>
    <w:rPr>
      <w:b/>
      <w:bCs/>
    </w:rPr>
  </w:style>
  <w:style w:type="character" w:customStyle="1" w:styleId="CommentSubjectChar">
    <w:name w:val="Comment Subject Char"/>
    <w:basedOn w:val="CommentTextChar"/>
    <w:link w:val="CommentSubject"/>
    <w:uiPriority w:val="99"/>
    <w:semiHidden/>
    <w:rsid w:val="00CB452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B073BB"/>
    <w:rPr>
      <w:color w:val="954F72" w:themeColor="followedHyperlink"/>
      <w:u w:val="single"/>
    </w:rPr>
  </w:style>
  <w:style w:type="character" w:styleId="Emphasis">
    <w:name w:val="Emphasis"/>
    <w:basedOn w:val="DefaultParagraphFont"/>
    <w:uiPriority w:val="20"/>
    <w:qFormat/>
    <w:rsid w:val="00522F23"/>
    <w:rPr>
      <w:i/>
      <w:iCs/>
    </w:rPr>
  </w:style>
  <w:style w:type="paragraph" w:customStyle="1" w:styleId="paragraph">
    <w:name w:val="paragraph"/>
    <w:basedOn w:val="Normal"/>
    <w:rsid w:val="0081776E"/>
    <w:pPr>
      <w:spacing w:before="100" w:beforeAutospacing="1" w:after="100" w:afterAutospacing="1"/>
    </w:pPr>
  </w:style>
  <w:style w:type="character" w:customStyle="1" w:styleId="normaltextrun">
    <w:name w:val="normaltextrun"/>
    <w:basedOn w:val="DefaultParagraphFont"/>
    <w:rsid w:val="0081776E"/>
  </w:style>
  <w:style w:type="character" w:customStyle="1" w:styleId="eop">
    <w:name w:val="eop"/>
    <w:basedOn w:val="DefaultParagraphFont"/>
    <w:rsid w:val="0081776E"/>
  </w:style>
  <w:style w:type="paragraph" w:styleId="Revision">
    <w:name w:val="Revision"/>
    <w:hidden/>
    <w:uiPriority w:val="99"/>
    <w:semiHidden/>
    <w:rsid w:val="003214B8"/>
    <w:pPr>
      <w:spacing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39"/>
    <w:rsid w:val="00D50F99"/>
    <w:pPr>
      <w:spacing w:before="240" w:after="0" w:line="240"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43693"/>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1E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01E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39"/>
    <w:rsid w:val="00301E1A"/>
    <w:pPr>
      <w:spacing w:before="24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301E1A"/>
    <w:pPr>
      <w:spacing w:after="0" w:line="240" w:lineRule="auto"/>
    </w:pPr>
    <w:rPr>
      <w:rFonts w:ascii="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B56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6546">
      <w:bodyDiv w:val="1"/>
      <w:marLeft w:val="0"/>
      <w:marRight w:val="0"/>
      <w:marTop w:val="0"/>
      <w:marBottom w:val="0"/>
      <w:divBdr>
        <w:top w:val="none" w:sz="0" w:space="0" w:color="auto"/>
        <w:left w:val="none" w:sz="0" w:space="0" w:color="auto"/>
        <w:bottom w:val="none" w:sz="0" w:space="0" w:color="auto"/>
        <w:right w:val="none" w:sz="0" w:space="0" w:color="auto"/>
      </w:divBdr>
      <w:divsChild>
        <w:div w:id="469715089">
          <w:marLeft w:val="0"/>
          <w:marRight w:val="0"/>
          <w:marTop w:val="0"/>
          <w:marBottom w:val="0"/>
          <w:divBdr>
            <w:top w:val="none" w:sz="0" w:space="0" w:color="auto"/>
            <w:left w:val="none" w:sz="0" w:space="0" w:color="auto"/>
            <w:bottom w:val="none" w:sz="0" w:space="0" w:color="auto"/>
            <w:right w:val="none" w:sz="0" w:space="0" w:color="auto"/>
          </w:divBdr>
          <w:divsChild>
            <w:div w:id="7233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0555">
      <w:bodyDiv w:val="1"/>
      <w:marLeft w:val="0"/>
      <w:marRight w:val="0"/>
      <w:marTop w:val="0"/>
      <w:marBottom w:val="0"/>
      <w:divBdr>
        <w:top w:val="none" w:sz="0" w:space="0" w:color="auto"/>
        <w:left w:val="none" w:sz="0" w:space="0" w:color="auto"/>
        <w:bottom w:val="none" w:sz="0" w:space="0" w:color="auto"/>
        <w:right w:val="none" w:sz="0" w:space="0" w:color="auto"/>
      </w:divBdr>
      <w:divsChild>
        <w:div w:id="3213440">
          <w:marLeft w:val="0"/>
          <w:marRight w:val="0"/>
          <w:marTop w:val="0"/>
          <w:marBottom w:val="0"/>
          <w:divBdr>
            <w:top w:val="none" w:sz="0" w:space="0" w:color="auto"/>
            <w:left w:val="none" w:sz="0" w:space="0" w:color="auto"/>
            <w:bottom w:val="none" w:sz="0" w:space="0" w:color="auto"/>
            <w:right w:val="none" w:sz="0" w:space="0" w:color="auto"/>
          </w:divBdr>
          <w:divsChild>
            <w:div w:id="932977639">
              <w:marLeft w:val="0"/>
              <w:marRight w:val="0"/>
              <w:marTop w:val="0"/>
              <w:marBottom w:val="0"/>
              <w:divBdr>
                <w:top w:val="none" w:sz="0" w:space="0" w:color="auto"/>
                <w:left w:val="none" w:sz="0" w:space="0" w:color="auto"/>
                <w:bottom w:val="none" w:sz="0" w:space="0" w:color="auto"/>
                <w:right w:val="none" w:sz="0" w:space="0" w:color="auto"/>
              </w:divBdr>
            </w:div>
          </w:divsChild>
        </w:div>
        <w:div w:id="40054731">
          <w:marLeft w:val="0"/>
          <w:marRight w:val="0"/>
          <w:marTop w:val="0"/>
          <w:marBottom w:val="0"/>
          <w:divBdr>
            <w:top w:val="none" w:sz="0" w:space="0" w:color="auto"/>
            <w:left w:val="none" w:sz="0" w:space="0" w:color="auto"/>
            <w:bottom w:val="none" w:sz="0" w:space="0" w:color="auto"/>
            <w:right w:val="none" w:sz="0" w:space="0" w:color="auto"/>
          </w:divBdr>
          <w:divsChild>
            <w:div w:id="2026327295">
              <w:marLeft w:val="0"/>
              <w:marRight w:val="0"/>
              <w:marTop w:val="0"/>
              <w:marBottom w:val="0"/>
              <w:divBdr>
                <w:top w:val="none" w:sz="0" w:space="0" w:color="auto"/>
                <w:left w:val="none" w:sz="0" w:space="0" w:color="auto"/>
                <w:bottom w:val="none" w:sz="0" w:space="0" w:color="auto"/>
                <w:right w:val="none" w:sz="0" w:space="0" w:color="auto"/>
              </w:divBdr>
            </w:div>
          </w:divsChild>
        </w:div>
        <w:div w:id="47606294">
          <w:marLeft w:val="0"/>
          <w:marRight w:val="0"/>
          <w:marTop w:val="0"/>
          <w:marBottom w:val="0"/>
          <w:divBdr>
            <w:top w:val="none" w:sz="0" w:space="0" w:color="auto"/>
            <w:left w:val="none" w:sz="0" w:space="0" w:color="auto"/>
            <w:bottom w:val="none" w:sz="0" w:space="0" w:color="auto"/>
            <w:right w:val="none" w:sz="0" w:space="0" w:color="auto"/>
          </w:divBdr>
          <w:divsChild>
            <w:div w:id="1018896263">
              <w:marLeft w:val="0"/>
              <w:marRight w:val="0"/>
              <w:marTop w:val="0"/>
              <w:marBottom w:val="0"/>
              <w:divBdr>
                <w:top w:val="none" w:sz="0" w:space="0" w:color="auto"/>
                <w:left w:val="none" w:sz="0" w:space="0" w:color="auto"/>
                <w:bottom w:val="none" w:sz="0" w:space="0" w:color="auto"/>
                <w:right w:val="none" w:sz="0" w:space="0" w:color="auto"/>
              </w:divBdr>
            </w:div>
          </w:divsChild>
        </w:div>
        <w:div w:id="90442732">
          <w:marLeft w:val="0"/>
          <w:marRight w:val="0"/>
          <w:marTop w:val="0"/>
          <w:marBottom w:val="0"/>
          <w:divBdr>
            <w:top w:val="none" w:sz="0" w:space="0" w:color="auto"/>
            <w:left w:val="none" w:sz="0" w:space="0" w:color="auto"/>
            <w:bottom w:val="none" w:sz="0" w:space="0" w:color="auto"/>
            <w:right w:val="none" w:sz="0" w:space="0" w:color="auto"/>
          </w:divBdr>
          <w:divsChild>
            <w:div w:id="1013872815">
              <w:marLeft w:val="0"/>
              <w:marRight w:val="0"/>
              <w:marTop w:val="0"/>
              <w:marBottom w:val="0"/>
              <w:divBdr>
                <w:top w:val="none" w:sz="0" w:space="0" w:color="auto"/>
                <w:left w:val="none" w:sz="0" w:space="0" w:color="auto"/>
                <w:bottom w:val="none" w:sz="0" w:space="0" w:color="auto"/>
                <w:right w:val="none" w:sz="0" w:space="0" w:color="auto"/>
              </w:divBdr>
            </w:div>
          </w:divsChild>
        </w:div>
        <w:div w:id="114103139">
          <w:marLeft w:val="0"/>
          <w:marRight w:val="0"/>
          <w:marTop w:val="0"/>
          <w:marBottom w:val="0"/>
          <w:divBdr>
            <w:top w:val="none" w:sz="0" w:space="0" w:color="auto"/>
            <w:left w:val="none" w:sz="0" w:space="0" w:color="auto"/>
            <w:bottom w:val="none" w:sz="0" w:space="0" w:color="auto"/>
            <w:right w:val="none" w:sz="0" w:space="0" w:color="auto"/>
          </w:divBdr>
          <w:divsChild>
            <w:div w:id="1956519571">
              <w:marLeft w:val="0"/>
              <w:marRight w:val="0"/>
              <w:marTop w:val="0"/>
              <w:marBottom w:val="0"/>
              <w:divBdr>
                <w:top w:val="none" w:sz="0" w:space="0" w:color="auto"/>
                <w:left w:val="none" w:sz="0" w:space="0" w:color="auto"/>
                <w:bottom w:val="none" w:sz="0" w:space="0" w:color="auto"/>
                <w:right w:val="none" w:sz="0" w:space="0" w:color="auto"/>
              </w:divBdr>
            </w:div>
          </w:divsChild>
        </w:div>
        <w:div w:id="297809096">
          <w:marLeft w:val="0"/>
          <w:marRight w:val="0"/>
          <w:marTop w:val="0"/>
          <w:marBottom w:val="0"/>
          <w:divBdr>
            <w:top w:val="none" w:sz="0" w:space="0" w:color="auto"/>
            <w:left w:val="none" w:sz="0" w:space="0" w:color="auto"/>
            <w:bottom w:val="none" w:sz="0" w:space="0" w:color="auto"/>
            <w:right w:val="none" w:sz="0" w:space="0" w:color="auto"/>
          </w:divBdr>
          <w:divsChild>
            <w:div w:id="2090300074">
              <w:marLeft w:val="0"/>
              <w:marRight w:val="0"/>
              <w:marTop w:val="0"/>
              <w:marBottom w:val="0"/>
              <w:divBdr>
                <w:top w:val="none" w:sz="0" w:space="0" w:color="auto"/>
                <w:left w:val="none" w:sz="0" w:space="0" w:color="auto"/>
                <w:bottom w:val="none" w:sz="0" w:space="0" w:color="auto"/>
                <w:right w:val="none" w:sz="0" w:space="0" w:color="auto"/>
              </w:divBdr>
            </w:div>
          </w:divsChild>
        </w:div>
        <w:div w:id="369113322">
          <w:marLeft w:val="0"/>
          <w:marRight w:val="0"/>
          <w:marTop w:val="0"/>
          <w:marBottom w:val="0"/>
          <w:divBdr>
            <w:top w:val="none" w:sz="0" w:space="0" w:color="auto"/>
            <w:left w:val="none" w:sz="0" w:space="0" w:color="auto"/>
            <w:bottom w:val="none" w:sz="0" w:space="0" w:color="auto"/>
            <w:right w:val="none" w:sz="0" w:space="0" w:color="auto"/>
          </w:divBdr>
          <w:divsChild>
            <w:div w:id="1011446342">
              <w:marLeft w:val="0"/>
              <w:marRight w:val="0"/>
              <w:marTop w:val="0"/>
              <w:marBottom w:val="0"/>
              <w:divBdr>
                <w:top w:val="none" w:sz="0" w:space="0" w:color="auto"/>
                <w:left w:val="none" w:sz="0" w:space="0" w:color="auto"/>
                <w:bottom w:val="none" w:sz="0" w:space="0" w:color="auto"/>
                <w:right w:val="none" w:sz="0" w:space="0" w:color="auto"/>
              </w:divBdr>
            </w:div>
          </w:divsChild>
        </w:div>
        <w:div w:id="547225792">
          <w:marLeft w:val="0"/>
          <w:marRight w:val="0"/>
          <w:marTop w:val="0"/>
          <w:marBottom w:val="0"/>
          <w:divBdr>
            <w:top w:val="none" w:sz="0" w:space="0" w:color="auto"/>
            <w:left w:val="none" w:sz="0" w:space="0" w:color="auto"/>
            <w:bottom w:val="none" w:sz="0" w:space="0" w:color="auto"/>
            <w:right w:val="none" w:sz="0" w:space="0" w:color="auto"/>
          </w:divBdr>
          <w:divsChild>
            <w:div w:id="549927551">
              <w:marLeft w:val="0"/>
              <w:marRight w:val="0"/>
              <w:marTop w:val="0"/>
              <w:marBottom w:val="0"/>
              <w:divBdr>
                <w:top w:val="none" w:sz="0" w:space="0" w:color="auto"/>
                <w:left w:val="none" w:sz="0" w:space="0" w:color="auto"/>
                <w:bottom w:val="none" w:sz="0" w:space="0" w:color="auto"/>
                <w:right w:val="none" w:sz="0" w:space="0" w:color="auto"/>
              </w:divBdr>
            </w:div>
          </w:divsChild>
        </w:div>
        <w:div w:id="648678443">
          <w:marLeft w:val="0"/>
          <w:marRight w:val="0"/>
          <w:marTop w:val="0"/>
          <w:marBottom w:val="0"/>
          <w:divBdr>
            <w:top w:val="none" w:sz="0" w:space="0" w:color="auto"/>
            <w:left w:val="none" w:sz="0" w:space="0" w:color="auto"/>
            <w:bottom w:val="none" w:sz="0" w:space="0" w:color="auto"/>
            <w:right w:val="none" w:sz="0" w:space="0" w:color="auto"/>
          </w:divBdr>
          <w:divsChild>
            <w:div w:id="1720009020">
              <w:marLeft w:val="0"/>
              <w:marRight w:val="0"/>
              <w:marTop w:val="0"/>
              <w:marBottom w:val="0"/>
              <w:divBdr>
                <w:top w:val="none" w:sz="0" w:space="0" w:color="auto"/>
                <w:left w:val="none" w:sz="0" w:space="0" w:color="auto"/>
                <w:bottom w:val="none" w:sz="0" w:space="0" w:color="auto"/>
                <w:right w:val="none" w:sz="0" w:space="0" w:color="auto"/>
              </w:divBdr>
            </w:div>
          </w:divsChild>
        </w:div>
        <w:div w:id="851453294">
          <w:marLeft w:val="0"/>
          <w:marRight w:val="0"/>
          <w:marTop w:val="0"/>
          <w:marBottom w:val="0"/>
          <w:divBdr>
            <w:top w:val="none" w:sz="0" w:space="0" w:color="auto"/>
            <w:left w:val="none" w:sz="0" w:space="0" w:color="auto"/>
            <w:bottom w:val="none" w:sz="0" w:space="0" w:color="auto"/>
            <w:right w:val="none" w:sz="0" w:space="0" w:color="auto"/>
          </w:divBdr>
          <w:divsChild>
            <w:div w:id="2116747796">
              <w:marLeft w:val="0"/>
              <w:marRight w:val="0"/>
              <w:marTop w:val="0"/>
              <w:marBottom w:val="0"/>
              <w:divBdr>
                <w:top w:val="none" w:sz="0" w:space="0" w:color="auto"/>
                <w:left w:val="none" w:sz="0" w:space="0" w:color="auto"/>
                <w:bottom w:val="none" w:sz="0" w:space="0" w:color="auto"/>
                <w:right w:val="none" w:sz="0" w:space="0" w:color="auto"/>
              </w:divBdr>
            </w:div>
          </w:divsChild>
        </w:div>
        <w:div w:id="856431728">
          <w:marLeft w:val="0"/>
          <w:marRight w:val="0"/>
          <w:marTop w:val="0"/>
          <w:marBottom w:val="0"/>
          <w:divBdr>
            <w:top w:val="none" w:sz="0" w:space="0" w:color="auto"/>
            <w:left w:val="none" w:sz="0" w:space="0" w:color="auto"/>
            <w:bottom w:val="none" w:sz="0" w:space="0" w:color="auto"/>
            <w:right w:val="none" w:sz="0" w:space="0" w:color="auto"/>
          </w:divBdr>
          <w:divsChild>
            <w:div w:id="1723753230">
              <w:marLeft w:val="0"/>
              <w:marRight w:val="0"/>
              <w:marTop w:val="0"/>
              <w:marBottom w:val="0"/>
              <w:divBdr>
                <w:top w:val="none" w:sz="0" w:space="0" w:color="auto"/>
                <w:left w:val="none" w:sz="0" w:space="0" w:color="auto"/>
                <w:bottom w:val="none" w:sz="0" w:space="0" w:color="auto"/>
                <w:right w:val="none" w:sz="0" w:space="0" w:color="auto"/>
              </w:divBdr>
            </w:div>
          </w:divsChild>
        </w:div>
        <w:div w:id="879516921">
          <w:marLeft w:val="0"/>
          <w:marRight w:val="0"/>
          <w:marTop w:val="0"/>
          <w:marBottom w:val="0"/>
          <w:divBdr>
            <w:top w:val="none" w:sz="0" w:space="0" w:color="auto"/>
            <w:left w:val="none" w:sz="0" w:space="0" w:color="auto"/>
            <w:bottom w:val="none" w:sz="0" w:space="0" w:color="auto"/>
            <w:right w:val="none" w:sz="0" w:space="0" w:color="auto"/>
          </w:divBdr>
          <w:divsChild>
            <w:div w:id="335428807">
              <w:marLeft w:val="0"/>
              <w:marRight w:val="0"/>
              <w:marTop w:val="0"/>
              <w:marBottom w:val="0"/>
              <w:divBdr>
                <w:top w:val="none" w:sz="0" w:space="0" w:color="auto"/>
                <w:left w:val="none" w:sz="0" w:space="0" w:color="auto"/>
                <w:bottom w:val="none" w:sz="0" w:space="0" w:color="auto"/>
                <w:right w:val="none" w:sz="0" w:space="0" w:color="auto"/>
              </w:divBdr>
            </w:div>
          </w:divsChild>
        </w:div>
        <w:div w:id="964651521">
          <w:marLeft w:val="0"/>
          <w:marRight w:val="0"/>
          <w:marTop w:val="0"/>
          <w:marBottom w:val="0"/>
          <w:divBdr>
            <w:top w:val="none" w:sz="0" w:space="0" w:color="auto"/>
            <w:left w:val="none" w:sz="0" w:space="0" w:color="auto"/>
            <w:bottom w:val="none" w:sz="0" w:space="0" w:color="auto"/>
            <w:right w:val="none" w:sz="0" w:space="0" w:color="auto"/>
          </w:divBdr>
          <w:divsChild>
            <w:div w:id="625622670">
              <w:marLeft w:val="0"/>
              <w:marRight w:val="0"/>
              <w:marTop w:val="0"/>
              <w:marBottom w:val="0"/>
              <w:divBdr>
                <w:top w:val="none" w:sz="0" w:space="0" w:color="auto"/>
                <w:left w:val="none" w:sz="0" w:space="0" w:color="auto"/>
                <w:bottom w:val="none" w:sz="0" w:space="0" w:color="auto"/>
                <w:right w:val="none" w:sz="0" w:space="0" w:color="auto"/>
              </w:divBdr>
            </w:div>
            <w:div w:id="1946157257">
              <w:marLeft w:val="0"/>
              <w:marRight w:val="0"/>
              <w:marTop w:val="0"/>
              <w:marBottom w:val="0"/>
              <w:divBdr>
                <w:top w:val="none" w:sz="0" w:space="0" w:color="auto"/>
                <w:left w:val="none" w:sz="0" w:space="0" w:color="auto"/>
                <w:bottom w:val="none" w:sz="0" w:space="0" w:color="auto"/>
                <w:right w:val="none" w:sz="0" w:space="0" w:color="auto"/>
              </w:divBdr>
            </w:div>
          </w:divsChild>
        </w:div>
        <w:div w:id="1003051702">
          <w:marLeft w:val="0"/>
          <w:marRight w:val="0"/>
          <w:marTop w:val="0"/>
          <w:marBottom w:val="0"/>
          <w:divBdr>
            <w:top w:val="none" w:sz="0" w:space="0" w:color="auto"/>
            <w:left w:val="none" w:sz="0" w:space="0" w:color="auto"/>
            <w:bottom w:val="none" w:sz="0" w:space="0" w:color="auto"/>
            <w:right w:val="none" w:sz="0" w:space="0" w:color="auto"/>
          </w:divBdr>
          <w:divsChild>
            <w:div w:id="1908612026">
              <w:marLeft w:val="0"/>
              <w:marRight w:val="0"/>
              <w:marTop w:val="0"/>
              <w:marBottom w:val="0"/>
              <w:divBdr>
                <w:top w:val="none" w:sz="0" w:space="0" w:color="auto"/>
                <w:left w:val="none" w:sz="0" w:space="0" w:color="auto"/>
                <w:bottom w:val="none" w:sz="0" w:space="0" w:color="auto"/>
                <w:right w:val="none" w:sz="0" w:space="0" w:color="auto"/>
              </w:divBdr>
            </w:div>
          </w:divsChild>
        </w:div>
        <w:div w:id="1020737941">
          <w:marLeft w:val="0"/>
          <w:marRight w:val="0"/>
          <w:marTop w:val="0"/>
          <w:marBottom w:val="0"/>
          <w:divBdr>
            <w:top w:val="none" w:sz="0" w:space="0" w:color="auto"/>
            <w:left w:val="none" w:sz="0" w:space="0" w:color="auto"/>
            <w:bottom w:val="none" w:sz="0" w:space="0" w:color="auto"/>
            <w:right w:val="none" w:sz="0" w:space="0" w:color="auto"/>
          </w:divBdr>
          <w:divsChild>
            <w:div w:id="427194872">
              <w:marLeft w:val="0"/>
              <w:marRight w:val="0"/>
              <w:marTop w:val="0"/>
              <w:marBottom w:val="0"/>
              <w:divBdr>
                <w:top w:val="none" w:sz="0" w:space="0" w:color="auto"/>
                <w:left w:val="none" w:sz="0" w:space="0" w:color="auto"/>
                <w:bottom w:val="none" w:sz="0" w:space="0" w:color="auto"/>
                <w:right w:val="none" w:sz="0" w:space="0" w:color="auto"/>
              </w:divBdr>
            </w:div>
          </w:divsChild>
        </w:div>
        <w:div w:id="1027415677">
          <w:marLeft w:val="0"/>
          <w:marRight w:val="0"/>
          <w:marTop w:val="0"/>
          <w:marBottom w:val="0"/>
          <w:divBdr>
            <w:top w:val="none" w:sz="0" w:space="0" w:color="auto"/>
            <w:left w:val="none" w:sz="0" w:space="0" w:color="auto"/>
            <w:bottom w:val="none" w:sz="0" w:space="0" w:color="auto"/>
            <w:right w:val="none" w:sz="0" w:space="0" w:color="auto"/>
          </w:divBdr>
          <w:divsChild>
            <w:div w:id="1172530485">
              <w:marLeft w:val="0"/>
              <w:marRight w:val="0"/>
              <w:marTop w:val="0"/>
              <w:marBottom w:val="0"/>
              <w:divBdr>
                <w:top w:val="none" w:sz="0" w:space="0" w:color="auto"/>
                <w:left w:val="none" w:sz="0" w:space="0" w:color="auto"/>
                <w:bottom w:val="none" w:sz="0" w:space="0" w:color="auto"/>
                <w:right w:val="none" w:sz="0" w:space="0" w:color="auto"/>
              </w:divBdr>
            </w:div>
          </w:divsChild>
        </w:div>
        <w:div w:id="1041053772">
          <w:marLeft w:val="0"/>
          <w:marRight w:val="0"/>
          <w:marTop w:val="0"/>
          <w:marBottom w:val="0"/>
          <w:divBdr>
            <w:top w:val="none" w:sz="0" w:space="0" w:color="auto"/>
            <w:left w:val="none" w:sz="0" w:space="0" w:color="auto"/>
            <w:bottom w:val="none" w:sz="0" w:space="0" w:color="auto"/>
            <w:right w:val="none" w:sz="0" w:space="0" w:color="auto"/>
          </w:divBdr>
          <w:divsChild>
            <w:div w:id="2013490869">
              <w:marLeft w:val="0"/>
              <w:marRight w:val="0"/>
              <w:marTop w:val="0"/>
              <w:marBottom w:val="0"/>
              <w:divBdr>
                <w:top w:val="none" w:sz="0" w:space="0" w:color="auto"/>
                <w:left w:val="none" w:sz="0" w:space="0" w:color="auto"/>
                <w:bottom w:val="none" w:sz="0" w:space="0" w:color="auto"/>
                <w:right w:val="none" w:sz="0" w:space="0" w:color="auto"/>
              </w:divBdr>
            </w:div>
          </w:divsChild>
        </w:div>
        <w:div w:id="1062170358">
          <w:marLeft w:val="0"/>
          <w:marRight w:val="0"/>
          <w:marTop w:val="0"/>
          <w:marBottom w:val="0"/>
          <w:divBdr>
            <w:top w:val="none" w:sz="0" w:space="0" w:color="auto"/>
            <w:left w:val="none" w:sz="0" w:space="0" w:color="auto"/>
            <w:bottom w:val="none" w:sz="0" w:space="0" w:color="auto"/>
            <w:right w:val="none" w:sz="0" w:space="0" w:color="auto"/>
          </w:divBdr>
          <w:divsChild>
            <w:div w:id="124588679">
              <w:marLeft w:val="0"/>
              <w:marRight w:val="0"/>
              <w:marTop w:val="0"/>
              <w:marBottom w:val="0"/>
              <w:divBdr>
                <w:top w:val="none" w:sz="0" w:space="0" w:color="auto"/>
                <w:left w:val="none" w:sz="0" w:space="0" w:color="auto"/>
                <w:bottom w:val="none" w:sz="0" w:space="0" w:color="auto"/>
                <w:right w:val="none" w:sz="0" w:space="0" w:color="auto"/>
              </w:divBdr>
            </w:div>
          </w:divsChild>
        </w:div>
        <w:div w:id="1115751091">
          <w:marLeft w:val="0"/>
          <w:marRight w:val="0"/>
          <w:marTop w:val="0"/>
          <w:marBottom w:val="0"/>
          <w:divBdr>
            <w:top w:val="none" w:sz="0" w:space="0" w:color="auto"/>
            <w:left w:val="none" w:sz="0" w:space="0" w:color="auto"/>
            <w:bottom w:val="none" w:sz="0" w:space="0" w:color="auto"/>
            <w:right w:val="none" w:sz="0" w:space="0" w:color="auto"/>
          </w:divBdr>
          <w:divsChild>
            <w:div w:id="317658962">
              <w:marLeft w:val="0"/>
              <w:marRight w:val="0"/>
              <w:marTop w:val="0"/>
              <w:marBottom w:val="0"/>
              <w:divBdr>
                <w:top w:val="none" w:sz="0" w:space="0" w:color="auto"/>
                <w:left w:val="none" w:sz="0" w:space="0" w:color="auto"/>
                <w:bottom w:val="none" w:sz="0" w:space="0" w:color="auto"/>
                <w:right w:val="none" w:sz="0" w:space="0" w:color="auto"/>
              </w:divBdr>
            </w:div>
          </w:divsChild>
        </w:div>
        <w:div w:id="1138231392">
          <w:marLeft w:val="0"/>
          <w:marRight w:val="0"/>
          <w:marTop w:val="0"/>
          <w:marBottom w:val="0"/>
          <w:divBdr>
            <w:top w:val="none" w:sz="0" w:space="0" w:color="auto"/>
            <w:left w:val="none" w:sz="0" w:space="0" w:color="auto"/>
            <w:bottom w:val="none" w:sz="0" w:space="0" w:color="auto"/>
            <w:right w:val="none" w:sz="0" w:space="0" w:color="auto"/>
          </w:divBdr>
          <w:divsChild>
            <w:div w:id="1149590923">
              <w:marLeft w:val="0"/>
              <w:marRight w:val="0"/>
              <w:marTop w:val="0"/>
              <w:marBottom w:val="0"/>
              <w:divBdr>
                <w:top w:val="none" w:sz="0" w:space="0" w:color="auto"/>
                <w:left w:val="none" w:sz="0" w:space="0" w:color="auto"/>
                <w:bottom w:val="none" w:sz="0" w:space="0" w:color="auto"/>
                <w:right w:val="none" w:sz="0" w:space="0" w:color="auto"/>
              </w:divBdr>
            </w:div>
          </w:divsChild>
        </w:div>
        <w:div w:id="1162041337">
          <w:marLeft w:val="0"/>
          <w:marRight w:val="0"/>
          <w:marTop w:val="0"/>
          <w:marBottom w:val="0"/>
          <w:divBdr>
            <w:top w:val="none" w:sz="0" w:space="0" w:color="auto"/>
            <w:left w:val="none" w:sz="0" w:space="0" w:color="auto"/>
            <w:bottom w:val="none" w:sz="0" w:space="0" w:color="auto"/>
            <w:right w:val="none" w:sz="0" w:space="0" w:color="auto"/>
          </w:divBdr>
          <w:divsChild>
            <w:div w:id="846137203">
              <w:marLeft w:val="0"/>
              <w:marRight w:val="0"/>
              <w:marTop w:val="0"/>
              <w:marBottom w:val="0"/>
              <w:divBdr>
                <w:top w:val="none" w:sz="0" w:space="0" w:color="auto"/>
                <w:left w:val="none" w:sz="0" w:space="0" w:color="auto"/>
                <w:bottom w:val="none" w:sz="0" w:space="0" w:color="auto"/>
                <w:right w:val="none" w:sz="0" w:space="0" w:color="auto"/>
              </w:divBdr>
            </w:div>
          </w:divsChild>
        </w:div>
        <w:div w:id="1178616759">
          <w:marLeft w:val="0"/>
          <w:marRight w:val="0"/>
          <w:marTop w:val="0"/>
          <w:marBottom w:val="0"/>
          <w:divBdr>
            <w:top w:val="none" w:sz="0" w:space="0" w:color="auto"/>
            <w:left w:val="none" w:sz="0" w:space="0" w:color="auto"/>
            <w:bottom w:val="none" w:sz="0" w:space="0" w:color="auto"/>
            <w:right w:val="none" w:sz="0" w:space="0" w:color="auto"/>
          </w:divBdr>
          <w:divsChild>
            <w:div w:id="942147753">
              <w:marLeft w:val="0"/>
              <w:marRight w:val="0"/>
              <w:marTop w:val="0"/>
              <w:marBottom w:val="0"/>
              <w:divBdr>
                <w:top w:val="none" w:sz="0" w:space="0" w:color="auto"/>
                <w:left w:val="none" w:sz="0" w:space="0" w:color="auto"/>
                <w:bottom w:val="none" w:sz="0" w:space="0" w:color="auto"/>
                <w:right w:val="none" w:sz="0" w:space="0" w:color="auto"/>
              </w:divBdr>
            </w:div>
            <w:div w:id="1287081601">
              <w:marLeft w:val="0"/>
              <w:marRight w:val="0"/>
              <w:marTop w:val="0"/>
              <w:marBottom w:val="0"/>
              <w:divBdr>
                <w:top w:val="none" w:sz="0" w:space="0" w:color="auto"/>
                <w:left w:val="none" w:sz="0" w:space="0" w:color="auto"/>
                <w:bottom w:val="none" w:sz="0" w:space="0" w:color="auto"/>
                <w:right w:val="none" w:sz="0" w:space="0" w:color="auto"/>
              </w:divBdr>
            </w:div>
          </w:divsChild>
        </w:div>
        <w:div w:id="1200051853">
          <w:marLeft w:val="0"/>
          <w:marRight w:val="0"/>
          <w:marTop w:val="0"/>
          <w:marBottom w:val="0"/>
          <w:divBdr>
            <w:top w:val="none" w:sz="0" w:space="0" w:color="auto"/>
            <w:left w:val="none" w:sz="0" w:space="0" w:color="auto"/>
            <w:bottom w:val="none" w:sz="0" w:space="0" w:color="auto"/>
            <w:right w:val="none" w:sz="0" w:space="0" w:color="auto"/>
          </w:divBdr>
          <w:divsChild>
            <w:div w:id="1691838249">
              <w:marLeft w:val="0"/>
              <w:marRight w:val="0"/>
              <w:marTop w:val="0"/>
              <w:marBottom w:val="0"/>
              <w:divBdr>
                <w:top w:val="none" w:sz="0" w:space="0" w:color="auto"/>
                <w:left w:val="none" w:sz="0" w:space="0" w:color="auto"/>
                <w:bottom w:val="none" w:sz="0" w:space="0" w:color="auto"/>
                <w:right w:val="none" w:sz="0" w:space="0" w:color="auto"/>
              </w:divBdr>
            </w:div>
          </w:divsChild>
        </w:div>
        <w:div w:id="1288899122">
          <w:marLeft w:val="0"/>
          <w:marRight w:val="0"/>
          <w:marTop w:val="0"/>
          <w:marBottom w:val="0"/>
          <w:divBdr>
            <w:top w:val="none" w:sz="0" w:space="0" w:color="auto"/>
            <w:left w:val="none" w:sz="0" w:space="0" w:color="auto"/>
            <w:bottom w:val="none" w:sz="0" w:space="0" w:color="auto"/>
            <w:right w:val="none" w:sz="0" w:space="0" w:color="auto"/>
          </w:divBdr>
          <w:divsChild>
            <w:div w:id="48767514">
              <w:marLeft w:val="0"/>
              <w:marRight w:val="0"/>
              <w:marTop w:val="0"/>
              <w:marBottom w:val="0"/>
              <w:divBdr>
                <w:top w:val="none" w:sz="0" w:space="0" w:color="auto"/>
                <w:left w:val="none" w:sz="0" w:space="0" w:color="auto"/>
                <w:bottom w:val="none" w:sz="0" w:space="0" w:color="auto"/>
                <w:right w:val="none" w:sz="0" w:space="0" w:color="auto"/>
              </w:divBdr>
            </w:div>
          </w:divsChild>
        </w:div>
        <w:div w:id="1329212571">
          <w:marLeft w:val="0"/>
          <w:marRight w:val="0"/>
          <w:marTop w:val="0"/>
          <w:marBottom w:val="0"/>
          <w:divBdr>
            <w:top w:val="none" w:sz="0" w:space="0" w:color="auto"/>
            <w:left w:val="none" w:sz="0" w:space="0" w:color="auto"/>
            <w:bottom w:val="none" w:sz="0" w:space="0" w:color="auto"/>
            <w:right w:val="none" w:sz="0" w:space="0" w:color="auto"/>
          </w:divBdr>
          <w:divsChild>
            <w:div w:id="1373580370">
              <w:marLeft w:val="0"/>
              <w:marRight w:val="0"/>
              <w:marTop w:val="0"/>
              <w:marBottom w:val="0"/>
              <w:divBdr>
                <w:top w:val="none" w:sz="0" w:space="0" w:color="auto"/>
                <w:left w:val="none" w:sz="0" w:space="0" w:color="auto"/>
                <w:bottom w:val="none" w:sz="0" w:space="0" w:color="auto"/>
                <w:right w:val="none" w:sz="0" w:space="0" w:color="auto"/>
              </w:divBdr>
            </w:div>
          </w:divsChild>
        </w:div>
        <w:div w:id="1396586164">
          <w:marLeft w:val="0"/>
          <w:marRight w:val="0"/>
          <w:marTop w:val="0"/>
          <w:marBottom w:val="0"/>
          <w:divBdr>
            <w:top w:val="none" w:sz="0" w:space="0" w:color="auto"/>
            <w:left w:val="none" w:sz="0" w:space="0" w:color="auto"/>
            <w:bottom w:val="none" w:sz="0" w:space="0" w:color="auto"/>
            <w:right w:val="none" w:sz="0" w:space="0" w:color="auto"/>
          </w:divBdr>
          <w:divsChild>
            <w:div w:id="2042825454">
              <w:marLeft w:val="0"/>
              <w:marRight w:val="0"/>
              <w:marTop w:val="0"/>
              <w:marBottom w:val="0"/>
              <w:divBdr>
                <w:top w:val="none" w:sz="0" w:space="0" w:color="auto"/>
                <w:left w:val="none" w:sz="0" w:space="0" w:color="auto"/>
                <w:bottom w:val="none" w:sz="0" w:space="0" w:color="auto"/>
                <w:right w:val="none" w:sz="0" w:space="0" w:color="auto"/>
              </w:divBdr>
            </w:div>
          </w:divsChild>
        </w:div>
        <w:div w:id="1410880491">
          <w:marLeft w:val="0"/>
          <w:marRight w:val="0"/>
          <w:marTop w:val="0"/>
          <w:marBottom w:val="0"/>
          <w:divBdr>
            <w:top w:val="none" w:sz="0" w:space="0" w:color="auto"/>
            <w:left w:val="none" w:sz="0" w:space="0" w:color="auto"/>
            <w:bottom w:val="none" w:sz="0" w:space="0" w:color="auto"/>
            <w:right w:val="none" w:sz="0" w:space="0" w:color="auto"/>
          </w:divBdr>
          <w:divsChild>
            <w:div w:id="684131647">
              <w:marLeft w:val="0"/>
              <w:marRight w:val="0"/>
              <w:marTop w:val="0"/>
              <w:marBottom w:val="0"/>
              <w:divBdr>
                <w:top w:val="none" w:sz="0" w:space="0" w:color="auto"/>
                <w:left w:val="none" w:sz="0" w:space="0" w:color="auto"/>
                <w:bottom w:val="none" w:sz="0" w:space="0" w:color="auto"/>
                <w:right w:val="none" w:sz="0" w:space="0" w:color="auto"/>
              </w:divBdr>
            </w:div>
            <w:div w:id="1720395993">
              <w:marLeft w:val="0"/>
              <w:marRight w:val="0"/>
              <w:marTop w:val="0"/>
              <w:marBottom w:val="0"/>
              <w:divBdr>
                <w:top w:val="none" w:sz="0" w:space="0" w:color="auto"/>
                <w:left w:val="none" w:sz="0" w:space="0" w:color="auto"/>
                <w:bottom w:val="none" w:sz="0" w:space="0" w:color="auto"/>
                <w:right w:val="none" w:sz="0" w:space="0" w:color="auto"/>
              </w:divBdr>
            </w:div>
          </w:divsChild>
        </w:div>
        <w:div w:id="1415934176">
          <w:marLeft w:val="0"/>
          <w:marRight w:val="0"/>
          <w:marTop w:val="0"/>
          <w:marBottom w:val="0"/>
          <w:divBdr>
            <w:top w:val="none" w:sz="0" w:space="0" w:color="auto"/>
            <w:left w:val="none" w:sz="0" w:space="0" w:color="auto"/>
            <w:bottom w:val="none" w:sz="0" w:space="0" w:color="auto"/>
            <w:right w:val="none" w:sz="0" w:space="0" w:color="auto"/>
          </w:divBdr>
          <w:divsChild>
            <w:div w:id="1473714256">
              <w:marLeft w:val="0"/>
              <w:marRight w:val="0"/>
              <w:marTop w:val="0"/>
              <w:marBottom w:val="0"/>
              <w:divBdr>
                <w:top w:val="none" w:sz="0" w:space="0" w:color="auto"/>
                <w:left w:val="none" w:sz="0" w:space="0" w:color="auto"/>
                <w:bottom w:val="none" w:sz="0" w:space="0" w:color="auto"/>
                <w:right w:val="none" w:sz="0" w:space="0" w:color="auto"/>
              </w:divBdr>
            </w:div>
          </w:divsChild>
        </w:div>
        <w:div w:id="1551381418">
          <w:marLeft w:val="0"/>
          <w:marRight w:val="0"/>
          <w:marTop w:val="0"/>
          <w:marBottom w:val="0"/>
          <w:divBdr>
            <w:top w:val="none" w:sz="0" w:space="0" w:color="auto"/>
            <w:left w:val="none" w:sz="0" w:space="0" w:color="auto"/>
            <w:bottom w:val="none" w:sz="0" w:space="0" w:color="auto"/>
            <w:right w:val="none" w:sz="0" w:space="0" w:color="auto"/>
          </w:divBdr>
          <w:divsChild>
            <w:div w:id="728381386">
              <w:marLeft w:val="0"/>
              <w:marRight w:val="0"/>
              <w:marTop w:val="0"/>
              <w:marBottom w:val="0"/>
              <w:divBdr>
                <w:top w:val="none" w:sz="0" w:space="0" w:color="auto"/>
                <w:left w:val="none" w:sz="0" w:space="0" w:color="auto"/>
                <w:bottom w:val="none" w:sz="0" w:space="0" w:color="auto"/>
                <w:right w:val="none" w:sz="0" w:space="0" w:color="auto"/>
              </w:divBdr>
            </w:div>
          </w:divsChild>
        </w:div>
        <w:div w:id="1640576214">
          <w:marLeft w:val="0"/>
          <w:marRight w:val="0"/>
          <w:marTop w:val="0"/>
          <w:marBottom w:val="0"/>
          <w:divBdr>
            <w:top w:val="none" w:sz="0" w:space="0" w:color="auto"/>
            <w:left w:val="none" w:sz="0" w:space="0" w:color="auto"/>
            <w:bottom w:val="none" w:sz="0" w:space="0" w:color="auto"/>
            <w:right w:val="none" w:sz="0" w:space="0" w:color="auto"/>
          </w:divBdr>
          <w:divsChild>
            <w:div w:id="72163096">
              <w:marLeft w:val="0"/>
              <w:marRight w:val="0"/>
              <w:marTop w:val="0"/>
              <w:marBottom w:val="0"/>
              <w:divBdr>
                <w:top w:val="none" w:sz="0" w:space="0" w:color="auto"/>
                <w:left w:val="none" w:sz="0" w:space="0" w:color="auto"/>
                <w:bottom w:val="none" w:sz="0" w:space="0" w:color="auto"/>
                <w:right w:val="none" w:sz="0" w:space="0" w:color="auto"/>
              </w:divBdr>
            </w:div>
          </w:divsChild>
        </w:div>
        <w:div w:id="1648590220">
          <w:marLeft w:val="0"/>
          <w:marRight w:val="0"/>
          <w:marTop w:val="0"/>
          <w:marBottom w:val="0"/>
          <w:divBdr>
            <w:top w:val="none" w:sz="0" w:space="0" w:color="auto"/>
            <w:left w:val="none" w:sz="0" w:space="0" w:color="auto"/>
            <w:bottom w:val="none" w:sz="0" w:space="0" w:color="auto"/>
            <w:right w:val="none" w:sz="0" w:space="0" w:color="auto"/>
          </w:divBdr>
          <w:divsChild>
            <w:div w:id="1664159297">
              <w:marLeft w:val="0"/>
              <w:marRight w:val="0"/>
              <w:marTop w:val="0"/>
              <w:marBottom w:val="0"/>
              <w:divBdr>
                <w:top w:val="none" w:sz="0" w:space="0" w:color="auto"/>
                <w:left w:val="none" w:sz="0" w:space="0" w:color="auto"/>
                <w:bottom w:val="none" w:sz="0" w:space="0" w:color="auto"/>
                <w:right w:val="none" w:sz="0" w:space="0" w:color="auto"/>
              </w:divBdr>
            </w:div>
          </w:divsChild>
        </w:div>
        <w:div w:id="1679499071">
          <w:marLeft w:val="0"/>
          <w:marRight w:val="0"/>
          <w:marTop w:val="0"/>
          <w:marBottom w:val="0"/>
          <w:divBdr>
            <w:top w:val="none" w:sz="0" w:space="0" w:color="auto"/>
            <w:left w:val="none" w:sz="0" w:space="0" w:color="auto"/>
            <w:bottom w:val="none" w:sz="0" w:space="0" w:color="auto"/>
            <w:right w:val="none" w:sz="0" w:space="0" w:color="auto"/>
          </w:divBdr>
          <w:divsChild>
            <w:div w:id="288361674">
              <w:marLeft w:val="0"/>
              <w:marRight w:val="0"/>
              <w:marTop w:val="0"/>
              <w:marBottom w:val="0"/>
              <w:divBdr>
                <w:top w:val="none" w:sz="0" w:space="0" w:color="auto"/>
                <w:left w:val="none" w:sz="0" w:space="0" w:color="auto"/>
                <w:bottom w:val="none" w:sz="0" w:space="0" w:color="auto"/>
                <w:right w:val="none" w:sz="0" w:space="0" w:color="auto"/>
              </w:divBdr>
            </w:div>
            <w:div w:id="491021065">
              <w:marLeft w:val="0"/>
              <w:marRight w:val="0"/>
              <w:marTop w:val="0"/>
              <w:marBottom w:val="0"/>
              <w:divBdr>
                <w:top w:val="none" w:sz="0" w:space="0" w:color="auto"/>
                <w:left w:val="none" w:sz="0" w:space="0" w:color="auto"/>
                <w:bottom w:val="none" w:sz="0" w:space="0" w:color="auto"/>
                <w:right w:val="none" w:sz="0" w:space="0" w:color="auto"/>
              </w:divBdr>
            </w:div>
          </w:divsChild>
        </w:div>
        <w:div w:id="1751736398">
          <w:marLeft w:val="0"/>
          <w:marRight w:val="0"/>
          <w:marTop w:val="0"/>
          <w:marBottom w:val="0"/>
          <w:divBdr>
            <w:top w:val="none" w:sz="0" w:space="0" w:color="auto"/>
            <w:left w:val="none" w:sz="0" w:space="0" w:color="auto"/>
            <w:bottom w:val="none" w:sz="0" w:space="0" w:color="auto"/>
            <w:right w:val="none" w:sz="0" w:space="0" w:color="auto"/>
          </w:divBdr>
          <w:divsChild>
            <w:div w:id="2051804530">
              <w:marLeft w:val="0"/>
              <w:marRight w:val="0"/>
              <w:marTop w:val="0"/>
              <w:marBottom w:val="0"/>
              <w:divBdr>
                <w:top w:val="none" w:sz="0" w:space="0" w:color="auto"/>
                <w:left w:val="none" w:sz="0" w:space="0" w:color="auto"/>
                <w:bottom w:val="none" w:sz="0" w:space="0" w:color="auto"/>
                <w:right w:val="none" w:sz="0" w:space="0" w:color="auto"/>
              </w:divBdr>
            </w:div>
          </w:divsChild>
        </w:div>
        <w:div w:id="1783453498">
          <w:marLeft w:val="0"/>
          <w:marRight w:val="0"/>
          <w:marTop w:val="0"/>
          <w:marBottom w:val="0"/>
          <w:divBdr>
            <w:top w:val="none" w:sz="0" w:space="0" w:color="auto"/>
            <w:left w:val="none" w:sz="0" w:space="0" w:color="auto"/>
            <w:bottom w:val="none" w:sz="0" w:space="0" w:color="auto"/>
            <w:right w:val="none" w:sz="0" w:space="0" w:color="auto"/>
          </w:divBdr>
          <w:divsChild>
            <w:div w:id="1319067527">
              <w:marLeft w:val="0"/>
              <w:marRight w:val="0"/>
              <w:marTop w:val="0"/>
              <w:marBottom w:val="0"/>
              <w:divBdr>
                <w:top w:val="none" w:sz="0" w:space="0" w:color="auto"/>
                <w:left w:val="none" w:sz="0" w:space="0" w:color="auto"/>
                <w:bottom w:val="none" w:sz="0" w:space="0" w:color="auto"/>
                <w:right w:val="none" w:sz="0" w:space="0" w:color="auto"/>
              </w:divBdr>
            </w:div>
          </w:divsChild>
        </w:div>
        <w:div w:id="1826314061">
          <w:marLeft w:val="0"/>
          <w:marRight w:val="0"/>
          <w:marTop w:val="0"/>
          <w:marBottom w:val="0"/>
          <w:divBdr>
            <w:top w:val="none" w:sz="0" w:space="0" w:color="auto"/>
            <w:left w:val="none" w:sz="0" w:space="0" w:color="auto"/>
            <w:bottom w:val="none" w:sz="0" w:space="0" w:color="auto"/>
            <w:right w:val="none" w:sz="0" w:space="0" w:color="auto"/>
          </w:divBdr>
          <w:divsChild>
            <w:div w:id="4332388">
              <w:marLeft w:val="0"/>
              <w:marRight w:val="0"/>
              <w:marTop w:val="0"/>
              <w:marBottom w:val="0"/>
              <w:divBdr>
                <w:top w:val="none" w:sz="0" w:space="0" w:color="auto"/>
                <w:left w:val="none" w:sz="0" w:space="0" w:color="auto"/>
                <w:bottom w:val="none" w:sz="0" w:space="0" w:color="auto"/>
                <w:right w:val="none" w:sz="0" w:space="0" w:color="auto"/>
              </w:divBdr>
            </w:div>
            <w:div w:id="1491023952">
              <w:marLeft w:val="0"/>
              <w:marRight w:val="0"/>
              <w:marTop w:val="0"/>
              <w:marBottom w:val="0"/>
              <w:divBdr>
                <w:top w:val="none" w:sz="0" w:space="0" w:color="auto"/>
                <w:left w:val="none" w:sz="0" w:space="0" w:color="auto"/>
                <w:bottom w:val="none" w:sz="0" w:space="0" w:color="auto"/>
                <w:right w:val="none" w:sz="0" w:space="0" w:color="auto"/>
              </w:divBdr>
            </w:div>
            <w:div w:id="2060087701">
              <w:marLeft w:val="0"/>
              <w:marRight w:val="0"/>
              <w:marTop w:val="0"/>
              <w:marBottom w:val="0"/>
              <w:divBdr>
                <w:top w:val="none" w:sz="0" w:space="0" w:color="auto"/>
                <w:left w:val="none" w:sz="0" w:space="0" w:color="auto"/>
                <w:bottom w:val="none" w:sz="0" w:space="0" w:color="auto"/>
                <w:right w:val="none" w:sz="0" w:space="0" w:color="auto"/>
              </w:divBdr>
            </w:div>
          </w:divsChild>
        </w:div>
        <w:div w:id="1925798285">
          <w:marLeft w:val="0"/>
          <w:marRight w:val="0"/>
          <w:marTop w:val="0"/>
          <w:marBottom w:val="0"/>
          <w:divBdr>
            <w:top w:val="none" w:sz="0" w:space="0" w:color="auto"/>
            <w:left w:val="none" w:sz="0" w:space="0" w:color="auto"/>
            <w:bottom w:val="none" w:sz="0" w:space="0" w:color="auto"/>
            <w:right w:val="none" w:sz="0" w:space="0" w:color="auto"/>
          </w:divBdr>
          <w:divsChild>
            <w:div w:id="961037903">
              <w:marLeft w:val="0"/>
              <w:marRight w:val="0"/>
              <w:marTop w:val="0"/>
              <w:marBottom w:val="0"/>
              <w:divBdr>
                <w:top w:val="none" w:sz="0" w:space="0" w:color="auto"/>
                <w:left w:val="none" w:sz="0" w:space="0" w:color="auto"/>
                <w:bottom w:val="none" w:sz="0" w:space="0" w:color="auto"/>
                <w:right w:val="none" w:sz="0" w:space="0" w:color="auto"/>
              </w:divBdr>
            </w:div>
          </w:divsChild>
        </w:div>
        <w:div w:id="1932661008">
          <w:marLeft w:val="0"/>
          <w:marRight w:val="0"/>
          <w:marTop w:val="0"/>
          <w:marBottom w:val="0"/>
          <w:divBdr>
            <w:top w:val="none" w:sz="0" w:space="0" w:color="auto"/>
            <w:left w:val="none" w:sz="0" w:space="0" w:color="auto"/>
            <w:bottom w:val="none" w:sz="0" w:space="0" w:color="auto"/>
            <w:right w:val="none" w:sz="0" w:space="0" w:color="auto"/>
          </w:divBdr>
          <w:divsChild>
            <w:div w:id="518279667">
              <w:marLeft w:val="0"/>
              <w:marRight w:val="0"/>
              <w:marTop w:val="0"/>
              <w:marBottom w:val="0"/>
              <w:divBdr>
                <w:top w:val="none" w:sz="0" w:space="0" w:color="auto"/>
                <w:left w:val="none" w:sz="0" w:space="0" w:color="auto"/>
                <w:bottom w:val="none" w:sz="0" w:space="0" w:color="auto"/>
                <w:right w:val="none" w:sz="0" w:space="0" w:color="auto"/>
              </w:divBdr>
            </w:div>
          </w:divsChild>
        </w:div>
        <w:div w:id="1936358697">
          <w:marLeft w:val="0"/>
          <w:marRight w:val="0"/>
          <w:marTop w:val="0"/>
          <w:marBottom w:val="0"/>
          <w:divBdr>
            <w:top w:val="none" w:sz="0" w:space="0" w:color="auto"/>
            <w:left w:val="none" w:sz="0" w:space="0" w:color="auto"/>
            <w:bottom w:val="none" w:sz="0" w:space="0" w:color="auto"/>
            <w:right w:val="none" w:sz="0" w:space="0" w:color="auto"/>
          </w:divBdr>
          <w:divsChild>
            <w:div w:id="731927147">
              <w:marLeft w:val="0"/>
              <w:marRight w:val="0"/>
              <w:marTop w:val="0"/>
              <w:marBottom w:val="0"/>
              <w:divBdr>
                <w:top w:val="none" w:sz="0" w:space="0" w:color="auto"/>
                <w:left w:val="none" w:sz="0" w:space="0" w:color="auto"/>
                <w:bottom w:val="none" w:sz="0" w:space="0" w:color="auto"/>
                <w:right w:val="none" w:sz="0" w:space="0" w:color="auto"/>
              </w:divBdr>
            </w:div>
          </w:divsChild>
        </w:div>
        <w:div w:id="2015456363">
          <w:marLeft w:val="0"/>
          <w:marRight w:val="0"/>
          <w:marTop w:val="0"/>
          <w:marBottom w:val="0"/>
          <w:divBdr>
            <w:top w:val="none" w:sz="0" w:space="0" w:color="auto"/>
            <w:left w:val="none" w:sz="0" w:space="0" w:color="auto"/>
            <w:bottom w:val="none" w:sz="0" w:space="0" w:color="auto"/>
            <w:right w:val="none" w:sz="0" w:space="0" w:color="auto"/>
          </w:divBdr>
          <w:divsChild>
            <w:div w:id="4667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12727">
      <w:bodyDiv w:val="1"/>
      <w:marLeft w:val="0"/>
      <w:marRight w:val="0"/>
      <w:marTop w:val="0"/>
      <w:marBottom w:val="0"/>
      <w:divBdr>
        <w:top w:val="none" w:sz="0" w:space="0" w:color="auto"/>
        <w:left w:val="none" w:sz="0" w:space="0" w:color="auto"/>
        <w:bottom w:val="none" w:sz="0" w:space="0" w:color="auto"/>
        <w:right w:val="none" w:sz="0" w:space="0" w:color="auto"/>
      </w:divBdr>
      <w:divsChild>
        <w:div w:id="319817909">
          <w:marLeft w:val="0"/>
          <w:marRight w:val="0"/>
          <w:marTop w:val="0"/>
          <w:marBottom w:val="0"/>
          <w:divBdr>
            <w:top w:val="none" w:sz="0" w:space="0" w:color="auto"/>
            <w:left w:val="none" w:sz="0" w:space="0" w:color="auto"/>
            <w:bottom w:val="none" w:sz="0" w:space="0" w:color="auto"/>
            <w:right w:val="none" w:sz="0" w:space="0" w:color="auto"/>
          </w:divBdr>
          <w:divsChild>
            <w:div w:id="20917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0761">
      <w:bodyDiv w:val="1"/>
      <w:marLeft w:val="0"/>
      <w:marRight w:val="0"/>
      <w:marTop w:val="0"/>
      <w:marBottom w:val="0"/>
      <w:divBdr>
        <w:top w:val="none" w:sz="0" w:space="0" w:color="auto"/>
        <w:left w:val="none" w:sz="0" w:space="0" w:color="auto"/>
        <w:bottom w:val="none" w:sz="0" w:space="0" w:color="auto"/>
        <w:right w:val="none" w:sz="0" w:space="0" w:color="auto"/>
      </w:divBdr>
    </w:div>
    <w:div w:id="739134547">
      <w:bodyDiv w:val="1"/>
      <w:marLeft w:val="0"/>
      <w:marRight w:val="0"/>
      <w:marTop w:val="0"/>
      <w:marBottom w:val="0"/>
      <w:divBdr>
        <w:top w:val="none" w:sz="0" w:space="0" w:color="auto"/>
        <w:left w:val="none" w:sz="0" w:space="0" w:color="auto"/>
        <w:bottom w:val="none" w:sz="0" w:space="0" w:color="auto"/>
        <w:right w:val="none" w:sz="0" w:space="0" w:color="auto"/>
      </w:divBdr>
    </w:div>
    <w:div w:id="781723390">
      <w:bodyDiv w:val="1"/>
      <w:marLeft w:val="0"/>
      <w:marRight w:val="0"/>
      <w:marTop w:val="0"/>
      <w:marBottom w:val="0"/>
      <w:divBdr>
        <w:top w:val="none" w:sz="0" w:space="0" w:color="auto"/>
        <w:left w:val="none" w:sz="0" w:space="0" w:color="auto"/>
        <w:bottom w:val="none" w:sz="0" w:space="0" w:color="auto"/>
        <w:right w:val="none" w:sz="0" w:space="0" w:color="auto"/>
      </w:divBdr>
    </w:div>
    <w:div w:id="884296858">
      <w:bodyDiv w:val="1"/>
      <w:marLeft w:val="0"/>
      <w:marRight w:val="0"/>
      <w:marTop w:val="0"/>
      <w:marBottom w:val="0"/>
      <w:divBdr>
        <w:top w:val="none" w:sz="0" w:space="0" w:color="auto"/>
        <w:left w:val="none" w:sz="0" w:space="0" w:color="auto"/>
        <w:bottom w:val="none" w:sz="0" w:space="0" w:color="auto"/>
        <w:right w:val="none" w:sz="0" w:space="0" w:color="auto"/>
      </w:divBdr>
    </w:div>
    <w:div w:id="942372834">
      <w:bodyDiv w:val="1"/>
      <w:marLeft w:val="0"/>
      <w:marRight w:val="0"/>
      <w:marTop w:val="0"/>
      <w:marBottom w:val="0"/>
      <w:divBdr>
        <w:top w:val="none" w:sz="0" w:space="0" w:color="auto"/>
        <w:left w:val="none" w:sz="0" w:space="0" w:color="auto"/>
        <w:bottom w:val="none" w:sz="0" w:space="0" w:color="auto"/>
        <w:right w:val="none" w:sz="0" w:space="0" w:color="auto"/>
      </w:divBdr>
    </w:div>
    <w:div w:id="955213074">
      <w:bodyDiv w:val="1"/>
      <w:marLeft w:val="0"/>
      <w:marRight w:val="0"/>
      <w:marTop w:val="0"/>
      <w:marBottom w:val="0"/>
      <w:divBdr>
        <w:top w:val="none" w:sz="0" w:space="0" w:color="auto"/>
        <w:left w:val="none" w:sz="0" w:space="0" w:color="auto"/>
        <w:bottom w:val="none" w:sz="0" w:space="0" w:color="auto"/>
        <w:right w:val="none" w:sz="0" w:space="0" w:color="auto"/>
      </w:divBdr>
    </w:div>
    <w:div w:id="972367785">
      <w:bodyDiv w:val="1"/>
      <w:marLeft w:val="0"/>
      <w:marRight w:val="0"/>
      <w:marTop w:val="0"/>
      <w:marBottom w:val="0"/>
      <w:divBdr>
        <w:top w:val="none" w:sz="0" w:space="0" w:color="auto"/>
        <w:left w:val="none" w:sz="0" w:space="0" w:color="auto"/>
        <w:bottom w:val="none" w:sz="0" w:space="0" w:color="auto"/>
        <w:right w:val="none" w:sz="0" w:space="0" w:color="auto"/>
      </w:divBdr>
    </w:div>
    <w:div w:id="1113592156">
      <w:bodyDiv w:val="1"/>
      <w:marLeft w:val="0"/>
      <w:marRight w:val="0"/>
      <w:marTop w:val="0"/>
      <w:marBottom w:val="0"/>
      <w:divBdr>
        <w:top w:val="none" w:sz="0" w:space="0" w:color="auto"/>
        <w:left w:val="none" w:sz="0" w:space="0" w:color="auto"/>
        <w:bottom w:val="none" w:sz="0" w:space="0" w:color="auto"/>
        <w:right w:val="none" w:sz="0" w:space="0" w:color="auto"/>
      </w:divBdr>
    </w:div>
    <w:div w:id="1171792018">
      <w:bodyDiv w:val="1"/>
      <w:marLeft w:val="0"/>
      <w:marRight w:val="0"/>
      <w:marTop w:val="0"/>
      <w:marBottom w:val="0"/>
      <w:divBdr>
        <w:top w:val="none" w:sz="0" w:space="0" w:color="auto"/>
        <w:left w:val="none" w:sz="0" w:space="0" w:color="auto"/>
        <w:bottom w:val="none" w:sz="0" w:space="0" w:color="auto"/>
        <w:right w:val="none" w:sz="0" w:space="0" w:color="auto"/>
      </w:divBdr>
    </w:div>
    <w:div w:id="1358769564">
      <w:bodyDiv w:val="1"/>
      <w:marLeft w:val="0"/>
      <w:marRight w:val="0"/>
      <w:marTop w:val="0"/>
      <w:marBottom w:val="0"/>
      <w:divBdr>
        <w:top w:val="none" w:sz="0" w:space="0" w:color="auto"/>
        <w:left w:val="none" w:sz="0" w:space="0" w:color="auto"/>
        <w:bottom w:val="none" w:sz="0" w:space="0" w:color="auto"/>
        <w:right w:val="none" w:sz="0" w:space="0" w:color="auto"/>
      </w:divBdr>
    </w:div>
    <w:div w:id="1448742756">
      <w:bodyDiv w:val="1"/>
      <w:marLeft w:val="0"/>
      <w:marRight w:val="0"/>
      <w:marTop w:val="0"/>
      <w:marBottom w:val="0"/>
      <w:divBdr>
        <w:top w:val="none" w:sz="0" w:space="0" w:color="auto"/>
        <w:left w:val="none" w:sz="0" w:space="0" w:color="auto"/>
        <w:bottom w:val="none" w:sz="0" w:space="0" w:color="auto"/>
        <w:right w:val="none" w:sz="0" w:space="0" w:color="auto"/>
      </w:divBdr>
    </w:div>
    <w:div w:id="1478230500">
      <w:bodyDiv w:val="1"/>
      <w:marLeft w:val="0"/>
      <w:marRight w:val="0"/>
      <w:marTop w:val="0"/>
      <w:marBottom w:val="0"/>
      <w:divBdr>
        <w:top w:val="none" w:sz="0" w:space="0" w:color="auto"/>
        <w:left w:val="none" w:sz="0" w:space="0" w:color="auto"/>
        <w:bottom w:val="none" w:sz="0" w:space="0" w:color="auto"/>
        <w:right w:val="none" w:sz="0" w:space="0" w:color="auto"/>
      </w:divBdr>
    </w:div>
    <w:div w:id="1501189483">
      <w:bodyDiv w:val="1"/>
      <w:marLeft w:val="0"/>
      <w:marRight w:val="0"/>
      <w:marTop w:val="0"/>
      <w:marBottom w:val="0"/>
      <w:divBdr>
        <w:top w:val="none" w:sz="0" w:space="0" w:color="auto"/>
        <w:left w:val="none" w:sz="0" w:space="0" w:color="auto"/>
        <w:bottom w:val="none" w:sz="0" w:space="0" w:color="auto"/>
        <w:right w:val="none" w:sz="0" w:space="0" w:color="auto"/>
      </w:divBdr>
    </w:div>
    <w:div w:id="1820995829">
      <w:bodyDiv w:val="1"/>
      <w:marLeft w:val="0"/>
      <w:marRight w:val="0"/>
      <w:marTop w:val="0"/>
      <w:marBottom w:val="0"/>
      <w:divBdr>
        <w:top w:val="none" w:sz="0" w:space="0" w:color="auto"/>
        <w:left w:val="none" w:sz="0" w:space="0" w:color="auto"/>
        <w:bottom w:val="none" w:sz="0" w:space="0" w:color="auto"/>
        <w:right w:val="none" w:sz="0" w:space="0" w:color="auto"/>
      </w:divBdr>
    </w:div>
    <w:div w:id="1835681896">
      <w:bodyDiv w:val="1"/>
      <w:marLeft w:val="0"/>
      <w:marRight w:val="0"/>
      <w:marTop w:val="0"/>
      <w:marBottom w:val="0"/>
      <w:divBdr>
        <w:top w:val="none" w:sz="0" w:space="0" w:color="auto"/>
        <w:left w:val="none" w:sz="0" w:space="0" w:color="auto"/>
        <w:bottom w:val="none" w:sz="0" w:space="0" w:color="auto"/>
        <w:right w:val="none" w:sz="0" w:space="0" w:color="auto"/>
      </w:divBdr>
    </w:div>
    <w:div w:id="1899509972">
      <w:bodyDiv w:val="1"/>
      <w:marLeft w:val="0"/>
      <w:marRight w:val="0"/>
      <w:marTop w:val="0"/>
      <w:marBottom w:val="0"/>
      <w:divBdr>
        <w:top w:val="none" w:sz="0" w:space="0" w:color="auto"/>
        <w:left w:val="none" w:sz="0" w:space="0" w:color="auto"/>
        <w:bottom w:val="none" w:sz="0" w:space="0" w:color="auto"/>
        <w:right w:val="none" w:sz="0" w:space="0" w:color="auto"/>
      </w:divBdr>
    </w:div>
    <w:div w:id="1908763519">
      <w:bodyDiv w:val="1"/>
      <w:marLeft w:val="0"/>
      <w:marRight w:val="0"/>
      <w:marTop w:val="0"/>
      <w:marBottom w:val="0"/>
      <w:divBdr>
        <w:top w:val="none" w:sz="0" w:space="0" w:color="auto"/>
        <w:left w:val="none" w:sz="0" w:space="0" w:color="auto"/>
        <w:bottom w:val="none" w:sz="0" w:space="0" w:color="auto"/>
        <w:right w:val="none" w:sz="0" w:space="0" w:color="auto"/>
      </w:divBdr>
    </w:div>
    <w:div w:id="19563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lpac.org/training/training-opportunities/" TargetMode="External"/><Relationship Id="rId26" Type="http://schemas.openxmlformats.org/officeDocument/2006/relationships/hyperlink" Target="https://nces.ed.gov/timss/"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smartertoolsforteachers.org/" TargetMode="External"/><Relationship Id="rId34" Type="http://schemas.openxmlformats.org/officeDocument/2006/relationships/header" Target="header3.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aaspp.org/training/training-opportunities.html" TargetMode="External"/><Relationship Id="rId25" Type="http://schemas.openxmlformats.org/officeDocument/2006/relationships/hyperlink" Target="https://nces.ed.gov/surveys/pirls/index.asp" TargetMode="External"/><Relationship Id="rId33" Type="http://schemas.openxmlformats.org/officeDocument/2006/relationships/footer" Target="footer3.xml"/><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aspp-elpac.cde.ca.gov/elpac/Default" TargetMode="External"/><Relationship Id="rId20" Type="http://schemas.openxmlformats.org/officeDocument/2006/relationships/hyperlink" Target="https://www.elpac.org/training/training-opportunities-archive/" TargetMode="External"/><Relationship Id="rId29" Type="http://schemas.openxmlformats.org/officeDocument/2006/relationships/hyperlink" Target="https://www.cde.ca.gov/be/ag/ag/yr21/documents/may21item03.docx"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ces.ed.gov/surveys/pisa/" TargetMode="Externa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header" Target="header6.xml"/><Relationship Id="rId45" Type="http://schemas.openxmlformats.org/officeDocument/2006/relationships/header" Target="header8.xm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e.ca.gov/be/pn/im/documents/apr22memoadad01.docx" TargetMode="External"/><Relationship Id="rId23" Type="http://schemas.openxmlformats.org/officeDocument/2006/relationships/hyperlink" Target="https://nces.ed.gov/surveys/icils/" TargetMode="External"/><Relationship Id="rId28" Type="http://schemas.openxmlformats.org/officeDocument/2006/relationships/hyperlink" Target="https://www.cde.ca.gov/be/ag/ag/yr21/documents/sep21item02.docx"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aaspp.org/training/training-opportunities-archive.html" TargetMode="External"/><Relationship Id="rId31" Type="http://schemas.openxmlformats.org/officeDocument/2006/relationships/hyperlink" Target="https://www.cde.ca.gov/be/ag/ag/yr19/documents/may19item01.docx" TargetMode="External"/><Relationship Id="rId44" Type="http://schemas.openxmlformats.org/officeDocument/2006/relationships/hyperlink" Target="https://www.cde.ca.gov/sp/el/er/documents/eldstndspublication14.pdf"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nces.ed.gov/nationsreportcard/" TargetMode="External"/><Relationship Id="rId27" Type="http://schemas.openxmlformats.org/officeDocument/2006/relationships/hyperlink" Target="https://www.cde.ca.gov/be/pn/im/documents/apr22memoadad01.docx" TargetMode="External"/><Relationship Id="rId30" Type="http://schemas.openxmlformats.org/officeDocument/2006/relationships/hyperlink" Target="https://www.cde.ca.gov/be/ag/ag/yr20/documents/may20item01.docx" TargetMode="External"/><Relationship Id="rId35" Type="http://schemas.openxmlformats.org/officeDocument/2006/relationships/footer" Target="footer4.xml"/><Relationship Id="rId43" Type="http://schemas.openxmlformats.org/officeDocument/2006/relationships/footer" Target="footer8.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7E2B96F6-CB49-4A74-814C-F2566931672B}">
    <t:Anchor>
      <t:Comment id="904913227"/>
    </t:Anchor>
    <t:History>
      <t:Event id="{DC8A898F-11BC-4C5F-AC71-0F03684620C9}" time="2022-03-23T01:12:27.567Z">
        <t:Attribution userId="S::lhooper@cde.ca.gov::bf095d39-d44d-4c1d-ab3c-ee169b867525" userProvider="AD" userName="Linda Hooper"/>
        <t:Anchor>
          <t:Comment id="1080025579"/>
        </t:Anchor>
        <t:Create/>
      </t:Event>
      <t:Event id="{FD526123-0EA2-487B-BA97-BD8088042383}" time="2022-03-23T01:12:27.567Z">
        <t:Attribution userId="S::lhooper@cde.ca.gov::bf095d39-d44d-4c1d-ab3c-ee169b867525" userProvider="AD" userName="Linda Hooper"/>
        <t:Anchor>
          <t:Comment id="1080025579"/>
        </t:Anchor>
        <t:Assign userId="S::BrDoan@cde.ca.gov::8d25270d-b810-49e6-a4c0-7652dd5fac68" userProvider="AD" userName="Brandon Doan"/>
      </t:Event>
      <t:Event id="{70C053B4-57AA-45A9-B566-7B23FC1E6F23}" time="2022-03-23T01:12:27.567Z">
        <t:Attribution userId="S::lhooper@cde.ca.gov::bf095d39-d44d-4c1d-ab3c-ee169b867525" userProvider="AD" userName="Linda Hooper"/>
        <t:Anchor>
          <t:Comment id="1080025579"/>
        </t:Anchor>
        <t:SetTitle title="@Brandon Doan @Caroline Ramirez-Faghih @Traci Albee Mao has requested the tables be complete as possible to so that we can get feedback on the table layout. We can populate the tables when we get the data."/>
      </t:Event>
      <t:Event id="{866E2E3C-322A-4891-A0DA-9602EBE7D3F2}" time="2022-03-24T16:15:41.841Z">
        <t:Attribution userId="S::cramirezfaghih@cde.ca.gov::63745869-afdb-4796-86cc-8f1dc8fabea5" userProvider="AD" userName="Caroline Ramirez-Faghih"/>
        <t:Progress percentComplete="100"/>
      </t:Event>
    </t:History>
  </t:Task>
  <t:Task id="{48CE5D97-2BB5-4521-BEAA-CFCF723D6B77}">
    <t:Anchor>
      <t:Comment id="1077120578"/>
    </t:Anchor>
    <t:History>
      <t:Event id="{6555E0F4-F6BC-4774-B267-3E072D0F87A9}" time="2022-01-26T00:12:25.366Z">
        <t:Attribution userId="S::chudson@cde.ca.gov::60e836f3-086d-4d77-a502-597c1d1b80a8" userProvider="AD" userName="Charissa Hudson"/>
        <t:Anchor>
          <t:Comment id="1077120578"/>
        </t:Anchor>
        <t:Create/>
      </t:Event>
      <t:Event id="{8C180F56-D2BC-4E1B-B8AA-9CA4804F66E9}" time="2022-01-26T00:12:25.366Z">
        <t:Attribution userId="S::chudson@cde.ca.gov::60e836f3-086d-4d77-a502-597c1d1b80a8" userProvider="AD" userName="Charissa Hudson"/>
        <t:Anchor>
          <t:Comment id="1077120578"/>
        </t:Anchor>
        <t:Assign userId="S::JValdez@cde.ca.gov::5f9b6ff8-f7db-4b31-8643-41adedcec546" userProvider="AD" userName="Jessica Valdez"/>
      </t:Event>
      <t:Event id="{E0B5D842-39AC-4A7D-8B9E-73D35CA75947}" time="2022-01-26T00:12:25.366Z">
        <t:Attribution userId="S::chudson@cde.ca.gov::60e836f3-086d-4d77-a502-597c1d1b80a8" userProvider="AD" userName="Charissa Hudson"/>
        <t:Anchor>
          <t:Comment id="1077120578"/>
        </t:Anchor>
        <t:SetTitle title="Hi @Jessica Valdez Vigdis has approved this article. Can you please review it too? Thank you so much!"/>
      </t:Event>
    </t:History>
  </t:Task>
  <t:Task id="{D536BD6B-42C9-4C17-B2EC-B6360A940F84}">
    <t:Anchor>
      <t:Comment id="2022344671"/>
    </t:Anchor>
    <t:History>
      <t:Event id="{25EDE93B-A0DF-46A0-A4BF-14DED4CEEE8D}" time="2022-03-23T23:32:32.304Z">
        <t:Attribution userId="S::lhooper@cde.ca.gov::bf095d39-d44d-4c1d-ab3c-ee169b867525" userProvider="AD" userName="Linda Hooper"/>
        <t:Anchor>
          <t:Comment id="2022344671"/>
        </t:Anchor>
        <t:Create/>
      </t:Event>
      <t:Event id="{F4E74A8C-CC08-4C4F-82F2-92851565E664}" time="2022-03-23T23:32:32.304Z">
        <t:Attribution userId="S::lhooper@cde.ca.gov::bf095d39-d44d-4c1d-ab3c-ee169b867525" userProvider="AD" userName="Linda Hooper"/>
        <t:Anchor>
          <t:Comment id="2022344671"/>
        </t:Anchor>
        <t:Assign userId="S::BrDoan@cde.ca.gov::8d25270d-b810-49e6-a4c0-7652dd5fac68" userProvider="AD" userName="Brandon Doan"/>
      </t:Event>
      <t:Event id="{1F7A7BE7-EFBF-46E8-B823-5E9C95E23142}" time="2022-03-23T23:32:32.304Z">
        <t:Attribution userId="S::lhooper@cde.ca.gov::bf095d39-d44d-4c1d-ab3c-ee169b867525" userProvider="AD" userName="Linda Hooper"/>
        <t:Anchor>
          <t:Comment id="2022344671"/>
        </t:Anchor>
        <t:SetTitle title="@Traci Albee @Brandon Doan should we put xx in the tables if these numbers are not final"/>
      </t:Event>
      <t:Event id="{A56C7E05-F089-4D4D-A982-F97D40D7D2BF}" time="2022-03-23T23:48:40.522Z">
        <t:Attribution userId="S::cramirezfaghih@cde.ca.gov::63745869-afdb-4796-86cc-8f1dc8fabea5" userProvider="AD" userName="Caroline Ramirez-Faghih"/>
        <t:Progress percentComplete="100"/>
      </t:Event>
    </t:History>
  </t:Task>
  <t:Task id="{C277BE0C-C80C-440D-96AE-002C86D1A499}">
    <t:Anchor>
      <t:Comment id="1065042400"/>
    </t:Anchor>
    <t:History>
      <t:Event id="{5B3950C8-AF27-4BD1-972D-65034BFFFA4B}" time="2022-02-02T20:40:34.287Z">
        <t:Attribution userId="S::cnajerakunsemiller@cde.ca.gov::c7b77773-ba28-4e40-b9f1-cd897667b3f9" userProvider="AD" userName="Carla Najera-Kunsemiller"/>
        <t:Anchor>
          <t:Comment id="1065042400"/>
        </t:Anchor>
        <t:Create/>
      </t:Event>
      <t:Event id="{F3A8073F-E312-4F8E-BE93-E5E8A645D49D}" time="2022-02-02T20:40:34.287Z">
        <t:Attribution userId="S::cnajerakunsemiller@cde.ca.gov::c7b77773-ba28-4e40-b9f1-cd897667b3f9" userProvider="AD" userName="Carla Najera-Kunsemiller"/>
        <t:Anchor>
          <t:Comment id="1065042400"/>
        </t:Anchor>
        <t:Assign userId="S::CRamirezFaghih@cde.ca.gov::63745869-afdb-4796-86cc-8f1dc8fabea5" userProvider="AD" userName="Caroline Ramirez-Faghih"/>
      </t:Event>
      <t:Event id="{30231D84-D38B-40EC-8561-400C641BBD11}" time="2022-02-02T20:40:34.287Z">
        <t:Attribution userId="S::cnajerakunsemiller@cde.ca.gov::c7b77773-ba28-4e40-b9f1-cd897667b3f9" userProvider="AD" userName="Carla Najera-Kunsemiller"/>
        <t:Anchor>
          <t:Comment id="1065042400"/>
        </t:Anchor>
        <t:SetTitle title="@Caroline Ramirez-Faghih Should this be plural since there were several workshops during that period of time?"/>
      </t:Event>
      <t:Event id="{FF942D5F-E6CB-4FBC-A36B-671D1AF2EC98}" time="2022-02-12T00:27:16.069Z">
        <t:Attribution userId="S::cnajerakunsemiller@cde.ca.gov::c7b77773-ba28-4e40-b9f1-cd897667b3f9" userProvider="AD" userName="Carla Najera-Kunsemiller"/>
        <t:Progress percentComplete="100"/>
      </t:Event>
    </t:History>
  </t:Task>
  <t:Task id="{391366EE-9AED-4A82-B565-79CA75AEA17A}">
    <t:Anchor>
      <t:Comment id="835804534"/>
    </t:Anchor>
    <t:History>
      <t:Event id="{5EE4C4A8-156B-43AA-B6F6-6F71E616DFFA}" time="2022-04-07T18:59:19.967Z">
        <t:Attribution userId="S::tsaldana@cde.ca.gov::8e51278e-45ca-4c48-b37d-88e33baf3512" userProvider="AD" userName="Tammy Saldana"/>
        <t:Anchor>
          <t:Comment id="835804534"/>
        </t:Anchor>
        <t:Create/>
      </t:Event>
      <t:Event id="{554A9EE8-A4D3-4830-8467-A070198216A4}" time="2022-04-07T18:59:19.967Z">
        <t:Attribution userId="S::tsaldana@cde.ca.gov::8e51278e-45ca-4c48-b37d-88e33baf3512" userProvider="AD" userName="Tammy Saldana"/>
        <t:Anchor>
          <t:Comment id="835804534"/>
        </t:Anchor>
        <t:Assign userId="S::LHooper@cde.ca.gov::bf095d39-d44d-4c1d-ab3c-ee169b867525" userProvider="AD" userName="Linda Hooper"/>
      </t:Event>
      <t:Event id="{71318B43-2A23-4137-A2A6-D81155A21385}" time="2022-04-07T18:59:19.967Z">
        <t:Attribution userId="S::tsaldana@cde.ca.gov::8e51278e-45ca-4c48-b37d-88e33baf3512" userProvider="AD" userName="Tammy Saldana"/>
        <t:Anchor>
          <t:Comment id="835804534"/>
        </t:Anchor>
        <t:SetTitle title="@Linda Hooper This sentence has been added, Can you check the wording here? IFAO is not sure where this info came from."/>
      </t:Event>
    </t:History>
  </t:Task>
  <t:Task id="{9BE7BBAB-AC60-4A15-96E4-5404792C7FD1}">
    <t:Anchor>
      <t:Comment id="637693009"/>
    </t:Anchor>
    <t:History>
      <t:Event id="{E078DFE2-A199-46BC-9C6D-36E17F27D322}" time="2022-04-18T23:10:30.37Z">
        <t:Attribution userId="S::lhooper@cde.ca.gov::bf095d39-d44d-4c1d-ab3c-ee169b867525" userProvider="AD" userName="Linda Hooper"/>
        <t:Anchor>
          <t:Comment id="439409006"/>
        </t:Anchor>
        <t:Create/>
      </t:Event>
      <t:Event id="{6356729F-96D6-42EF-A5CF-E6F4F67BA33E}" time="2022-04-18T23:10:30.37Z">
        <t:Attribution userId="S::lhooper@cde.ca.gov::bf095d39-d44d-4c1d-ab3c-ee169b867525" userProvider="AD" userName="Linda Hooper"/>
        <t:Anchor>
          <t:Comment id="439409006"/>
        </t:Anchor>
        <t:Assign userId="S::BrDoan@cde.ca.gov::8d25270d-b810-49e6-a4c0-7652dd5fac68" userProvider="AD" userName="Brandon Doan"/>
      </t:Event>
      <t:Event id="{036FAE7C-48C3-4181-8A89-3E0B499EC674}" time="2022-04-18T23:10:30.37Z">
        <t:Attribution userId="S::lhooper@cde.ca.gov::bf095d39-d44d-4c1d-ab3c-ee169b867525" userProvider="AD" userName="Linda Hooper"/>
        <t:Anchor>
          <t:Comment id="439409006"/>
        </t:Anchor>
        <t:SetTitle title="@Brandon Doan @Vigdis Asmundson These numbers are based upon students who are currently registered.  Very few high school students completed testing in 2020 and 2021 therefore the registration rate is higher since all grade 12 students who have no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Traci Albee</DisplayName>
        <AccountId>44</AccountId>
        <AccountType/>
      </UserInfo>
      <UserInfo>
        <DisplayName>Carla Najera-Kunsemiller</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2.xml><?xml version="1.0" encoding="utf-8"?>
<ds:datastoreItem xmlns:ds="http://schemas.openxmlformats.org/officeDocument/2006/customXml" ds:itemID="{C1DC637F-46F6-434A-B7A6-875C0B973A64}">
  <ds:schemaRefs>
    <ds:schemaRef ds:uri="http://schemas.microsoft.com/office/2006/metadata/properties"/>
    <ds:schemaRef ds:uri="http://schemas.microsoft.com/office/2006/documentManagement/types"/>
    <ds:schemaRef ds:uri="1aae30ff-d7bc-47e3-882e-cd3423d00d62"/>
    <ds:schemaRef ds:uri="http://purl.org/dc/terms/"/>
    <ds:schemaRef ds:uri="f89dec18-d0c2-45d2-8a15-31051f2519f8"/>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6AA3134-0B27-492C-A7DA-E764F005F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D5340-4B9B-4AAF-9602-246E9FC1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27</Pages>
  <Words>7635</Words>
  <Characters>43523</Characters>
  <DocSecurity>0</DocSecurity>
  <Lines>362</Lines>
  <Paragraphs>102</Paragraphs>
  <ScaleCrop>false</ScaleCrop>
  <HeadingPairs>
    <vt:vector size="2" baseType="variant">
      <vt:variant>
        <vt:lpstr>Title</vt:lpstr>
      </vt:variant>
      <vt:variant>
        <vt:i4>1</vt:i4>
      </vt:variant>
    </vt:vector>
  </HeadingPairs>
  <TitlesOfParts>
    <vt:vector size="1" baseType="lpstr">
      <vt:lpstr>May 2022 Agenda Item XX - Meeting Agendas (CA State Board of Education)</vt:lpstr>
    </vt:vector>
  </TitlesOfParts>
  <Company>California State Board of Education</Company>
  <LinksUpToDate>false</LinksUpToDate>
  <CharactersWithSpaces>51056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Agenda Item 03 - Meeting Agendas (CA State Board of Education)</dc:title>
  <dc:subject>The California Assessment of Student Performance and Progress System and English Language Proficiency Assessments for California: Approval of the 2021-22 Apportionment Rates.</dc:subject>
  <dc:creator/>
  <cp:keywords/>
  <dc:description/>
  <cp:lastPrinted>2017-10-30T17:36:00Z</cp:lastPrinted>
  <dcterms:created xsi:type="dcterms:W3CDTF">2022-04-14T16:54:00Z</dcterms:created>
  <dcterms:modified xsi:type="dcterms:W3CDTF">2022-05-05T22:05:00Z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