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3D6615E" w:rsidR="006E06C6" w:rsidRDefault="00D5115F" w:rsidP="00B723BE">
      <w:r w:rsidRPr="00D5115F">
        <w:rPr>
          <w:noProof/>
        </w:rPr>
        <w:drawing>
          <wp:inline distT="0" distB="0" distL="0" distR="0" wp14:anchorId="60E34BDA" wp14:editId="0777777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C784A02" w14:textId="675F4F91" w:rsidR="00B723BE" w:rsidRDefault="00FC1FCE" w:rsidP="00B723BE">
      <w:pPr>
        <w:jc w:val="right"/>
      </w:pPr>
      <w:r w:rsidRPr="00B723BE">
        <w:t>California Department of Education</w:t>
      </w:r>
    </w:p>
    <w:p w14:paraId="1CAF1CB7" w14:textId="77777777" w:rsidR="00B723BE" w:rsidRDefault="00FC1FCE" w:rsidP="00B723BE">
      <w:pPr>
        <w:jc w:val="right"/>
      </w:pPr>
      <w:r w:rsidRPr="00B723BE">
        <w:t>Executive Office</w:t>
      </w:r>
    </w:p>
    <w:p w14:paraId="18A2FE91"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6079A0DE" w14:textId="7B784A86" w:rsidR="00B723BE" w:rsidRPr="00764422" w:rsidRDefault="00C84127" w:rsidP="7AFFF4DA">
      <w:pPr>
        <w:jc w:val="right"/>
      </w:pPr>
      <w:r w:rsidRPr="00764422">
        <w:t>o</w:t>
      </w:r>
      <w:r w:rsidR="594917BC" w:rsidRPr="00764422">
        <w:t>fab-nsd-mar24item01</w:t>
      </w:r>
    </w:p>
    <w:p w14:paraId="0A37501D" w14:textId="77777777" w:rsidR="00B723BE" w:rsidRDefault="00B723BE" w:rsidP="00FC1FCE">
      <w:pPr>
        <w:pStyle w:val="Heading1"/>
        <w:jc w:val="center"/>
        <w:rPr>
          <w:sz w:val="40"/>
          <w:szCs w:val="40"/>
        </w:rPr>
        <w:sectPr w:rsidR="00B723BE" w:rsidSect="00CB55FC">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Default="006E06C6" w:rsidP="00FC1FCE">
      <w:pPr>
        <w:pStyle w:val="Heading1"/>
        <w:jc w:val="center"/>
        <w:rPr>
          <w:sz w:val="40"/>
          <w:szCs w:val="40"/>
        </w:rPr>
        <w:sectPr w:rsidR="006E06C6" w:rsidSect="00CB55FC">
          <w:type w:val="continuous"/>
          <w:pgSz w:w="12240" w:h="15840"/>
          <w:pgMar w:top="720" w:right="1440" w:bottom="1440" w:left="1440" w:header="720" w:footer="720" w:gutter="0"/>
          <w:cols w:space="720"/>
          <w:docGrid w:linePitch="360"/>
        </w:sectPr>
      </w:pPr>
    </w:p>
    <w:p w14:paraId="0C2B3FD2" w14:textId="12C23B74" w:rsidR="00FC1FCE" w:rsidRPr="00832AB9" w:rsidRDefault="0091117B" w:rsidP="002B4B14">
      <w:pPr>
        <w:pStyle w:val="Heading1"/>
        <w:spacing w:before="240" w:after="240"/>
        <w:jc w:val="center"/>
        <w:rPr>
          <w:sz w:val="40"/>
          <w:szCs w:val="40"/>
        </w:rPr>
      </w:pPr>
      <w:r w:rsidRPr="00832AB9">
        <w:rPr>
          <w:sz w:val="40"/>
          <w:szCs w:val="40"/>
        </w:rPr>
        <w:t>Californ</w:t>
      </w:r>
      <w:r w:rsidR="00693951" w:rsidRPr="00832AB9">
        <w:rPr>
          <w:sz w:val="40"/>
          <w:szCs w:val="40"/>
        </w:rPr>
        <w:t>ia State Board of Education</w:t>
      </w:r>
      <w:r w:rsidRPr="00832AB9">
        <w:br/>
      </w:r>
      <w:r w:rsidR="00B23265" w:rsidRPr="00832AB9">
        <w:rPr>
          <w:sz w:val="40"/>
          <w:szCs w:val="40"/>
        </w:rPr>
        <w:t xml:space="preserve">March </w:t>
      </w:r>
      <w:r w:rsidR="00094A06" w:rsidRPr="00832AB9">
        <w:rPr>
          <w:sz w:val="40"/>
          <w:szCs w:val="40"/>
        </w:rPr>
        <w:t>202</w:t>
      </w:r>
      <w:r w:rsidR="7450F0F1" w:rsidRPr="00832AB9">
        <w:rPr>
          <w:sz w:val="40"/>
          <w:szCs w:val="40"/>
        </w:rPr>
        <w:t>4</w:t>
      </w:r>
      <w:r w:rsidRPr="00832AB9">
        <w:rPr>
          <w:sz w:val="40"/>
          <w:szCs w:val="40"/>
        </w:rPr>
        <w:t xml:space="preserve"> Agenda</w:t>
      </w:r>
      <w:r w:rsidRPr="00832AB9">
        <w:br/>
      </w:r>
      <w:r w:rsidR="00FC1FCE" w:rsidRPr="00832AB9">
        <w:rPr>
          <w:sz w:val="40"/>
          <w:szCs w:val="40"/>
        </w:rPr>
        <w:t>Item</w:t>
      </w:r>
      <w:r w:rsidR="00692300" w:rsidRPr="00832AB9">
        <w:rPr>
          <w:sz w:val="40"/>
          <w:szCs w:val="40"/>
        </w:rPr>
        <w:t xml:space="preserve"> #</w:t>
      </w:r>
      <w:r w:rsidR="00130059" w:rsidRPr="00832AB9">
        <w:rPr>
          <w:sz w:val="40"/>
          <w:szCs w:val="40"/>
        </w:rPr>
        <w:t>0</w:t>
      </w:r>
      <w:r w:rsidR="003D31AD" w:rsidRPr="00832AB9">
        <w:rPr>
          <w:sz w:val="40"/>
          <w:szCs w:val="40"/>
        </w:rPr>
        <w:t>9</w:t>
      </w:r>
    </w:p>
    <w:p w14:paraId="27B6226E" w14:textId="77777777" w:rsidR="00FC1FCE" w:rsidRPr="00832AB9" w:rsidRDefault="00FC1FCE" w:rsidP="002B4B14">
      <w:pPr>
        <w:pStyle w:val="Heading2"/>
        <w:spacing w:before="240" w:after="240"/>
        <w:rPr>
          <w:sz w:val="36"/>
          <w:szCs w:val="36"/>
        </w:rPr>
      </w:pPr>
      <w:r w:rsidRPr="00832AB9">
        <w:rPr>
          <w:sz w:val="36"/>
          <w:szCs w:val="36"/>
        </w:rPr>
        <w:t>Subject</w:t>
      </w:r>
    </w:p>
    <w:p w14:paraId="04732DA9" w14:textId="4AD9952F" w:rsidR="00692300" w:rsidRPr="00094A06" w:rsidRDefault="527E004C" w:rsidP="2B3CCD0E">
      <w:pPr>
        <w:spacing w:after="480"/>
      </w:pPr>
      <w:r>
        <w:t xml:space="preserve">School Nutrition Programs: Approve </w:t>
      </w:r>
      <w:r w:rsidR="00094A06">
        <w:t xml:space="preserve">Commencement </w:t>
      </w:r>
      <w:r>
        <w:t xml:space="preserve">of </w:t>
      </w:r>
      <w:r w:rsidR="00493808">
        <w:t>a</w:t>
      </w:r>
      <w:r w:rsidR="00094A06">
        <w:t xml:space="preserve"> 45-Day Public Comment Period for Proposed Amendments to </w:t>
      </w:r>
      <w:r w:rsidRPr="55FA8839">
        <w:rPr>
          <w:i/>
          <w:iCs/>
        </w:rPr>
        <w:t>California Code of Regulations</w:t>
      </w:r>
      <w:r>
        <w:t>, Title 5</w:t>
      </w:r>
      <w:r w:rsidR="006F35B8">
        <w:t>,</w:t>
      </w:r>
      <w:r>
        <w:t xml:space="preserve"> </w:t>
      </w:r>
      <w:r w:rsidR="1260C72E">
        <w:t>Section</w:t>
      </w:r>
      <w:r w:rsidR="00493808">
        <w:t>s</w:t>
      </w:r>
      <w:r w:rsidR="1260C72E">
        <w:t xml:space="preserve"> </w:t>
      </w:r>
      <w:r w:rsidR="6E9B7250">
        <w:t xml:space="preserve">4610, </w:t>
      </w:r>
      <w:r w:rsidR="1260C72E">
        <w:t>15510</w:t>
      </w:r>
      <w:r w:rsidR="07C621F5">
        <w:t xml:space="preserve"> </w:t>
      </w:r>
      <w:r w:rsidR="0AFDC2B7">
        <w:t xml:space="preserve">15551, </w:t>
      </w:r>
      <w:r w:rsidR="44E52B8E">
        <w:t>15556, 15562</w:t>
      </w:r>
      <w:r w:rsidR="0AFDC2B7">
        <w:t>, 15564</w:t>
      </w:r>
      <w:r w:rsidR="006F35B8">
        <w:t>,</w:t>
      </w:r>
      <w:r w:rsidR="0AFDC2B7">
        <w:t xml:space="preserve"> 15565</w:t>
      </w:r>
      <w:r w:rsidR="637FB182">
        <w:t>,</w:t>
      </w:r>
      <w:r w:rsidR="0AFDC2B7">
        <w:t xml:space="preserve"> </w:t>
      </w:r>
      <w:r w:rsidR="1A6BD913">
        <w:t>15575, 15576, 15577 and 15578</w:t>
      </w:r>
      <w:r w:rsidR="009748D5">
        <w:t>, the Addition of Section 15560,</w:t>
      </w:r>
      <w:r w:rsidR="00493808">
        <w:t xml:space="preserve"> and the Repeal of Sections</w:t>
      </w:r>
      <w:r w:rsidR="5FCFB96F">
        <w:t xml:space="preserve"> </w:t>
      </w:r>
      <w:r w:rsidR="006F35B8">
        <w:t>15530, 15531, 15532, 15533, 15534,</w:t>
      </w:r>
      <w:r w:rsidR="00BD26A5">
        <w:t xml:space="preserve"> </w:t>
      </w:r>
      <w:r w:rsidR="006F35B8">
        <w:t>15535</w:t>
      </w:r>
      <w:r w:rsidR="00155027">
        <w:t>, and 15563.</w:t>
      </w:r>
    </w:p>
    <w:p w14:paraId="19FA46C3" w14:textId="77777777" w:rsidR="00FC1FCE" w:rsidRPr="00832AB9" w:rsidRDefault="00FC1FCE" w:rsidP="002B4B14">
      <w:pPr>
        <w:pStyle w:val="Heading2"/>
        <w:spacing w:before="240" w:after="240"/>
        <w:rPr>
          <w:sz w:val="36"/>
          <w:szCs w:val="36"/>
        </w:rPr>
      </w:pPr>
      <w:r w:rsidRPr="00832AB9">
        <w:rPr>
          <w:sz w:val="36"/>
          <w:szCs w:val="36"/>
        </w:rPr>
        <w:t>Type of Action</w:t>
      </w:r>
    </w:p>
    <w:p w14:paraId="07254FFE" w14:textId="1C7B32E4" w:rsidR="0091117B" w:rsidRPr="0015341D" w:rsidRDefault="0055266B" w:rsidP="000E09DC">
      <w:pPr>
        <w:spacing w:after="480"/>
      </w:pPr>
      <w:r>
        <w:t>Action, Information</w:t>
      </w:r>
      <w:r w:rsidR="003D31AD">
        <w:t>, Consent</w:t>
      </w:r>
    </w:p>
    <w:p w14:paraId="2F54E36F" w14:textId="77777777" w:rsidR="00FC1FCE" w:rsidRPr="00832AB9" w:rsidRDefault="46B4326A" w:rsidP="002B4B14">
      <w:pPr>
        <w:pStyle w:val="Heading2"/>
        <w:spacing w:before="240" w:after="240"/>
        <w:rPr>
          <w:sz w:val="36"/>
          <w:szCs w:val="36"/>
        </w:rPr>
      </w:pPr>
      <w:r w:rsidRPr="00832AB9">
        <w:rPr>
          <w:sz w:val="36"/>
          <w:szCs w:val="36"/>
        </w:rPr>
        <w:t>Summary of the Issue(s)</w:t>
      </w:r>
    </w:p>
    <w:p w14:paraId="7AF7B06C" w14:textId="55D624D1" w:rsidR="000324AD" w:rsidRPr="002B4B14" w:rsidRDefault="35E7255A" w:rsidP="002B4B14">
      <w:pPr>
        <w:spacing w:after="480"/>
      </w:pPr>
      <w:r>
        <w:t xml:space="preserve">The California Department of Education (CDE) is submitting proposed amended regulations </w:t>
      </w:r>
      <w:r w:rsidR="006F35B8">
        <w:t xml:space="preserve">regarding </w:t>
      </w:r>
      <w:r>
        <w:t>the School Nutrition Programs</w:t>
      </w:r>
      <w:r w:rsidR="2F0DA952">
        <w:t xml:space="preserve"> to align </w:t>
      </w:r>
      <w:r w:rsidR="00094A06" w:rsidRPr="55FA8839">
        <w:rPr>
          <w:i/>
          <w:iCs/>
        </w:rPr>
        <w:t>California Code of Regulations</w:t>
      </w:r>
      <w:r w:rsidR="00094A06">
        <w:t>, Title 5 (</w:t>
      </w:r>
      <w:r w:rsidR="2F0DA952">
        <w:t xml:space="preserve">5 </w:t>
      </w:r>
      <w:r w:rsidR="2F0DA952" w:rsidRPr="55FA8839">
        <w:rPr>
          <w:i/>
          <w:iCs/>
        </w:rPr>
        <w:t>CCR</w:t>
      </w:r>
      <w:r w:rsidR="0055266B">
        <w:t>)</w:t>
      </w:r>
      <w:r w:rsidR="2F0DA952">
        <w:t xml:space="preserve">, </w:t>
      </w:r>
      <w:r w:rsidR="001B7C58">
        <w:t xml:space="preserve">articles </w:t>
      </w:r>
      <w:r w:rsidR="47696AE3">
        <w:t xml:space="preserve">2, 3, 4, and 6 </w:t>
      </w:r>
      <w:r w:rsidR="2F0DA952">
        <w:t xml:space="preserve">with current </w:t>
      </w:r>
      <w:r w:rsidR="2F0DA952" w:rsidRPr="55FA8839">
        <w:rPr>
          <w:i/>
          <w:iCs/>
        </w:rPr>
        <w:t>California Education Code</w:t>
      </w:r>
      <w:r>
        <w:t xml:space="preserve"> </w:t>
      </w:r>
      <w:r w:rsidR="3D3E7CEC">
        <w:t>s</w:t>
      </w:r>
      <w:r w:rsidR="4CA69FD9">
        <w:t>ection</w:t>
      </w:r>
      <w:r w:rsidR="708665F0">
        <w:t>s</w:t>
      </w:r>
      <w:r w:rsidR="46A94735">
        <w:t xml:space="preserve"> </w:t>
      </w:r>
      <w:r w:rsidR="7682574F">
        <w:t>49430,</w:t>
      </w:r>
      <w:r w:rsidR="4CA69FD9">
        <w:t xml:space="preserve"> </w:t>
      </w:r>
      <w:r w:rsidR="1A7D5B77">
        <w:t xml:space="preserve">49431, 49431.2, </w:t>
      </w:r>
      <w:r w:rsidR="656B3B4E">
        <w:t>49431.5</w:t>
      </w:r>
      <w:r w:rsidR="2D2CEC81">
        <w:t xml:space="preserve">, </w:t>
      </w:r>
      <w:r w:rsidR="4633CB68">
        <w:t xml:space="preserve">and </w:t>
      </w:r>
      <w:r w:rsidR="4D94206D">
        <w:t>49550</w:t>
      </w:r>
      <w:r w:rsidR="3F3ED0C9">
        <w:t>,</w:t>
      </w:r>
      <w:r w:rsidR="25536DB6">
        <w:t xml:space="preserve"> add Section 15560,</w:t>
      </w:r>
      <w:r w:rsidR="51E58569">
        <w:t xml:space="preserve"> and </w:t>
      </w:r>
      <w:r w:rsidR="7AE51875">
        <w:t xml:space="preserve">to </w:t>
      </w:r>
      <w:r w:rsidR="51E58569">
        <w:t>repeal Article 3</w:t>
      </w:r>
      <w:r w:rsidR="006F35B8">
        <w:t>,</w:t>
      </w:r>
      <w:r w:rsidR="51E58569">
        <w:t xml:space="preserve"> Nutrition Education and Training Program</w:t>
      </w:r>
      <w:r w:rsidR="00094A06">
        <w:t>,</w:t>
      </w:r>
      <w:r w:rsidR="51E58569">
        <w:t xml:space="preserve"> which is no longer </w:t>
      </w:r>
      <w:r w:rsidR="58627EAC">
        <w:t xml:space="preserve">federally </w:t>
      </w:r>
      <w:r w:rsidR="51E58569">
        <w:t>funded</w:t>
      </w:r>
      <w:r w:rsidR="0CF49056">
        <w:t>.</w:t>
      </w:r>
    </w:p>
    <w:p w14:paraId="08BF9F4B" w14:textId="676E9E84" w:rsidR="003E4DF7" w:rsidRPr="00832AB9" w:rsidRDefault="003E4DF7" w:rsidP="0036582F">
      <w:pPr>
        <w:pStyle w:val="Heading2"/>
        <w:spacing w:before="240" w:after="240"/>
        <w:rPr>
          <w:sz w:val="36"/>
          <w:szCs w:val="36"/>
        </w:rPr>
      </w:pPr>
      <w:r w:rsidRPr="00832AB9">
        <w:rPr>
          <w:sz w:val="36"/>
          <w:szCs w:val="36"/>
        </w:rPr>
        <w:t>Recommendation</w:t>
      </w:r>
    </w:p>
    <w:p w14:paraId="7FBC9AF5" w14:textId="77777777" w:rsidR="003E4DF7" w:rsidRDefault="0055266B" w:rsidP="001B7C58">
      <w:r>
        <w:t>The CDE recommends that the State Board of Education (SBE) take the following actions:</w:t>
      </w:r>
    </w:p>
    <w:p w14:paraId="658150BC" w14:textId="77777777" w:rsidR="001B7C58" w:rsidRPr="0015341D" w:rsidRDefault="001B7C58" w:rsidP="0036582F"/>
    <w:p w14:paraId="0923519C" w14:textId="389968EF" w:rsidR="0015341D" w:rsidRDefault="191DFA5B" w:rsidP="001B7C58">
      <w:pPr>
        <w:pStyle w:val="ListParagraph"/>
        <w:numPr>
          <w:ilvl w:val="0"/>
          <w:numId w:val="2"/>
        </w:numPr>
      </w:pPr>
      <w:r>
        <w:t>Approve the Notice of Proposed Rulemaking (Notice)</w:t>
      </w:r>
      <w:r w:rsidR="6C147DAA">
        <w:t>.</w:t>
      </w:r>
    </w:p>
    <w:p w14:paraId="594D9C59" w14:textId="77777777" w:rsidR="001B7C58" w:rsidRDefault="001B7C58" w:rsidP="0036582F">
      <w:pPr>
        <w:pStyle w:val="ListParagraph"/>
      </w:pPr>
    </w:p>
    <w:p w14:paraId="2ECCDB55" w14:textId="56645453" w:rsidR="001B7C58" w:rsidRDefault="001B7C58" w:rsidP="001B7C58">
      <w:pPr>
        <w:pStyle w:val="ListParagraph"/>
        <w:numPr>
          <w:ilvl w:val="0"/>
          <w:numId w:val="2"/>
        </w:numPr>
      </w:pPr>
      <w:r>
        <w:t>Approve the Initial Statement of Reasons (ISOR).</w:t>
      </w:r>
    </w:p>
    <w:p w14:paraId="503420EF" w14:textId="77777777" w:rsidR="001B7C58" w:rsidRDefault="001B7C58" w:rsidP="0036582F">
      <w:pPr>
        <w:ind w:firstLine="720"/>
      </w:pPr>
    </w:p>
    <w:p w14:paraId="34A80FA1" w14:textId="77777777" w:rsidR="001B7C58" w:rsidRDefault="001B7C58" w:rsidP="001B7C58">
      <w:pPr>
        <w:pStyle w:val="ListParagraph"/>
        <w:numPr>
          <w:ilvl w:val="0"/>
          <w:numId w:val="2"/>
        </w:numPr>
      </w:pPr>
      <w:r>
        <w:t>Approve the proposed amended regulations.</w:t>
      </w:r>
    </w:p>
    <w:p w14:paraId="1CB7DE89" w14:textId="77777777" w:rsidR="001B7C58" w:rsidRDefault="001B7C58" w:rsidP="0036582F">
      <w:pPr>
        <w:pStyle w:val="ListParagraph"/>
      </w:pPr>
    </w:p>
    <w:p w14:paraId="7A0C2068" w14:textId="77777777" w:rsidR="003E4DF7" w:rsidRDefault="191DFA5B" w:rsidP="2B3CCD0E">
      <w:pPr>
        <w:pStyle w:val="ListParagraph"/>
        <w:numPr>
          <w:ilvl w:val="0"/>
          <w:numId w:val="2"/>
        </w:numPr>
        <w:spacing w:after="480"/>
      </w:pPr>
      <w:r>
        <w:t>Direct the CDE to commence the rulemaking process.</w:t>
      </w:r>
    </w:p>
    <w:p w14:paraId="41C8F396" w14:textId="77777777" w:rsidR="0015341D" w:rsidRPr="00493808" w:rsidRDefault="0015341D" w:rsidP="0015341D">
      <w:pPr>
        <w:pStyle w:val="ListParagraph"/>
        <w:spacing w:after="480"/>
      </w:pPr>
    </w:p>
    <w:p w14:paraId="0E4ADDC9" w14:textId="77777777" w:rsidR="003E4DF7" w:rsidRPr="00493808" w:rsidRDefault="191DFA5B" w:rsidP="2B3CCD0E">
      <w:pPr>
        <w:pStyle w:val="ListParagraph"/>
        <w:numPr>
          <w:ilvl w:val="0"/>
          <w:numId w:val="2"/>
        </w:numPr>
        <w:spacing w:after="480"/>
      </w:pPr>
      <w:r w:rsidRPr="00493808">
        <w:t>Authorize the CDE to take any necessary action to respond to any direction or concern expressed by the Office of Administrative Law during its review of the Notice, ISOR, and proposed regulat</w:t>
      </w:r>
      <w:r w:rsidR="4B96EF76" w:rsidRPr="00493808">
        <w:t>ions.</w:t>
      </w:r>
    </w:p>
    <w:p w14:paraId="28788C28" w14:textId="77777777" w:rsidR="00F40510" w:rsidRPr="00832AB9" w:rsidRDefault="003E4DF7" w:rsidP="002B4B14">
      <w:pPr>
        <w:pStyle w:val="Heading2"/>
        <w:spacing w:before="240" w:after="240"/>
        <w:rPr>
          <w:sz w:val="36"/>
          <w:szCs w:val="36"/>
        </w:rPr>
      </w:pPr>
      <w:r w:rsidRPr="00832AB9">
        <w:rPr>
          <w:sz w:val="36"/>
          <w:szCs w:val="36"/>
        </w:rPr>
        <w:t>Brief History of Key Issues</w:t>
      </w:r>
    </w:p>
    <w:p w14:paraId="64AC320A" w14:textId="1FB36206" w:rsidR="003E4DF7" w:rsidRDefault="288CDCCC" w:rsidP="1B2713A1">
      <w:pPr>
        <w:spacing w:after="240"/>
        <w:rPr>
          <w:rFonts w:eastAsia="Arial" w:cs="Arial"/>
          <w:color w:val="000000" w:themeColor="text1"/>
        </w:rPr>
      </w:pPr>
      <w:r w:rsidRPr="0ED32A13">
        <w:rPr>
          <w:rFonts w:eastAsia="Arial" w:cs="Arial"/>
          <w:color w:val="000000" w:themeColor="text1"/>
        </w:rPr>
        <w:t>In 1976, the SBE adopted articles 2, 3 and 4</w:t>
      </w:r>
      <w:r w:rsidR="0015341D" w:rsidRPr="0ED32A13">
        <w:rPr>
          <w:rFonts w:eastAsia="Arial" w:cs="Arial"/>
          <w:color w:val="000000" w:themeColor="text1"/>
        </w:rPr>
        <w:t>, which are</w:t>
      </w:r>
      <w:r w:rsidRPr="0ED32A13">
        <w:rPr>
          <w:rFonts w:eastAsia="Arial" w:cs="Arial"/>
          <w:color w:val="000000" w:themeColor="text1"/>
        </w:rPr>
        <w:t xml:space="preserve"> found in the 5 </w:t>
      </w:r>
      <w:r w:rsidR="0055266B" w:rsidRPr="0ED32A13">
        <w:rPr>
          <w:rFonts w:eastAsia="Arial" w:cs="Arial"/>
          <w:i/>
          <w:iCs/>
          <w:color w:val="000000" w:themeColor="text1"/>
        </w:rPr>
        <w:t>CCR</w:t>
      </w:r>
      <w:r w:rsidRPr="0ED32A13">
        <w:rPr>
          <w:rFonts w:eastAsia="Arial" w:cs="Arial"/>
          <w:color w:val="000000" w:themeColor="text1"/>
        </w:rPr>
        <w:t xml:space="preserve">, </w:t>
      </w:r>
      <w:r w:rsidR="0015341D" w:rsidRPr="0ED32A13">
        <w:rPr>
          <w:rFonts w:eastAsia="Arial" w:cs="Arial"/>
          <w:color w:val="000000" w:themeColor="text1"/>
        </w:rPr>
        <w:t>D</w:t>
      </w:r>
      <w:r w:rsidRPr="0ED32A13">
        <w:rPr>
          <w:rFonts w:eastAsia="Arial" w:cs="Arial"/>
          <w:color w:val="000000" w:themeColor="text1"/>
        </w:rPr>
        <w:t xml:space="preserve">ivision 1, </w:t>
      </w:r>
      <w:r w:rsidR="0015341D" w:rsidRPr="0ED32A13">
        <w:rPr>
          <w:rFonts w:eastAsia="Arial" w:cs="Arial"/>
          <w:color w:val="000000" w:themeColor="text1"/>
        </w:rPr>
        <w:t xml:space="preserve">Chapter </w:t>
      </w:r>
      <w:r w:rsidRPr="0ED32A13">
        <w:rPr>
          <w:rFonts w:eastAsia="Arial" w:cs="Arial"/>
          <w:color w:val="000000" w:themeColor="text1"/>
        </w:rPr>
        <w:t xml:space="preserve">15, </w:t>
      </w:r>
      <w:r w:rsidR="0015341D" w:rsidRPr="0ED32A13">
        <w:rPr>
          <w:rFonts w:eastAsia="Arial" w:cs="Arial"/>
          <w:color w:val="000000" w:themeColor="text1"/>
        </w:rPr>
        <w:t xml:space="preserve">Subchapter </w:t>
      </w:r>
      <w:r w:rsidRPr="0ED32A13">
        <w:rPr>
          <w:rFonts w:eastAsia="Arial" w:cs="Arial"/>
          <w:color w:val="000000" w:themeColor="text1"/>
        </w:rPr>
        <w:t xml:space="preserve">1. Article 2 included </w:t>
      </w:r>
      <w:r w:rsidR="0015341D" w:rsidRPr="0ED32A13">
        <w:rPr>
          <w:rFonts w:eastAsia="Arial" w:cs="Arial"/>
          <w:color w:val="000000" w:themeColor="text1"/>
        </w:rPr>
        <w:t xml:space="preserve">Section </w:t>
      </w:r>
      <w:r w:rsidRPr="0ED32A13">
        <w:rPr>
          <w:rFonts w:eastAsia="Arial" w:cs="Arial"/>
          <w:color w:val="000000" w:themeColor="text1"/>
        </w:rPr>
        <w:t>15510, provided definitions for mandatory meals for needy pupils</w:t>
      </w:r>
      <w:r w:rsidR="00750503">
        <w:rPr>
          <w:rFonts w:eastAsia="Arial" w:cs="Arial"/>
          <w:color w:val="000000" w:themeColor="text1"/>
        </w:rPr>
        <w:t>. Article 3</w:t>
      </w:r>
      <w:r w:rsidRPr="0ED32A13">
        <w:rPr>
          <w:rFonts w:eastAsia="Arial" w:cs="Arial"/>
          <w:color w:val="000000" w:themeColor="text1"/>
        </w:rPr>
        <w:t xml:space="preserve"> sections 15530, 15531, 15532, 15533, 15534 and 15535 </w:t>
      </w:r>
      <w:r w:rsidR="50BFE5F4" w:rsidRPr="0ED32A13">
        <w:rPr>
          <w:rFonts w:eastAsia="Arial" w:cs="Arial"/>
          <w:color w:val="000000" w:themeColor="text1"/>
        </w:rPr>
        <w:t>specified</w:t>
      </w:r>
      <w:r w:rsidR="1CDDA7AA" w:rsidRPr="0ED32A13">
        <w:rPr>
          <w:rFonts w:eastAsia="Arial" w:cs="Arial"/>
          <w:color w:val="000000" w:themeColor="text1"/>
        </w:rPr>
        <w:t xml:space="preserve"> </w:t>
      </w:r>
      <w:r w:rsidR="0015341D" w:rsidRPr="0ED32A13">
        <w:rPr>
          <w:rFonts w:eastAsia="Arial" w:cs="Arial"/>
          <w:color w:val="000000" w:themeColor="text1"/>
        </w:rPr>
        <w:t>the</w:t>
      </w:r>
      <w:r w:rsidRPr="0ED32A13">
        <w:rPr>
          <w:rFonts w:eastAsia="Arial" w:cs="Arial"/>
          <w:color w:val="000000" w:themeColor="text1"/>
        </w:rPr>
        <w:t xml:space="preserve"> scope, eligibility, procedures and criteria for filing and approving applications, </w:t>
      </w:r>
      <w:r w:rsidR="00750503">
        <w:rPr>
          <w:rFonts w:eastAsia="Arial" w:cs="Arial"/>
          <w:color w:val="000000" w:themeColor="text1"/>
        </w:rPr>
        <w:t xml:space="preserve">the </w:t>
      </w:r>
      <w:r w:rsidRPr="0ED32A13">
        <w:rPr>
          <w:rFonts w:eastAsia="Arial" w:cs="Arial"/>
          <w:color w:val="000000" w:themeColor="text1"/>
        </w:rPr>
        <w:t xml:space="preserve">procedure for funding, and </w:t>
      </w:r>
      <w:r w:rsidR="00750503">
        <w:rPr>
          <w:rFonts w:eastAsia="Arial" w:cs="Arial"/>
          <w:color w:val="000000" w:themeColor="text1"/>
        </w:rPr>
        <w:t xml:space="preserve">the </w:t>
      </w:r>
      <w:r w:rsidRPr="0ED32A13">
        <w:rPr>
          <w:rFonts w:eastAsia="Arial" w:cs="Arial"/>
          <w:color w:val="000000" w:themeColor="text1"/>
        </w:rPr>
        <w:t>procedure for project management of Nutrition Education Program grants. Article 4 sections 15551, 15556</w:t>
      </w:r>
      <w:r w:rsidR="0F6D7E00" w:rsidRPr="004D30C7">
        <w:rPr>
          <w:rFonts w:eastAsia="Arial" w:cs="Arial"/>
          <w:color w:val="000000" w:themeColor="text1"/>
        </w:rPr>
        <w:t>,</w:t>
      </w:r>
      <w:r w:rsidRPr="0ED32A13">
        <w:rPr>
          <w:rFonts w:eastAsia="Arial" w:cs="Arial"/>
          <w:color w:val="000000" w:themeColor="text1"/>
        </w:rPr>
        <w:t xml:space="preserve"> 15562, 15563, 15564 and </w:t>
      </w:r>
      <w:r w:rsidR="3842EEBF" w:rsidRPr="0ED32A13">
        <w:rPr>
          <w:rFonts w:eastAsia="Arial" w:cs="Arial"/>
          <w:color w:val="000000" w:themeColor="text1"/>
        </w:rPr>
        <w:t>1</w:t>
      </w:r>
      <w:r w:rsidRPr="0ED32A13">
        <w:rPr>
          <w:rFonts w:eastAsia="Arial" w:cs="Arial"/>
          <w:color w:val="000000" w:themeColor="text1"/>
        </w:rPr>
        <w:t xml:space="preserve">5565 </w:t>
      </w:r>
      <w:r w:rsidR="230A40CB" w:rsidRPr="0ED32A13">
        <w:rPr>
          <w:rFonts w:eastAsia="Arial" w:cs="Arial"/>
          <w:color w:val="000000" w:themeColor="text1"/>
        </w:rPr>
        <w:t>contained</w:t>
      </w:r>
      <w:r w:rsidRPr="0ED32A13">
        <w:rPr>
          <w:rFonts w:eastAsia="Arial" w:cs="Arial"/>
          <w:color w:val="000000" w:themeColor="text1"/>
        </w:rPr>
        <w:t xml:space="preserve"> definitions, payment of reimbursement claims, kind of meals eligible for reimbursement, meal requirements for needy students, claim reimbursement procedures and notification of changes in reimbursement rates for school lunches and breakfasts. In 2008, the SBE adopted </w:t>
      </w:r>
      <w:r w:rsidR="00750503">
        <w:rPr>
          <w:rFonts w:eastAsia="Arial" w:cs="Arial"/>
          <w:color w:val="000000" w:themeColor="text1"/>
        </w:rPr>
        <w:t>A</w:t>
      </w:r>
      <w:r w:rsidR="00750503" w:rsidRPr="0ED32A13">
        <w:rPr>
          <w:rFonts w:eastAsia="Arial" w:cs="Arial"/>
          <w:color w:val="000000" w:themeColor="text1"/>
        </w:rPr>
        <w:t xml:space="preserve">rticle </w:t>
      </w:r>
      <w:r w:rsidRPr="0ED32A13">
        <w:rPr>
          <w:rFonts w:eastAsia="Arial" w:cs="Arial"/>
          <w:color w:val="000000" w:themeColor="text1"/>
        </w:rPr>
        <w:t>6, which included sections 15575, 15576, 15577 and 15578</w:t>
      </w:r>
      <w:r w:rsidR="00750503">
        <w:rPr>
          <w:rFonts w:eastAsia="Arial" w:cs="Arial"/>
          <w:color w:val="000000" w:themeColor="text1"/>
        </w:rPr>
        <w:t xml:space="preserve"> which</w:t>
      </w:r>
      <w:r w:rsidRPr="0ED32A13">
        <w:rPr>
          <w:rFonts w:eastAsia="Arial" w:cs="Arial"/>
          <w:color w:val="000000" w:themeColor="text1"/>
        </w:rPr>
        <w:t xml:space="preserve"> provided definitions for foods and beverages, and food and beverages restrictions. </w:t>
      </w:r>
    </w:p>
    <w:p w14:paraId="72F7BFBD" w14:textId="3FC4396D" w:rsidR="003E4DF7" w:rsidRDefault="288CDCCC" w:rsidP="00B549EB">
      <w:pPr>
        <w:spacing w:after="240"/>
        <w:rPr>
          <w:rFonts w:eastAsia="Arial"/>
          <w:b/>
        </w:rPr>
      </w:pPr>
      <w:r w:rsidRPr="1B1B32BB">
        <w:rPr>
          <w:rFonts w:eastAsia="Arial"/>
        </w:rPr>
        <w:t xml:space="preserve">Articles 2, 3 and 4 of 5 </w:t>
      </w:r>
      <w:r w:rsidRPr="1B1B32BB">
        <w:rPr>
          <w:rFonts w:eastAsia="Arial"/>
          <w:i/>
          <w:iCs/>
        </w:rPr>
        <w:t>CCR</w:t>
      </w:r>
      <w:r w:rsidRPr="1B1B32BB">
        <w:rPr>
          <w:rFonts w:eastAsia="Arial"/>
        </w:rPr>
        <w:t xml:space="preserve"> have not been updated since their adoption in 1976. Article 6 of 5 </w:t>
      </w:r>
      <w:r w:rsidRPr="1B1B32BB">
        <w:rPr>
          <w:rFonts w:eastAsia="Arial"/>
          <w:i/>
          <w:iCs/>
        </w:rPr>
        <w:t xml:space="preserve">CCR </w:t>
      </w:r>
      <w:r w:rsidRPr="1B1B32BB">
        <w:rPr>
          <w:rFonts w:eastAsia="Arial"/>
        </w:rPr>
        <w:t xml:space="preserve">has not been updated since its adoption in 2008. Therefore, upon review of these regulations in 5 </w:t>
      </w:r>
      <w:r w:rsidRPr="1B1B32BB">
        <w:rPr>
          <w:rFonts w:eastAsia="Arial"/>
          <w:i/>
          <w:iCs/>
        </w:rPr>
        <w:t>CCR</w:t>
      </w:r>
      <w:r w:rsidRPr="1B1B32BB">
        <w:rPr>
          <w:rFonts w:eastAsia="Arial"/>
        </w:rPr>
        <w:t xml:space="preserve">, the </w:t>
      </w:r>
      <w:r w:rsidR="00750503">
        <w:rPr>
          <w:rFonts w:eastAsia="Arial"/>
        </w:rPr>
        <w:t>CD</w:t>
      </w:r>
      <w:r w:rsidR="00750503" w:rsidRPr="1B1B32BB">
        <w:rPr>
          <w:rFonts w:eastAsia="Arial"/>
        </w:rPr>
        <w:t xml:space="preserve">E </w:t>
      </w:r>
      <w:r w:rsidRPr="1B1B32BB">
        <w:rPr>
          <w:rFonts w:eastAsia="Arial"/>
        </w:rPr>
        <w:t xml:space="preserve">determined that amendments were necessary to bring these regulations into alignment with the related </w:t>
      </w:r>
      <w:r w:rsidR="0055266B" w:rsidRPr="1B1B32BB">
        <w:rPr>
          <w:rFonts w:eastAsia="Arial"/>
          <w:i/>
          <w:iCs/>
        </w:rPr>
        <w:t>Code of Federal Regulations</w:t>
      </w:r>
      <w:r w:rsidRPr="1B1B32BB">
        <w:rPr>
          <w:rFonts w:eastAsia="Arial"/>
        </w:rPr>
        <w:t xml:space="preserve"> </w:t>
      </w:r>
      <w:r w:rsidR="00CD0B11" w:rsidRPr="1B1B32BB">
        <w:rPr>
          <w:rFonts w:eastAsia="Arial"/>
        </w:rPr>
        <w:t xml:space="preserve">and </w:t>
      </w:r>
      <w:r w:rsidR="00CD0B11" w:rsidRPr="1B1B32BB">
        <w:rPr>
          <w:rFonts w:eastAsia="Arial"/>
          <w:i/>
          <w:iCs/>
        </w:rPr>
        <w:t>California Education Code</w:t>
      </w:r>
      <w:r w:rsidR="00750503">
        <w:rPr>
          <w:rFonts w:eastAsia="Arial"/>
          <w:i/>
          <w:iCs/>
        </w:rPr>
        <w:t xml:space="preserve"> (EC)</w:t>
      </w:r>
      <w:r w:rsidR="00CD0B11" w:rsidRPr="1B1B32BB">
        <w:rPr>
          <w:rFonts w:eastAsia="Arial"/>
          <w:i/>
          <w:iCs/>
        </w:rPr>
        <w:t xml:space="preserve"> </w:t>
      </w:r>
      <w:r w:rsidR="00CD0B11" w:rsidRPr="1B1B32BB">
        <w:rPr>
          <w:rFonts w:eastAsia="Arial"/>
        </w:rPr>
        <w:t xml:space="preserve">sections </w:t>
      </w:r>
      <w:r w:rsidRPr="1B1B32BB">
        <w:rPr>
          <w:rFonts w:eastAsia="Arial"/>
        </w:rPr>
        <w:t xml:space="preserve">and to be consistent with current practices for the school nutrition programs administered by the CDE. </w:t>
      </w:r>
      <w:r w:rsidR="7B037CA7" w:rsidRPr="1B1B32BB">
        <w:rPr>
          <w:rFonts w:eastAsia="Arial"/>
        </w:rPr>
        <w:t xml:space="preserve">The CDE also determined </w:t>
      </w:r>
      <w:r w:rsidR="7B9B521C" w:rsidRPr="1B1B32BB">
        <w:rPr>
          <w:rFonts w:eastAsia="Arial"/>
        </w:rPr>
        <w:t>a need for</w:t>
      </w:r>
      <w:r w:rsidR="7B037CA7" w:rsidRPr="1B1B32BB">
        <w:rPr>
          <w:rFonts w:eastAsia="Arial"/>
        </w:rPr>
        <w:t xml:space="preserve"> a </w:t>
      </w:r>
      <w:r w:rsidR="5D37CA32" w:rsidRPr="1B1B32BB">
        <w:rPr>
          <w:rFonts w:eastAsia="Arial"/>
        </w:rPr>
        <w:t>definition</w:t>
      </w:r>
      <w:r w:rsidR="7B037CA7" w:rsidRPr="1B1B32BB">
        <w:rPr>
          <w:rFonts w:eastAsia="Arial"/>
        </w:rPr>
        <w:t xml:space="preserve"> </w:t>
      </w:r>
      <w:r w:rsidR="3FEFCC52" w:rsidRPr="1B1B32BB">
        <w:rPr>
          <w:rFonts w:eastAsia="Arial"/>
        </w:rPr>
        <w:t xml:space="preserve">of </w:t>
      </w:r>
      <w:r w:rsidR="7B037CA7" w:rsidRPr="1B1B32BB">
        <w:rPr>
          <w:rFonts w:eastAsia="Arial"/>
        </w:rPr>
        <w:t>fluid milk substitutes</w:t>
      </w:r>
      <w:r w:rsidR="31D77EB9" w:rsidRPr="1B1B32BB">
        <w:rPr>
          <w:rFonts w:eastAsia="Arial"/>
        </w:rPr>
        <w:t xml:space="preserve">, as the National School Lunch and School Breakfast Programs allow for the provision and reimbursement of fluid milk substitutes served to </w:t>
      </w:r>
      <w:r w:rsidR="7B037CA7" w:rsidRPr="1B1B32BB">
        <w:rPr>
          <w:rFonts w:eastAsia="Arial"/>
        </w:rPr>
        <w:t xml:space="preserve">students who require this </w:t>
      </w:r>
      <w:r w:rsidR="669EE9E6" w:rsidRPr="1B1B32BB">
        <w:rPr>
          <w:rFonts w:eastAsia="Arial"/>
        </w:rPr>
        <w:t xml:space="preserve">type of beverage due to a disability </w:t>
      </w:r>
      <w:r w:rsidR="7B3D5C81" w:rsidRPr="1B1B32BB">
        <w:rPr>
          <w:rFonts w:eastAsia="Arial"/>
        </w:rPr>
        <w:t>or medical need.</w:t>
      </w:r>
      <w:r w:rsidR="00750503">
        <w:rPr>
          <w:rFonts w:eastAsia="Arial"/>
        </w:rPr>
        <w:t xml:space="preserve"> </w:t>
      </w:r>
      <w:r w:rsidR="00750503" w:rsidRPr="00D861C0">
        <w:rPr>
          <w:rStyle w:val="eop"/>
          <w:rFonts w:cs="Arial"/>
          <w:bCs/>
        </w:rPr>
        <w:t xml:space="preserve">Subsequently, the CDE is recommending that the SBE approve these proposed amendments to the appropriate sections in 5 </w:t>
      </w:r>
      <w:r w:rsidR="00750503" w:rsidRPr="00D861C0">
        <w:rPr>
          <w:rStyle w:val="eop"/>
          <w:rFonts w:cs="Arial"/>
          <w:bCs/>
          <w:i/>
          <w:iCs/>
        </w:rPr>
        <w:t>CCR</w:t>
      </w:r>
      <w:r w:rsidR="00750503" w:rsidRPr="00D861C0">
        <w:rPr>
          <w:rStyle w:val="eop"/>
          <w:rFonts w:cs="Arial"/>
          <w:bCs/>
        </w:rPr>
        <w:t>.</w:t>
      </w:r>
    </w:p>
    <w:p w14:paraId="5CB629D4" w14:textId="5DB56330" w:rsidR="00AA04DE" w:rsidRDefault="674A7C75" w:rsidP="00AA04DE">
      <w:pPr>
        <w:rPr>
          <w:rFonts w:eastAsia="Arial" w:cs="Arial"/>
          <w:color w:val="000000" w:themeColor="text1"/>
        </w:rPr>
      </w:pPr>
      <w:r w:rsidRPr="55FA8839">
        <w:rPr>
          <w:rFonts w:eastAsia="Arial" w:cs="Arial"/>
          <w:color w:val="000000" w:themeColor="text1"/>
        </w:rPr>
        <w:t xml:space="preserve">The CDE also determined that </w:t>
      </w:r>
      <w:r w:rsidR="00750503">
        <w:rPr>
          <w:rFonts w:eastAsia="Arial" w:cs="Arial"/>
          <w:color w:val="000000" w:themeColor="text1"/>
        </w:rPr>
        <w:t>A</w:t>
      </w:r>
      <w:r w:rsidRPr="55FA8839">
        <w:rPr>
          <w:rFonts w:eastAsia="Arial" w:cs="Arial"/>
          <w:color w:val="000000" w:themeColor="text1"/>
        </w:rPr>
        <w:t xml:space="preserve">rticle 3 should be repealed. These </w:t>
      </w:r>
      <w:r w:rsidR="00166F67">
        <w:rPr>
          <w:rFonts w:eastAsia="Arial" w:cs="Arial"/>
          <w:color w:val="000000" w:themeColor="text1"/>
        </w:rPr>
        <w:t>6</w:t>
      </w:r>
      <w:r w:rsidR="00166F67" w:rsidRPr="55FA8839">
        <w:rPr>
          <w:rFonts w:eastAsia="Arial" w:cs="Arial"/>
          <w:color w:val="000000" w:themeColor="text1"/>
        </w:rPr>
        <w:t xml:space="preserve"> </w:t>
      </w:r>
      <w:r w:rsidRPr="55FA8839">
        <w:rPr>
          <w:rFonts w:eastAsia="Arial" w:cs="Arial"/>
          <w:color w:val="000000" w:themeColor="text1"/>
        </w:rPr>
        <w:t>CCR sections are related to the Nutrition Education and Training (NET) program, which was established under the Child Nutrition Act of 1966 (Child Nutrition Act), Public Law 89-642</w:t>
      </w:r>
      <w:r w:rsidR="008D3C36">
        <w:rPr>
          <w:rFonts w:eastAsia="Arial" w:cs="Arial"/>
          <w:color w:val="000000" w:themeColor="text1"/>
        </w:rPr>
        <w:t xml:space="preserve"> and has been an obsolete and unfunded program since 1996.</w:t>
      </w:r>
      <w:r w:rsidRPr="55FA8839">
        <w:rPr>
          <w:rFonts w:eastAsia="Arial" w:cs="Arial"/>
          <w:color w:val="000000" w:themeColor="text1"/>
        </w:rPr>
        <w:t xml:space="preserve"> The Personal Responsibility and Work Opportunity Act categorized NET as a discretionary spending program.</w:t>
      </w:r>
      <w:r w:rsidR="00750503">
        <w:rPr>
          <w:rFonts w:eastAsia="Arial" w:cs="Arial"/>
          <w:color w:val="000000" w:themeColor="text1"/>
        </w:rPr>
        <w:t xml:space="preserve"> </w:t>
      </w:r>
    </w:p>
    <w:p w14:paraId="6B6162C8" w14:textId="77777777" w:rsidR="00AA04DE" w:rsidRDefault="00AA04DE" w:rsidP="00AA04DE">
      <w:pPr>
        <w:rPr>
          <w:rFonts w:eastAsia="Arial" w:cs="Arial"/>
          <w:color w:val="000000" w:themeColor="text1"/>
        </w:rPr>
      </w:pPr>
    </w:p>
    <w:p w14:paraId="0EC49CC5" w14:textId="77777777" w:rsidR="0057057E" w:rsidRDefault="3EAAD0A0" w:rsidP="00D55F78">
      <w:pPr>
        <w:rPr>
          <w:rFonts w:eastAsia="Arial" w:cs="Arial"/>
          <w:color w:val="000000" w:themeColor="text1"/>
        </w:rPr>
      </w:pPr>
      <w:r w:rsidRPr="55FA8839">
        <w:rPr>
          <w:rFonts w:eastAsia="Arial" w:cs="Arial"/>
          <w:color w:val="000000" w:themeColor="text1"/>
        </w:rPr>
        <w:t>Since mandatory funds cannot be used to fund a discretionary program, NET has been without a funding source since Federal Fiscal Year (FFY) 1996-1997. Due to the lack of a federal funding source since FFY 1996-1997, and the fact that NET has not been funded since FFY 1997-1998, the relevant 5 CCR sections 15530, 15531, 15532, 15533, 15534 and 15535 are proposed to be deleted.</w:t>
      </w:r>
    </w:p>
    <w:p w14:paraId="582744E4" w14:textId="77777777" w:rsidR="00D55F78" w:rsidRDefault="00D55F78" w:rsidP="00D55F78"/>
    <w:p w14:paraId="10E9DEF9" w14:textId="06E14756" w:rsidR="28B236F2" w:rsidRDefault="28B236F2" w:rsidP="588BE1C3">
      <w:r>
        <w:t xml:space="preserve">In 1991, the SBE adopted 5 </w:t>
      </w:r>
      <w:r w:rsidRPr="588BE1C3">
        <w:rPr>
          <w:i/>
          <w:iCs/>
        </w:rPr>
        <w:t>CCR</w:t>
      </w:r>
      <w:r w:rsidR="4519B2BA">
        <w:t xml:space="preserve"> </w:t>
      </w:r>
      <w:r w:rsidR="2E62009D">
        <w:t>S</w:t>
      </w:r>
      <w:r w:rsidR="7A06AD2D">
        <w:t>ection 4610</w:t>
      </w:r>
      <w:r w:rsidR="292ECC7A">
        <w:t xml:space="preserve">. </w:t>
      </w:r>
      <w:r w:rsidR="64671B91">
        <w:t>This section</w:t>
      </w:r>
      <w:r w:rsidR="7A06AD2D">
        <w:t xml:space="preserve"> provide</w:t>
      </w:r>
      <w:r w:rsidR="1B807C8C">
        <w:t>s</w:t>
      </w:r>
      <w:r w:rsidR="7A06AD2D">
        <w:t xml:space="preserve"> the purpose and scope of the </w:t>
      </w:r>
      <w:r w:rsidR="054E73EE">
        <w:t xml:space="preserve">Uniform Complaint Procedures for the child nutrition programs administered by the CDE. </w:t>
      </w:r>
      <w:r w:rsidR="3F5AF4A0" w:rsidRPr="080455A2">
        <w:rPr>
          <w:rFonts w:eastAsia="Arial" w:cs="Arial"/>
        </w:rPr>
        <w:t>In</w:t>
      </w:r>
      <w:r w:rsidR="3F5AF4A0" w:rsidRPr="080455A2">
        <w:rPr>
          <w:rFonts w:eastAsia="Arial" w:cs="Arial"/>
          <w:color w:val="D13438"/>
        </w:rPr>
        <w:t xml:space="preserve"> </w:t>
      </w:r>
      <w:r w:rsidR="3F5AF4A0" w:rsidRPr="080455A2">
        <w:rPr>
          <w:rFonts w:eastAsia="Arial" w:cs="Arial"/>
        </w:rPr>
        <w:t xml:space="preserve">2020, </w:t>
      </w:r>
      <w:r w:rsidR="00162DAD" w:rsidRPr="080455A2">
        <w:rPr>
          <w:rFonts w:eastAsia="Arial" w:cs="Arial"/>
        </w:rPr>
        <w:t xml:space="preserve">the SBE adopted </w:t>
      </w:r>
      <w:r w:rsidR="00750503">
        <w:rPr>
          <w:rFonts w:eastAsia="Arial" w:cs="Arial"/>
        </w:rPr>
        <w:t>A</w:t>
      </w:r>
      <w:r w:rsidR="00750503" w:rsidRPr="080455A2">
        <w:rPr>
          <w:rFonts w:eastAsia="Arial" w:cs="Arial"/>
        </w:rPr>
        <w:t xml:space="preserve">rticle </w:t>
      </w:r>
      <w:r w:rsidR="3F5AF4A0" w:rsidRPr="080455A2">
        <w:rPr>
          <w:rFonts w:eastAsia="Arial" w:cs="Arial"/>
        </w:rPr>
        <w:t>7</w:t>
      </w:r>
      <w:r w:rsidR="00504B4E" w:rsidRPr="080455A2">
        <w:rPr>
          <w:rFonts w:eastAsia="Arial" w:cs="Arial"/>
        </w:rPr>
        <w:t xml:space="preserve"> of </w:t>
      </w:r>
      <w:r w:rsidR="00FE38E3" w:rsidRPr="080455A2">
        <w:rPr>
          <w:rFonts w:eastAsia="Arial" w:cs="Arial"/>
        </w:rPr>
        <w:t xml:space="preserve">5 </w:t>
      </w:r>
      <w:r w:rsidR="00F71C64" w:rsidRPr="080455A2">
        <w:rPr>
          <w:rFonts w:eastAsia="Arial" w:cs="Arial"/>
        </w:rPr>
        <w:t>CCR</w:t>
      </w:r>
      <w:r w:rsidR="00473FBF" w:rsidRPr="080455A2">
        <w:rPr>
          <w:rFonts w:eastAsia="Arial" w:cs="Arial"/>
        </w:rPr>
        <w:t xml:space="preserve">, which included </w:t>
      </w:r>
      <w:r w:rsidR="00C6595A" w:rsidRPr="080455A2">
        <w:rPr>
          <w:rFonts w:eastAsia="Arial" w:cs="Arial"/>
        </w:rPr>
        <w:t xml:space="preserve">sections </w:t>
      </w:r>
      <w:r w:rsidR="00D049BE" w:rsidRPr="080455A2">
        <w:rPr>
          <w:rFonts w:eastAsia="Arial" w:cs="Arial"/>
        </w:rPr>
        <w:t>15580</w:t>
      </w:r>
      <w:r w:rsidR="0072322A" w:rsidRPr="080455A2">
        <w:rPr>
          <w:rFonts w:eastAsia="Arial" w:cs="Arial"/>
        </w:rPr>
        <w:t xml:space="preserve">, </w:t>
      </w:r>
      <w:r w:rsidR="00850A9A" w:rsidRPr="080455A2">
        <w:rPr>
          <w:rFonts w:eastAsia="Arial" w:cs="Arial"/>
        </w:rPr>
        <w:t xml:space="preserve">15581, </w:t>
      </w:r>
      <w:r w:rsidR="00F90A87" w:rsidRPr="080455A2">
        <w:rPr>
          <w:rFonts w:eastAsia="Arial" w:cs="Arial"/>
        </w:rPr>
        <w:t xml:space="preserve">15582, </w:t>
      </w:r>
      <w:r w:rsidR="0064166C" w:rsidRPr="080455A2">
        <w:rPr>
          <w:rFonts w:eastAsia="Arial" w:cs="Arial"/>
        </w:rPr>
        <w:t>15583</w:t>
      </w:r>
      <w:r w:rsidR="00231E18" w:rsidRPr="080455A2">
        <w:rPr>
          <w:rFonts w:eastAsia="Arial" w:cs="Arial"/>
        </w:rPr>
        <w:t xml:space="preserve"> and</w:t>
      </w:r>
      <w:r w:rsidR="0064166C" w:rsidRPr="080455A2">
        <w:rPr>
          <w:rFonts w:eastAsia="Arial" w:cs="Arial"/>
        </w:rPr>
        <w:t xml:space="preserve"> </w:t>
      </w:r>
      <w:r w:rsidR="007D3545" w:rsidRPr="080455A2">
        <w:rPr>
          <w:rFonts w:eastAsia="Arial" w:cs="Arial"/>
        </w:rPr>
        <w:t>15584</w:t>
      </w:r>
      <w:r w:rsidR="00231E18" w:rsidRPr="080455A2">
        <w:rPr>
          <w:rFonts w:eastAsia="Arial" w:cs="Arial"/>
        </w:rPr>
        <w:t xml:space="preserve">. </w:t>
      </w:r>
      <w:r w:rsidR="009211F3" w:rsidRPr="080455A2">
        <w:rPr>
          <w:rFonts w:eastAsia="Arial" w:cs="Arial"/>
        </w:rPr>
        <w:t xml:space="preserve">These sections </w:t>
      </w:r>
      <w:r w:rsidR="623F7F82" w:rsidRPr="080455A2">
        <w:rPr>
          <w:rFonts w:eastAsia="Arial" w:cs="Arial"/>
        </w:rPr>
        <w:t xml:space="preserve">define the </w:t>
      </w:r>
      <w:r w:rsidR="000F1E66" w:rsidRPr="080455A2">
        <w:rPr>
          <w:rFonts w:eastAsia="Arial" w:cs="Arial"/>
        </w:rPr>
        <w:t>scope</w:t>
      </w:r>
      <w:r w:rsidR="0029314C" w:rsidRPr="080455A2">
        <w:rPr>
          <w:rFonts w:eastAsia="Arial" w:cs="Arial"/>
        </w:rPr>
        <w:t xml:space="preserve"> of </w:t>
      </w:r>
      <w:r w:rsidR="623F7F82" w:rsidRPr="080455A2">
        <w:rPr>
          <w:rFonts w:eastAsia="Arial" w:cs="Arial"/>
        </w:rPr>
        <w:t xml:space="preserve">the </w:t>
      </w:r>
      <w:r w:rsidR="00750503">
        <w:rPr>
          <w:rFonts w:eastAsia="Arial" w:cs="Arial"/>
        </w:rPr>
        <w:t>A</w:t>
      </w:r>
      <w:r w:rsidR="00750503" w:rsidRPr="080455A2">
        <w:rPr>
          <w:rFonts w:eastAsia="Arial" w:cs="Arial"/>
        </w:rPr>
        <w:t xml:space="preserve">rticle </w:t>
      </w:r>
      <w:r w:rsidR="623F7F82" w:rsidRPr="080455A2">
        <w:rPr>
          <w:rFonts w:eastAsia="Arial" w:cs="Arial"/>
        </w:rPr>
        <w:t xml:space="preserve">7, describe the </w:t>
      </w:r>
      <w:r w:rsidR="001367E0" w:rsidRPr="080455A2">
        <w:rPr>
          <w:rFonts w:eastAsia="Arial" w:cs="Arial"/>
        </w:rPr>
        <w:t xml:space="preserve">process for filing a complaint, </w:t>
      </w:r>
      <w:r w:rsidR="623F7F82" w:rsidRPr="080455A2">
        <w:rPr>
          <w:rFonts w:eastAsia="Arial" w:cs="Arial"/>
        </w:rPr>
        <w:t>state the requirement</w:t>
      </w:r>
      <w:r w:rsidR="007D164B" w:rsidRPr="080455A2">
        <w:rPr>
          <w:rFonts w:eastAsia="Arial" w:cs="Arial"/>
        </w:rPr>
        <w:t xml:space="preserve"> </w:t>
      </w:r>
      <w:r w:rsidR="00ED79B2" w:rsidRPr="080455A2">
        <w:rPr>
          <w:rFonts w:eastAsia="Arial" w:cs="Arial"/>
        </w:rPr>
        <w:t xml:space="preserve">to </w:t>
      </w:r>
      <w:r w:rsidR="623F7F82" w:rsidRPr="080455A2">
        <w:rPr>
          <w:rFonts w:eastAsia="Arial" w:cs="Arial"/>
        </w:rPr>
        <w:t xml:space="preserve">refer complaints to the </w:t>
      </w:r>
      <w:r w:rsidR="00ED79B2" w:rsidRPr="080455A2">
        <w:rPr>
          <w:rFonts w:eastAsia="Arial" w:cs="Arial"/>
        </w:rPr>
        <w:t>U</w:t>
      </w:r>
      <w:r w:rsidR="00E51323" w:rsidRPr="080455A2">
        <w:rPr>
          <w:rFonts w:eastAsia="Arial" w:cs="Arial"/>
        </w:rPr>
        <w:t xml:space="preserve">.S. </w:t>
      </w:r>
      <w:r w:rsidR="004457D8" w:rsidRPr="080455A2">
        <w:rPr>
          <w:rFonts w:eastAsia="Arial" w:cs="Arial"/>
        </w:rPr>
        <w:t>Department of Agriculture</w:t>
      </w:r>
      <w:r w:rsidR="623F7F82" w:rsidRPr="080455A2">
        <w:rPr>
          <w:rFonts w:eastAsia="Arial" w:cs="Arial"/>
        </w:rPr>
        <w:t xml:space="preserve"> (USDA), and define the local education agency</w:t>
      </w:r>
      <w:r w:rsidR="001C755B" w:rsidRPr="080455A2">
        <w:rPr>
          <w:rFonts w:eastAsia="Arial" w:cs="Arial"/>
        </w:rPr>
        <w:t xml:space="preserve"> </w:t>
      </w:r>
      <w:r w:rsidR="00D03469" w:rsidRPr="080455A2">
        <w:rPr>
          <w:rFonts w:eastAsia="Arial" w:cs="Arial"/>
        </w:rPr>
        <w:t xml:space="preserve">investigation procedures and </w:t>
      </w:r>
      <w:r w:rsidR="0088198D" w:rsidRPr="080455A2">
        <w:rPr>
          <w:rFonts w:eastAsia="Arial" w:cs="Arial"/>
        </w:rPr>
        <w:t>complain</w:t>
      </w:r>
      <w:r w:rsidR="001A4D87" w:rsidRPr="080455A2">
        <w:rPr>
          <w:rFonts w:eastAsia="Arial" w:cs="Arial"/>
        </w:rPr>
        <w:t>ant appeal</w:t>
      </w:r>
      <w:r w:rsidR="004D73CA" w:rsidRPr="080455A2">
        <w:rPr>
          <w:rFonts w:eastAsia="Arial" w:cs="Arial"/>
        </w:rPr>
        <w:t xml:space="preserve"> </w:t>
      </w:r>
      <w:r w:rsidR="623F7F82" w:rsidRPr="080455A2">
        <w:rPr>
          <w:rFonts w:eastAsia="Arial" w:cs="Arial"/>
        </w:rPr>
        <w:t xml:space="preserve">rights </w:t>
      </w:r>
      <w:r w:rsidR="004D73CA" w:rsidRPr="080455A2">
        <w:rPr>
          <w:rFonts w:eastAsia="Arial" w:cs="Arial"/>
        </w:rPr>
        <w:t>to the CDE</w:t>
      </w:r>
      <w:r w:rsidR="623F7F82" w:rsidRPr="080455A2">
        <w:rPr>
          <w:rFonts w:eastAsia="Arial" w:cs="Arial"/>
        </w:rPr>
        <w:t xml:space="preserve"> as well as</w:t>
      </w:r>
      <w:r w:rsidR="005F6761" w:rsidRPr="080455A2">
        <w:rPr>
          <w:rFonts w:eastAsia="Arial" w:cs="Arial"/>
        </w:rPr>
        <w:t xml:space="preserve"> the </w:t>
      </w:r>
      <w:r w:rsidR="00D82F38" w:rsidRPr="080455A2">
        <w:rPr>
          <w:rFonts w:eastAsia="Arial" w:cs="Arial"/>
        </w:rPr>
        <w:t xml:space="preserve">CDE </w:t>
      </w:r>
      <w:r w:rsidR="00E03012" w:rsidRPr="080455A2">
        <w:rPr>
          <w:rFonts w:eastAsia="Arial" w:cs="Arial"/>
        </w:rPr>
        <w:t xml:space="preserve">investigation </w:t>
      </w:r>
      <w:r w:rsidR="005F6761" w:rsidRPr="080455A2">
        <w:rPr>
          <w:rFonts w:eastAsia="Arial" w:cs="Arial"/>
        </w:rPr>
        <w:t xml:space="preserve">and appeal </w:t>
      </w:r>
      <w:r w:rsidR="00E03012" w:rsidRPr="080455A2">
        <w:rPr>
          <w:rFonts w:eastAsia="Arial" w:cs="Arial"/>
        </w:rPr>
        <w:t>procedures</w:t>
      </w:r>
      <w:r w:rsidR="000979A5" w:rsidRPr="080455A2">
        <w:rPr>
          <w:rFonts w:eastAsia="Arial" w:cs="Arial"/>
        </w:rPr>
        <w:t>.</w:t>
      </w:r>
      <w:r w:rsidR="00CE35F5" w:rsidRPr="080455A2">
        <w:rPr>
          <w:rFonts w:eastAsia="Arial" w:cs="Arial"/>
        </w:rPr>
        <w:t xml:space="preserve"> Article </w:t>
      </w:r>
      <w:r w:rsidR="00177309" w:rsidRPr="080455A2">
        <w:rPr>
          <w:rFonts w:eastAsia="Arial" w:cs="Arial"/>
        </w:rPr>
        <w:t xml:space="preserve">7 was </w:t>
      </w:r>
      <w:r w:rsidR="00BB76ED" w:rsidRPr="080455A2">
        <w:rPr>
          <w:rFonts w:eastAsia="Arial" w:cs="Arial"/>
        </w:rPr>
        <w:t xml:space="preserve">adopted </w:t>
      </w:r>
      <w:r w:rsidR="3F5AF4A0" w:rsidRPr="080455A2">
        <w:rPr>
          <w:rFonts w:eastAsia="Arial" w:cs="Arial"/>
        </w:rPr>
        <w:t xml:space="preserve">to implement </w:t>
      </w:r>
      <w:r w:rsidR="00750503" w:rsidRPr="0036582F">
        <w:rPr>
          <w:rFonts w:eastAsia="Arial" w:cs="Arial"/>
          <w:i/>
          <w:iCs/>
        </w:rPr>
        <w:t>EC</w:t>
      </w:r>
      <w:r w:rsidR="623F7F82" w:rsidRPr="080455A2">
        <w:rPr>
          <w:rFonts w:eastAsia="Arial" w:cs="Arial"/>
        </w:rPr>
        <w:t xml:space="preserve"> </w:t>
      </w:r>
      <w:r w:rsidR="00206CAF" w:rsidRPr="080455A2">
        <w:rPr>
          <w:rFonts w:eastAsia="Arial" w:cs="Arial"/>
        </w:rPr>
        <w:t>s</w:t>
      </w:r>
      <w:r w:rsidR="3F5AF4A0" w:rsidRPr="080455A2">
        <w:rPr>
          <w:rFonts w:eastAsia="Arial" w:cs="Arial"/>
        </w:rPr>
        <w:t xml:space="preserve">ection 33315(a)(2) regarding complaints relating to child nutrition programs established pursuant to </w:t>
      </w:r>
      <w:r w:rsidR="3F5AF4A0" w:rsidRPr="0036582F">
        <w:rPr>
          <w:rFonts w:eastAsia="Arial" w:cs="Arial"/>
          <w:i/>
          <w:iCs/>
        </w:rPr>
        <w:t>EC</w:t>
      </w:r>
      <w:r w:rsidR="3F5AF4A0" w:rsidRPr="080455A2">
        <w:rPr>
          <w:rFonts w:eastAsia="Arial" w:cs="Arial"/>
        </w:rPr>
        <w:t xml:space="preserve"> </w:t>
      </w:r>
      <w:r w:rsidR="00B70362" w:rsidRPr="080455A2">
        <w:rPr>
          <w:rFonts w:eastAsia="Arial" w:cs="Arial"/>
        </w:rPr>
        <w:t>s</w:t>
      </w:r>
      <w:r w:rsidR="3F5AF4A0" w:rsidRPr="080455A2">
        <w:rPr>
          <w:rFonts w:eastAsia="Arial" w:cs="Arial"/>
        </w:rPr>
        <w:t>ections 49490 through 49570.</w:t>
      </w:r>
      <w:r w:rsidR="3F5AF4A0" w:rsidRPr="588BE1C3">
        <w:rPr>
          <w:rFonts w:eastAsia="Arial" w:cs="Arial"/>
        </w:rPr>
        <w:t xml:space="preserve"> </w:t>
      </w:r>
      <w:r w:rsidR="47F53C8C">
        <w:t xml:space="preserve">In 2020, the Early Childhood Development Act of 2020 (Sen. Bill No. 98, Ch.24, Stats </w:t>
      </w:r>
      <w:r w:rsidR="0C7C8600">
        <w:t>2020) authorized the transfer of childcare and development programs</w:t>
      </w:r>
      <w:r w:rsidR="5753C451">
        <w:t>, including the Child and Adult Care Food Program,</w:t>
      </w:r>
      <w:r w:rsidR="0C7C8600">
        <w:t xml:space="preserve"> administered by the CDE to the California Department of Social Services effective July 1, 2021</w:t>
      </w:r>
      <w:r w:rsidR="110A781B">
        <w:t xml:space="preserve">. Therefore, upon review of this regulation in 5 </w:t>
      </w:r>
      <w:r w:rsidR="110A781B" w:rsidRPr="588BE1C3">
        <w:rPr>
          <w:i/>
          <w:iCs/>
        </w:rPr>
        <w:t>CCR</w:t>
      </w:r>
      <w:r w:rsidR="110A781B">
        <w:t xml:space="preserve">, the SBE determined that amendments were necessary to bring </w:t>
      </w:r>
      <w:r w:rsidR="72AC4993">
        <w:t>section 4610</w:t>
      </w:r>
      <w:r w:rsidR="66628D5E">
        <w:t xml:space="preserve"> into alignment with </w:t>
      </w:r>
      <w:r w:rsidR="0459E529">
        <w:t>current s</w:t>
      </w:r>
      <w:r w:rsidR="3D9967DC">
        <w:t xml:space="preserve">tate law and </w:t>
      </w:r>
      <w:r w:rsidR="004815CF" w:rsidRPr="0036582F">
        <w:rPr>
          <w:i/>
          <w:iCs/>
        </w:rPr>
        <w:t>Education Code</w:t>
      </w:r>
      <w:r w:rsidR="38E2820B">
        <w:t>.</w:t>
      </w:r>
    </w:p>
    <w:p w14:paraId="1293B7D1" w14:textId="77777777" w:rsidR="00B70368" w:rsidRDefault="00B70368" w:rsidP="00B70368"/>
    <w:p w14:paraId="1D0172D7" w14:textId="7C2F3272" w:rsidR="00B70368" w:rsidRPr="00832AB9" w:rsidRDefault="00B70368" w:rsidP="588BE1C3">
      <w:r>
        <w:t>In 2020, t</w:t>
      </w:r>
      <w:r w:rsidRPr="00B70368">
        <w:t xml:space="preserve">he CDE concluded the most recent rulemaking process for nutrition related regulations, with amendments to 5 </w:t>
      </w:r>
      <w:r>
        <w:t>CCR</w:t>
      </w:r>
      <w:r w:rsidRPr="00B70368">
        <w:t xml:space="preserve"> sections 15551, 15558, 15559, and 15560 </w:t>
      </w:r>
      <w:proofErr w:type="gramStart"/>
      <w:r w:rsidRPr="00B70368">
        <w:t>effective</w:t>
      </w:r>
      <w:proofErr w:type="gramEnd"/>
      <w:r w:rsidRPr="00B70368">
        <w:t xml:space="preserve"> on January 1, 2020. The CDE had intended to build on these efforts and submit this more comprehensive update at that time, however these efforts were delayed by the pandemic. </w:t>
      </w:r>
    </w:p>
    <w:p w14:paraId="57CD77F5" w14:textId="75CF9A5F" w:rsidR="003E4DF7" w:rsidRDefault="003E4DF7" w:rsidP="00D55F78">
      <w:pPr>
        <w:rPr>
          <w:highlight w:val="lightGray"/>
        </w:rPr>
      </w:pPr>
    </w:p>
    <w:p w14:paraId="3D47E909" w14:textId="5679BBF5" w:rsidR="003E4DF7" w:rsidRPr="00832AB9" w:rsidRDefault="003E4DF7" w:rsidP="00764422">
      <w:pPr>
        <w:pStyle w:val="Heading2"/>
        <w:rPr>
          <w:sz w:val="36"/>
          <w:szCs w:val="36"/>
        </w:rPr>
      </w:pPr>
      <w:r w:rsidRPr="00832AB9">
        <w:rPr>
          <w:sz w:val="36"/>
          <w:szCs w:val="36"/>
        </w:rPr>
        <w:t>Summary of Previous State Board of Education Discussion and Action</w:t>
      </w:r>
    </w:p>
    <w:p w14:paraId="58DB36B6" w14:textId="7527FA78" w:rsidR="0001725A" w:rsidRDefault="0001725A" w:rsidP="19AAB418">
      <w:pPr>
        <w:spacing w:after="480"/>
        <w:rPr>
          <w:rFonts w:cs="Arial"/>
        </w:rPr>
      </w:pPr>
      <w:r>
        <w:t>In September 2018,</w:t>
      </w:r>
      <w:r w:rsidRPr="19AAB418">
        <w:rPr>
          <w:rFonts w:cs="Arial"/>
        </w:rPr>
        <w:t xml:space="preserve"> the SBE approved the commencement of the rulemaking process for the proposed amendments to the N</w:t>
      </w:r>
      <w:r w:rsidR="37025D82" w:rsidRPr="19AAB418">
        <w:rPr>
          <w:rFonts w:cs="Arial"/>
        </w:rPr>
        <w:t xml:space="preserve">utrition </w:t>
      </w:r>
      <w:r w:rsidRPr="19AAB418">
        <w:rPr>
          <w:rFonts w:cs="Arial"/>
        </w:rPr>
        <w:t>S</w:t>
      </w:r>
      <w:r w:rsidR="311FF940" w:rsidRPr="19AAB418">
        <w:rPr>
          <w:rFonts w:cs="Arial"/>
        </w:rPr>
        <w:t xml:space="preserve">ervices </w:t>
      </w:r>
      <w:r w:rsidRPr="19AAB418">
        <w:rPr>
          <w:rFonts w:cs="Arial"/>
        </w:rPr>
        <w:t>D</w:t>
      </w:r>
      <w:r w:rsidR="7CB70F3C" w:rsidRPr="19AAB418">
        <w:rPr>
          <w:rFonts w:cs="Arial"/>
        </w:rPr>
        <w:t>ivision’s</w:t>
      </w:r>
      <w:r w:rsidRPr="19AAB418">
        <w:rPr>
          <w:rFonts w:cs="Arial"/>
        </w:rPr>
        <w:t xml:space="preserve"> regulations (</w:t>
      </w:r>
      <w:hyperlink r:id="rId13" w:tooltip="California Department of Education SBE Agenda for September 2018 Web Page" w:history="1">
        <w:r w:rsidR="0051069A" w:rsidRPr="0036582F">
          <w:rPr>
            <w:rStyle w:val="Hyperlink"/>
          </w:rPr>
          <w:t>https://www.cde.ca.gov/be/ag/ag/yr18/agenda201809.asp</w:t>
        </w:r>
      </w:hyperlink>
      <w:r w:rsidRPr="19AAB418">
        <w:rPr>
          <w:rFonts w:cs="Arial"/>
        </w:rPr>
        <w:t>).</w:t>
      </w:r>
    </w:p>
    <w:p w14:paraId="27CD6DE8" w14:textId="6DBDAE12" w:rsidR="0051069A" w:rsidRDefault="0051069A" w:rsidP="2B3CCD0E">
      <w:pPr>
        <w:spacing w:after="480"/>
      </w:pPr>
      <w:r w:rsidRPr="19AAB418">
        <w:rPr>
          <w:color w:val="000000" w:themeColor="text1"/>
        </w:rPr>
        <w:t>In March 2019, the SBE adopted the changes to the proposed regulations and directed the CDE to circulate the proposed changes for a 45-day comment (</w:t>
      </w:r>
      <w:hyperlink r:id="rId14" w:tooltip="California Department of Education SBE Agenda for March 2019 web page" w:history="1">
        <w:r w:rsidRPr="00150AEA">
          <w:rPr>
            <w:rStyle w:val="Hyperlink"/>
          </w:rPr>
          <w:t>https://www.cde.ca.gov/be/ag/ag/yr19/agenda201903.asp</w:t>
        </w:r>
      </w:hyperlink>
      <w:r w:rsidRPr="19AAB418">
        <w:rPr>
          <w:color w:val="000000" w:themeColor="text1"/>
        </w:rPr>
        <w:t>).</w:t>
      </w:r>
      <w:r w:rsidR="0001725A">
        <w:t xml:space="preserve"> </w:t>
      </w:r>
    </w:p>
    <w:p w14:paraId="763528DA" w14:textId="1F6EA71B" w:rsidR="0051069A" w:rsidRDefault="0051069A" w:rsidP="6BED46C1">
      <w:pPr>
        <w:spacing w:after="480"/>
        <w:rPr>
          <w:color w:val="000000" w:themeColor="text1"/>
        </w:rPr>
      </w:pPr>
      <w:r>
        <w:t xml:space="preserve">In September 2019, </w:t>
      </w:r>
      <w:r w:rsidRPr="6BED46C1">
        <w:rPr>
          <w:color w:val="000000" w:themeColor="text1"/>
        </w:rPr>
        <w:t>the SBE adopted the changes to the proposed regulations and directed the CDE to submit the final rulemaking file to the Office of Administrative L</w:t>
      </w:r>
      <w:r w:rsidR="00FC4EE8" w:rsidRPr="6BED46C1">
        <w:rPr>
          <w:color w:val="000000" w:themeColor="text1"/>
        </w:rPr>
        <w:t xml:space="preserve">aw </w:t>
      </w:r>
      <w:r w:rsidR="5F3FFF28" w:rsidRPr="6BED46C1">
        <w:rPr>
          <w:color w:val="000000" w:themeColor="text1"/>
        </w:rPr>
        <w:t xml:space="preserve"> </w:t>
      </w:r>
      <w:r w:rsidR="652BDE93" w:rsidRPr="6BED46C1">
        <w:rPr>
          <w:color w:val="000000" w:themeColor="text1"/>
        </w:rPr>
        <w:t>(</w:t>
      </w:r>
      <w:hyperlink r:id="rId15" w:tooltip="California Department of Education SBE Agenda for September 2019 web page" w:history="1">
        <w:r w:rsidR="00750503">
          <w:rPr>
            <w:rStyle w:val="Hyperlink"/>
          </w:rPr>
          <w:t>https://www.cde.ca.gov/be/ag/ag/yr19/agenda201909.asp</w:t>
        </w:r>
      </w:hyperlink>
      <w:r w:rsidR="652BDE93" w:rsidRPr="6BED46C1">
        <w:rPr>
          <w:color w:val="000000" w:themeColor="text1"/>
        </w:rPr>
        <w:t>)</w:t>
      </w:r>
      <w:r w:rsidR="6F80C294" w:rsidRPr="6BED46C1">
        <w:rPr>
          <w:color w:val="000000" w:themeColor="text1"/>
        </w:rPr>
        <w:t>.</w:t>
      </w:r>
    </w:p>
    <w:p w14:paraId="5E6B385F" w14:textId="76EBCE50" w:rsidR="003E4DF7" w:rsidRPr="00832AB9" w:rsidRDefault="5D1EC45F" w:rsidP="00B549EB">
      <w:pPr>
        <w:pStyle w:val="Heading2"/>
        <w:spacing w:before="240" w:after="240"/>
        <w:rPr>
          <w:sz w:val="36"/>
          <w:szCs w:val="36"/>
        </w:rPr>
      </w:pPr>
      <w:r w:rsidRPr="00832AB9">
        <w:rPr>
          <w:sz w:val="36"/>
          <w:szCs w:val="36"/>
        </w:rPr>
        <w:t>Fiscal Analysis (as appropriate)</w:t>
      </w:r>
    </w:p>
    <w:p w14:paraId="3849B62A" w14:textId="77777777" w:rsidR="00946836" w:rsidRPr="003E4DF7" w:rsidRDefault="00946836" w:rsidP="19AAB418">
      <w:pPr>
        <w:spacing w:after="480"/>
        <w:rPr>
          <w:b/>
          <w:bCs/>
        </w:rPr>
      </w:pPr>
      <w:r w:rsidRPr="19AAB418">
        <w:rPr>
          <w:rFonts w:cs="Arial"/>
        </w:rPr>
        <w:t xml:space="preserve">An Economic and Fiscal Impact Statement is provided as Attachment </w:t>
      </w:r>
      <w:r w:rsidR="00111700" w:rsidRPr="19AAB418">
        <w:rPr>
          <w:rFonts w:cs="Arial"/>
        </w:rPr>
        <w:t>5</w:t>
      </w:r>
      <w:r w:rsidRPr="19AAB418">
        <w:rPr>
          <w:rFonts w:cs="Arial"/>
        </w:rPr>
        <w:t>.</w:t>
      </w:r>
    </w:p>
    <w:p w14:paraId="679B1EC2" w14:textId="32565E36" w:rsidR="00406F50" w:rsidRPr="00832AB9" w:rsidRDefault="00406F50" w:rsidP="002B4B14">
      <w:pPr>
        <w:pStyle w:val="Heading2"/>
        <w:spacing w:before="240" w:after="240"/>
        <w:rPr>
          <w:sz w:val="36"/>
          <w:szCs w:val="36"/>
        </w:rPr>
      </w:pPr>
      <w:r w:rsidRPr="00832AB9">
        <w:rPr>
          <w:sz w:val="36"/>
          <w:szCs w:val="36"/>
        </w:rPr>
        <w:lastRenderedPageBreak/>
        <w:t>Attachment(s)</w:t>
      </w:r>
    </w:p>
    <w:p w14:paraId="72D778FB" w14:textId="5BF0239C" w:rsidR="009B04E1" w:rsidRPr="00764422" w:rsidRDefault="392A5E4E" w:rsidP="2B3CCD0E">
      <w:pPr>
        <w:pStyle w:val="ListParagraph"/>
        <w:numPr>
          <w:ilvl w:val="0"/>
          <w:numId w:val="1"/>
        </w:numPr>
        <w:spacing w:after="480"/>
      </w:pPr>
      <w:r w:rsidRPr="00764422">
        <w:t>Attachment 1: Notice of Proposed Rulemaking (</w:t>
      </w:r>
      <w:r w:rsidR="0009415D" w:rsidRPr="00764422">
        <w:t>3</w:t>
      </w:r>
      <w:r w:rsidRPr="00764422">
        <w:t xml:space="preserve"> pages)</w:t>
      </w:r>
    </w:p>
    <w:p w14:paraId="0D0B940D" w14:textId="77777777" w:rsidR="00FC4EE8" w:rsidRPr="00764422" w:rsidRDefault="00FC4EE8" w:rsidP="00FC4EE8">
      <w:pPr>
        <w:pStyle w:val="ListParagraph"/>
        <w:spacing w:after="480"/>
      </w:pPr>
    </w:p>
    <w:p w14:paraId="742BECAC" w14:textId="0BDDBC87" w:rsidR="009B04E1" w:rsidRPr="00764422" w:rsidRDefault="392A5E4E" w:rsidP="2B3CCD0E">
      <w:pPr>
        <w:pStyle w:val="ListParagraph"/>
        <w:numPr>
          <w:ilvl w:val="0"/>
          <w:numId w:val="1"/>
        </w:numPr>
        <w:spacing w:after="480"/>
      </w:pPr>
      <w:r w:rsidRPr="00764422">
        <w:t>Attachment 2: ISOR (</w:t>
      </w:r>
      <w:r w:rsidR="0009415D" w:rsidRPr="00764422">
        <w:t>12</w:t>
      </w:r>
      <w:r w:rsidRPr="00764422">
        <w:t xml:space="preserve"> pages)</w:t>
      </w:r>
    </w:p>
    <w:p w14:paraId="0E27B00A" w14:textId="77777777" w:rsidR="00FC4EE8" w:rsidRPr="00764422" w:rsidRDefault="00FC4EE8" w:rsidP="00FC4EE8">
      <w:pPr>
        <w:pStyle w:val="ListParagraph"/>
        <w:spacing w:after="480"/>
      </w:pPr>
    </w:p>
    <w:p w14:paraId="1D8B9521" w14:textId="69D629EB" w:rsidR="009B04E1" w:rsidRPr="00764422" w:rsidRDefault="392A5E4E" w:rsidP="2B3CCD0E">
      <w:pPr>
        <w:pStyle w:val="ListParagraph"/>
        <w:numPr>
          <w:ilvl w:val="0"/>
          <w:numId w:val="1"/>
        </w:numPr>
        <w:spacing w:after="480"/>
      </w:pPr>
      <w:r w:rsidRPr="00764422">
        <w:t>Attachment 3: Proposed Regulations (</w:t>
      </w:r>
      <w:r w:rsidR="0009415D" w:rsidRPr="00764422">
        <w:t>15</w:t>
      </w:r>
      <w:r w:rsidRPr="00764422">
        <w:t xml:space="preserve"> pages)</w:t>
      </w:r>
    </w:p>
    <w:p w14:paraId="60061E4C" w14:textId="77777777" w:rsidR="00FC4EE8" w:rsidRPr="00764422" w:rsidRDefault="00FC4EE8" w:rsidP="00FC4EE8">
      <w:pPr>
        <w:pStyle w:val="ListParagraph"/>
        <w:spacing w:after="480"/>
      </w:pPr>
    </w:p>
    <w:p w14:paraId="5CD291F6" w14:textId="277CB3F3" w:rsidR="00FC4EE8" w:rsidRPr="00764422" w:rsidRDefault="00FC4EE8" w:rsidP="2B3CCD0E">
      <w:pPr>
        <w:pStyle w:val="ListParagraph"/>
        <w:numPr>
          <w:ilvl w:val="0"/>
          <w:numId w:val="1"/>
        </w:numPr>
        <w:spacing w:after="480"/>
      </w:pPr>
      <w:r w:rsidRPr="00764422">
        <w:t>Attachment 4: Documents Incorporated by Reference</w:t>
      </w:r>
      <w:r w:rsidR="006F35B8" w:rsidRPr="00764422">
        <w:t xml:space="preserve"> – </w:t>
      </w:r>
      <w:r w:rsidR="006F35B8" w:rsidRPr="00764422">
        <w:rPr>
          <w:rFonts w:cs="Arial"/>
          <w:i/>
          <w:iCs/>
        </w:rPr>
        <w:t>USDA's Food Buying Guide for Child Nutrition Programs</w:t>
      </w:r>
      <w:r w:rsidR="006F35B8" w:rsidRPr="00764422">
        <w:rPr>
          <w:rFonts w:cs="Arial"/>
        </w:rPr>
        <w:t> </w:t>
      </w:r>
      <w:r w:rsidR="757CF4F6" w:rsidRPr="00764422">
        <w:rPr>
          <w:rFonts w:cs="Arial"/>
        </w:rPr>
        <w:t xml:space="preserve">sections 1-4 </w:t>
      </w:r>
      <w:r w:rsidR="0009415D" w:rsidRPr="00764422">
        <w:rPr>
          <w:rFonts w:cs="Arial"/>
        </w:rPr>
        <w:t>(</w:t>
      </w:r>
      <w:r w:rsidR="4C8B6BAE" w:rsidRPr="00764422">
        <w:rPr>
          <w:rFonts w:cs="Arial"/>
        </w:rPr>
        <w:t>41</w:t>
      </w:r>
      <w:r w:rsidR="0009415D" w:rsidRPr="00764422">
        <w:rPr>
          <w:rFonts w:cs="Arial"/>
        </w:rPr>
        <w:t xml:space="preserve"> pages)</w:t>
      </w:r>
    </w:p>
    <w:p w14:paraId="44EAFD9C" w14:textId="77777777" w:rsidR="009C50A5" w:rsidRPr="00764422" w:rsidRDefault="009C50A5" w:rsidP="19AAB418">
      <w:pPr>
        <w:pStyle w:val="ListParagraph"/>
      </w:pPr>
    </w:p>
    <w:p w14:paraId="13A4642E" w14:textId="09B232E2" w:rsidR="009B04E1" w:rsidRPr="00764422" w:rsidRDefault="00FC4EE8" w:rsidP="19AAB418">
      <w:pPr>
        <w:pStyle w:val="ListParagraph"/>
        <w:numPr>
          <w:ilvl w:val="0"/>
          <w:numId w:val="1"/>
        </w:numPr>
        <w:spacing w:after="480"/>
      </w:pPr>
      <w:r w:rsidRPr="00764422">
        <w:t xml:space="preserve">Attachment 5: </w:t>
      </w:r>
      <w:r w:rsidRPr="00764422">
        <w:rPr>
          <w:color w:val="000000" w:themeColor="text1"/>
        </w:rPr>
        <w:t>Economic and Fiscal Impact Statement (STD 399)</w:t>
      </w:r>
      <w:r w:rsidR="58DABC97" w:rsidRPr="00764422">
        <w:rPr>
          <w:color w:val="000000" w:themeColor="text1"/>
        </w:rPr>
        <w:t xml:space="preserve"> (5 pages)</w:t>
      </w:r>
    </w:p>
    <w:sectPr w:rsidR="009B04E1" w:rsidRPr="00764422" w:rsidSect="00CB55FC">
      <w:headerReference w:type="default" r:id="rId16"/>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B007D" w14:textId="77777777" w:rsidR="00CB55FC" w:rsidRDefault="00CB55FC" w:rsidP="000E09DC">
      <w:r>
        <w:separator/>
      </w:r>
    </w:p>
  </w:endnote>
  <w:endnote w:type="continuationSeparator" w:id="0">
    <w:p w14:paraId="24D2ED6A" w14:textId="77777777" w:rsidR="00CB55FC" w:rsidRDefault="00CB55FC" w:rsidP="000E09DC">
      <w:r>
        <w:continuationSeparator/>
      </w:r>
    </w:p>
  </w:endnote>
  <w:endnote w:type="continuationNotice" w:id="1">
    <w:p w14:paraId="2D63B060" w14:textId="77777777" w:rsidR="00CB55FC" w:rsidRDefault="00CB5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3BD96" w14:textId="77777777" w:rsidR="00CB55FC" w:rsidRDefault="00CB55FC" w:rsidP="000E09DC">
      <w:r>
        <w:separator/>
      </w:r>
    </w:p>
  </w:footnote>
  <w:footnote w:type="continuationSeparator" w:id="0">
    <w:p w14:paraId="78C11832" w14:textId="77777777" w:rsidR="00CB55FC" w:rsidRDefault="00CB55FC" w:rsidP="000E09DC">
      <w:r>
        <w:continuationSeparator/>
      </w:r>
    </w:p>
  </w:footnote>
  <w:footnote w:type="continuationNotice" w:id="1">
    <w:p w14:paraId="3FDA1C53" w14:textId="77777777" w:rsidR="00CB55FC" w:rsidRDefault="00CB55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7CFA"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AB83D6" w14:textId="77777777" w:rsidR="000E09DC" w:rsidRDefault="000E09DC" w:rsidP="000E09DC">
    <w:pPr>
      <w:pStyle w:val="Header"/>
      <w:jc w:val="right"/>
      <w:rPr>
        <w:rFonts w:cs="Arial"/>
      </w:rPr>
    </w:pPr>
    <w:r w:rsidRPr="000E09DC">
      <w:rPr>
        <w:rFonts w:cs="Arial"/>
      </w:rPr>
      <w:t xml:space="preserve">Page </w:t>
    </w:r>
    <w:r w:rsidR="0055266B" w:rsidRPr="000E09DC">
      <w:rPr>
        <w:rFonts w:cs="Arial"/>
      </w:rPr>
      <w:fldChar w:fldCharType="begin"/>
    </w:r>
    <w:r w:rsidRPr="000E09DC">
      <w:rPr>
        <w:rFonts w:cs="Arial"/>
      </w:rPr>
      <w:instrText xml:space="preserve"> PAGE   \* MERGEFORMAT </w:instrText>
    </w:r>
    <w:r w:rsidR="0055266B" w:rsidRPr="000E09DC">
      <w:rPr>
        <w:rFonts w:cs="Arial"/>
      </w:rPr>
      <w:fldChar w:fldCharType="separate"/>
    </w:r>
    <w:r w:rsidR="0047534A">
      <w:rPr>
        <w:rFonts w:cs="Arial"/>
        <w:noProof/>
      </w:rPr>
      <w:t>2</w:t>
    </w:r>
    <w:r w:rsidR="0055266B" w:rsidRPr="000E09DC">
      <w:rPr>
        <w:rFonts w:cs="Arial"/>
        <w:noProof/>
      </w:rPr>
      <w:fldChar w:fldCharType="end"/>
    </w:r>
    <w:r w:rsidRPr="000E09DC">
      <w:rPr>
        <w:rFonts w:cs="Arial"/>
      </w:rPr>
      <w:t xml:space="preserve"> of </w:t>
    </w:r>
    <w:r w:rsidR="00527B0E">
      <w:rPr>
        <w:rFonts w:cs="Arial"/>
      </w:rPr>
      <w:t>3</w:t>
    </w:r>
  </w:p>
  <w:p w14:paraId="4B94D5A5"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EC91" w14:textId="5F59B10C" w:rsidR="00223112" w:rsidRDefault="00772FE0" w:rsidP="000E09DC">
    <w:pPr>
      <w:pStyle w:val="Header"/>
      <w:jc w:val="right"/>
      <w:rPr>
        <w:rFonts w:cs="Arial"/>
      </w:rPr>
    </w:pPr>
    <w:r w:rsidRPr="00764422">
      <w:t>o</w:t>
    </w:r>
    <w:r w:rsidR="00C84127" w:rsidRPr="00764422">
      <w:t>fab-nsd-mar24item01</w:t>
    </w:r>
    <w:r w:rsidR="009B04E1" w:rsidRPr="00764422">
      <w:rPr>
        <w:rFonts w:cs="Arial"/>
      </w:rPr>
      <w:t xml:space="preserve"> </w:t>
    </w:r>
    <w:r w:rsidR="009B04E1" w:rsidRPr="00764422">
      <w:rPr>
        <w:rFonts w:cs="Arial"/>
      </w:rPr>
      <w:br/>
    </w:r>
    <w:r w:rsidR="00BC5EBB" w:rsidRPr="00764422">
      <w:t xml:space="preserve">Page </w:t>
    </w:r>
    <w:r w:rsidR="00BC5EBB" w:rsidRPr="00764422">
      <w:fldChar w:fldCharType="begin"/>
    </w:r>
    <w:r w:rsidR="00BC5EBB" w:rsidRPr="00764422">
      <w:instrText xml:space="preserve"> PAGE  \* Arabic  \* MERGEFORMAT </w:instrText>
    </w:r>
    <w:r w:rsidR="00BC5EBB" w:rsidRPr="00764422">
      <w:fldChar w:fldCharType="separate"/>
    </w:r>
    <w:r w:rsidR="00BC5EBB" w:rsidRPr="00764422">
      <w:t>2</w:t>
    </w:r>
    <w:r w:rsidR="00BC5EBB" w:rsidRPr="00764422">
      <w:fldChar w:fldCharType="end"/>
    </w:r>
    <w:r w:rsidR="00BC5EBB" w:rsidRPr="00764422">
      <w:t xml:space="preserve"> of </w:t>
    </w:r>
    <w:fldSimple w:instr=" NUMPAGES  \* Arabic  \* MERGEFORMAT ">
      <w:r w:rsidR="00BC5EBB" w:rsidRPr="00764422">
        <w:t>4</w:t>
      </w:r>
    </w:fldSimple>
  </w:p>
  <w:p w14:paraId="53128261" w14:textId="77777777" w:rsidR="00223112" w:rsidRPr="00527B0E" w:rsidRDefault="00223112" w:rsidP="000E09DC">
    <w:pPr>
      <w:pStyle w:val="Header"/>
      <w:jc w:val="right"/>
      <w:rPr>
        <w:rFonts w:cs="Arial"/>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6651B7"/>
    <w:multiLevelType w:val="hybridMultilevel"/>
    <w:tmpl w:val="2EEC9842"/>
    <w:lvl w:ilvl="0" w:tplc="A36AC212">
      <w:start w:val="1"/>
      <w:numFmt w:val="bullet"/>
      <w:lvlText w:val=""/>
      <w:lvlJc w:val="left"/>
      <w:pPr>
        <w:ind w:left="720" w:hanging="360"/>
      </w:pPr>
      <w:rPr>
        <w:rFonts w:ascii="Symbol" w:hAnsi="Symbol" w:hint="default"/>
      </w:rPr>
    </w:lvl>
    <w:lvl w:ilvl="1" w:tplc="DB84F390">
      <w:start w:val="1"/>
      <w:numFmt w:val="bullet"/>
      <w:lvlText w:val="o"/>
      <w:lvlJc w:val="left"/>
      <w:pPr>
        <w:ind w:left="1440" w:hanging="360"/>
      </w:pPr>
      <w:rPr>
        <w:rFonts w:ascii="Courier New" w:hAnsi="Courier New" w:hint="default"/>
      </w:rPr>
    </w:lvl>
    <w:lvl w:ilvl="2" w:tplc="779E80A6">
      <w:start w:val="1"/>
      <w:numFmt w:val="bullet"/>
      <w:lvlText w:val=""/>
      <w:lvlJc w:val="left"/>
      <w:pPr>
        <w:ind w:left="2160" w:hanging="360"/>
      </w:pPr>
      <w:rPr>
        <w:rFonts w:ascii="Wingdings" w:hAnsi="Wingdings" w:hint="default"/>
      </w:rPr>
    </w:lvl>
    <w:lvl w:ilvl="3" w:tplc="F1447198">
      <w:start w:val="1"/>
      <w:numFmt w:val="bullet"/>
      <w:lvlText w:val=""/>
      <w:lvlJc w:val="left"/>
      <w:pPr>
        <w:ind w:left="2880" w:hanging="360"/>
      </w:pPr>
      <w:rPr>
        <w:rFonts w:ascii="Symbol" w:hAnsi="Symbol" w:hint="default"/>
      </w:rPr>
    </w:lvl>
    <w:lvl w:ilvl="4" w:tplc="4A32B6EA">
      <w:start w:val="1"/>
      <w:numFmt w:val="bullet"/>
      <w:lvlText w:val="o"/>
      <w:lvlJc w:val="left"/>
      <w:pPr>
        <w:ind w:left="3600" w:hanging="360"/>
      </w:pPr>
      <w:rPr>
        <w:rFonts w:ascii="Courier New" w:hAnsi="Courier New" w:hint="default"/>
      </w:rPr>
    </w:lvl>
    <w:lvl w:ilvl="5" w:tplc="BC9C4930">
      <w:start w:val="1"/>
      <w:numFmt w:val="bullet"/>
      <w:lvlText w:val=""/>
      <w:lvlJc w:val="left"/>
      <w:pPr>
        <w:ind w:left="4320" w:hanging="360"/>
      </w:pPr>
      <w:rPr>
        <w:rFonts w:ascii="Wingdings" w:hAnsi="Wingdings" w:hint="default"/>
      </w:rPr>
    </w:lvl>
    <w:lvl w:ilvl="6" w:tplc="3276293A">
      <w:start w:val="1"/>
      <w:numFmt w:val="bullet"/>
      <w:lvlText w:val=""/>
      <w:lvlJc w:val="left"/>
      <w:pPr>
        <w:ind w:left="5040" w:hanging="360"/>
      </w:pPr>
      <w:rPr>
        <w:rFonts w:ascii="Symbol" w:hAnsi="Symbol" w:hint="default"/>
      </w:rPr>
    </w:lvl>
    <w:lvl w:ilvl="7" w:tplc="0E760880">
      <w:start w:val="1"/>
      <w:numFmt w:val="bullet"/>
      <w:lvlText w:val="o"/>
      <w:lvlJc w:val="left"/>
      <w:pPr>
        <w:ind w:left="5760" w:hanging="360"/>
      </w:pPr>
      <w:rPr>
        <w:rFonts w:ascii="Courier New" w:hAnsi="Courier New" w:hint="default"/>
      </w:rPr>
    </w:lvl>
    <w:lvl w:ilvl="8" w:tplc="720CCA2C">
      <w:start w:val="1"/>
      <w:numFmt w:val="bullet"/>
      <w:lvlText w:val=""/>
      <w:lvlJc w:val="left"/>
      <w:pPr>
        <w:ind w:left="6480" w:hanging="360"/>
      </w:pPr>
      <w:rPr>
        <w:rFonts w:ascii="Wingdings" w:hAnsi="Wingdings" w:hint="default"/>
      </w:r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612B5"/>
    <w:multiLevelType w:val="hybridMultilevel"/>
    <w:tmpl w:val="AA3C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32221"/>
    <w:multiLevelType w:val="hybridMultilevel"/>
    <w:tmpl w:val="6F3E1344"/>
    <w:lvl w:ilvl="0" w:tplc="8C4CDF20">
      <w:start w:val="1"/>
      <w:numFmt w:val="bullet"/>
      <w:lvlText w:val=""/>
      <w:lvlJc w:val="left"/>
      <w:pPr>
        <w:ind w:left="720" w:hanging="360"/>
      </w:pPr>
      <w:rPr>
        <w:rFonts w:ascii="Symbol" w:hAnsi="Symbol" w:hint="default"/>
      </w:rPr>
    </w:lvl>
    <w:lvl w:ilvl="1" w:tplc="65000AF4">
      <w:start w:val="1"/>
      <w:numFmt w:val="bullet"/>
      <w:lvlText w:val="o"/>
      <w:lvlJc w:val="left"/>
      <w:pPr>
        <w:ind w:left="1440" w:hanging="360"/>
      </w:pPr>
      <w:rPr>
        <w:rFonts w:ascii="Courier New" w:hAnsi="Courier New" w:hint="default"/>
      </w:rPr>
    </w:lvl>
    <w:lvl w:ilvl="2" w:tplc="84D8CCB4">
      <w:start w:val="1"/>
      <w:numFmt w:val="bullet"/>
      <w:lvlText w:val=""/>
      <w:lvlJc w:val="left"/>
      <w:pPr>
        <w:ind w:left="2160" w:hanging="360"/>
      </w:pPr>
      <w:rPr>
        <w:rFonts w:ascii="Wingdings" w:hAnsi="Wingdings" w:hint="default"/>
      </w:rPr>
    </w:lvl>
    <w:lvl w:ilvl="3" w:tplc="88DCE8A8">
      <w:start w:val="1"/>
      <w:numFmt w:val="bullet"/>
      <w:lvlText w:val=""/>
      <w:lvlJc w:val="left"/>
      <w:pPr>
        <w:ind w:left="2880" w:hanging="360"/>
      </w:pPr>
      <w:rPr>
        <w:rFonts w:ascii="Symbol" w:hAnsi="Symbol" w:hint="default"/>
      </w:rPr>
    </w:lvl>
    <w:lvl w:ilvl="4" w:tplc="F2EA88FE">
      <w:start w:val="1"/>
      <w:numFmt w:val="bullet"/>
      <w:lvlText w:val="o"/>
      <w:lvlJc w:val="left"/>
      <w:pPr>
        <w:ind w:left="3600" w:hanging="360"/>
      </w:pPr>
      <w:rPr>
        <w:rFonts w:ascii="Courier New" w:hAnsi="Courier New" w:hint="default"/>
      </w:rPr>
    </w:lvl>
    <w:lvl w:ilvl="5" w:tplc="ED02E738">
      <w:start w:val="1"/>
      <w:numFmt w:val="bullet"/>
      <w:lvlText w:val=""/>
      <w:lvlJc w:val="left"/>
      <w:pPr>
        <w:ind w:left="4320" w:hanging="360"/>
      </w:pPr>
      <w:rPr>
        <w:rFonts w:ascii="Wingdings" w:hAnsi="Wingdings" w:hint="default"/>
      </w:rPr>
    </w:lvl>
    <w:lvl w:ilvl="6" w:tplc="0124264A">
      <w:start w:val="1"/>
      <w:numFmt w:val="bullet"/>
      <w:lvlText w:val=""/>
      <w:lvlJc w:val="left"/>
      <w:pPr>
        <w:ind w:left="5040" w:hanging="360"/>
      </w:pPr>
      <w:rPr>
        <w:rFonts w:ascii="Symbol" w:hAnsi="Symbol" w:hint="default"/>
      </w:rPr>
    </w:lvl>
    <w:lvl w:ilvl="7" w:tplc="390E597E">
      <w:start w:val="1"/>
      <w:numFmt w:val="bullet"/>
      <w:lvlText w:val="o"/>
      <w:lvlJc w:val="left"/>
      <w:pPr>
        <w:ind w:left="5760" w:hanging="360"/>
      </w:pPr>
      <w:rPr>
        <w:rFonts w:ascii="Courier New" w:hAnsi="Courier New" w:hint="default"/>
      </w:rPr>
    </w:lvl>
    <w:lvl w:ilvl="8" w:tplc="BA303666">
      <w:start w:val="1"/>
      <w:numFmt w:val="bullet"/>
      <w:lvlText w:val=""/>
      <w:lvlJc w:val="left"/>
      <w:pPr>
        <w:ind w:left="6480" w:hanging="360"/>
      </w:pPr>
      <w:rPr>
        <w:rFonts w:ascii="Wingdings" w:hAnsi="Wingdings" w:hint="default"/>
      </w:rPr>
    </w:lvl>
  </w:abstractNum>
  <w:num w:numId="1" w16cid:durableId="51119675">
    <w:abstractNumId w:val="9"/>
  </w:num>
  <w:num w:numId="2" w16cid:durableId="2137940307">
    <w:abstractNumId w:val="4"/>
  </w:num>
  <w:num w:numId="3" w16cid:durableId="946812919">
    <w:abstractNumId w:val="3"/>
  </w:num>
  <w:num w:numId="4" w16cid:durableId="1355375725">
    <w:abstractNumId w:val="7"/>
  </w:num>
  <w:num w:numId="5" w16cid:durableId="122118866">
    <w:abstractNumId w:val="1"/>
  </w:num>
  <w:num w:numId="6" w16cid:durableId="1372808260">
    <w:abstractNumId w:val="5"/>
  </w:num>
  <w:num w:numId="7" w16cid:durableId="1250188511">
    <w:abstractNumId w:val="6"/>
  </w:num>
  <w:num w:numId="8" w16cid:durableId="1895391548">
    <w:abstractNumId w:val="0"/>
  </w:num>
  <w:num w:numId="9" w16cid:durableId="1073088046">
    <w:abstractNumId w:val="2"/>
  </w:num>
  <w:num w:numId="10" w16cid:durableId="3403544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1725A"/>
    <w:rsid w:val="000324AD"/>
    <w:rsid w:val="0006399D"/>
    <w:rsid w:val="00066C92"/>
    <w:rsid w:val="0009415D"/>
    <w:rsid w:val="00094A06"/>
    <w:rsid w:val="000979A5"/>
    <w:rsid w:val="000E09DC"/>
    <w:rsid w:val="000F1E66"/>
    <w:rsid w:val="001048F3"/>
    <w:rsid w:val="00111700"/>
    <w:rsid w:val="00130059"/>
    <w:rsid w:val="00131E8B"/>
    <w:rsid w:val="001367E0"/>
    <w:rsid w:val="00150AEA"/>
    <w:rsid w:val="0015341D"/>
    <w:rsid w:val="00155027"/>
    <w:rsid w:val="00162DAD"/>
    <w:rsid w:val="00166F67"/>
    <w:rsid w:val="00177309"/>
    <w:rsid w:val="0018148D"/>
    <w:rsid w:val="001A0CA5"/>
    <w:rsid w:val="001A4D87"/>
    <w:rsid w:val="001B3958"/>
    <w:rsid w:val="001B7C58"/>
    <w:rsid w:val="001C755B"/>
    <w:rsid w:val="001D5DF1"/>
    <w:rsid w:val="001E1929"/>
    <w:rsid w:val="00206CAF"/>
    <w:rsid w:val="0020767B"/>
    <w:rsid w:val="00223112"/>
    <w:rsid w:val="00231E18"/>
    <w:rsid w:val="00240A5B"/>
    <w:rsid w:val="00240B26"/>
    <w:rsid w:val="00251B39"/>
    <w:rsid w:val="0029314C"/>
    <w:rsid w:val="002B4B14"/>
    <w:rsid w:val="002D1A82"/>
    <w:rsid w:val="002E4CB5"/>
    <w:rsid w:val="002E6FCA"/>
    <w:rsid w:val="002F279B"/>
    <w:rsid w:val="00315131"/>
    <w:rsid w:val="00321F03"/>
    <w:rsid w:val="00357AF6"/>
    <w:rsid w:val="00363520"/>
    <w:rsid w:val="0036582F"/>
    <w:rsid w:val="003705FC"/>
    <w:rsid w:val="00384ACF"/>
    <w:rsid w:val="0039209F"/>
    <w:rsid w:val="003B20B9"/>
    <w:rsid w:val="003D1A9F"/>
    <w:rsid w:val="003D1ECD"/>
    <w:rsid w:val="003D31AD"/>
    <w:rsid w:val="003E18AA"/>
    <w:rsid w:val="003E1E8D"/>
    <w:rsid w:val="003E4DF7"/>
    <w:rsid w:val="00406F50"/>
    <w:rsid w:val="00407E9B"/>
    <w:rsid w:val="004203BC"/>
    <w:rsid w:val="00443F43"/>
    <w:rsid w:val="004457D8"/>
    <w:rsid w:val="0044670C"/>
    <w:rsid w:val="0044722A"/>
    <w:rsid w:val="00473FBF"/>
    <w:rsid w:val="0047534A"/>
    <w:rsid w:val="00476473"/>
    <w:rsid w:val="004815CF"/>
    <w:rsid w:val="00493808"/>
    <w:rsid w:val="004D30C7"/>
    <w:rsid w:val="004D73CA"/>
    <w:rsid w:val="004E029B"/>
    <w:rsid w:val="00504B4E"/>
    <w:rsid w:val="0051069A"/>
    <w:rsid w:val="00514321"/>
    <w:rsid w:val="00517C00"/>
    <w:rsid w:val="00527B0E"/>
    <w:rsid w:val="00536B02"/>
    <w:rsid w:val="0055266B"/>
    <w:rsid w:val="0057057E"/>
    <w:rsid w:val="00590F76"/>
    <w:rsid w:val="005950BB"/>
    <w:rsid w:val="005F6761"/>
    <w:rsid w:val="0064166C"/>
    <w:rsid w:val="00672072"/>
    <w:rsid w:val="0067210D"/>
    <w:rsid w:val="00692300"/>
    <w:rsid w:val="00693951"/>
    <w:rsid w:val="006B2111"/>
    <w:rsid w:val="006C7C28"/>
    <w:rsid w:val="006D0223"/>
    <w:rsid w:val="006E0660"/>
    <w:rsid w:val="006E06C6"/>
    <w:rsid w:val="006E0895"/>
    <w:rsid w:val="006F35B8"/>
    <w:rsid w:val="0072322A"/>
    <w:rsid w:val="00726EDA"/>
    <w:rsid w:val="007313A3"/>
    <w:rsid w:val="007428B8"/>
    <w:rsid w:val="00746164"/>
    <w:rsid w:val="00750503"/>
    <w:rsid w:val="00760097"/>
    <w:rsid w:val="00764422"/>
    <w:rsid w:val="00772FE0"/>
    <w:rsid w:val="00780BB6"/>
    <w:rsid w:val="007A7E42"/>
    <w:rsid w:val="007C5697"/>
    <w:rsid w:val="007D164B"/>
    <w:rsid w:val="007D3545"/>
    <w:rsid w:val="007D6A8F"/>
    <w:rsid w:val="00806766"/>
    <w:rsid w:val="00832AB9"/>
    <w:rsid w:val="00840D73"/>
    <w:rsid w:val="00850A9A"/>
    <w:rsid w:val="008535E9"/>
    <w:rsid w:val="0088198D"/>
    <w:rsid w:val="00883138"/>
    <w:rsid w:val="008909EE"/>
    <w:rsid w:val="008D3C36"/>
    <w:rsid w:val="0091117B"/>
    <w:rsid w:val="009211F3"/>
    <w:rsid w:val="00942DB6"/>
    <w:rsid w:val="00946836"/>
    <w:rsid w:val="00966A94"/>
    <w:rsid w:val="009748D5"/>
    <w:rsid w:val="009B04E1"/>
    <w:rsid w:val="009C50A5"/>
    <w:rsid w:val="009D5028"/>
    <w:rsid w:val="00A07F42"/>
    <w:rsid w:val="00A16315"/>
    <w:rsid w:val="00A2038E"/>
    <w:rsid w:val="00A30B3C"/>
    <w:rsid w:val="00A858A0"/>
    <w:rsid w:val="00A9760E"/>
    <w:rsid w:val="00AA04DE"/>
    <w:rsid w:val="00AF51F9"/>
    <w:rsid w:val="00AF5A62"/>
    <w:rsid w:val="00B23265"/>
    <w:rsid w:val="00B549EB"/>
    <w:rsid w:val="00B70362"/>
    <w:rsid w:val="00B70368"/>
    <w:rsid w:val="00B723BE"/>
    <w:rsid w:val="00B82705"/>
    <w:rsid w:val="00BB5A7A"/>
    <w:rsid w:val="00BB76ED"/>
    <w:rsid w:val="00BC5EBB"/>
    <w:rsid w:val="00BD26A5"/>
    <w:rsid w:val="00BF63CA"/>
    <w:rsid w:val="00C03539"/>
    <w:rsid w:val="00C101B1"/>
    <w:rsid w:val="00C27D57"/>
    <w:rsid w:val="00C6595A"/>
    <w:rsid w:val="00C82CBA"/>
    <w:rsid w:val="00C84127"/>
    <w:rsid w:val="00CB55FC"/>
    <w:rsid w:val="00CD0B11"/>
    <w:rsid w:val="00CE1C84"/>
    <w:rsid w:val="00CE35F5"/>
    <w:rsid w:val="00CF3AEA"/>
    <w:rsid w:val="00D03469"/>
    <w:rsid w:val="00D049BE"/>
    <w:rsid w:val="00D47DAB"/>
    <w:rsid w:val="00D5115F"/>
    <w:rsid w:val="00D55F78"/>
    <w:rsid w:val="00D829DD"/>
    <w:rsid w:val="00D82F38"/>
    <w:rsid w:val="00D8667C"/>
    <w:rsid w:val="00D86AB9"/>
    <w:rsid w:val="00DE75E0"/>
    <w:rsid w:val="00E03012"/>
    <w:rsid w:val="00E07413"/>
    <w:rsid w:val="00E136A1"/>
    <w:rsid w:val="00E232D4"/>
    <w:rsid w:val="00E26FB1"/>
    <w:rsid w:val="00E51323"/>
    <w:rsid w:val="00E9573D"/>
    <w:rsid w:val="00EA7D4F"/>
    <w:rsid w:val="00EB16F7"/>
    <w:rsid w:val="00EC504C"/>
    <w:rsid w:val="00ED79B2"/>
    <w:rsid w:val="00F40510"/>
    <w:rsid w:val="00F61548"/>
    <w:rsid w:val="00F71891"/>
    <w:rsid w:val="00F71C64"/>
    <w:rsid w:val="00F90A87"/>
    <w:rsid w:val="00FC1FCE"/>
    <w:rsid w:val="00FC4EE8"/>
    <w:rsid w:val="00FE3007"/>
    <w:rsid w:val="00FE38E3"/>
    <w:rsid w:val="00FE4BD6"/>
    <w:rsid w:val="00FF277C"/>
    <w:rsid w:val="02900992"/>
    <w:rsid w:val="0355AECC"/>
    <w:rsid w:val="037F74A8"/>
    <w:rsid w:val="03E3EC21"/>
    <w:rsid w:val="0459E529"/>
    <w:rsid w:val="054E73EE"/>
    <w:rsid w:val="0651D59B"/>
    <w:rsid w:val="067080E6"/>
    <w:rsid w:val="06C1234B"/>
    <w:rsid w:val="06DEDEE0"/>
    <w:rsid w:val="0721CCC3"/>
    <w:rsid w:val="078891E4"/>
    <w:rsid w:val="07C621F5"/>
    <w:rsid w:val="080455A2"/>
    <w:rsid w:val="0804A98B"/>
    <w:rsid w:val="08121F7B"/>
    <w:rsid w:val="08BC4C3B"/>
    <w:rsid w:val="0961F256"/>
    <w:rsid w:val="09EE48F6"/>
    <w:rsid w:val="0AC67ACA"/>
    <w:rsid w:val="0ACCD92A"/>
    <w:rsid w:val="0AF1F585"/>
    <w:rsid w:val="0AFDC2B7"/>
    <w:rsid w:val="0C7AB3C8"/>
    <w:rsid w:val="0C7C8600"/>
    <w:rsid w:val="0C841348"/>
    <w:rsid w:val="0CF49056"/>
    <w:rsid w:val="0DCD913A"/>
    <w:rsid w:val="0DE54382"/>
    <w:rsid w:val="0ED32A13"/>
    <w:rsid w:val="0F6D7E00"/>
    <w:rsid w:val="10246E9F"/>
    <w:rsid w:val="108A6A9B"/>
    <w:rsid w:val="110A781B"/>
    <w:rsid w:val="119FD964"/>
    <w:rsid w:val="1260C72E"/>
    <w:rsid w:val="130B7B89"/>
    <w:rsid w:val="157A5E9C"/>
    <w:rsid w:val="16525EE4"/>
    <w:rsid w:val="16663409"/>
    <w:rsid w:val="166EDF39"/>
    <w:rsid w:val="16734A87"/>
    <w:rsid w:val="17369FA4"/>
    <w:rsid w:val="18B0822A"/>
    <w:rsid w:val="18BF4F7F"/>
    <w:rsid w:val="191DFA5B"/>
    <w:rsid w:val="19AAB418"/>
    <w:rsid w:val="1A4DCFBF"/>
    <w:rsid w:val="1A6BD913"/>
    <w:rsid w:val="1A7D5B77"/>
    <w:rsid w:val="1B1B32BB"/>
    <w:rsid w:val="1B2713A1"/>
    <w:rsid w:val="1B807C8C"/>
    <w:rsid w:val="1BEE8117"/>
    <w:rsid w:val="1C0A10C7"/>
    <w:rsid w:val="1C1DC35D"/>
    <w:rsid w:val="1CDDA7AA"/>
    <w:rsid w:val="1E47A797"/>
    <w:rsid w:val="1ECDD631"/>
    <w:rsid w:val="21A0E1E0"/>
    <w:rsid w:val="21BDEAB4"/>
    <w:rsid w:val="21FC5D1C"/>
    <w:rsid w:val="230A40CB"/>
    <w:rsid w:val="23A3C5DD"/>
    <w:rsid w:val="25536DB6"/>
    <w:rsid w:val="2617A851"/>
    <w:rsid w:val="276408E7"/>
    <w:rsid w:val="27D12C3E"/>
    <w:rsid w:val="27FB815F"/>
    <w:rsid w:val="282E3A84"/>
    <w:rsid w:val="283AA9F1"/>
    <w:rsid w:val="28773700"/>
    <w:rsid w:val="288CDCCC"/>
    <w:rsid w:val="28B236F2"/>
    <w:rsid w:val="28FFD948"/>
    <w:rsid w:val="291901A5"/>
    <w:rsid w:val="292ECC7A"/>
    <w:rsid w:val="29B0FF7C"/>
    <w:rsid w:val="2B3CCD0E"/>
    <w:rsid w:val="2D2CEC81"/>
    <w:rsid w:val="2D3B95B7"/>
    <w:rsid w:val="2DD34A6B"/>
    <w:rsid w:val="2E62009D"/>
    <w:rsid w:val="2EE1F090"/>
    <w:rsid w:val="2F0DA952"/>
    <w:rsid w:val="309AFF2E"/>
    <w:rsid w:val="31067FDF"/>
    <w:rsid w:val="311FF940"/>
    <w:rsid w:val="31ADCFA3"/>
    <w:rsid w:val="31D77EB9"/>
    <w:rsid w:val="32A6BB8E"/>
    <w:rsid w:val="35DE5C50"/>
    <w:rsid w:val="35E7255A"/>
    <w:rsid w:val="368B9C8A"/>
    <w:rsid w:val="36A77FA1"/>
    <w:rsid w:val="37025D82"/>
    <w:rsid w:val="37271757"/>
    <w:rsid w:val="3842EEBF"/>
    <w:rsid w:val="386FAA79"/>
    <w:rsid w:val="38C2E7B8"/>
    <w:rsid w:val="38E2820B"/>
    <w:rsid w:val="392A5E4E"/>
    <w:rsid w:val="3A04C7D7"/>
    <w:rsid w:val="3A3118B1"/>
    <w:rsid w:val="3A7B189E"/>
    <w:rsid w:val="3AB48E0A"/>
    <w:rsid w:val="3AFB4421"/>
    <w:rsid w:val="3D3C6899"/>
    <w:rsid w:val="3D3E7CEC"/>
    <w:rsid w:val="3D56B453"/>
    <w:rsid w:val="3D9967DC"/>
    <w:rsid w:val="3DE96E35"/>
    <w:rsid w:val="3E032E0A"/>
    <w:rsid w:val="3EAAD0A0"/>
    <w:rsid w:val="3F3ED0C9"/>
    <w:rsid w:val="3F5AF4A0"/>
    <w:rsid w:val="3FEFCC52"/>
    <w:rsid w:val="403758DC"/>
    <w:rsid w:val="40508139"/>
    <w:rsid w:val="409147C9"/>
    <w:rsid w:val="41232E49"/>
    <w:rsid w:val="412FF28D"/>
    <w:rsid w:val="4268CCE4"/>
    <w:rsid w:val="42B27CA8"/>
    <w:rsid w:val="436F9CD3"/>
    <w:rsid w:val="444A3104"/>
    <w:rsid w:val="44E52B8E"/>
    <w:rsid w:val="4519B2BA"/>
    <w:rsid w:val="4633CB68"/>
    <w:rsid w:val="4680FBEF"/>
    <w:rsid w:val="46A94735"/>
    <w:rsid w:val="46B4326A"/>
    <w:rsid w:val="47696AE3"/>
    <w:rsid w:val="479F7B40"/>
    <w:rsid w:val="47F53C8C"/>
    <w:rsid w:val="4839F9AE"/>
    <w:rsid w:val="491C3C33"/>
    <w:rsid w:val="496FD216"/>
    <w:rsid w:val="49DE3B22"/>
    <w:rsid w:val="4B96EF76"/>
    <w:rsid w:val="4C65E0F0"/>
    <w:rsid w:val="4C8B6BAE"/>
    <w:rsid w:val="4CA69FD9"/>
    <w:rsid w:val="4D4DE0F2"/>
    <w:rsid w:val="4D94206D"/>
    <w:rsid w:val="4DEDE4E9"/>
    <w:rsid w:val="4F0CE302"/>
    <w:rsid w:val="4F5264A0"/>
    <w:rsid w:val="502D0BFF"/>
    <w:rsid w:val="50921AAB"/>
    <w:rsid w:val="50BFE5F4"/>
    <w:rsid w:val="51E58569"/>
    <w:rsid w:val="527E004C"/>
    <w:rsid w:val="5286DE34"/>
    <w:rsid w:val="53FEC232"/>
    <w:rsid w:val="5422AE95"/>
    <w:rsid w:val="55B8EE02"/>
    <w:rsid w:val="55BFCB00"/>
    <w:rsid w:val="55FA8839"/>
    <w:rsid w:val="56A2A299"/>
    <w:rsid w:val="5753C451"/>
    <w:rsid w:val="57D109F9"/>
    <w:rsid w:val="5833551B"/>
    <w:rsid w:val="58627EAC"/>
    <w:rsid w:val="588BE1C3"/>
    <w:rsid w:val="58DABC97"/>
    <w:rsid w:val="594917BC"/>
    <w:rsid w:val="5A1358FB"/>
    <w:rsid w:val="5A2622F0"/>
    <w:rsid w:val="5A91F019"/>
    <w:rsid w:val="5B3D57B0"/>
    <w:rsid w:val="5B46204F"/>
    <w:rsid w:val="5BAE9602"/>
    <w:rsid w:val="5C2BE2EC"/>
    <w:rsid w:val="5C2DC07A"/>
    <w:rsid w:val="5C6AC9E3"/>
    <w:rsid w:val="5C800826"/>
    <w:rsid w:val="5CB547FB"/>
    <w:rsid w:val="5D1EC45F"/>
    <w:rsid w:val="5D37CA32"/>
    <w:rsid w:val="5DA692DC"/>
    <w:rsid w:val="5E069A44"/>
    <w:rsid w:val="5F3FFF28"/>
    <w:rsid w:val="5FBB9302"/>
    <w:rsid w:val="5FCFB96F"/>
    <w:rsid w:val="60CC2442"/>
    <w:rsid w:val="61189C95"/>
    <w:rsid w:val="61292DA8"/>
    <w:rsid w:val="6160A1D2"/>
    <w:rsid w:val="623F7F82"/>
    <w:rsid w:val="629AFF52"/>
    <w:rsid w:val="637FB182"/>
    <w:rsid w:val="64395253"/>
    <w:rsid w:val="64671B91"/>
    <w:rsid w:val="648F0425"/>
    <w:rsid w:val="64C8F329"/>
    <w:rsid w:val="652BDE93"/>
    <w:rsid w:val="656B3B4E"/>
    <w:rsid w:val="66628D5E"/>
    <w:rsid w:val="669EE9E6"/>
    <w:rsid w:val="66C53C84"/>
    <w:rsid w:val="672F7841"/>
    <w:rsid w:val="674A7C75"/>
    <w:rsid w:val="6874FB6C"/>
    <w:rsid w:val="6A0A28A7"/>
    <w:rsid w:val="6BED46C1"/>
    <w:rsid w:val="6C147DAA"/>
    <w:rsid w:val="6DFC4D67"/>
    <w:rsid w:val="6E9309C2"/>
    <w:rsid w:val="6E9B7250"/>
    <w:rsid w:val="6EBE847D"/>
    <w:rsid w:val="6EC71801"/>
    <w:rsid w:val="6F80C294"/>
    <w:rsid w:val="708665F0"/>
    <w:rsid w:val="709200A9"/>
    <w:rsid w:val="7098F739"/>
    <w:rsid w:val="70EDFA0F"/>
    <w:rsid w:val="70F9BCCF"/>
    <w:rsid w:val="7133EE29"/>
    <w:rsid w:val="7234C79A"/>
    <w:rsid w:val="72358EFC"/>
    <w:rsid w:val="72AC4993"/>
    <w:rsid w:val="7450F0F1"/>
    <w:rsid w:val="75024B46"/>
    <w:rsid w:val="752DC601"/>
    <w:rsid w:val="757CF4F6"/>
    <w:rsid w:val="757FC285"/>
    <w:rsid w:val="7682574F"/>
    <w:rsid w:val="7770C8B7"/>
    <w:rsid w:val="78A55F4C"/>
    <w:rsid w:val="78F5472F"/>
    <w:rsid w:val="7943E105"/>
    <w:rsid w:val="7A06AD2D"/>
    <w:rsid w:val="7A2BD2E2"/>
    <w:rsid w:val="7ADFB166"/>
    <w:rsid w:val="7AE51875"/>
    <w:rsid w:val="7AFFF4DA"/>
    <w:rsid w:val="7B037CA7"/>
    <w:rsid w:val="7B3D5C81"/>
    <w:rsid w:val="7B9B521C"/>
    <w:rsid w:val="7BDBC3E2"/>
    <w:rsid w:val="7C1F7277"/>
    <w:rsid w:val="7CB70F3C"/>
    <w:rsid w:val="7DDAD990"/>
    <w:rsid w:val="7DE77C37"/>
    <w:rsid w:val="7E583F06"/>
    <w:rsid w:val="7F0B151B"/>
    <w:rsid w:val="7F0FC1DE"/>
    <w:rsid w:val="7F134AA2"/>
    <w:rsid w:val="7FC4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DF14B"/>
  <w15:docId w15:val="{B89A453F-D78B-4E7B-A287-A86B341E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Revision">
    <w:name w:val="Revision"/>
    <w:hidden/>
    <w:uiPriority w:val="99"/>
    <w:semiHidden/>
    <w:rsid w:val="00094A06"/>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6F35B8"/>
    <w:rPr>
      <w:sz w:val="16"/>
      <w:szCs w:val="16"/>
    </w:rPr>
  </w:style>
  <w:style w:type="paragraph" w:styleId="CommentText">
    <w:name w:val="annotation text"/>
    <w:basedOn w:val="Normal"/>
    <w:link w:val="CommentTextChar"/>
    <w:uiPriority w:val="99"/>
    <w:unhideWhenUsed/>
    <w:rsid w:val="006F35B8"/>
    <w:rPr>
      <w:sz w:val="20"/>
      <w:szCs w:val="20"/>
    </w:rPr>
  </w:style>
  <w:style w:type="character" w:customStyle="1" w:styleId="CommentTextChar">
    <w:name w:val="Comment Text Char"/>
    <w:basedOn w:val="DefaultParagraphFont"/>
    <w:link w:val="CommentText"/>
    <w:uiPriority w:val="99"/>
    <w:rsid w:val="006F35B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35B8"/>
    <w:rPr>
      <w:b/>
      <w:bCs/>
    </w:rPr>
  </w:style>
  <w:style w:type="character" w:customStyle="1" w:styleId="CommentSubjectChar">
    <w:name w:val="Comment Subject Char"/>
    <w:basedOn w:val="CommentTextChar"/>
    <w:link w:val="CommentSubject"/>
    <w:uiPriority w:val="99"/>
    <w:semiHidden/>
    <w:rsid w:val="006F35B8"/>
    <w:rPr>
      <w:rFonts w:ascii="Arial" w:eastAsia="Times New Roman" w:hAnsi="Arial" w:cs="Times New Roman"/>
      <w:b/>
      <w:bCs/>
      <w:sz w:val="20"/>
      <w:szCs w:val="20"/>
    </w:rPr>
  </w:style>
  <w:style w:type="character" w:customStyle="1" w:styleId="eop">
    <w:name w:val="eop"/>
    <w:basedOn w:val="DefaultParagraphFont"/>
    <w:rsid w:val="00750503"/>
  </w:style>
  <w:style w:type="character" w:styleId="FollowedHyperlink">
    <w:name w:val="FollowedHyperlink"/>
    <w:basedOn w:val="DefaultParagraphFont"/>
    <w:uiPriority w:val="99"/>
    <w:semiHidden/>
    <w:unhideWhenUsed/>
    <w:rsid w:val="00750503"/>
    <w:rPr>
      <w:color w:val="954F72" w:themeColor="followedHyperlink"/>
      <w:u w:val="single"/>
    </w:rPr>
  </w:style>
  <w:style w:type="character" w:styleId="UnresolvedMention">
    <w:name w:val="Unresolved Mention"/>
    <w:basedOn w:val="DefaultParagraphFont"/>
    <w:uiPriority w:val="99"/>
    <w:semiHidden/>
    <w:unhideWhenUsed/>
    <w:rsid w:val="00150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8/agenda201809.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be/ag/ag/yr19/agenda201909.asp"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9/agenda201903.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F281E5408C748A9BDC27C50FAE940" ma:contentTypeVersion="8" ma:contentTypeDescription="Create a new document." ma:contentTypeScope="" ma:versionID="2079b2acd3047ea9a01d53f3f1afb7b8">
  <xsd:schema xmlns:xsd="http://www.w3.org/2001/XMLSchema" xmlns:xs="http://www.w3.org/2001/XMLSchema" xmlns:p="http://schemas.microsoft.com/office/2006/metadata/properties" xmlns:ns2="65d75863-ef69-44be-a608-e014d249d55e" xmlns:ns3="d08ae68b-b2cb-4dcf-bf69-0e71d23a9d55" targetNamespace="http://schemas.microsoft.com/office/2006/metadata/properties" ma:root="true" ma:fieldsID="981fa40c2734934755a7523fc141652b" ns2:_="" ns3:_="">
    <xsd:import namespace="65d75863-ef69-44be-a608-e014d249d55e"/>
    <xsd:import namespace="d08ae68b-b2cb-4dcf-bf69-0e71d23a9d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75863-ef69-44be-a608-e014d249d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8ae68b-b2cb-4dcf-bf69-0e71d23a9d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D33EB-B5D4-424B-B469-A5E3303BB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75863-ef69-44be-a608-e014d249d55e"/>
    <ds:schemaRef ds:uri="d08ae68b-b2cb-4dcf-bf69-0e71d23a9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0C3F6-58D8-41C8-8E0C-0819CA74A738}">
  <ds:schemaRefs>
    <ds:schemaRef ds:uri="http://schemas.microsoft.com/sharepoint/v3/contenttype/forms"/>
  </ds:schemaRefs>
</ds:datastoreItem>
</file>

<file path=customXml/itemProps3.xml><?xml version="1.0" encoding="utf-8"?>
<ds:datastoreItem xmlns:ds="http://schemas.openxmlformats.org/officeDocument/2006/customXml" ds:itemID="{FD35FC06-5DC0-4F64-A5C4-5E823B508E65}">
  <ds:schemaRefs>
    <ds:schemaRef ds:uri="http://schemas.openxmlformats.org/officeDocument/2006/bibliography"/>
  </ds:schemaRefs>
</ds:datastoreItem>
</file>

<file path=customXml/itemProps4.xml><?xml version="1.0" encoding="utf-8"?>
<ds:datastoreItem xmlns:ds="http://schemas.openxmlformats.org/officeDocument/2006/customXml" ds:itemID="{C3C0024B-EBE7-4802-9111-05635DBFFB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1110</Words>
  <Characters>6332</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March 2024 Agenda Item 09 - Meeting Agendas (CA State Board of Education)</vt:lpstr>
    </vt:vector>
  </TitlesOfParts>
  <Company>California State Board of Education</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2024 Agenda Item 09 - Meeting Agendas (CA State Board of Education)</dc:title>
  <dc:subject>School Nutrition Programs: Approve Commencement of a 45-Day Public Comment Period for Proposed Amendments to California Code of Regulations, Title 5.</dc:subject>
  <dc:creator/>
  <cp:keywords/>
  <dc:description/>
  <cp:lastPrinted>2017-10-30T17:36:00Z</cp:lastPrinted>
  <dcterms:created xsi:type="dcterms:W3CDTF">2024-02-21T20:06:00Z</dcterms:created>
  <dcterms:modified xsi:type="dcterms:W3CDTF">2024-02-23T01:07:00Z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0x010100984F281E5408C748A9BDC27C50FAE940</vt:lpwstr>
  </property>
</Properties>
</file>