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97DF" w14:textId="77777777" w:rsidR="002D6EC8" w:rsidRPr="002D6EC8" w:rsidRDefault="002D6EC8" w:rsidP="008F7BC4">
      <w:pPr>
        <w:spacing w:line="240" w:lineRule="auto"/>
        <w:rPr>
          <w:rFonts w:cs="Arial"/>
        </w:rPr>
      </w:pPr>
      <w:r w:rsidRPr="002D6EC8">
        <w:rPr>
          <w:rFonts w:cs="Arial"/>
        </w:rPr>
        <w:t>California Department of Education</w:t>
      </w:r>
    </w:p>
    <w:p w14:paraId="66372B8A" w14:textId="77777777" w:rsidR="002D6EC8" w:rsidRPr="002D6EC8" w:rsidRDefault="002D6EC8" w:rsidP="008F7BC4">
      <w:pPr>
        <w:spacing w:line="240" w:lineRule="auto"/>
        <w:rPr>
          <w:rFonts w:cs="Arial"/>
        </w:rPr>
      </w:pPr>
      <w:r w:rsidRPr="002D6EC8">
        <w:rPr>
          <w:rFonts w:cs="Arial"/>
        </w:rPr>
        <w:t>Charter Schools Division</w:t>
      </w:r>
    </w:p>
    <w:p w14:paraId="6D8E2BC4" w14:textId="77777777" w:rsidR="002D6EC8" w:rsidRPr="00780B44" w:rsidRDefault="00F77C0B" w:rsidP="008F7BC4">
      <w:pPr>
        <w:spacing w:line="240" w:lineRule="auto"/>
        <w:rPr>
          <w:rFonts w:cs="Arial"/>
        </w:rPr>
      </w:pPr>
      <w:r w:rsidRPr="00780B44">
        <w:rPr>
          <w:rFonts w:cs="Arial"/>
        </w:rPr>
        <w:t xml:space="preserve">Revised </w:t>
      </w:r>
      <w:r w:rsidR="0042654E" w:rsidRPr="00780B44">
        <w:rPr>
          <w:rFonts w:cs="Arial"/>
        </w:rPr>
        <w:t>5</w:t>
      </w:r>
      <w:r w:rsidR="00443B1F" w:rsidRPr="00780B44">
        <w:rPr>
          <w:rFonts w:cs="Arial"/>
        </w:rPr>
        <w:t>/2018</w:t>
      </w:r>
    </w:p>
    <w:p w14:paraId="0231E7DB" w14:textId="3336D21B" w:rsidR="00EF48D3" w:rsidRPr="00780B44" w:rsidRDefault="0055266E" w:rsidP="008F7BC4">
      <w:pPr>
        <w:spacing w:after="240" w:line="240" w:lineRule="auto"/>
        <w:rPr>
          <w:rFonts w:cs="Arial"/>
        </w:rPr>
      </w:pPr>
      <w:r w:rsidRPr="00780B44">
        <w:rPr>
          <w:rFonts w:cs="Arial"/>
        </w:rPr>
        <w:t>a</w:t>
      </w:r>
      <w:r w:rsidR="002D6EC8" w:rsidRPr="00780B44">
        <w:rPr>
          <w:rFonts w:cs="Arial"/>
        </w:rPr>
        <w:t>ccs-</w:t>
      </w:r>
      <w:r w:rsidR="00DD1963">
        <w:rPr>
          <w:rFonts w:cs="Arial"/>
        </w:rPr>
        <w:t>apr</w:t>
      </w:r>
      <w:r w:rsidR="00A210DE">
        <w:rPr>
          <w:rFonts w:cs="Arial"/>
        </w:rPr>
        <w:t>21</w:t>
      </w:r>
      <w:r w:rsidR="008F7BC4" w:rsidRPr="00780B44">
        <w:rPr>
          <w:rFonts w:cs="Arial"/>
        </w:rPr>
        <w:t>item0</w:t>
      </w:r>
      <w:r w:rsidR="00C17809">
        <w:rPr>
          <w:rFonts w:cs="Arial"/>
        </w:rPr>
        <w:t>2</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7DD797AE" w:rsidR="00050515" w:rsidRDefault="00DD1963" w:rsidP="008F7BC4">
      <w:pPr>
        <w:pStyle w:val="Heading1"/>
        <w:spacing w:line="240" w:lineRule="auto"/>
      </w:pPr>
      <w:r>
        <w:t>April</w:t>
      </w:r>
      <w:r w:rsidR="004A068E" w:rsidRPr="00796487">
        <w:t xml:space="preserve"> 2021</w:t>
      </w:r>
      <w:r w:rsidR="00050515" w:rsidRPr="00780B44">
        <w:t xml:space="preserve"> Agenda</w:t>
      </w:r>
      <w:r w:rsidR="00510736">
        <w:br/>
      </w:r>
      <w:r w:rsidR="00050515" w:rsidRPr="00780B44">
        <w:t>Item #</w:t>
      </w:r>
      <w:r w:rsidR="008F7BC4" w:rsidRPr="00780B44">
        <w:t>0</w:t>
      </w:r>
      <w:r w:rsidR="00C17809">
        <w:t>2</w:t>
      </w:r>
    </w:p>
    <w:p w14:paraId="086EB83E" w14:textId="77777777" w:rsidR="00FC1FCE" w:rsidRPr="001B3958" w:rsidRDefault="00FC1FCE" w:rsidP="00073062">
      <w:pPr>
        <w:pStyle w:val="Heading2"/>
      </w:pPr>
      <w:r w:rsidRPr="001B3958">
        <w:t>Subject</w:t>
      </w:r>
    </w:p>
    <w:p w14:paraId="65297A92" w14:textId="1AB11F53" w:rsidR="00D70EF6" w:rsidRPr="00D960D6" w:rsidRDefault="00E370EE" w:rsidP="007C0EAE">
      <w:pPr>
        <w:spacing w:before="240" w:after="240" w:line="240" w:lineRule="auto"/>
        <w:contextualSpacing w:val="0"/>
        <w:rPr>
          <w:rFonts w:cs="Arial"/>
        </w:rPr>
      </w:pPr>
      <w:r>
        <w:rPr>
          <w:rFonts w:cs="Arial"/>
        </w:rPr>
        <w:t>Revision</w:t>
      </w:r>
      <w:r w:rsidR="000731BB" w:rsidRPr="00D960D6">
        <w:rPr>
          <w:rFonts w:cs="Arial"/>
        </w:rPr>
        <w:t xml:space="preserve"> of a</w:t>
      </w:r>
      <w:r w:rsidR="00D70EF6" w:rsidRPr="00D960D6">
        <w:rPr>
          <w:rFonts w:cs="Arial"/>
        </w:rPr>
        <w:t xml:space="preserve"> </w:t>
      </w:r>
      <w:r w:rsidR="003C1CD8">
        <w:rPr>
          <w:rFonts w:cs="Arial"/>
        </w:rPr>
        <w:t>Funding Determination</w:t>
      </w:r>
      <w:r w:rsidR="00D70EF6" w:rsidRPr="00D960D6">
        <w:rPr>
          <w:rFonts w:cs="Arial"/>
        </w:rPr>
        <w:t xml:space="preserve"> as Required for Nonclassroom-Based Charter Schools Pursuant to California</w:t>
      </w:r>
      <w:r w:rsidR="00D70EF6" w:rsidRPr="00D960D6">
        <w:rPr>
          <w:rFonts w:cs="Arial"/>
          <w:i/>
        </w:rPr>
        <w:t xml:space="preserve"> Education Code </w:t>
      </w:r>
      <w:r w:rsidR="00D70EF6" w:rsidRPr="00D960D6">
        <w:rPr>
          <w:rFonts w:cs="Arial"/>
        </w:rPr>
        <w:t xml:space="preserve">sections 47612.5 and 47634.2, </w:t>
      </w:r>
      <w:r w:rsidR="00D960D6" w:rsidRPr="00D960D6">
        <w:rPr>
          <w:rFonts w:cs="Arial"/>
          <w:i/>
        </w:rPr>
        <w:t>California Code of Regulations</w:t>
      </w:r>
      <w:r w:rsidR="00601EC9">
        <w:rPr>
          <w:rFonts w:cs="Arial"/>
        </w:rPr>
        <w:t>, Title 5</w:t>
      </w:r>
      <w:r w:rsidR="00D960D6" w:rsidRPr="00D960D6">
        <w:rPr>
          <w:rFonts w:cs="Arial"/>
          <w:i/>
        </w:rPr>
        <w:t xml:space="preserve"> </w:t>
      </w:r>
      <w:r w:rsidR="00D960D6" w:rsidRPr="00D960D6">
        <w:rPr>
          <w:rFonts w:cs="Arial"/>
        </w:rPr>
        <w:t xml:space="preserve">Section 11963.6(a), </w:t>
      </w:r>
      <w:r w:rsidR="00D70EF6" w:rsidRPr="00D960D6">
        <w:rPr>
          <w:rFonts w:cs="Arial"/>
        </w:rPr>
        <w:t xml:space="preserve">and Associated </w:t>
      </w:r>
      <w:r w:rsidR="00D70EF6" w:rsidRPr="00D960D6">
        <w:rPr>
          <w:rFonts w:cs="Arial"/>
          <w:i/>
        </w:rPr>
        <w:t>California Code of Regulations</w:t>
      </w:r>
      <w:r w:rsidR="00D70EF6" w:rsidRPr="00D960D6">
        <w:rPr>
          <w:rFonts w:cs="Arial"/>
        </w:rPr>
        <w:t>, Title 5.</w:t>
      </w:r>
    </w:p>
    <w:p w14:paraId="5B5F05D7" w14:textId="77777777" w:rsidR="00FC1FCE" w:rsidRPr="001B3958" w:rsidRDefault="00FC1FCE" w:rsidP="00073062">
      <w:pPr>
        <w:pStyle w:val="Heading2"/>
      </w:pPr>
      <w:r w:rsidRPr="001B3958">
        <w:t>Type of Action</w:t>
      </w:r>
    </w:p>
    <w:p w14:paraId="67700290" w14:textId="77777777" w:rsidR="008F7BC4" w:rsidRPr="0055124C" w:rsidRDefault="008F7BC4" w:rsidP="007C0EAE">
      <w:pPr>
        <w:spacing w:before="240" w:after="240" w:line="240" w:lineRule="auto"/>
        <w:contextualSpacing w:val="0"/>
      </w:pPr>
      <w:r w:rsidRPr="0055124C">
        <w:t>Action, Information</w:t>
      </w:r>
    </w:p>
    <w:p w14:paraId="4F1F3903" w14:textId="77777777" w:rsidR="008F7BC4" w:rsidRPr="001B3958" w:rsidRDefault="008F7BC4" w:rsidP="00073062">
      <w:pPr>
        <w:pStyle w:val="Heading2"/>
      </w:pPr>
      <w:r>
        <w:t>Summary of the Issue</w:t>
      </w:r>
    </w:p>
    <w:p w14:paraId="5BC412D2" w14:textId="5CA322B1" w:rsidR="00CD2384" w:rsidRDefault="00CD2384" w:rsidP="007C0EAE">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sidRPr="005F7E7C">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0731BB">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0" w:name="_Hlk37434151"/>
    </w:p>
    <w:p w14:paraId="5750641E" w14:textId="6EABF718" w:rsidR="000731BB" w:rsidRPr="000731BB" w:rsidRDefault="000731BB" w:rsidP="007C0EAE">
      <w:pPr>
        <w:spacing w:before="240" w:after="240" w:line="240" w:lineRule="auto"/>
        <w:contextualSpacing w:val="0"/>
        <w:rPr>
          <w:rFonts w:cs="Arial"/>
        </w:rPr>
      </w:pPr>
      <w:r>
        <w:rPr>
          <w:rFonts w:cs="Arial"/>
        </w:rPr>
        <w:t xml:space="preserve">Pursuant to 5 </w:t>
      </w:r>
      <w:r>
        <w:rPr>
          <w:rFonts w:cs="Arial"/>
          <w:i/>
        </w:rPr>
        <w:t>CCR</w:t>
      </w:r>
      <w:r>
        <w:rPr>
          <w:rFonts w:cs="Arial"/>
        </w:rPr>
        <w:t xml:space="preserve"> Section 11963.6(a</w:t>
      </w:r>
      <w:r w:rsidR="000E70B0">
        <w:rPr>
          <w:rFonts w:cs="Arial"/>
        </w:rPr>
        <w:t>), 90 days</w:t>
      </w:r>
      <w:r w:rsidR="003E215E">
        <w:rPr>
          <w:rFonts w:cs="Arial"/>
        </w:rPr>
        <w:t xml:space="preserve"> after </w:t>
      </w:r>
      <w:r>
        <w:rPr>
          <w:rFonts w:cs="Arial"/>
        </w:rPr>
        <w:t xml:space="preserve">a </w:t>
      </w:r>
      <w:r w:rsidR="00B43C92">
        <w:rPr>
          <w:rFonts w:cs="Arial"/>
        </w:rPr>
        <w:t>new</w:t>
      </w:r>
      <w:r w:rsidR="003E215E">
        <w:rPr>
          <w:rFonts w:cs="Arial"/>
        </w:rPr>
        <w:t xml:space="preserve"> NCB</w:t>
      </w:r>
      <w:r w:rsidR="00B43C92">
        <w:rPr>
          <w:rFonts w:cs="Arial"/>
        </w:rPr>
        <w:t xml:space="preserve"> c</w:t>
      </w:r>
      <w:r>
        <w:rPr>
          <w:rFonts w:cs="Arial"/>
        </w:rPr>
        <w:t>harter school</w:t>
      </w:r>
      <w:r w:rsidR="003E215E">
        <w:rPr>
          <w:rFonts w:cs="Arial"/>
        </w:rPr>
        <w:t xml:space="preserve">’s first fiscal year of operation, the school </w:t>
      </w:r>
      <w:r>
        <w:rPr>
          <w:rFonts w:cs="Arial"/>
        </w:rPr>
        <w:t xml:space="preserve">shall submit unaudited actual expense reports and a funding determination form based on the school’s actual second-year budget. </w:t>
      </w:r>
      <w:r w:rsidR="008855A9">
        <w:rPr>
          <w:rFonts w:cs="Arial"/>
        </w:rPr>
        <w:t xml:space="preserve">The CDE refers to </w:t>
      </w:r>
      <w:r w:rsidR="009A1362">
        <w:rPr>
          <w:rFonts w:cs="Arial"/>
        </w:rPr>
        <w:t>these two items collectively</w:t>
      </w:r>
      <w:r w:rsidR="008855A9">
        <w:rPr>
          <w:rFonts w:cs="Arial"/>
        </w:rPr>
        <w:t xml:space="preserve"> as the 90 Day Report. </w:t>
      </w:r>
      <w:r w:rsidR="00506D83">
        <w:rPr>
          <w:rFonts w:cs="Arial"/>
        </w:rPr>
        <w:t xml:space="preserve">Pursuant to 5 </w:t>
      </w:r>
      <w:r w:rsidR="00506D83" w:rsidRPr="009A1362">
        <w:rPr>
          <w:rFonts w:cs="Arial"/>
          <w:i/>
        </w:rPr>
        <w:t>CCR</w:t>
      </w:r>
      <w:r w:rsidR="00981CC8">
        <w:rPr>
          <w:rFonts w:cs="Arial"/>
          <w:i/>
        </w:rPr>
        <w:t xml:space="preserve"> </w:t>
      </w:r>
      <w:r w:rsidR="00981CC8">
        <w:rPr>
          <w:rFonts w:cs="Arial"/>
        </w:rPr>
        <w:t>Section 11963.6(a)</w:t>
      </w:r>
      <w:r w:rsidR="00506D83">
        <w:rPr>
          <w:rFonts w:cs="Arial"/>
        </w:rPr>
        <w:t>, i</w:t>
      </w:r>
      <w:r w:rsidRPr="00506D83">
        <w:rPr>
          <w:rFonts w:cs="Arial"/>
        </w:rPr>
        <w:t>f</w:t>
      </w:r>
      <w:r>
        <w:rPr>
          <w:rFonts w:cs="Arial"/>
        </w:rPr>
        <w:t xml:space="preserve"> the ACCS determines that the </w:t>
      </w:r>
      <w:r w:rsidR="000E70B0">
        <w:rPr>
          <w:rFonts w:cs="Arial"/>
        </w:rPr>
        <w:t>90 Day Report does</w:t>
      </w:r>
      <w:r>
        <w:rPr>
          <w:rFonts w:cs="Arial"/>
        </w:rPr>
        <w:t xml:space="preserve"> not support the</w:t>
      </w:r>
      <w:r w:rsidR="000E70B0">
        <w:rPr>
          <w:rFonts w:cs="Arial"/>
        </w:rPr>
        <w:t xml:space="preserve"> school’s current</w:t>
      </w:r>
      <w:r>
        <w:rPr>
          <w:rFonts w:cs="Arial"/>
        </w:rPr>
        <w:t xml:space="preserve"> funding determination, the ACCS shall recommend that the SBE revise the funding determination.</w:t>
      </w:r>
    </w:p>
    <w:bookmarkEnd w:id="0"/>
    <w:p w14:paraId="19EBEFE6" w14:textId="77777777" w:rsidR="008F7BC4" w:rsidRPr="00F40510" w:rsidRDefault="008F7BC4" w:rsidP="00073062">
      <w:pPr>
        <w:pStyle w:val="Heading2"/>
      </w:pPr>
      <w:r w:rsidRPr="00EF48D3">
        <w:t>Proposed</w:t>
      </w:r>
      <w:r>
        <w:t xml:space="preserve"> Recommendation</w:t>
      </w:r>
    </w:p>
    <w:p w14:paraId="1FBECE54" w14:textId="6B37A98C" w:rsidR="0044390F" w:rsidRDefault="00B43C92" w:rsidP="007C0EAE">
      <w:pPr>
        <w:spacing w:before="240" w:after="240" w:line="240" w:lineRule="auto"/>
        <w:contextualSpacing w:val="0"/>
        <w:rPr>
          <w:rFonts w:cs="Arial"/>
        </w:rPr>
      </w:pPr>
      <w:r w:rsidRPr="0093667F">
        <w:rPr>
          <w:rFonts w:cs="Arial"/>
        </w:rPr>
        <w:t xml:space="preserve">The CDE proposes to recommend that the SBE </w:t>
      </w:r>
      <w:r w:rsidR="00E370EE" w:rsidRPr="0093667F">
        <w:rPr>
          <w:rFonts w:cs="Arial"/>
        </w:rPr>
        <w:t>revise</w:t>
      </w:r>
      <w:r w:rsidRPr="0093667F">
        <w:rPr>
          <w:rFonts w:cs="Arial"/>
        </w:rPr>
        <w:t xml:space="preserve"> the </w:t>
      </w:r>
      <w:r w:rsidR="003C1CD8" w:rsidRPr="0093667F">
        <w:rPr>
          <w:rFonts w:cs="Arial"/>
        </w:rPr>
        <w:t>funding determination</w:t>
      </w:r>
      <w:r w:rsidRPr="0093667F">
        <w:rPr>
          <w:rFonts w:cs="Arial"/>
        </w:rPr>
        <w:t xml:space="preserve"> for Peak Prep Pleasant Valle</w:t>
      </w:r>
      <w:r w:rsidR="00F4767B">
        <w:rPr>
          <w:rFonts w:cs="Arial"/>
        </w:rPr>
        <w:t>y, which was</w:t>
      </w:r>
      <w:r w:rsidRPr="0093667F">
        <w:rPr>
          <w:rFonts w:cs="Arial"/>
        </w:rPr>
        <w:t xml:space="preserve"> previously approved for 100 percent funding for the period of 2019–20 through 2020–21</w:t>
      </w:r>
      <w:r w:rsidR="00F4767B">
        <w:rPr>
          <w:rFonts w:cs="Arial"/>
        </w:rPr>
        <w:t xml:space="preserve">, so that the school receives </w:t>
      </w:r>
      <w:r w:rsidR="007F0B66" w:rsidRPr="0093667F">
        <w:rPr>
          <w:rFonts w:cs="Arial"/>
        </w:rPr>
        <w:t>70 percent funding</w:t>
      </w:r>
      <w:r w:rsidR="00DE6CE6" w:rsidRPr="0093667F">
        <w:rPr>
          <w:rFonts w:cs="Arial"/>
        </w:rPr>
        <w:t xml:space="preserve"> </w:t>
      </w:r>
      <w:r w:rsidR="00DE6CE6" w:rsidRPr="0093667F">
        <w:rPr>
          <w:rFonts w:cs="Arial"/>
        </w:rPr>
        <w:lastRenderedPageBreak/>
        <w:t xml:space="preserve">for </w:t>
      </w:r>
      <w:r w:rsidR="00F4767B">
        <w:rPr>
          <w:rFonts w:cs="Arial"/>
        </w:rPr>
        <w:t>the 2020–21 fiscal year</w:t>
      </w:r>
      <w:r w:rsidR="00DD1963">
        <w:rPr>
          <w:rFonts w:cs="Arial"/>
        </w:rPr>
        <w:t xml:space="preserve"> with the consideration of mitigating circumstances</w:t>
      </w:r>
      <w:r w:rsidR="00F4767B" w:rsidRPr="0093667F">
        <w:rPr>
          <w:rFonts w:cs="Arial"/>
        </w:rPr>
        <w:t xml:space="preserve"> </w:t>
      </w:r>
      <w:r w:rsidR="00F4767B">
        <w:rPr>
          <w:rFonts w:cs="Arial"/>
        </w:rPr>
        <w:t>as</w:t>
      </w:r>
      <w:r w:rsidR="00DE6CE6" w:rsidRPr="0093667F">
        <w:rPr>
          <w:rFonts w:cs="Arial"/>
        </w:rPr>
        <w:t xml:space="preserve"> specified in Attachment 1.</w:t>
      </w:r>
    </w:p>
    <w:p w14:paraId="55AED14D" w14:textId="77777777" w:rsidR="008F7BC4" w:rsidRPr="00F40510" w:rsidRDefault="008F7BC4" w:rsidP="00073062">
      <w:pPr>
        <w:pStyle w:val="Heading2"/>
      </w:pPr>
      <w:r>
        <w:t>Brief Analysis of the Issue</w:t>
      </w:r>
    </w:p>
    <w:p w14:paraId="6D93E312" w14:textId="720D2F33" w:rsidR="00F4528A" w:rsidRPr="00C02C2C" w:rsidRDefault="00764466" w:rsidP="007C0EAE">
      <w:pPr>
        <w:spacing w:before="240" w:after="240" w:line="240" w:lineRule="auto"/>
        <w:contextualSpacing w:val="0"/>
      </w:pPr>
      <w:bookmarkStart w:id="1" w:name="_Hlk37437238"/>
      <w:r>
        <w:t>NCB c</w:t>
      </w:r>
      <w:r w:rsidR="00F4528A" w:rsidRPr="00FB1F51">
        <w:t>harter schools must obtain a</w:t>
      </w:r>
      <w:r w:rsidR="00F4528A">
        <w:t xml:space="preserve">n approved </w:t>
      </w:r>
      <w:r w:rsidR="00F4528A" w:rsidRPr="00FB1F51">
        <w:t xml:space="preserve">determination of funding </w:t>
      </w:r>
      <w:r w:rsidR="00F4528A">
        <w:t>from</w:t>
      </w:r>
      <w:r w:rsidR="00F4528A" w:rsidRPr="00FB1F51">
        <w:t xml:space="preserve"> the SBE </w:t>
      </w:r>
      <w:r w:rsidR="00F4528A">
        <w:t xml:space="preserve">in order </w:t>
      </w:r>
      <w:r w:rsidR="00F4528A" w:rsidRPr="00FB1F51">
        <w:t>to establish eligibility to receive apportionment funding</w:t>
      </w:r>
      <w:r w:rsidR="00F4528A">
        <w:t xml:space="preserve"> for </w:t>
      </w:r>
      <w:r>
        <w:t>their</w:t>
      </w:r>
      <w:r w:rsidR="00F4528A">
        <w:t xml:space="preserve"> NCB instruction</w:t>
      </w:r>
      <w:r w:rsidR="00F4528A" w:rsidRPr="00FB1F51">
        <w:t xml:space="preserve">. </w:t>
      </w:r>
      <w:r w:rsidR="00F4528A" w:rsidRPr="00F945A2">
        <w:t xml:space="preserve">Pursuant to </w:t>
      </w:r>
      <w:r w:rsidR="00F4528A" w:rsidRPr="00C02C2C">
        <w:rPr>
          <w:rFonts w:cs="Arial"/>
        </w:rPr>
        <w:t xml:space="preserve">5 </w:t>
      </w:r>
      <w:r w:rsidR="00F4528A" w:rsidRPr="00C02C2C">
        <w:rPr>
          <w:rFonts w:cs="Arial"/>
          <w:i/>
        </w:rPr>
        <w:t>CCR</w:t>
      </w:r>
      <w:r w:rsidR="00F4528A" w:rsidRPr="00C02C2C">
        <w:rPr>
          <w:rFonts w:cs="Arial"/>
        </w:rPr>
        <w:t xml:space="preserve"> Section</w:t>
      </w:r>
      <w:r w:rsidR="00F4528A" w:rsidRPr="00C02C2C">
        <w:t xml:space="preserve"> 11963.4(a), </w:t>
      </w:r>
      <w:r w:rsidR="00F4528A">
        <w:t>an NCB</w:t>
      </w:r>
      <w:r w:rsidR="00F4528A" w:rsidRPr="00C02C2C">
        <w:t xml:space="preserve"> charter school may qualify for either 70 percent, 85 percent, or 100 percent full funding, or may be denied. To qualify for a recommendation of 100 percent funding</w:t>
      </w:r>
      <w:r w:rsidR="00F4528A">
        <w:t xml:space="preserve"> to the SBE</w:t>
      </w:r>
      <w:r w:rsidR="00F4528A" w:rsidRPr="00C02C2C">
        <w:t xml:space="preserve">, </w:t>
      </w:r>
      <w:r w:rsidR="00F4528A">
        <w:t>an NCB</w:t>
      </w:r>
      <w:r w:rsidR="00F4528A" w:rsidRPr="00C02C2C">
        <w:t xml:space="preserve"> charter school must meet the following criteria:</w:t>
      </w:r>
    </w:p>
    <w:p w14:paraId="5D7B2DA3" w14:textId="77777777" w:rsidR="00F4528A" w:rsidRPr="00C02C2C" w:rsidRDefault="00F4528A" w:rsidP="007C0EAE">
      <w:pPr>
        <w:numPr>
          <w:ilvl w:val="0"/>
          <w:numId w:val="11"/>
        </w:numPr>
        <w:spacing w:before="240" w:after="240" w:line="240" w:lineRule="auto"/>
        <w:contextualSpacing w:val="0"/>
        <w:rPr>
          <w:rFonts w:cs="Arial"/>
        </w:rPr>
      </w:pPr>
      <w:r>
        <w:rPr>
          <w:rFonts w:cs="Arial"/>
        </w:rPr>
        <w:t>Spend at</w:t>
      </w:r>
      <w:r w:rsidRPr="00C02C2C">
        <w:rPr>
          <w:rFonts w:cs="Arial"/>
        </w:rPr>
        <w:t xml:space="preserve"> least 40 percent of the school’s public revenues on salaries and benefits for all employees who possess a valid teaching certificate.</w:t>
      </w:r>
    </w:p>
    <w:p w14:paraId="5992A90B" w14:textId="77777777" w:rsidR="00F4528A" w:rsidRPr="00C02C2C" w:rsidRDefault="00F4528A" w:rsidP="007C0EAE">
      <w:pPr>
        <w:numPr>
          <w:ilvl w:val="0"/>
          <w:numId w:val="11"/>
        </w:numPr>
        <w:spacing w:before="240" w:after="240" w:line="240" w:lineRule="auto"/>
        <w:contextualSpacing w:val="0"/>
        <w:rPr>
          <w:rFonts w:cs="Arial"/>
        </w:rPr>
      </w:pPr>
      <w:r>
        <w:rPr>
          <w:rFonts w:cs="Arial"/>
        </w:rPr>
        <w:t>Spend at</w:t>
      </w:r>
      <w:r w:rsidRPr="00C02C2C">
        <w:rPr>
          <w:rFonts w:cs="Arial"/>
        </w:rPr>
        <w:t xml:space="preserve"> least 80 percent of all revenues on instruction </w:t>
      </w:r>
      <w:r>
        <w:rPr>
          <w:rFonts w:cs="Arial"/>
        </w:rPr>
        <w:t xml:space="preserve">and </w:t>
      </w:r>
      <w:r w:rsidRPr="00C02C2C">
        <w:rPr>
          <w:rFonts w:cs="Arial"/>
        </w:rPr>
        <w:t>related services.</w:t>
      </w:r>
    </w:p>
    <w:p w14:paraId="6A6BFB3D" w14:textId="3D6136C4" w:rsidR="00F4528A" w:rsidRPr="0024188B" w:rsidRDefault="00F4528A" w:rsidP="007C0EAE">
      <w:pPr>
        <w:numPr>
          <w:ilvl w:val="0"/>
          <w:numId w:val="11"/>
        </w:numPr>
        <w:spacing w:before="240" w:after="240" w:line="240" w:lineRule="auto"/>
        <w:contextualSpacing w:val="0"/>
        <w:rPr>
          <w:rFonts w:cs="Arial"/>
        </w:rPr>
      </w:pPr>
      <w:r>
        <w:rPr>
          <w:rFonts w:cs="Arial"/>
        </w:rPr>
        <w:t>Maintain a</w:t>
      </w:r>
      <w:r w:rsidRPr="00C02C2C">
        <w:rPr>
          <w:rFonts w:cs="Arial"/>
        </w:rPr>
        <w:t xml:space="preserve"> ratio of average daily attendance</w:t>
      </w:r>
      <w:r>
        <w:rPr>
          <w:rFonts w:cs="Arial"/>
        </w:rPr>
        <w:t xml:space="preserve"> (ADA)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sidR="00822A4F">
        <w:rPr>
          <w:rFonts w:cs="Arial"/>
        </w:rPr>
        <w:t xml:space="preserve"> (PTR)</w:t>
      </w:r>
      <w:r w:rsidRPr="00C02C2C">
        <w:rPr>
          <w:rFonts w:cs="Arial"/>
        </w:rPr>
        <w:t xml:space="preserve"> of 25:1 or the </w:t>
      </w:r>
      <w:r w:rsidR="00822A4F">
        <w:rPr>
          <w:rFonts w:cs="Arial"/>
        </w:rPr>
        <w:t>PTR</w:t>
      </w:r>
      <w:r w:rsidRPr="00C02C2C">
        <w:rPr>
          <w:rFonts w:cs="Arial"/>
        </w:rPr>
        <w:t xml:space="preserve"> of the largest unified school district in the county or counties in which the charter school operates.</w:t>
      </w:r>
    </w:p>
    <w:bookmarkEnd w:id="1"/>
    <w:p w14:paraId="11A37B31" w14:textId="44EBA113" w:rsidR="000E70B0" w:rsidRPr="000E70B0" w:rsidRDefault="000E70B0" w:rsidP="000E70B0">
      <w:pPr>
        <w:spacing w:before="240" w:after="240" w:line="240" w:lineRule="auto"/>
        <w:contextualSpacing w:val="0"/>
        <w:rPr>
          <w:rFonts w:cs="Arial"/>
        </w:rPr>
      </w:pPr>
      <w:r w:rsidRPr="000E70B0">
        <w:rPr>
          <w:rFonts w:cs="Arial"/>
        </w:rPr>
        <w:t xml:space="preserve">Pursuant to 5 </w:t>
      </w:r>
      <w:r w:rsidRPr="000E70B0">
        <w:rPr>
          <w:rFonts w:cs="Arial"/>
          <w:i/>
        </w:rPr>
        <w:t>CCR</w:t>
      </w:r>
      <w:r w:rsidRPr="000E70B0">
        <w:rPr>
          <w:rFonts w:cs="Arial"/>
        </w:rPr>
        <w:t xml:space="preserve"> Section 11963.6(a), an approved determination of funding for a new charter school in its first year of operation shall be submitted by December 1 and shall be for two fiscal years. Ninety days after a new NCB charter school’s first fiscal year of operation, the school shall submit unaudited actual expense reports and a funding determination form based on the school’s actual second-year budget. The CDE refers to these two items collectively as the 90 Day Report.</w:t>
      </w:r>
    </w:p>
    <w:p w14:paraId="47B9C2F8" w14:textId="74242792" w:rsidR="000E70B0" w:rsidRPr="000E70B0" w:rsidRDefault="000E70B0" w:rsidP="000E70B0">
      <w:pPr>
        <w:spacing w:before="240" w:after="240" w:line="240" w:lineRule="auto"/>
        <w:contextualSpacing w:val="0"/>
        <w:rPr>
          <w:rFonts w:cs="Arial"/>
        </w:rPr>
      </w:pPr>
      <w:r w:rsidRPr="000E70B0">
        <w:rPr>
          <w:rFonts w:cs="Arial"/>
        </w:rPr>
        <w:t xml:space="preserve">Pursuant to 5 </w:t>
      </w:r>
      <w:r w:rsidRPr="000E70B0">
        <w:rPr>
          <w:rFonts w:cs="Arial"/>
          <w:i/>
        </w:rPr>
        <w:t>CCR</w:t>
      </w:r>
      <w:r w:rsidR="00FD2F30">
        <w:rPr>
          <w:rFonts w:cs="Arial"/>
          <w:i/>
        </w:rPr>
        <w:t xml:space="preserve"> </w:t>
      </w:r>
      <w:r w:rsidR="00FD2F30">
        <w:rPr>
          <w:rFonts w:cs="Arial"/>
        </w:rPr>
        <w:t>Section 11963.6(a)</w:t>
      </w:r>
      <w:r w:rsidRPr="000E70B0">
        <w:rPr>
          <w:rFonts w:cs="Arial"/>
        </w:rPr>
        <w:t>, if the ACCS determines that the actual expenditures of the charter school or the second-year funding determination form do not support the funding determination for the school’s second year, the ACCS shall recommend that the SBE revise the funding determination. Revision of the funding determination would mean that the amount of funding the school receives for its NCB instruction for its second fiscal year of operation would be adjusted as appropriate.</w:t>
      </w:r>
    </w:p>
    <w:p w14:paraId="08046C8A" w14:textId="77777777" w:rsidR="002A6CED" w:rsidRPr="00351282" w:rsidRDefault="002A6CED" w:rsidP="00032825">
      <w:pPr>
        <w:pStyle w:val="Heading3"/>
      </w:pPr>
      <w:r w:rsidRPr="00351282">
        <w:t>Peak Prep Pleasant Valley #2062</w:t>
      </w:r>
    </w:p>
    <w:p w14:paraId="7A28AC92" w14:textId="69C9A6F4" w:rsidR="003E215E" w:rsidRDefault="003E215E" w:rsidP="007C0EAE">
      <w:pPr>
        <w:spacing w:before="240" w:after="240" w:line="240" w:lineRule="auto"/>
        <w:contextualSpacing w:val="0"/>
        <w:rPr>
          <w:rFonts w:cs="Arial"/>
        </w:rPr>
      </w:pPr>
      <w:r>
        <w:rPr>
          <w:rFonts w:cs="Arial"/>
        </w:rPr>
        <w:t xml:space="preserve">At its March 11–12, 2020, meeting, the SBE approved a </w:t>
      </w:r>
      <w:r w:rsidR="003C1CD8">
        <w:rPr>
          <w:rFonts w:cs="Arial"/>
        </w:rPr>
        <w:t>funding determination</w:t>
      </w:r>
      <w:r>
        <w:rPr>
          <w:rFonts w:cs="Arial"/>
        </w:rPr>
        <w:t xml:space="preserve"> for Peak Prep Pleasant Valley for</w:t>
      </w:r>
      <w:r w:rsidRPr="00961D08">
        <w:rPr>
          <w:rFonts w:cs="Arial"/>
        </w:rPr>
        <w:t xml:space="preserve"> 100 percent funding for the period of 2019–20 through 2020–21</w:t>
      </w:r>
      <w:r>
        <w:rPr>
          <w:rFonts w:cs="Arial"/>
        </w:rPr>
        <w:t xml:space="preserve"> under the assumption that the school</w:t>
      </w:r>
      <w:r w:rsidR="00E370EE">
        <w:rPr>
          <w:rFonts w:cs="Arial"/>
        </w:rPr>
        <w:t xml:space="preserve">’s expenditures for its first year of operation </w:t>
      </w:r>
      <w:r>
        <w:rPr>
          <w:rFonts w:cs="Arial"/>
        </w:rPr>
        <w:t>would meet the required percentages for full funding based on the school’s first-year budget.</w:t>
      </w:r>
    </w:p>
    <w:p w14:paraId="37065264" w14:textId="30EDBDFB" w:rsidR="0026233D" w:rsidRDefault="00DD2715" w:rsidP="007C0EAE">
      <w:pPr>
        <w:spacing w:before="240" w:after="240" w:line="240" w:lineRule="auto"/>
        <w:contextualSpacing w:val="0"/>
      </w:pPr>
      <w:r>
        <w:t xml:space="preserve">According to the school’s </w:t>
      </w:r>
      <w:r w:rsidR="005703F4">
        <w:t xml:space="preserve">initial </w:t>
      </w:r>
      <w:r w:rsidR="00A84B9D">
        <w:t xml:space="preserve">funding determination </w:t>
      </w:r>
      <w:r w:rsidR="00D30241">
        <w:t>request</w:t>
      </w:r>
      <w:r>
        <w:t xml:space="preserve"> </w:t>
      </w:r>
      <w:r w:rsidR="008855A9">
        <w:t xml:space="preserve">based on the school’s first-year budget </w:t>
      </w:r>
      <w:r>
        <w:t xml:space="preserve">(Attachment 2), the school projected </w:t>
      </w:r>
      <w:r w:rsidR="0026233D">
        <w:t xml:space="preserve">total revenues of $3,883,487 and </w:t>
      </w:r>
      <w:r w:rsidR="0026233D">
        <w:lastRenderedPageBreak/>
        <w:t xml:space="preserve">total expenditures of </w:t>
      </w:r>
      <w:r>
        <w:t>$3,767,775</w:t>
      </w:r>
      <w:r w:rsidR="0026233D">
        <w:t xml:space="preserve">. </w:t>
      </w:r>
      <w:r w:rsidR="00FD233F">
        <w:t>Overall</w:t>
      </w:r>
      <w:r w:rsidR="0026233D">
        <w:t xml:space="preserve">, </w:t>
      </w:r>
      <w:r w:rsidR="008948F7">
        <w:t>the school</w:t>
      </w:r>
      <w:r w:rsidR="0026233D">
        <w:t xml:space="preserve"> </w:t>
      </w:r>
      <w:r w:rsidR="008948F7">
        <w:t>projected</w:t>
      </w:r>
      <w:r w:rsidR="0026233D">
        <w:t xml:space="preserve"> spending 42.43 percent of public revenues on certificated salaries and benefits and 80.01 percent of total revenues on instruction and related services</w:t>
      </w:r>
      <w:r w:rsidR="00C61594">
        <w:t xml:space="preserve"> </w:t>
      </w:r>
      <w:r w:rsidR="004A4984">
        <w:t>while maintaining</w:t>
      </w:r>
      <w:r w:rsidR="00822A4F">
        <w:t xml:space="preserve"> a PTR of 17.36 to 1, </w:t>
      </w:r>
      <w:r w:rsidR="00C61594">
        <w:t>which qualifie</w:t>
      </w:r>
      <w:r w:rsidR="00874104">
        <w:t>d</w:t>
      </w:r>
      <w:r w:rsidR="00C61594">
        <w:t xml:space="preserve"> the </w:t>
      </w:r>
      <w:r w:rsidR="00822A4F">
        <w:t xml:space="preserve">school for a recommendation for </w:t>
      </w:r>
      <w:r w:rsidR="005F2B54">
        <w:t>100 percent (</w:t>
      </w:r>
      <w:r w:rsidR="00822A4F">
        <w:t>full</w:t>
      </w:r>
      <w:r w:rsidR="002031D1">
        <w:t>)</w:t>
      </w:r>
      <w:r w:rsidR="00822A4F">
        <w:t xml:space="preserve"> funding.</w:t>
      </w:r>
      <w:r w:rsidR="0040190B">
        <w:t xml:space="preserve"> Detailed information regarding </w:t>
      </w:r>
      <w:r w:rsidR="00833E64">
        <w:t xml:space="preserve">the school’s initial funding determination request is provided in Item 11 of the SBE Agenda for March 2020 web page, which is available at </w:t>
      </w:r>
      <w:hyperlink r:id="rId7" w:tooltip="SBE Agenda for March 2020 web page" w:history="1">
        <w:r w:rsidR="00833E64" w:rsidRPr="009E14B6">
          <w:rPr>
            <w:rStyle w:val="Hyperlink"/>
          </w:rPr>
          <w:t>https://www.cde.ca.gov/be/ag/ag/yr20/agenda202003.asp</w:t>
        </w:r>
      </w:hyperlink>
      <w:r w:rsidR="00833E64">
        <w:t>.</w:t>
      </w:r>
    </w:p>
    <w:p w14:paraId="2A086DCA" w14:textId="5A33648E" w:rsidR="002031D1" w:rsidRPr="002031D1" w:rsidRDefault="002031D1" w:rsidP="00032825">
      <w:pPr>
        <w:pStyle w:val="Heading4"/>
      </w:pPr>
      <w:r>
        <w:t>90 Day Report</w:t>
      </w:r>
    </w:p>
    <w:p w14:paraId="4402BDC0" w14:textId="626FA7F3" w:rsidR="00355A2A" w:rsidRDefault="002031D1" w:rsidP="00355A2A">
      <w:pPr>
        <w:spacing w:before="240" w:after="240" w:line="240" w:lineRule="auto"/>
        <w:contextualSpacing w:val="0"/>
      </w:pPr>
      <w:r w:rsidRPr="000E70B0">
        <w:rPr>
          <w:rFonts w:cs="Arial"/>
        </w:rPr>
        <w:t xml:space="preserve">Pursuant to 5 </w:t>
      </w:r>
      <w:r w:rsidRPr="000E70B0">
        <w:rPr>
          <w:rFonts w:cs="Arial"/>
          <w:i/>
        </w:rPr>
        <w:t>CCR</w:t>
      </w:r>
      <w:r w:rsidRPr="000E70B0">
        <w:rPr>
          <w:rFonts w:cs="Arial"/>
        </w:rPr>
        <w:t xml:space="preserve"> Section 11963.6(a),</w:t>
      </w:r>
      <w:r>
        <w:rPr>
          <w:rFonts w:cs="Arial"/>
        </w:rPr>
        <w:t xml:space="preserve"> </w:t>
      </w:r>
      <w:r w:rsidR="00801691">
        <w:rPr>
          <w:rFonts w:cs="Arial"/>
        </w:rPr>
        <w:t>Peak Prep Pleasant Valley</w:t>
      </w:r>
      <w:r>
        <w:rPr>
          <w:rFonts w:cs="Arial"/>
        </w:rPr>
        <w:t xml:space="preserve"> submitted its 90 Day Report </w:t>
      </w:r>
      <w:r w:rsidR="00B04455">
        <w:t>(Attachment 3, pp. 1–15)</w:t>
      </w:r>
      <w:r w:rsidR="00566DEE">
        <w:rPr>
          <w:rFonts w:cs="Arial"/>
        </w:rPr>
        <w:t xml:space="preserve"> </w:t>
      </w:r>
      <w:r>
        <w:rPr>
          <w:rFonts w:cs="Arial"/>
        </w:rPr>
        <w:t>to the CDE</w:t>
      </w:r>
      <w:r w:rsidR="00824E44">
        <w:rPr>
          <w:rFonts w:cs="Arial"/>
        </w:rPr>
        <w:t xml:space="preserve"> </w:t>
      </w:r>
      <w:r w:rsidR="00B04455">
        <w:rPr>
          <w:rFonts w:cs="Arial"/>
        </w:rPr>
        <w:t>on September 28, 2020</w:t>
      </w:r>
      <w:r>
        <w:rPr>
          <w:rFonts w:cs="Arial"/>
        </w:rPr>
        <w:t>.</w:t>
      </w:r>
      <w:r w:rsidR="00DB0B85">
        <w:rPr>
          <w:rFonts w:cs="Arial"/>
        </w:rPr>
        <w:t xml:space="preserve"> </w:t>
      </w:r>
      <w:r w:rsidR="00355A2A">
        <w:t xml:space="preserve">The school’s funding determination form based on its second-year budget (Attachment 3, pp. 1–15) projects total revenues of $3,353,463 and total expenditures of $3,228,878. </w:t>
      </w:r>
      <w:r w:rsidR="00B04455">
        <w:t>Overall</w:t>
      </w:r>
      <w:r w:rsidR="00355A2A">
        <w:t>, the school projects spending of 68.21 percent of public revenues on certificated salaries and benefits and 82.33 percent of total revenues on instruction and related services while maintaining a PTR of 17.58 to 1, which is compliant with the requirements for a recommendation for full funding.</w:t>
      </w:r>
    </w:p>
    <w:p w14:paraId="373E00CE" w14:textId="202114BF" w:rsidR="002031D1" w:rsidRDefault="00355A2A" w:rsidP="007C0EAE">
      <w:pPr>
        <w:spacing w:before="240" w:after="240" w:line="240" w:lineRule="auto"/>
        <w:contextualSpacing w:val="0"/>
      </w:pPr>
      <w:r>
        <w:rPr>
          <w:rFonts w:cs="Arial"/>
        </w:rPr>
        <w:t>However, b</w:t>
      </w:r>
      <w:r w:rsidR="00737CC5">
        <w:rPr>
          <w:rFonts w:cs="Arial"/>
        </w:rPr>
        <w:t>ecause the</w:t>
      </w:r>
      <w:r w:rsidR="004E2579">
        <w:rPr>
          <w:rFonts w:cs="Arial"/>
        </w:rPr>
        <w:t>re appeared to be a discrepancy between the</w:t>
      </w:r>
      <w:r w:rsidR="00737CC5">
        <w:rPr>
          <w:rFonts w:cs="Arial"/>
        </w:rPr>
        <w:t xml:space="preserve"> </w:t>
      </w:r>
      <w:r w:rsidR="00617223">
        <w:rPr>
          <w:rFonts w:cs="Arial"/>
        </w:rPr>
        <w:t>unaudited actual expense reports</w:t>
      </w:r>
      <w:r w:rsidR="00BA0DEB">
        <w:rPr>
          <w:rFonts w:cs="Arial"/>
        </w:rPr>
        <w:t xml:space="preserve"> (Attachment 3, </w:t>
      </w:r>
      <w:r w:rsidR="00505946">
        <w:rPr>
          <w:rFonts w:cs="Arial"/>
        </w:rPr>
        <w:t>pp. 11–15)</w:t>
      </w:r>
      <w:r w:rsidR="00617223">
        <w:rPr>
          <w:rFonts w:cs="Arial"/>
        </w:rPr>
        <w:t xml:space="preserve"> </w:t>
      </w:r>
      <w:r w:rsidR="004E2579">
        <w:rPr>
          <w:rFonts w:cs="Arial"/>
        </w:rPr>
        <w:t>compared to the school’s initial funding determination request</w:t>
      </w:r>
      <w:r w:rsidR="00E42A19">
        <w:rPr>
          <w:rFonts w:cs="Arial"/>
        </w:rPr>
        <w:t xml:space="preserve"> based on its first-year budget</w:t>
      </w:r>
      <w:r>
        <w:rPr>
          <w:rFonts w:cs="Arial"/>
        </w:rPr>
        <w:t xml:space="preserve"> (Attachment 2)</w:t>
      </w:r>
      <w:r w:rsidR="00E42A19">
        <w:rPr>
          <w:rFonts w:cs="Arial"/>
        </w:rPr>
        <w:t>, t</w:t>
      </w:r>
      <w:r w:rsidR="0026233D">
        <w:t xml:space="preserve">he CDE requested </w:t>
      </w:r>
      <w:r w:rsidR="00A41225">
        <w:t xml:space="preserve">that </w:t>
      </w:r>
      <w:r w:rsidR="0026233D">
        <w:t xml:space="preserve">the school </w:t>
      </w:r>
      <w:r>
        <w:t xml:space="preserve">also </w:t>
      </w:r>
      <w:r w:rsidR="0026233D">
        <w:t>submit a</w:t>
      </w:r>
      <w:r w:rsidR="00C543F1">
        <w:t xml:space="preserve"> </w:t>
      </w:r>
      <w:r w:rsidR="0026233D">
        <w:t>funding determination form based on the first-year unaudited actual expense report as a supplement to the 90 Day Report</w:t>
      </w:r>
      <w:r w:rsidR="00A55B07">
        <w:t xml:space="preserve"> (Attachment </w:t>
      </w:r>
      <w:r w:rsidR="00824E44">
        <w:t>3</w:t>
      </w:r>
      <w:r w:rsidR="00A55B07">
        <w:t xml:space="preserve">, pp. </w:t>
      </w:r>
      <w:r w:rsidR="00824E44">
        <w:t>16–25</w:t>
      </w:r>
      <w:r w:rsidR="00A55B07">
        <w:t>)</w:t>
      </w:r>
      <w:r w:rsidR="0026233D">
        <w:t>.</w:t>
      </w:r>
      <w:r w:rsidR="00011D69">
        <w:t xml:space="preserve"> The school submitted this </w:t>
      </w:r>
      <w:r w:rsidR="00A41225">
        <w:t xml:space="preserve">supplemental </w:t>
      </w:r>
      <w:r w:rsidR="00011D69">
        <w:t>form to the CDE on December 11, 2020.</w:t>
      </w:r>
    </w:p>
    <w:p w14:paraId="3B10452B" w14:textId="0CD18964" w:rsidR="004B6BB9" w:rsidRDefault="00355A2A" w:rsidP="007C0EAE">
      <w:pPr>
        <w:spacing w:before="240" w:after="240" w:line="240" w:lineRule="auto"/>
        <w:contextualSpacing w:val="0"/>
      </w:pPr>
      <w:r>
        <w:t>After reviewing</w:t>
      </w:r>
      <w:r w:rsidR="002031D1">
        <w:t xml:space="preserve"> </w:t>
      </w:r>
      <w:r w:rsidR="00D17BF8">
        <w:t>all information submitted by the school</w:t>
      </w:r>
      <w:r>
        <w:t>, the CDE</w:t>
      </w:r>
      <w:r w:rsidR="002031D1">
        <w:t xml:space="preserve"> has determined that the actual expenditures of the school do not support the funding determination for the second year.</w:t>
      </w:r>
      <w:r w:rsidR="00D17BF8">
        <w:t xml:space="preserve"> On its 90 Day Report</w:t>
      </w:r>
      <w:r>
        <w:t xml:space="preserve"> supplemental form</w:t>
      </w:r>
      <w:r w:rsidR="00D17BF8">
        <w:t>, t</w:t>
      </w:r>
      <w:r w:rsidR="0026233D">
        <w:t>he school reported total revenues of $3,107,573 and total expenditures of $1,546,420.</w:t>
      </w:r>
      <w:r w:rsidR="0056631B">
        <w:t xml:space="preserve"> </w:t>
      </w:r>
      <w:r w:rsidR="00B04455">
        <w:t>Overall</w:t>
      </w:r>
      <w:r w:rsidR="0056631B">
        <w:t xml:space="preserve">, it reported spending 11.87 percent of public revenues on certificated salaries and benefits and 47.31 percent </w:t>
      </w:r>
      <w:r w:rsidR="00572ADE">
        <w:t xml:space="preserve">of total revenues </w:t>
      </w:r>
      <w:r w:rsidR="0056631B">
        <w:t>on instruction and related services</w:t>
      </w:r>
      <w:r w:rsidR="00822A4F">
        <w:t xml:space="preserve"> </w:t>
      </w:r>
      <w:r w:rsidR="004A4984">
        <w:t>while maintaining</w:t>
      </w:r>
      <w:r w:rsidR="00822A4F">
        <w:t xml:space="preserve"> a PTR of 12.37 to 1.</w:t>
      </w:r>
    </w:p>
    <w:p w14:paraId="2D3B407B" w14:textId="04B5715A" w:rsidR="00073062" w:rsidRDefault="00822A4F" w:rsidP="007C0EAE">
      <w:pPr>
        <w:spacing w:before="240" w:after="240" w:line="240" w:lineRule="auto"/>
        <w:contextualSpacing w:val="0"/>
      </w:pPr>
      <w:r w:rsidRPr="003D7C75">
        <w:t xml:space="preserve">Pursuant to </w:t>
      </w:r>
      <w:r w:rsidR="00874104" w:rsidRPr="003D7C75">
        <w:t xml:space="preserve">5 </w:t>
      </w:r>
      <w:r w:rsidR="00874104" w:rsidRPr="003D7C75">
        <w:rPr>
          <w:i/>
        </w:rPr>
        <w:t>CCR</w:t>
      </w:r>
      <w:r w:rsidR="00874104" w:rsidRPr="003D7C75">
        <w:t xml:space="preserve"> Section 11963.4(a)(4), </w:t>
      </w:r>
      <w:r w:rsidR="00073062" w:rsidRPr="003D7C75">
        <w:t xml:space="preserve">schools </w:t>
      </w:r>
      <w:r w:rsidR="00A55B07" w:rsidRPr="003D7C75">
        <w:t>that</w:t>
      </w:r>
      <w:r w:rsidR="00073062" w:rsidRPr="003D7C75">
        <w:t xml:space="preserve"> report spending less than 35 percent of public revenues on certificated salaries and benefits, </w:t>
      </w:r>
      <w:r w:rsidR="00336AE3">
        <w:t>or</w:t>
      </w:r>
      <w:r w:rsidR="00336AE3" w:rsidRPr="003D7C75">
        <w:t xml:space="preserve"> </w:t>
      </w:r>
      <w:r w:rsidR="00073062" w:rsidRPr="003D7C75">
        <w:t>less than 60 percent of total revenues on instruction and related services</w:t>
      </w:r>
      <w:r w:rsidR="00CE5445">
        <w:t>,</w:t>
      </w:r>
      <w:r w:rsidR="00073062" w:rsidRPr="003D7C75">
        <w:t xml:space="preserve"> are not</w:t>
      </w:r>
      <w:r w:rsidR="00874104" w:rsidRPr="003D7C75">
        <w:t xml:space="preserve"> substantially dedicated to the instructional benefit of the students</w:t>
      </w:r>
      <w:r w:rsidR="002031D1" w:rsidRPr="003D7C75">
        <w:t>.</w:t>
      </w:r>
      <w:r w:rsidR="00073062" w:rsidRPr="003D7C75">
        <w:t xml:space="preserve"> For schools that fall into this category, the ACCS shall recommend that the SBE deny the </w:t>
      </w:r>
      <w:r w:rsidR="00CE5445">
        <w:t xml:space="preserve">funding determination </w:t>
      </w:r>
      <w:r w:rsidR="00073062" w:rsidRPr="003D7C75">
        <w:t>request, unless there is a reasonable basis to recommend otherwise.</w:t>
      </w:r>
    </w:p>
    <w:p w14:paraId="77389CA2" w14:textId="4BC3BAE0" w:rsidR="00200A07" w:rsidRDefault="00B663C6" w:rsidP="00011D69">
      <w:pPr>
        <w:pStyle w:val="Heading5"/>
      </w:pPr>
      <w:r>
        <w:t>CDE Follow Up</w:t>
      </w:r>
    </w:p>
    <w:p w14:paraId="1D1AC336" w14:textId="58487C90" w:rsidR="00011D69" w:rsidRDefault="00860B77" w:rsidP="005D79C6">
      <w:pPr>
        <w:spacing w:before="240" w:after="240" w:line="240" w:lineRule="auto"/>
        <w:contextualSpacing w:val="0"/>
      </w:pPr>
      <w:r>
        <w:t xml:space="preserve">Due to the </w:t>
      </w:r>
      <w:r w:rsidR="00A36CD5">
        <w:t>discrepancies observed between the school’s initial funding determination request and 90 Day Report supplemental form, o</w:t>
      </w:r>
      <w:r w:rsidR="005D79C6" w:rsidRPr="00964360">
        <w:t xml:space="preserve">n December 23, 2020, the CDE </w:t>
      </w:r>
      <w:r w:rsidR="00011D69">
        <w:lastRenderedPageBreak/>
        <w:t xml:space="preserve">notified Peak Prep Pleasant Valley of its intent to present the school’s funding determination request to the </w:t>
      </w:r>
      <w:r w:rsidR="00A41225">
        <w:t>ACCS</w:t>
      </w:r>
      <w:r w:rsidR="00011D69">
        <w:t xml:space="preserve"> for revision. At this time, the CDE </w:t>
      </w:r>
      <w:r w:rsidR="005D79C6" w:rsidRPr="00964360">
        <w:t>requested</w:t>
      </w:r>
      <w:r w:rsidR="00011D69">
        <w:t xml:space="preserve"> </w:t>
      </w:r>
      <w:r w:rsidR="00A41225">
        <w:t>a written explanation</w:t>
      </w:r>
      <w:r w:rsidR="005D79C6" w:rsidRPr="00964360">
        <w:t xml:space="preserve"> from the school</w:t>
      </w:r>
      <w:r w:rsidR="00A36CD5">
        <w:t xml:space="preserve"> regarding its </w:t>
      </w:r>
      <w:r w:rsidR="00011D69">
        <w:t xml:space="preserve">unaudited </w:t>
      </w:r>
      <w:r w:rsidR="00A36CD5">
        <w:t>actual expen</w:t>
      </w:r>
      <w:r w:rsidR="00011D69">
        <w:t xml:space="preserve">ses for fiscal year 2019–20 </w:t>
      </w:r>
      <w:r w:rsidR="005D79C6" w:rsidRPr="00964360">
        <w:t>(Attachment 4, pp. 43–44).</w:t>
      </w:r>
    </w:p>
    <w:p w14:paraId="2F195DFE" w14:textId="093CC891" w:rsidR="00011D69" w:rsidRDefault="005D79C6" w:rsidP="005D79C6">
      <w:pPr>
        <w:spacing w:before="240" w:after="240" w:line="240" w:lineRule="auto"/>
        <w:contextualSpacing w:val="0"/>
      </w:pPr>
      <w:r w:rsidRPr="00964360">
        <w:t xml:space="preserve">The school and its </w:t>
      </w:r>
      <w:proofErr w:type="gramStart"/>
      <w:r w:rsidRPr="00964360">
        <w:t>back office</w:t>
      </w:r>
      <w:proofErr w:type="gramEnd"/>
      <w:r w:rsidR="00D84454">
        <w:t xml:space="preserve"> provider</w:t>
      </w:r>
      <w:r w:rsidRPr="00964360">
        <w:t xml:space="preserve">, Ventura County Schools Business Services Authority, responded to the CDE’s request </w:t>
      </w:r>
      <w:r w:rsidR="00A36CD5">
        <w:t xml:space="preserve">and provided clarifying information </w:t>
      </w:r>
      <w:r w:rsidRPr="00964360">
        <w:t>on January 8, 2021 (Attachment 4, pp. 46–61).</w:t>
      </w:r>
    </w:p>
    <w:p w14:paraId="282144E3" w14:textId="4DC1FC81" w:rsidR="004822DF" w:rsidRPr="00964360" w:rsidRDefault="00501DB9" w:rsidP="005D79C6">
      <w:pPr>
        <w:spacing w:before="240" w:after="240" w:line="240" w:lineRule="auto"/>
        <w:contextualSpacing w:val="0"/>
      </w:pPr>
      <w:r>
        <w:t>O</w:t>
      </w:r>
      <w:r w:rsidR="004822DF">
        <w:t xml:space="preserve">n January 13, 2021, the CDE acknowledged its receipt </w:t>
      </w:r>
      <w:r w:rsidR="00801691">
        <w:t xml:space="preserve">of the additional information provided by the school and its </w:t>
      </w:r>
      <w:proofErr w:type="gramStart"/>
      <w:r w:rsidR="00801691">
        <w:t>back office</w:t>
      </w:r>
      <w:proofErr w:type="gramEnd"/>
      <w:r w:rsidR="00D84454">
        <w:t xml:space="preserve"> provider</w:t>
      </w:r>
      <w:r w:rsidR="00801691">
        <w:t xml:space="preserve">. The CDE also </w:t>
      </w:r>
      <w:r w:rsidR="00417699">
        <w:t xml:space="preserve">informed the </w:t>
      </w:r>
      <w:r w:rsidR="00EA3F88">
        <w:t xml:space="preserve">school that it may submit a revised </w:t>
      </w:r>
      <w:r w:rsidR="00F722F5">
        <w:t xml:space="preserve">supplemental </w:t>
      </w:r>
      <w:r w:rsidR="00EA3F88">
        <w:t xml:space="preserve">funding determination form with mitigating circumstances to the CDE for the ACCS and SBE to consider if it wishes to seek continued funding for its NCB instruction </w:t>
      </w:r>
      <w:r w:rsidR="00EA3F88" w:rsidRPr="00964360">
        <w:t>(Attachment 4, p</w:t>
      </w:r>
      <w:r w:rsidR="00EA3F88">
        <w:t>p</w:t>
      </w:r>
      <w:r w:rsidR="00EA3F88" w:rsidRPr="00964360">
        <w:t>. 145–</w:t>
      </w:r>
      <w:r w:rsidR="00EA3F88">
        <w:t>1</w:t>
      </w:r>
      <w:r w:rsidR="00EA3F88" w:rsidRPr="00964360">
        <w:t>46)</w:t>
      </w:r>
      <w:r w:rsidR="00EA3F88">
        <w:t>.</w:t>
      </w:r>
    </w:p>
    <w:p w14:paraId="16F792AE" w14:textId="470A93DC" w:rsidR="002031D1" w:rsidRDefault="002031D1" w:rsidP="00032825">
      <w:pPr>
        <w:pStyle w:val="Heading4"/>
      </w:pPr>
      <w:r>
        <w:t>Mitigating Circumstances</w:t>
      </w:r>
    </w:p>
    <w:p w14:paraId="4A78117E" w14:textId="4AAC00DD" w:rsidR="00290708" w:rsidRDefault="00FD11D8" w:rsidP="00D25D7C">
      <w:pPr>
        <w:spacing w:before="240" w:after="240" w:line="240" w:lineRule="auto"/>
        <w:contextualSpacing w:val="0"/>
      </w:pPr>
      <w:r w:rsidRPr="00964360">
        <w:t xml:space="preserve">On February 12, 2021, </w:t>
      </w:r>
      <w:r w:rsidR="00801691">
        <w:t xml:space="preserve">Peak Prep Pleasant Valley </w:t>
      </w:r>
      <w:r w:rsidRPr="00964360">
        <w:t xml:space="preserve">submitted a revised funding determination form and </w:t>
      </w:r>
      <w:r w:rsidR="00B5751C">
        <w:t>supplemental</w:t>
      </w:r>
      <w:r w:rsidRPr="00964360">
        <w:t xml:space="preserve"> documentation regarding the circumstances of the school</w:t>
      </w:r>
      <w:r w:rsidR="00626758" w:rsidRPr="00964360">
        <w:t xml:space="preserve">, requesting the consideration of mitigating circumstances in support </w:t>
      </w:r>
      <w:r w:rsidR="00D25D7C" w:rsidRPr="00964360">
        <w:t>of the continuation of its 100 percent funding determination</w:t>
      </w:r>
      <w:r w:rsidR="00626758" w:rsidRPr="00964360">
        <w:t xml:space="preserve"> </w:t>
      </w:r>
      <w:r w:rsidR="00801691">
        <w:t xml:space="preserve">for the 2020–21 fiscal year </w:t>
      </w:r>
      <w:r w:rsidR="00626758" w:rsidRPr="00964360">
        <w:t>(Attachment 4).</w:t>
      </w:r>
      <w:r w:rsidR="00D25D7C" w:rsidRPr="00964360">
        <w:t xml:space="preserve"> In </w:t>
      </w:r>
      <w:r w:rsidR="00801691">
        <w:t>its</w:t>
      </w:r>
      <w:r w:rsidR="00D25D7C" w:rsidRPr="00964360">
        <w:t xml:space="preserve"> explanation for the insufficient expenditure percentages reported in its first-year unaudited actual expense report, the school cited its</w:t>
      </w:r>
      <w:r w:rsidR="00A810CB">
        <w:t xml:space="preserve"> former</w:t>
      </w:r>
      <w:r w:rsidR="00D25D7C" w:rsidRPr="00964360">
        <w:t xml:space="preserve"> back office</w:t>
      </w:r>
      <w:r w:rsidR="00240910" w:rsidRPr="00964360">
        <w:t xml:space="preserve"> </w:t>
      </w:r>
      <w:r w:rsidR="00A662CC">
        <w:t xml:space="preserve">provider </w:t>
      </w:r>
      <w:r w:rsidR="00290708" w:rsidRPr="00964360">
        <w:t>during the 2019–20 fiscal year</w:t>
      </w:r>
      <w:r w:rsidR="00D25D7C" w:rsidRPr="00964360">
        <w:t>, Accel School</w:t>
      </w:r>
      <w:r w:rsidR="00A810CB">
        <w:t>s</w:t>
      </w:r>
      <w:r w:rsidR="00D25D7C" w:rsidRPr="00964360">
        <w:t xml:space="preserve">, </w:t>
      </w:r>
      <w:r w:rsidR="00801691">
        <w:t>as being</w:t>
      </w:r>
      <w:r w:rsidR="00D25D7C" w:rsidRPr="00964360">
        <w:t xml:space="preserve"> inexperienced in California charter school fiscal management and inappropriately </w:t>
      </w:r>
      <w:r w:rsidR="00E254E8">
        <w:t>handling</w:t>
      </w:r>
      <w:r w:rsidR="00D25D7C" w:rsidRPr="00964360">
        <w:t xml:space="preserve"> how payroll and benefits were billed.</w:t>
      </w:r>
    </w:p>
    <w:p w14:paraId="2228340D" w14:textId="751C066E" w:rsidR="0097738C" w:rsidRDefault="004E401E" w:rsidP="00D25D7C">
      <w:pPr>
        <w:spacing w:before="240" w:after="240" w:line="240" w:lineRule="auto"/>
        <w:contextualSpacing w:val="0"/>
      </w:pPr>
      <w:r w:rsidRPr="00964360">
        <w:t xml:space="preserve">The school states that Accel Schools failed to perform services as contracted and </w:t>
      </w:r>
      <w:r w:rsidR="00E165C8">
        <w:t xml:space="preserve">to </w:t>
      </w:r>
      <w:r w:rsidRPr="00964360">
        <w:t xml:space="preserve">deliver adequate backup documentation for the charged amounts. </w:t>
      </w:r>
      <w:r w:rsidR="00E165C8" w:rsidRPr="00964360">
        <w:t xml:space="preserve">The </w:t>
      </w:r>
      <w:r w:rsidR="0097738C" w:rsidRPr="0097738C">
        <w:t>school terminated its contract with Accel Schools at the end of the 2019–20 fiscal year</w:t>
      </w:r>
      <w:r w:rsidR="00343DB1">
        <w:t xml:space="preserve"> and</w:t>
      </w:r>
      <w:r w:rsidR="00343DB1" w:rsidRPr="00964360">
        <w:t xml:space="preserve"> contracted with </w:t>
      </w:r>
      <w:r w:rsidR="00E165C8">
        <w:t>its curre</w:t>
      </w:r>
      <w:r w:rsidR="00343DB1" w:rsidRPr="00964360">
        <w:t>nt back office</w:t>
      </w:r>
      <w:r w:rsidR="00D84454">
        <w:t xml:space="preserve"> provider</w:t>
      </w:r>
      <w:r w:rsidR="00343DB1" w:rsidRPr="00964360">
        <w:t>, Ventura County Schools Business Services Authority beginning with the 2020–21 fiscal year.</w:t>
      </w:r>
      <w:r w:rsidR="00E165C8">
        <w:t xml:space="preserve"> After the contract</w:t>
      </w:r>
      <w:r w:rsidR="00D32D04">
        <w:t xml:space="preserve"> between Peak Prep Pleasant Valley and Accel Schools</w:t>
      </w:r>
      <w:r w:rsidR="00E165C8">
        <w:t xml:space="preserve"> was terminated, </w:t>
      </w:r>
      <w:r w:rsidR="0097738C">
        <w:t>Accel Schools</w:t>
      </w:r>
      <w:r w:rsidR="00797DB9">
        <w:t xml:space="preserve"> continued to</w:t>
      </w:r>
      <w:r w:rsidR="0097738C">
        <w:t xml:space="preserve"> demand payment of approximately $2.6 million for its services. The school’s governing board asked the school, its legal counsel, and </w:t>
      </w:r>
      <w:r w:rsidR="00E165C8">
        <w:t>its current back office</w:t>
      </w:r>
      <w:r w:rsidR="00797DB9">
        <w:t xml:space="preserve"> </w:t>
      </w:r>
      <w:r w:rsidR="00D84454">
        <w:t xml:space="preserve">provider </w:t>
      </w:r>
      <w:r w:rsidR="00797DB9">
        <w:t xml:space="preserve">to look into how much of that $2.6 million was deserved. Dr. Shalen Bishop, the school’s </w:t>
      </w:r>
      <w:r w:rsidR="007537F1">
        <w:t>superintendent</w:t>
      </w:r>
      <w:r w:rsidR="00797DB9">
        <w:t>, states the following</w:t>
      </w:r>
      <w:r w:rsidR="001D146B">
        <w:t xml:space="preserve"> (Attachment 4, p. 50)</w:t>
      </w:r>
      <w:r w:rsidR="00797DB9">
        <w:t>:</w:t>
      </w:r>
    </w:p>
    <w:p w14:paraId="1658E271" w14:textId="77777777" w:rsidR="006E7CE3" w:rsidRDefault="0097738C" w:rsidP="00E165C8">
      <w:pPr>
        <w:spacing w:before="240" w:after="240" w:line="240" w:lineRule="auto"/>
        <w:ind w:left="720"/>
        <w:contextualSpacing w:val="0"/>
      </w:pPr>
      <w:r w:rsidRPr="0097738C">
        <w:t xml:space="preserve">In July 2020, Peak Prep’s Board directed myself, Peak Prep’s counsel Young, Minney &amp; Corr, LLP (“YMC”), and </w:t>
      </w:r>
      <w:r w:rsidR="0008005F">
        <w:t>[Ventura County Schools Business Services Authority]</w:t>
      </w:r>
      <w:r w:rsidRPr="0097738C">
        <w:t xml:space="preserve"> to assess whether and to what extent the amounts invoiced had been actually earned by Accel. A review of Accel’s performance under the Services Agreement against Accel’s invoices, generated serious doubt that Accel had earned the fees it was seeking, not only in terms of calculation (as was an initial concern), but also substantively, in light of Accel’s troubled performance in the 2019</w:t>
      </w:r>
      <w:r w:rsidR="001D146B">
        <w:t>–</w:t>
      </w:r>
      <w:r w:rsidRPr="0097738C">
        <w:t xml:space="preserve">20 school year, the fact that Accel had not performed all of the services for </w:t>
      </w:r>
      <w:r w:rsidRPr="0097738C">
        <w:lastRenderedPageBreak/>
        <w:t>which it was contracted, and questions regarding the value of the services that Accel did perform</w:t>
      </w:r>
      <w:r w:rsidR="00797DB9">
        <w:t>.</w:t>
      </w:r>
    </w:p>
    <w:p w14:paraId="4D4654E0" w14:textId="21FD880B" w:rsidR="0097738C" w:rsidRDefault="00797DB9" w:rsidP="00E165C8">
      <w:pPr>
        <w:spacing w:before="240" w:after="240" w:line="240" w:lineRule="auto"/>
        <w:ind w:left="720"/>
        <w:contextualSpacing w:val="0"/>
      </w:pPr>
      <w:r w:rsidRPr="00797DB9">
        <w:t>As to the Leasing Agreement, Peak Prep came to learn that Accel was marking up the cost of payroll, which was not authorized under the Services Agreement or Leasing Agreement or indicated on the payroll invoices. Thus, Peak Prep’s Board made the decision to consider the invoices and amounts contested until Peak Prep received satisfactory documentation and reached a resolution with Accel as to the amounts Accel may be due</w:t>
      </w:r>
      <w:r w:rsidR="0097738C">
        <w:t>.</w:t>
      </w:r>
    </w:p>
    <w:p w14:paraId="60C2E171" w14:textId="24B353A4" w:rsidR="00797DB9" w:rsidRPr="00964360" w:rsidRDefault="00797DB9" w:rsidP="00797DB9">
      <w:pPr>
        <w:spacing w:before="240" w:after="240" w:line="240" w:lineRule="auto"/>
        <w:contextualSpacing w:val="0"/>
      </w:pPr>
      <w:r>
        <w:t xml:space="preserve">Accel Schools filed a lawsuit against the school </w:t>
      </w:r>
      <w:r w:rsidR="004D3A1D">
        <w:t xml:space="preserve">seeking $2.6 million in payment. </w:t>
      </w:r>
      <w:r w:rsidR="004E401E" w:rsidRPr="00964360">
        <w:t xml:space="preserve">According to Peak Prep Pleasant Valley, if the school </w:t>
      </w:r>
      <w:r w:rsidR="00DD20CC">
        <w:t xml:space="preserve">had </w:t>
      </w:r>
      <w:r w:rsidR="004E401E" w:rsidRPr="00964360">
        <w:t xml:space="preserve">paid the full amount that Accel </w:t>
      </w:r>
      <w:r w:rsidRPr="00964360">
        <w:t xml:space="preserve">Schools has charged them, it </w:t>
      </w:r>
      <w:r w:rsidR="007F370D">
        <w:t xml:space="preserve">likely </w:t>
      </w:r>
      <w:r w:rsidRPr="00964360">
        <w:t>would have met the expenditure requirements for full funding</w:t>
      </w:r>
      <w:r w:rsidR="00E254E8">
        <w:t xml:space="preserve"> because the expenses would</w:t>
      </w:r>
      <w:r w:rsidR="00DD20CC">
        <w:t xml:space="preserve"> have been</w:t>
      </w:r>
      <w:r w:rsidR="00E254E8">
        <w:t xml:space="preserve"> reflected in the unaudited actual expense reports</w:t>
      </w:r>
      <w:r w:rsidR="001D146B">
        <w:t xml:space="preserve"> </w:t>
      </w:r>
      <w:r w:rsidR="005D699A">
        <w:t xml:space="preserve">and applied towards the school’s certificated salaries and benefits and instruction and related services expenses. However, per Peak Prep Pleasant Valley, reporting their expenditures in this manner </w:t>
      </w:r>
      <w:r w:rsidRPr="00964360">
        <w:t xml:space="preserve">would not </w:t>
      </w:r>
      <w:r w:rsidR="00DD20CC">
        <w:t>have been</w:t>
      </w:r>
      <w:r w:rsidR="00DD20CC" w:rsidRPr="00964360">
        <w:t xml:space="preserve"> </w:t>
      </w:r>
      <w:r w:rsidRPr="00964360">
        <w:t>a “reflection of prudent stewardship of public dollars and transparency” because of the contested amounts (Attachment 4, p. 46)</w:t>
      </w:r>
      <w:r>
        <w:t>.</w:t>
      </w:r>
    </w:p>
    <w:p w14:paraId="56CC6225" w14:textId="78AAFD06" w:rsidR="00FD11D8" w:rsidRDefault="00FD11D8" w:rsidP="00FD11D8">
      <w:pPr>
        <w:spacing w:before="240" w:after="240" w:line="240" w:lineRule="auto"/>
        <w:contextualSpacing w:val="0"/>
      </w:pPr>
      <w:r w:rsidRPr="00964360">
        <w:t>The revised</w:t>
      </w:r>
      <w:r w:rsidR="00B5751C">
        <w:t xml:space="preserve"> </w:t>
      </w:r>
      <w:r w:rsidRPr="00964360">
        <w:t xml:space="preserve">form </w:t>
      </w:r>
      <w:r w:rsidR="001D146B">
        <w:t xml:space="preserve">submitted by the school on February 12, 2021, </w:t>
      </w:r>
      <w:r w:rsidRPr="00964360">
        <w:t xml:space="preserve">is mostly identical to the </w:t>
      </w:r>
      <w:r w:rsidR="00283DAA">
        <w:t xml:space="preserve">supplemental </w:t>
      </w:r>
      <w:r w:rsidRPr="00964360">
        <w:t>form submitted as a part of the 90 Day Report review</w:t>
      </w:r>
      <w:r w:rsidR="001D146B">
        <w:t>; however, on the revised form</w:t>
      </w:r>
      <w:r w:rsidRPr="00964360">
        <w:t xml:space="preserve"> the school reported higher expenditures for certificated staff salaries and benefits and lower expenditures for contracts for instructional services</w:t>
      </w:r>
      <w:r w:rsidR="001D146B">
        <w:t>. T</w:t>
      </w:r>
      <w:r w:rsidR="00445B7E" w:rsidRPr="00964360">
        <w:t xml:space="preserve">he school </w:t>
      </w:r>
      <w:r w:rsidR="00D45927">
        <w:t>asserts</w:t>
      </w:r>
      <w:r w:rsidR="00D45927" w:rsidRPr="00964360">
        <w:t xml:space="preserve"> </w:t>
      </w:r>
      <w:r w:rsidR="00445B7E" w:rsidRPr="00964360">
        <w:t xml:space="preserve">the reason for the change is </w:t>
      </w:r>
      <w:r w:rsidRPr="00964360">
        <w:t xml:space="preserve">that even though the employees were on Accel </w:t>
      </w:r>
      <w:r w:rsidR="00062F56" w:rsidRPr="00964360">
        <w:t>School</w:t>
      </w:r>
      <w:r w:rsidR="00062F56">
        <w:t>s</w:t>
      </w:r>
      <w:r w:rsidR="00062F56" w:rsidRPr="00964360">
        <w:t>’</w:t>
      </w:r>
      <w:r w:rsidRPr="00964360">
        <w:t xml:space="preserve"> payroll, they were “hired and supervised by Peak’s Superintendent to exclusively serve Peak’s students</w:t>
      </w:r>
      <w:r w:rsidR="001D146B">
        <w:t>,</w:t>
      </w:r>
      <w:r w:rsidRPr="00964360">
        <w:t>” so that would be the correct reporting of those expenditures (Attachment 4, p. 12).</w:t>
      </w:r>
      <w:r w:rsidR="00D25D7C" w:rsidRPr="00964360">
        <w:t xml:space="preserve"> </w:t>
      </w:r>
      <w:r w:rsidRPr="00964360">
        <w:t>Ventura County</w:t>
      </w:r>
      <w:r w:rsidR="001D2469" w:rsidRPr="00964360">
        <w:t xml:space="preserve"> Schools</w:t>
      </w:r>
      <w:r w:rsidRPr="00964360">
        <w:t xml:space="preserve"> Business Services Authority</w:t>
      </w:r>
      <w:r w:rsidR="00445B7E" w:rsidRPr="00964360">
        <w:t xml:space="preserve"> also</w:t>
      </w:r>
      <w:r w:rsidRPr="00964360">
        <w:t xml:space="preserve"> </w:t>
      </w:r>
      <w:r w:rsidR="001E1E96">
        <w:t>provides</w:t>
      </w:r>
      <w:r w:rsidR="001E1E96" w:rsidRPr="00964360">
        <w:t xml:space="preserve"> </w:t>
      </w:r>
      <w:r w:rsidRPr="00964360">
        <w:t>details on these expenditures (Attachment 4, pp. 55–61).</w:t>
      </w:r>
      <w:r w:rsidR="00B30F34">
        <w:t xml:space="preserve"> </w:t>
      </w:r>
      <w:r w:rsidR="00B30F34" w:rsidRPr="00964360">
        <w:t>Ventura County Schools Business Services Authority</w:t>
      </w:r>
      <w:r w:rsidR="00B30F34">
        <w:t xml:space="preserve"> states in its letter that</w:t>
      </w:r>
      <w:r w:rsidR="002E5031">
        <w:t xml:space="preserve"> </w:t>
      </w:r>
      <w:r w:rsidR="00B30F34">
        <w:t xml:space="preserve">Accel </w:t>
      </w:r>
      <w:r w:rsidR="00062F56">
        <w:t>Schools’</w:t>
      </w:r>
      <w:r w:rsidR="00B30F34">
        <w:t xml:space="preserve"> use of “co-employees” caused the school’s expenditures on certificated salaries and benefits to be recorded as </w:t>
      </w:r>
      <w:proofErr w:type="spellStart"/>
      <w:r w:rsidR="00B30F34">
        <w:t>subagreements</w:t>
      </w:r>
      <w:proofErr w:type="spellEnd"/>
      <w:r w:rsidR="00B30F34">
        <w:t xml:space="preserve"> for services</w:t>
      </w:r>
      <w:r w:rsidR="00283DAA">
        <w:t>, and that they should be recognized as expenditures toward certificated salaries and benefits</w:t>
      </w:r>
      <w:r w:rsidR="001D146B">
        <w:t xml:space="preserve"> (Attachment 4, p. 60)</w:t>
      </w:r>
      <w:r w:rsidR="00B30F34">
        <w:t>:</w:t>
      </w:r>
    </w:p>
    <w:p w14:paraId="4CECA6FC" w14:textId="0C5176A9" w:rsidR="00B30F34" w:rsidRDefault="00B30F34" w:rsidP="00B30F34">
      <w:pPr>
        <w:spacing w:before="240" w:after="240" w:line="240" w:lineRule="auto"/>
        <w:ind w:left="720"/>
        <w:contextualSpacing w:val="0"/>
      </w:pPr>
      <w:r w:rsidRPr="00B30F34">
        <w:t xml:space="preserve">What is missing from this calculation are the salaries and benefits of the co-employed employees from the start of the year through April 2020. In compliance with CSAM procedures, I recorded the expenses for these leased employees as </w:t>
      </w:r>
      <w:proofErr w:type="spellStart"/>
      <w:r w:rsidRPr="00B30F34">
        <w:t>subagreements</w:t>
      </w:r>
      <w:proofErr w:type="spellEnd"/>
      <w:r w:rsidRPr="00B30F34">
        <w:t xml:space="preserve"> for services: $877,770.45 was recorded under object 5100 and $25,000 in object 5800. The total cost of the leased employees is estimated to be $902,770.45, per my analysis as discussed above. Again, all of these leased employees were eventually converted to direct employees of Peak Prep, and most of them remain currently employed with Peak Prep. If this amount were added to the salaries and benefits reflected in the unaudited actuals report, then the total salaries and benefits would come out to $1,333,513.12, which equals 42.91% of revenues. This percentage is in alignment with the initial FDF, and I </w:t>
      </w:r>
      <w:r w:rsidRPr="00B30F34">
        <w:lastRenderedPageBreak/>
        <w:t>believe that the CDE should recognize the co-employed employee costs as part of the 40% requirement for certificated salaries and benefits, given that these employees were ultimately selected, supervised, and directed by Peak Prep’s Superintendent to teach and support Peak Prep’s students, and acted for all practical purposes as though they were directly employed by Peak Prep</w:t>
      </w:r>
      <w:r w:rsidR="001D146B">
        <w:t>.</w:t>
      </w:r>
    </w:p>
    <w:p w14:paraId="60DC9FC2" w14:textId="59D8AD83" w:rsidR="00B30F34" w:rsidRDefault="00CD587E" w:rsidP="00B30F34">
      <w:pPr>
        <w:spacing w:before="240" w:after="240" w:line="240" w:lineRule="auto"/>
        <w:contextualSpacing w:val="0"/>
      </w:pPr>
      <w:r>
        <w:t xml:space="preserve">Ventura County Schools Business Services Authority </w:t>
      </w:r>
      <w:r w:rsidR="00D40D9A">
        <w:t xml:space="preserve">also </w:t>
      </w:r>
      <w:r w:rsidR="00B30F34">
        <w:t xml:space="preserve">states that </w:t>
      </w:r>
      <w:r w:rsidR="00D40D9A">
        <w:t>the unaudited actuals that they prepared “</w:t>
      </w:r>
      <w:r w:rsidR="00D40D9A" w:rsidRPr="00D40D9A">
        <w:t>only accounts for the expenses that Peak Prep finds justifiable, subject to any determination in the course of the ongoing litigation</w:t>
      </w:r>
      <w:r w:rsidR="00D40D9A">
        <w:t xml:space="preserve">” and that </w:t>
      </w:r>
      <w:r w:rsidR="00B30F34">
        <w:t xml:space="preserve">$1.76 million </w:t>
      </w:r>
      <w:r w:rsidR="007A322B">
        <w:t>remains</w:t>
      </w:r>
      <w:r w:rsidR="00B30F34">
        <w:t xml:space="preserve"> contested in litigation</w:t>
      </w:r>
      <w:r w:rsidR="001D146B">
        <w:t>. The</w:t>
      </w:r>
      <w:r w:rsidR="007A322B">
        <w:t xml:space="preserve"> $1.76 million </w:t>
      </w:r>
      <w:r w:rsidR="00B30F34">
        <w:t xml:space="preserve">includes expenditures that would count toward instruction-related services, so the actual expenditures </w:t>
      </w:r>
      <w:r w:rsidR="00223B76">
        <w:t>will be determined by the outcome of the court case</w:t>
      </w:r>
      <w:r w:rsidR="007A322B">
        <w:t xml:space="preserve"> (Attachment 4, p. 60)</w:t>
      </w:r>
      <w:r w:rsidR="00B30F34">
        <w:t>.</w:t>
      </w:r>
    </w:p>
    <w:p w14:paraId="2DCE38A5" w14:textId="77777777" w:rsidR="00200A07" w:rsidRDefault="00E30187" w:rsidP="00E30187">
      <w:pPr>
        <w:spacing w:before="240" w:after="240" w:line="240" w:lineRule="auto"/>
        <w:contextualSpacing w:val="0"/>
      </w:pPr>
      <w:r>
        <w:t>The below table outlines the discrepancies between the</w:t>
      </w:r>
      <w:r w:rsidR="00200A07">
        <w:t xml:space="preserve"> following funding determination forms submitted by the school:</w:t>
      </w:r>
    </w:p>
    <w:p w14:paraId="2AED9DDB" w14:textId="77777777" w:rsidR="00200A07" w:rsidRDefault="00200A07" w:rsidP="00200A07">
      <w:pPr>
        <w:pStyle w:val="ListParagraph"/>
        <w:numPr>
          <w:ilvl w:val="0"/>
          <w:numId w:val="11"/>
        </w:numPr>
        <w:spacing w:before="240" w:after="240" w:line="240" w:lineRule="auto"/>
      </w:pPr>
      <w:r>
        <w:t>Initial funding determination form based on first-year budget data</w:t>
      </w:r>
    </w:p>
    <w:p w14:paraId="15347DE7" w14:textId="77777777" w:rsidR="00200A07" w:rsidRDefault="00200A07" w:rsidP="00200A07">
      <w:pPr>
        <w:pStyle w:val="ListParagraph"/>
        <w:numPr>
          <w:ilvl w:val="0"/>
          <w:numId w:val="11"/>
        </w:numPr>
        <w:spacing w:before="240" w:after="240" w:line="240" w:lineRule="auto"/>
      </w:pPr>
      <w:r>
        <w:t>90 Day Report based on second-year budget data</w:t>
      </w:r>
    </w:p>
    <w:p w14:paraId="372BB821" w14:textId="77777777" w:rsidR="00200A07" w:rsidRDefault="00200A07" w:rsidP="00200A07">
      <w:pPr>
        <w:pStyle w:val="ListParagraph"/>
        <w:numPr>
          <w:ilvl w:val="0"/>
          <w:numId w:val="11"/>
        </w:numPr>
        <w:spacing w:before="240" w:after="240" w:line="240" w:lineRule="auto"/>
      </w:pPr>
      <w:r>
        <w:t>90 Day Report supplemental form based on unaudited actuals</w:t>
      </w:r>
    </w:p>
    <w:p w14:paraId="60AE12FB" w14:textId="27FD42D6" w:rsidR="001D146B" w:rsidRDefault="00200A07" w:rsidP="001D146B">
      <w:pPr>
        <w:pStyle w:val="ListParagraph"/>
        <w:numPr>
          <w:ilvl w:val="0"/>
          <w:numId w:val="11"/>
        </w:numPr>
        <w:spacing w:before="240" w:after="240" w:line="240" w:lineRule="auto"/>
      </w:pPr>
      <w:r>
        <w:t>Revised 90 Day Report supplemental form based on unaudited actuals</w:t>
      </w:r>
    </w:p>
    <w:tbl>
      <w:tblPr>
        <w:tblStyle w:val="TableGrid"/>
        <w:tblW w:w="10530" w:type="dxa"/>
        <w:jc w:val="center"/>
        <w:tblLayout w:type="fixed"/>
        <w:tblLook w:val="04A0" w:firstRow="1" w:lastRow="0" w:firstColumn="1" w:lastColumn="0" w:noHBand="0" w:noVBand="1"/>
        <w:tblDescription w:val="Discrepancies between school’s initial funding determination form, 90 Day Report, 90 Day Report supplemental form, and revised 90 Day Report supplemental form."/>
      </w:tblPr>
      <w:tblGrid>
        <w:gridCol w:w="1800"/>
        <w:gridCol w:w="1440"/>
        <w:gridCol w:w="1440"/>
        <w:gridCol w:w="1800"/>
        <w:gridCol w:w="1620"/>
        <w:gridCol w:w="1530"/>
        <w:gridCol w:w="900"/>
      </w:tblGrid>
      <w:tr w:rsidR="0050251E" w14:paraId="3F6B426D" w14:textId="77777777" w:rsidTr="00F80DA7">
        <w:trPr>
          <w:cantSplit/>
          <w:tblHeader/>
          <w:jc w:val="center"/>
        </w:trPr>
        <w:tc>
          <w:tcPr>
            <w:tcW w:w="1800" w:type="dxa"/>
            <w:vAlign w:val="center"/>
          </w:tcPr>
          <w:p w14:paraId="236069AB" w14:textId="77777777" w:rsidR="0050251E" w:rsidRPr="00073062" w:rsidRDefault="0050251E" w:rsidP="00F03187">
            <w:pPr>
              <w:spacing w:before="0" w:after="0"/>
              <w:contextualSpacing w:val="0"/>
              <w:jc w:val="center"/>
              <w:rPr>
                <w:rFonts w:cs="Arial"/>
                <w:b/>
              </w:rPr>
            </w:pPr>
            <w:r w:rsidRPr="00073062">
              <w:rPr>
                <w:rFonts w:cs="Arial"/>
                <w:b/>
              </w:rPr>
              <w:t>Report</w:t>
            </w:r>
          </w:p>
        </w:tc>
        <w:tc>
          <w:tcPr>
            <w:tcW w:w="1440" w:type="dxa"/>
            <w:vAlign w:val="center"/>
          </w:tcPr>
          <w:p w14:paraId="020EECC9" w14:textId="7A488D5F" w:rsidR="0050251E" w:rsidRPr="00073062" w:rsidRDefault="0050251E" w:rsidP="00F03187">
            <w:pPr>
              <w:spacing w:before="0" w:after="0"/>
              <w:contextualSpacing w:val="0"/>
              <w:jc w:val="center"/>
              <w:rPr>
                <w:rFonts w:cs="Arial"/>
                <w:b/>
              </w:rPr>
            </w:pPr>
            <w:r>
              <w:rPr>
                <w:rFonts w:cs="Arial"/>
                <w:b/>
              </w:rPr>
              <w:t>Date Submitted</w:t>
            </w:r>
          </w:p>
        </w:tc>
        <w:tc>
          <w:tcPr>
            <w:tcW w:w="1440" w:type="dxa"/>
            <w:vAlign w:val="center"/>
          </w:tcPr>
          <w:p w14:paraId="44C29585" w14:textId="2D932C15" w:rsidR="0050251E" w:rsidRPr="00073062" w:rsidRDefault="0050251E" w:rsidP="00F03187">
            <w:pPr>
              <w:spacing w:before="0" w:after="0"/>
              <w:contextualSpacing w:val="0"/>
              <w:jc w:val="center"/>
              <w:rPr>
                <w:rFonts w:cs="Arial"/>
                <w:b/>
              </w:rPr>
            </w:pPr>
            <w:r w:rsidRPr="00073062">
              <w:rPr>
                <w:rFonts w:cs="Arial"/>
                <w:b/>
              </w:rPr>
              <w:t>Total Revenue</w:t>
            </w:r>
            <w:r>
              <w:rPr>
                <w:rFonts w:cs="Arial"/>
                <w:b/>
              </w:rPr>
              <w:t>s</w:t>
            </w:r>
          </w:p>
        </w:tc>
        <w:tc>
          <w:tcPr>
            <w:tcW w:w="1800" w:type="dxa"/>
            <w:vAlign w:val="center"/>
          </w:tcPr>
          <w:p w14:paraId="77EEE555" w14:textId="77777777" w:rsidR="0050251E" w:rsidRPr="00073062" w:rsidRDefault="0050251E" w:rsidP="00F03187">
            <w:pPr>
              <w:spacing w:before="0" w:after="0"/>
              <w:contextualSpacing w:val="0"/>
              <w:jc w:val="center"/>
              <w:rPr>
                <w:rFonts w:cs="Arial"/>
                <w:b/>
              </w:rPr>
            </w:pPr>
            <w:r w:rsidRPr="00073062">
              <w:rPr>
                <w:rFonts w:cs="Arial"/>
                <w:b/>
              </w:rPr>
              <w:t>Total Expenditure</w:t>
            </w:r>
            <w:r>
              <w:rPr>
                <w:rFonts w:cs="Arial"/>
                <w:b/>
              </w:rPr>
              <w:t>s</w:t>
            </w:r>
          </w:p>
        </w:tc>
        <w:tc>
          <w:tcPr>
            <w:tcW w:w="1620" w:type="dxa"/>
            <w:vAlign w:val="center"/>
          </w:tcPr>
          <w:p w14:paraId="22E0DBCD" w14:textId="77777777" w:rsidR="0050251E" w:rsidRPr="00073062" w:rsidRDefault="0050251E" w:rsidP="00F03187">
            <w:pPr>
              <w:spacing w:before="0" w:after="0"/>
              <w:contextualSpacing w:val="0"/>
              <w:jc w:val="center"/>
              <w:rPr>
                <w:rFonts w:cs="Arial"/>
                <w:b/>
              </w:rPr>
            </w:pPr>
            <w:r w:rsidRPr="00073062">
              <w:rPr>
                <w:rFonts w:cs="Arial"/>
                <w:b/>
              </w:rPr>
              <w:t>Certificated Salaries and Benefits</w:t>
            </w:r>
          </w:p>
        </w:tc>
        <w:tc>
          <w:tcPr>
            <w:tcW w:w="1530" w:type="dxa"/>
            <w:vAlign w:val="center"/>
          </w:tcPr>
          <w:p w14:paraId="275D0CEF" w14:textId="3A32558B" w:rsidR="0050251E" w:rsidRPr="00073062" w:rsidRDefault="0050251E" w:rsidP="00F03187">
            <w:pPr>
              <w:spacing w:before="0" w:after="0"/>
              <w:contextualSpacing w:val="0"/>
              <w:jc w:val="center"/>
              <w:rPr>
                <w:rFonts w:cs="Arial"/>
                <w:b/>
              </w:rPr>
            </w:pPr>
            <w:r w:rsidRPr="00073062">
              <w:rPr>
                <w:rFonts w:cs="Arial"/>
                <w:b/>
              </w:rPr>
              <w:t>Instruction</w:t>
            </w:r>
            <w:r w:rsidR="004E472B">
              <w:rPr>
                <w:rFonts w:cs="Arial"/>
                <w:b/>
              </w:rPr>
              <w:t xml:space="preserve"> </w:t>
            </w:r>
            <w:r w:rsidR="00070CBF">
              <w:rPr>
                <w:rFonts w:cs="Arial"/>
                <w:b/>
              </w:rPr>
              <w:t xml:space="preserve">and </w:t>
            </w:r>
            <w:r w:rsidRPr="00073062">
              <w:rPr>
                <w:rFonts w:cs="Arial"/>
                <w:b/>
              </w:rPr>
              <w:t>Related Services</w:t>
            </w:r>
          </w:p>
        </w:tc>
        <w:tc>
          <w:tcPr>
            <w:tcW w:w="900" w:type="dxa"/>
            <w:vAlign w:val="center"/>
          </w:tcPr>
          <w:p w14:paraId="37C5EEE9" w14:textId="77777777" w:rsidR="0050251E" w:rsidRPr="00073062" w:rsidRDefault="0050251E" w:rsidP="00F03187">
            <w:pPr>
              <w:spacing w:before="0" w:after="0"/>
              <w:contextualSpacing w:val="0"/>
              <w:jc w:val="center"/>
              <w:rPr>
                <w:rFonts w:cs="Arial"/>
                <w:b/>
              </w:rPr>
            </w:pPr>
            <w:r>
              <w:rPr>
                <w:rFonts w:cs="Arial"/>
                <w:b/>
              </w:rPr>
              <w:t>PTR</w:t>
            </w:r>
          </w:p>
        </w:tc>
      </w:tr>
      <w:tr w:rsidR="0050251E" w14:paraId="11B9B3BC" w14:textId="77777777" w:rsidTr="00F80DA7">
        <w:trPr>
          <w:cantSplit/>
          <w:jc w:val="center"/>
        </w:trPr>
        <w:tc>
          <w:tcPr>
            <w:tcW w:w="1800" w:type="dxa"/>
            <w:vAlign w:val="center"/>
          </w:tcPr>
          <w:p w14:paraId="10E02B03" w14:textId="07405F3B" w:rsidR="0050251E" w:rsidRDefault="0050251E" w:rsidP="00F03187">
            <w:pPr>
              <w:spacing w:before="0" w:after="0"/>
              <w:contextualSpacing w:val="0"/>
              <w:rPr>
                <w:rFonts w:cs="Arial"/>
              </w:rPr>
            </w:pPr>
            <w:r>
              <w:rPr>
                <w:rFonts w:cs="Arial"/>
              </w:rPr>
              <w:t>Initial Funding Determination Form (Based on First-Year Budget)</w:t>
            </w:r>
          </w:p>
        </w:tc>
        <w:tc>
          <w:tcPr>
            <w:tcW w:w="1440" w:type="dxa"/>
            <w:vAlign w:val="center"/>
          </w:tcPr>
          <w:p w14:paraId="0BDE8387" w14:textId="6523582D" w:rsidR="0050251E" w:rsidRDefault="007B3702" w:rsidP="00F03187">
            <w:pPr>
              <w:spacing w:before="0" w:after="0"/>
              <w:contextualSpacing w:val="0"/>
              <w:jc w:val="center"/>
            </w:pPr>
            <w:r>
              <w:t>12/2/2019</w:t>
            </w:r>
          </w:p>
        </w:tc>
        <w:tc>
          <w:tcPr>
            <w:tcW w:w="1440" w:type="dxa"/>
            <w:vAlign w:val="center"/>
          </w:tcPr>
          <w:p w14:paraId="02DEDCA6" w14:textId="119E959E" w:rsidR="0050251E" w:rsidRDefault="0050251E" w:rsidP="00F03187">
            <w:pPr>
              <w:spacing w:before="0" w:after="0"/>
              <w:contextualSpacing w:val="0"/>
              <w:jc w:val="center"/>
              <w:rPr>
                <w:rFonts w:cs="Arial"/>
              </w:rPr>
            </w:pPr>
            <w:r>
              <w:t>$3,883,487</w:t>
            </w:r>
          </w:p>
        </w:tc>
        <w:tc>
          <w:tcPr>
            <w:tcW w:w="1800" w:type="dxa"/>
            <w:vAlign w:val="center"/>
          </w:tcPr>
          <w:p w14:paraId="3AC37584" w14:textId="77777777" w:rsidR="0050251E" w:rsidRDefault="0050251E" w:rsidP="00F03187">
            <w:pPr>
              <w:spacing w:before="0" w:after="0"/>
              <w:contextualSpacing w:val="0"/>
              <w:jc w:val="center"/>
              <w:rPr>
                <w:rFonts w:cs="Arial"/>
              </w:rPr>
            </w:pPr>
            <w:r>
              <w:t>$3,767,775</w:t>
            </w:r>
          </w:p>
        </w:tc>
        <w:tc>
          <w:tcPr>
            <w:tcW w:w="1620" w:type="dxa"/>
            <w:vAlign w:val="center"/>
          </w:tcPr>
          <w:p w14:paraId="77801F0C" w14:textId="77777777" w:rsidR="0050251E" w:rsidRDefault="0050251E" w:rsidP="00F03187">
            <w:pPr>
              <w:spacing w:before="0" w:after="0"/>
              <w:contextualSpacing w:val="0"/>
              <w:jc w:val="center"/>
              <w:rPr>
                <w:rFonts w:cs="Arial"/>
              </w:rPr>
            </w:pPr>
            <w:r>
              <w:rPr>
                <w:rFonts w:cs="Arial"/>
              </w:rPr>
              <w:t>42.43 percent</w:t>
            </w:r>
          </w:p>
        </w:tc>
        <w:tc>
          <w:tcPr>
            <w:tcW w:w="1530" w:type="dxa"/>
            <w:vAlign w:val="center"/>
          </w:tcPr>
          <w:p w14:paraId="0933F4E4" w14:textId="77777777" w:rsidR="0050251E" w:rsidRDefault="0050251E" w:rsidP="00F03187">
            <w:pPr>
              <w:spacing w:before="0" w:after="0"/>
              <w:contextualSpacing w:val="0"/>
              <w:jc w:val="center"/>
              <w:rPr>
                <w:rFonts w:cs="Arial"/>
              </w:rPr>
            </w:pPr>
            <w:r>
              <w:rPr>
                <w:rFonts w:cs="Arial"/>
              </w:rPr>
              <w:t>80.01 percent</w:t>
            </w:r>
          </w:p>
        </w:tc>
        <w:tc>
          <w:tcPr>
            <w:tcW w:w="900" w:type="dxa"/>
            <w:vAlign w:val="center"/>
          </w:tcPr>
          <w:p w14:paraId="2946871A" w14:textId="77777777" w:rsidR="0050251E" w:rsidRDefault="0050251E" w:rsidP="00F03187">
            <w:pPr>
              <w:spacing w:before="0" w:after="0"/>
              <w:contextualSpacing w:val="0"/>
              <w:jc w:val="center"/>
              <w:rPr>
                <w:rFonts w:cs="Arial"/>
              </w:rPr>
            </w:pPr>
            <w:r>
              <w:t>17.36 to 1</w:t>
            </w:r>
          </w:p>
        </w:tc>
      </w:tr>
      <w:tr w:rsidR="0050251E" w14:paraId="6669A31E" w14:textId="77777777" w:rsidTr="00F80DA7">
        <w:trPr>
          <w:cantSplit/>
          <w:jc w:val="center"/>
        </w:trPr>
        <w:tc>
          <w:tcPr>
            <w:tcW w:w="1800" w:type="dxa"/>
            <w:vAlign w:val="center"/>
          </w:tcPr>
          <w:p w14:paraId="21D8A4E6" w14:textId="7E2ED72B" w:rsidR="0050251E" w:rsidRDefault="0050251E" w:rsidP="00F03187">
            <w:pPr>
              <w:spacing w:before="0" w:after="0"/>
              <w:contextualSpacing w:val="0"/>
              <w:rPr>
                <w:rFonts w:cs="Arial"/>
              </w:rPr>
            </w:pPr>
            <w:r>
              <w:rPr>
                <w:rFonts w:cs="Arial"/>
              </w:rPr>
              <w:t>90 Day Report (Based on Second-Year Budget)</w:t>
            </w:r>
          </w:p>
        </w:tc>
        <w:tc>
          <w:tcPr>
            <w:tcW w:w="1440" w:type="dxa"/>
            <w:vAlign w:val="center"/>
          </w:tcPr>
          <w:p w14:paraId="047CD6F2" w14:textId="7FB2CD01" w:rsidR="0050251E" w:rsidRDefault="005D62E0" w:rsidP="00F03187">
            <w:pPr>
              <w:spacing w:before="0" w:after="0"/>
              <w:contextualSpacing w:val="0"/>
              <w:jc w:val="center"/>
            </w:pPr>
            <w:r>
              <w:t>9/28/2020</w:t>
            </w:r>
          </w:p>
        </w:tc>
        <w:tc>
          <w:tcPr>
            <w:tcW w:w="1440" w:type="dxa"/>
            <w:vAlign w:val="center"/>
          </w:tcPr>
          <w:p w14:paraId="0F3ACA46" w14:textId="70338B88" w:rsidR="0050251E" w:rsidRDefault="0050251E" w:rsidP="00F03187">
            <w:pPr>
              <w:spacing w:before="0" w:after="0"/>
              <w:contextualSpacing w:val="0"/>
              <w:jc w:val="center"/>
            </w:pPr>
            <w:r>
              <w:t>$3,353,463</w:t>
            </w:r>
          </w:p>
        </w:tc>
        <w:tc>
          <w:tcPr>
            <w:tcW w:w="1800" w:type="dxa"/>
            <w:vAlign w:val="center"/>
          </w:tcPr>
          <w:p w14:paraId="5D6E942E" w14:textId="67C694AB" w:rsidR="0050251E" w:rsidRDefault="0050251E" w:rsidP="00F03187">
            <w:pPr>
              <w:spacing w:before="0" w:after="0"/>
              <w:contextualSpacing w:val="0"/>
              <w:jc w:val="center"/>
            </w:pPr>
            <w:r>
              <w:t>$3,228,878</w:t>
            </w:r>
          </w:p>
        </w:tc>
        <w:tc>
          <w:tcPr>
            <w:tcW w:w="1620" w:type="dxa"/>
            <w:vAlign w:val="center"/>
          </w:tcPr>
          <w:p w14:paraId="76377DC0" w14:textId="54B746A0" w:rsidR="0050251E" w:rsidRDefault="0050251E" w:rsidP="00F03187">
            <w:pPr>
              <w:spacing w:before="0" w:after="0"/>
              <w:contextualSpacing w:val="0"/>
              <w:jc w:val="center"/>
              <w:rPr>
                <w:rFonts w:cs="Arial"/>
              </w:rPr>
            </w:pPr>
            <w:r>
              <w:rPr>
                <w:rFonts w:cs="Arial"/>
              </w:rPr>
              <w:t>68.21 percent</w:t>
            </w:r>
          </w:p>
        </w:tc>
        <w:tc>
          <w:tcPr>
            <w:tcW w:w="1530" w:type="dxa"/>
            <w:vAlign w:val="center"/>
          </w:tcPr>
          <w:p w14:paraId="49E0352C" w14:textId="7A146DB2" w:rsidR="0050251E" w:rsidRDefault="0050251E" w:rsidP="00F03187">
            <w:pPr>
              <w:spacing w:before="0" w:after="0"/>
              <w:contextualSpacing w:val="0"/>
              <w:jc w:val="center"/>
              <w:rPr>
                <w:rFonts w:cs="Arial"/>
              </w:rPr>
            </w:pPr>
            <w:r>
              <w:rPr>
                <w:rFonts w:cs="Arial"/>
              </w:rPr>
              <w:t>82.33 percent</w:t>
            </w:r>
          </w:p>
        </w:tc>
        <w:tc>
          <w:tcPr>
            <w:tcW w:w="900" w:type="dxa"/>
            <w:vAlign w:val="center"/>
          </w:tcPr>
          <w:p w14:paraId="3964ADBB" w14:textId="6100A592" w:rsidR="0050251E" w:rsidRDefault="0050251E" w:rsidP="00F03187">
            <w:pPr>
              <w:spacing w:before="0" w:after="0"/>
              <w:contextualSpacing w:val="0"/>
              <w:jc w:val="center"/>
            </w:pPr>
            <w:r>
              <w:t>17.58 to 1</w:t>
            </w:r>
          </w:p>
        </w:tc>
      </w:tr>
      <w:tr w:rsidR="005D62E0" w14:paraId="408C0AA3" w14:textId="77777777" w:rsidTr="00F80DA7">
        <w:trPr>
          <w:cantSplit/>
          <w:jc w:val="center"/>
        </w:trPr>
        <w:tc>
          <w:tcPr>
            <w:tcW w:w="1800" w:type="dxa"/>
            <w:vAlign w:val="center"/>
          </w:tcPr>
          <w:p w14:paraId="6DBC4BF1" w14:textId="0938B118" w:rsidR="005D62E0" w:rsidRDefault="005D62E0" w:rsidP="00EC77DE">
            <w:pPr>
              <w:spacing w:before="0" w:after="0"/>
              <w:contextualSpacing w:val="0"/>
              <w:rPr>
                <w:rFonts w:cs="Arial"/>
              </w:rPr>
            </w:pPr>
            <w:r>
              <w:rPr>
                <w:rFonts w:cs="Arial"/>
              </w:rPr>
              <w:t>90 Day Report Supplemental Form (Based on Unaudited Actuals)</w:t>
            </w:r>
          </w:p>
        </w:tc>
        <w:tc>
          <w:tcPr>
            <w:tcW w:w="1440" w:type="dxa"/>
            <w:vAlign w:val="center"/>
          </w:tcPr>
          <w:p w14:paraId="6BBA613F" w14:textId="77777777" w:rsidR="005D62E0" w:rsidRDefault="005D62E0" w:rsidP="00EC77DE">
            <w:pPr>
              <w:spacing w:before="0" w:after="0"/>
              <w:contextualSpacing w:val="0"/>
            </w:pPr>
            <w:r>
              <w:t>12/11/2020</w:t>
            </w:r>
          </w:p>
        </w:tc>
        <w:tc>
          <w:tcPr>
            <w:tcW w:w="1440" w:type="dxa"/>
            <w:vAlign w:val="center"/>
          </w:tcPr>
          <w:p w14:paraId="6831A219" w14:textId="77777777" w:rsidR="005D62E0" w:rsidRDefault="005D62E0" w:rsidP="00EC77DE">
            <w:pPr>
              <w:spacing w:before="0" w:after="0"/>
              <w:contextualSpacing w:val="0"/>
              <w:jc w:val="center"/>
              <w:rPr>
                <w:rFonts w:cs="Arial"/>
              </w:rPr>
            </w:pPr>
            <w:r>
              <w:t>$3,107,573</w:t>
            </w:r>
          </w:p>
        </w:tc>
        <w:tc>
          <w:tcPr>
            <w:tcW w:w="1800" w:type="dxa"/>
            <w:vAlign w:val="center"/>
          </w:tcPr>
          <w:p w14:paraId="53248ECB" w14:textId="77777777" w:rsidR="005D62E0" w:rsidRDefault="005D62E0" w:rsidP="00EC77DE">
            <w:pPr>
              <w:spacing w:before="0" w:after="0"/>
              <w:contextualSpacing w:val="0"/>
              <w:jc w:val="center"/>
              <w:rPr>
                <w:rFonts w:cs="Arial"/>
              </w:rPr>
            </w:pPr>
            <w:r>
              <w:t>$1,546,420</w:t>
            </w:r>
          </w:p>
        </w:tc>
        <w:tc>
          <w:tcPr>
            <w:tcW w:w="1620" w:type="dxa"/>
            <w:vAlign w:val="center"/>
          </w:tcPr>
          <w:p w14:paraId="3C86E94C" w14:textId="77777777" w:rsidR="005D62E0" w:rsidRDefault="005D62E0" w:rsidP="00EC77DE">
            <w:pPr>
              <w:spacing w:before="0" w:after="0"/>
              <w:contextualSpacing w:val="0"/>
              <w:jc w:val="center"/>
              <w:rPr>
                <w:rFonts w:cs="Arial"/>
              </w:rPr>
            </w:pPr>
            <w:r>
              <w:rPr>
                <w:rFonts w:cs="Arial"/>
              </w:rPr>
              <w:t>11.87 percent</w:t>
            </w:r>
          </w:p>
        </w:tc>
        <w:tc>
          <w:tcPr>
            <w:tcW w:w="1530" w:type="dxa"/>
            <w:vAlign w:val="center"/>
          </w:tcPr>
          <w:p w14:paraId="1EB0E380" w14:textId="77777777" w:rsidR="005D62E0" w:rsidRDefault="005D62E0" w:rsidP="00EC77DE">
            <w:pPr>
              <w:spacing w:before="0" w:after="0"/>
              <w:contextualSpacing w:val="0"/>
              <w:jc w:val="center"/>
              <w:rPr>
                <w:rFonts w:cs="Arial"/>
              </w:rPr>
            </w:pPr>
            <w:r>
              <w:rPr>
                <w:rFonts w:cs="Arial"/>
              </w:rPr>
              <w:t>47.31 percent</w:t>
            </w:r>
          </w:p>
        </w:tc>
        <w:tc>
          <w:tcPr>
            <w:tcW w:w="900" w:type="dxa"/>
            <w:vAlign w:val="center"/>
          </w:tcPr>
          <w:p w14:paraId="031465A5" w14:textId="77777777" w:rsidR="005D62E0" w:rsidRDefault="005D62E0" w:rsidP="00EC77DE">
            <w:pPr>
              <w:spacing w:before="0" w:after="0"/>
              <w:contextualSpacing w:val="0"/>
              <w:jc w:val="center"/>
              <w:rPr>
                <w:rFonts w:cs="Arial"/>
              </w:rPr>
            </w:pPr>
            <w:r>
              <w:t>12.37 to 1</w:t>
            </w:r>
          </w:p>
        </w:tc>
      </w:tr>
      <w:tr w:rsidR="005D62E0" w14:paraId="6F59815D" w14:textId="77777777" w:rsidTr="00F80DA7">
        <w:trPr>
          <w:cantSplit/>
          <w:jc w:val="center"/>
        </w:trPr>
        <w:tc>
          <w:tcPr>
            <w:tcW w:w="1800" w:type="dxa"/>
            <w:vAlign w:val="center"/>
          </w:tcPr>
          <w:p w14:paraId="68B87BD3" w14:textId="44863A8F" w:rsidR="005D62E0" w:rsidRDefault="005D62E0" w:rsidP="00EC77DE">
            <w:pPr>
              <w:spacing w:before="0" w:after="0"/>
              <w:contextualSpacing w:val="0"/>
              <w:rPr>
                <w:rFonts w:cs="Arial"/>
              </w:rPr>
            </w:pPr>
            <w:r>
              <w:rPr>
                <w:rFonts w:cs="Arial"/>
              </w:rPr>
              <w:t>Revised 90 Day Report Supplemental Form (Based on Unaudited Actuals)</w:t>
            </w:r>
          </w:p>
        </w:tc>
        <w:tc>
          <w:tcPr>
            <w:tcW w:w="1440" w:type="dxa"/>
            <w:vAlign w:val="center"/>
          </w:tcPr>
          <w:p w14:paraId="08733129" w14:textId="3412365C" w:rsidR="005D62E0" w:rsidRDefault="005D62E0" w:rsidP="00EC77DE">
            <w:pPr>
              <w:spacing w:before="0" w:after="0"/>
              <w:contextualSpacing w:val="0"/>
              <w:jc w:val="center"/>
            </w:pPr>
            <w:r>
              <w:t>2/12/2021</w:t>
            </w:r>
          </w:p>
        </w:tc>
        <w:tc>
          <w:tcPr>
            <w:tcW w:w="1440" w:type="dxa"/>
            <w:vAlign w:val="center"/>
          </w:tcPr>
          <w:p w14:paraId="4631ADC3" w14:textId="77777777" w:rsidR="005D62E0" w:rsidRDefault="005D62E0" w:rsidP="00EC77DE">
            <w:pPr>
              <w:spacing w:before="0" w:after="0"/>
              <w:contextualSpacing w:val="0"/>
              <w:jc w:val="center"/>
            </w:pPr>
            <w:r>
              <w:t>$3,107,573</w:t>
            </w:r>
          </w:p>
        </w:tc>
        <w:tc>
          <w:tcPr>
            <w:tcW w:w="1800" w:type="dxa"/>
            <w:vAlign w:val="center"/>
          </w:tcPr>
          <w:p w14:paraId="7AE3F0B2" w14:textId="77777777" w:rsidR="005D62E0" w:rsidRDefault="005D62E0" w:rsidP="00EC77DE">
            <w:pPr>
              <w:spacing w:before="0" w:after="0"/>
              <w:contextualSpacing w:val="0"/>
              <w:jc w:val="center"/>
            </w:pPr>
            <w:r>
              <w:t>$1,546,420</w:t>
            </w:r>
          </w:p>
        </w:tc>
        <w:tc>
          <w:tcPr>
            <w:tcW w:w="1620" w:type="dxa"/>
            <w:vAlign w:val="center"/>
          </w:tcPr>
          <w:p w14:paraId="1595DB39" w14:textId="77777777" w:rsidR="005D62E0" w:rsidRDefault="005D62E0" w:rsidP="00EC77DE">
            <w:pPr>
              <w:spacing w:before="0" w:after="0"/>
              <w:contextualSpacing w:val="0"/>
              <w:jc w:val="center"/>
              <w:rPr>
                <w:rFonts w:cs="Arial"/>
              </w:rPr>
            </w:pPr>
            <w:r>
              <w:rPr>
                <w:rFonts w:cs="Arial"/>
              </w:rPr>
              <w:t>39.44 percent</w:t>
            </w:r>
          </w:p>
        </w:tc>
        <w:tc>
          <w:tcPr>
            <w:tcW w:w="1530" w:type="dxa"/>
            <w:vAlign w:val="center"/>
          </w:tcPr>
          <w:p w14:paraId="3107C53E" w14:textId="77777777" w:rsidR="005D62E0" w:rsidRDefault="005D62E0" w:rsidP="00EC77DE">
            <w:pPr>
              <w:spacing w:before="0" w:after="0"/>
              <w:contextualSpacing w:val="0"/>
              <w:jc w:val="center"/>
              <w:rPr>
                <w:rFonts w:cs="Arial"/>
              </w:rPr>
            </w:pPr>
            <w:r>
              <w:rPr>
                <w:rFonts w:cs="Arial"/>
              </w:rPr>
              <w:t>47.31 percent</w:t>
            </w:r>
          </w:p>
        </w:tc>
        <w:tc>
          <w:tcPr>
            <w:tcW w:w="900" w:type="dxa"/>
            <w:vAlign w:val="center"/>
          </w:tcPr>
          <w:p w14:paraId="1226A375" w14:textId="77777777" w:rsidR="005D62E0" w:rsidRDefault="005D62E0" w:rsidP="00EC77DE">
            <w:pPr>
              <w:spacing w:before="0" w:after="0"/>
              <w:contextualSpacing w:val="0"/>
              <w:jc w:val="center"/>
            </w:pPr>
            <w:r>
              <w:t>12.37 to 1</w:t>
            </w:r>
          </w:p>
        </w:tc>
      </w:tr>
    </w:tbl>
    <w:p w14:paraId="23EAF546" w14:textId="192F999C" w:rsidR="00FD1BA1" w:rsidRDefault="00FD1BA1" w:rsidP="00FD1BA1">
      <w:pPr>
        <w:spacing w:before="240" w:after="240"/>
      </w:pPr>
      <w:r>
        <w:lastRenderedPageBreak/>
        <w:t>The CDE notes that its recommendation is based on the Revised 90 Day Report supplemental form</w:t>
      </w:r>
      <w:r w:rsidR="005D699A">
        <w:t xml:space="preserve">, which is </w:t>
      </w:r>
      <w:r>
        <w:t xml:space="preserve">based on </w:t>
      </w:r>
      <w:r w:rsidR="005D699A">
        <w:t xml:space="preserve">Peak Prep Pleasant Valley’s </w:t>
      </w:r>
      <w:r>
        <w:t xml:space="preserve">unaudited actuals </w:t>
      </w:r>
      <w:r w:rsidR="005D699A">
        <w:t xml:space="preserve">and which </w:t>
      </w:r>
      <w:r>
        <w:t>was submitted on February 12, 2021.</w:t>
      </w:r>
    </w:p>
    <w:p w14:paraId="32351A63" w14:textId="1A680740" w:rsidR="00073062" w:rsidRPr="00073062" w:rsidRDefault="00073062" w:rsidP="00073062">
      <w:pPr>
        <w:pStyle w:val="Heading2"/>
      </w:pPr>
      <w:r>
        <w:t>Conclusion</w:t>
      </w:r>
    </w:p>
    <w:p w14:paraId="6F8E07E8" w14:textId="5A9D4D64" w:rsidR="00A067F5" w:rsidRDefault="007641C6" w:rsidP="007C0EAE">
      <w:pPr>
        <w:spacing w:before="240" w:after="240" w:line="240" w:lineRule="auto"/>
        <w:contextualSpacing w:val="0"/>
      </w:pPr>
      <w:r>
        <w:t>The CDE has determine</w:t>
      </w:r>
      <w:r w:rsidR="00E370EE">
        <w:t>d</w:t>
      </w:r>
      <w:r>
        <w:t xml:space="preserve"> that the information submitted </w:t>
      </w:r>
      <w:r w:rsidR="0040190B">
        <w:t xml:space="preserve">by Peak Prep Pleasant Valley in its 90 Day Report </w:t>
      </w:r>
      <w:r>
        <w:t xml:space="preserve">does not support </w:t>
      </w:r>
      <w:r w:rsidR="00EC5E84">
        <w:t>the school’s</w:t>
      </w:r>
      <w:r w:rsidR="00833E64">
        <w:t xml:space="preserve"> current funding determination of 100 percent funding for its NCB ADA for </w:t>
      </w:r>
      <w:r w:rsidR="00D84454">
        <w:t xml:space="preserve">the </w:t>
      </w:r>
      <w:r w:rsidR="00D84454" w:rsidRPr="0093667F">
        <w:rPr>
          <w:rFonts w:cs="Arial"/>
        </w:rPr>
        <w:t>20</w:t>
      </w:r>
      <w:r w:rsidR="00037709">
        <w:rPr>
          <w:rFonts w:cs="Arial"/>
        </w:rPr>
        <w:t>20</w:t>
      </w:r>
      <w:r w:rsidR="00D84454" w:rsidRPr="0093667F">
        <w:rPr>
          <w:rFonts w:cs="Arial"/>
        </w:rPr>
        <w:t>–2</w:t>
      </w:r>
      <w:r w:rsidR="00037709">
        <w:rPr>
          <w:rFonts w:cs="Arial"/>
        </w:rPr>
        <w:t>1</w:t>
      </w:r>
      <w:r w:rsidR="00D84454">
        <w:rPr>
          <w:rFonts w:cs="Arial"/>
        </w:rPr>
        <w:t xml:space="preserve"> fiscal year</w:t>
      </w:r>
      <w:r w:rsidR="005D699A">
        <w:rPr>
          <w:rFonts w:cs="Arial"/>
        </w:rPr>
        <w:t xml:space="preserve">. Without the consideration of </w:t>
      </w:r>
      <w:r w:rsidR="002627FD">
        <w:t xml:space="preserve">mitigating circumstances, the </w:t>
      </w:r>
      <w:r w:rsidR="005D699A">
        <w:t xml:space="preserve">school qualifies for no funding for its NCB ADA, pursuant to 5 </w:t>
      </w:r>
      <w:r w:rsidR="005D699A" w:rsidRPr="00D62E6C">
        <w:rPr>
          <w:i/>
        </w:rPr>
        <w:t>CCR</w:t>
      </w:r>
      <w:r w:rsidR="005D699A">
        <w:t xml:space="preserve"> Section 11963.4(a)(4). </w:t>
      </w:r>
      <w:r w:rsidR="00D32720">
        <w:t>Ho</w:t>
      </w:r>
      <w:bookmarkStart w:id="2" w:name="_GoBack"/>
      <w:bookmarkEnd w:id="2"/>
      <w:r w:rsidR="00D32720">
        <w:t>wever, the CDE finds the school’s claim for mitigating circumstances to have some merit.</w:t>
      </w:r>
    </w:p>
    <w:p w14:paraId="62992965" w14:textId="6AF3D7B9" w:rsidR="00D32720" w:rsidRDefault="006512CB" w:rsidP="00625FDB">
      <w:pPr>
        <w:spacing w:before="240" w:after="240" w:line="240" w:lineRule="auto"/>
        <w:contextualSpacing w:val="0"/>
      </w:pPr>
      <w:r>
        <w:t xml:space="preserve">Per CDE attendance guidelines, a teacher must be an employee of the charter school that is claiming ADA. While the CDE does not endorse the school’s previous engagement in a co-employment model, the CDE does acknowledge the recent steps Peak Prep Pleasant Valley has taken to end its contract with its previous back office provider and ensure that its teachers are employees of its school. </w:t>
      </w:r>
      <w:r w:rsidR="0010288D">
        <w:t>Additionally, the school has indicated that it is on track to meet the expenditure requirements</w:t>
      </w:r>
      <w:r w:rsidR="00964360">
        <w:t xml:space="preserve"> for full funding</w:t>
      </w:r>
      <w:r w:rsidR="0010288D">
        <w:t xml:space="preserve"> for the 2020–21 fiscal year</w:t>
      </w:r>
      <w:r w:rsidR="00E222D6">
        <w:t xml:space="preserve"> based on </w:t>
      </w:r>
      <w:r w:rsidR="00D86D6E">
        <w:t>its</w:t>
      </w:r>
      <w:r w:rsidR="00E222D6">
        <w:t xml:space="preserve"> </w:t>
      </w:r>
      <w:r w:rsidR="00E3139E">
        <w:t>first</w:t>
      </w:r>
      <w:r w:rsidR="00E222D6">
        <w:t xml:space="preserve"> and </w:t>
      </w:r>
      <w:r w:rsidR="00E3139E">
        <w:t xml:space="preserve">second </w:t>
      </w:r>
      <w:r w:rsidR="00E222D6">
        <w:t>interim budgets (Attachment 4, p. 172)</w:t>
      </w:r>
      <w:r w:rsidR="0010288D">
        <w:t>.</w:t>
      </w:r>
    </w:p>
    <w:p w14:paraId="06C11F07" w14:textId="0DE8CC57" w:rsidR="000555BD" w:rsidRDefault="000555BD" w:rsidP="007C0EAE">
      <w:pPr>
        <w:spacing w:before="240" w:after="240" w:line="240" w:lineRule="auto"/>
        <w:contextualSpacing w:val="0"/>
        <w:rPr>
          <w:rFonts w:cs="Arial"/>
        </w:rPr>
      </w:pPr>
      <w:r w:rsidRPr="0093667F">
        <w:t>Therefore, t</w:t>
      </w:r>
      <w:r w:rsidRPr="0093667F">
        <w:rPr>
          <w:rFonts w:cs="Arial"/>
        </w:rPr>
        <w:t xml:space="preserve">he CDE proposes to recommend that the SBE </w:t>
      </w:r>
      <w:r w:rsidR="00E370EE" w:rsidRPr="0093667F">
        <w:rPr>
          <w:rFonts w:cs="Arial"/>
        </w:rPr>
        <w:t>revise</w:t>
      </w:r>
      <w:r w:rsidRPr="0093667F">
        <w:rPr>
          <w:rFonts w:cs="Arial"/>
        </w:rPr>
        <w:t xml:space="preserve"> the</w:t>
      </w:r>
      <w:r w:rsidR="0040190B">
        <w:rPr>
          <w:rFonts w:cs="Arial"/>
        </w:rPr>
        <w:t xml:space="preserve"> current</w:t>
      </w:r>
      <w:r w:rsidRPr="0093667F">
        <w:rPr>
          <w:rFonts w:cs="Arial"/>
        </w:rPr>
        <w:t xml:space="preserve"> </w:t>
      </w:r>
      <w:r w:rsidR="003C1CD8" w:rsidRPr="0093667F">
        <w:rPr>
          <w:rFonts w:cs="Arial"/>
        </w:rPr>
        <w:t>funding determination</w:t>
      </w:r>
      <w:r w:rsidRPr="0093667F">
        <w:rPr>
          <w:rFonts w:cs="Arial"/>
        </w:rPr>
        <w:t xml:space="preserve"> for Peak Prep Pleasant Valley</w:t>
      </w:r>
      <w:r w:rsidR="00833E64">
        <w:rPr>
          <w:rFonts w:cs="Arial"/>
        </w:rPr>
        <w:t xml:space="preserve"> </w:t>
      </w:r>
      <w:r w:rsidRPr="0093667F">
        <w:rPr>
          <w:rFonts w:cs="Arial"/>
        </w:rPr>
        <w:t xml:space="preserve">to 70 percent for the time period </w:t>
      </w:r>
      <w:r w:rsidR="00833E64">
        <w:rPr>
          <w:rFonts w:cs="Arial"/>
        </w:rPr>
        <w:t xml:space="preserve">specified </w:t>
      </w:r>
      <w:r w:rsidRPr="0093667F">
        <w:rPr>
          <w:rFonts w:cs="Arial"/>
        </w:rPr>
        <w:t>in Attachment 1.</w:t>
      </w:r>
      <w:r w:rsidR="004804C8" w:rsidRPr="0093667F">
        <w:t xml:space="preserve"> </w:t>
      </w:r>
      <w:r w:rsidR="004804C8" w:rsidRPr="0093667F">
        <w:rPr>
          <w:rFonts w:cs="Arial"/>
        </w:rPr>
        <w:t xml:space="preserve">A revision of the funding determination would mean that the school would be eligible to receive 70 percent funding </w:t>
      </w:r>
      <w:r w:rsidR="0040190B">
        <w:rPr>
          <w:rFonts w:cs="Arial"/>
        </w:rPr>
        <w:t>for</w:t>
      </w:r>
      <w:r w:rsidR="004804C8" w:rsidRPr="0093667F">
        <w:rPr>
          <w:rFonts w:cs="Arial"/>
        </w:rPr>
        <w:t xml:space="preserve"> its </w:t>
      </w:r>
      <w:r w:rsidR="0040190B">
        <w:rPr>
          <w:rFonts w:cs="Arial"/>
        </w:rPr>
        <w:t xml:space="preserve">NCB </w:t>
      </w:r>
      <w:r w:rsidR="004804C8" w:rsidRPr="0093667F">
        <w:rPr>
          <w:rFonts w:cs="Arial"/>
        </w:rPr>
        <w:t xml:space="preserve">ADA for </w:t>
      </w:r>
      <w:r w:rsidR="0010288D">
        <w:rPr>
          <w:rFonts w:cs="Arial"/>
        </w:rPr>
        <w:t>the</w:t>
      </w:r>
      <w:r w:rsidR="004804C8" w:rsidRPr="0093667F">
        <w:rPr>
          <w:rFonts w:cs="Arial"/>
        </w:rPr>
        <w:t xml:space="preserve"> 2020–21</w:t>
      </w:r>
      <w:r w:rsidR="0010288D">
        <w:rPr>
          <w:rFonts w:cs="Arial"/>
        </w:rPr>
        <w:t xml:space="preserve"> fiscal year</w:t>
      </w:r>
      <w:r w:rsidR="000B7276">
        <w:rPr>
          <w:rFonts w:cs="Arial"/>
        </w:rPr>
        <w:t>, instead of 100 percent,</w:t>
      </w:r>
      <w:r w:rsidR="004804C8" w:rsidRPr="0093667F">
        <w:rPr>
          <w:rFonts w:cs="Arial"/>
        </w:rPr>
        <w:t xml:space="preserve"> and would be required to pay back </w:t>
      </w:r>
      <w:r w:rsidR="0040190B">
        <w:rPr>
          <w:rFonts w:cs="Arial"/>
        </w:rPr>
        <w:t xml:space="preserve">to the CDE </w:t>
      </w:r>
      <w:r w:rsidR="004804C8" w:rsidRPr="0093667F">
        <w:rPr>
          <w:rFonts w:cs="Arial"/>
        </w:rPr>
        <w:t>excess funds received for that year.</w:t>
      </w:r>
      <w:r w:rsidR="00D32720">
        <w:rPr>
          <w:rFonts w:cs="Arial"/>
        </w:rPr>
        <w:t xml:space="preserve"> The CDE notes that the school may submit a funding determination reconsideration request after litigation determine</w:t>
      </w:r>
      <w:r w:rsidR="00D86D6E">
        <w:rPr>
          <w:rFonts w:cs="Arial"/>
        </w:rPr>
        <w:t>s</w:t>
      </w:r>
      <w:r w:rsidR="00D32720">
        <w:rPr>
          <w:rFonts w:cs="Arial"/>
        </w:rPr>
        <w:t xml:space="preserve"> the actual </w:t>
      </w:r>
      <w:r w:rsidR="003B0E4D">
        <w:rPr>
          <w:rFonts w:cs="Arial"/>
        </w:rPr>
        <w:t>amount spent by the school.</w:t>
      </w:r>
    </w:p>
    <w:p w14:paraId="7F4E3621" w14:textId="74A7004C" w:rsidR="008F7BC4" w:rsidRPr="001B3958" w:rsidRDefault="00BC41D2" w:rsidP="00073062">
      <w:pPr>
        <w:pStyle w:val="Heading2"/>
      </w:pPr>
      <w:r>
        <w:t>Attachment</w:t>
      </w:r>
      <w:r w:rsidR="0041281A">
        <w:t>s</w:t>
      </w:r>
    </w:p>
    <w:p w14:paraId="767F9CED" w14:textId="182C8C38" w:rsidR="008F7BC4" w:rsidRPr="0065556E" w:rsidRDefault="008F7BC4" w:rsidP="0013532C">
      <w:pPr>
        <w:pStyle w:val="ListParagraph"/>
        <w:numPr>
          <w:ilvl w:val="0"/>
          <w:numId w:val="12"/>
        </w:numPr>
        <w:spacing w:before="0" w:after="240" w:line="240" w:lineRule="auto"/>
        <w:contextualSpacing w:val="0"/>
      </w:pPr>
      <w:r w:rsidRPr="0065556E">
        <w:rPr>
          <w:b/>
        </w:rPr>
        <w:t>Attachment 1:</w:t>
      </w:r>
      <w:r w:rsidRPr="0065556E">
        <w:t xml:space="preserve"> Proposed </w:t>
      </w:r>
      <w:r w:rsidR="00833E64">
        <w:t xml:space="preserve">Recommendation to Revise </w:t>
      </w:r>
      <w:r w:rsidR="002911CE">
        <w:t>a Funding Determination</w:t>
      </w:r>
      <w:r w:rsidRPr="0065556E">
        <w:t xml:space="preserve"> </w:t>
      </w:r>
      <w:r w:rsidR="00510736" w:rsidRPr="0065556E">
        <w:t>for</w:t>
      </w:r>
      <w:r w:rsidR="00710C96" w:rsidRPr="0065556E">
        <w:t xml:space="preserve"> </w:t>
      </w:r>
      <w:r w:rsidR="00DE6C3F" w:rsidRPr="0065556E">
        <w:t xml:space="preserve">a </w:t>
      </w:r>
      <w:r w:rsidRPr="0065556E">
        <w:t>Nonclassroom-</w:t>
      </w:r>
      <w:r w:rsidR="00DC2D10" w:rsidRPr="0065556E">
        <w:t>B</w:t>
      </w:r>
      <w:r w:rsidRPr="0065556E">
        <w:t>ased Charter School (</w:t>
      </w:r>
      <w:r w:rsidR="008C58CC" w:rsidRPr="0065556E">
        <w:t>1</w:t>
      </w:r>
      <w:r w:rsidRPr="0065556E">
        <w:t xml:space="preserve"> Page)</w:t>
      </w:r>
    </w:p>
    <w:p w14:paraId="24088CAC" w14:textId="67994D06" w:rsidR="00F4767B" w:rsidRDefault="0041281A" w:rsidP="007221C6">
      <w:pPr>
        <w:pStyle w:val="ListParagraph"/>
        <w:numPr>
          <w:ilvl w:val="0"/>
          <w:numId w:val="12"/>
        </w:numPr>
        <w:spacing w:before="0" w:after="240" w:line="240" w:lineRule="auto"/>
        <w:contextualSpacing w:val="0"/>
      </w:pPr>
      <w:r w:rsidRPr="0065556E">
        <w:rPr>
          <w:b/>
        </w:rPr>
        <w:t>Attachment 2:</w:t>
      </w:r>
      <w:r w:rsidRPr="0065556E">
        <w:t xml:space="preserve"> </w:t>
      </w:r>
      <w:r w:rsidR="00824E44">
        <w:t xml:space="preserve">Initial </w:t>
      </w:r>
      <w:r w:rsidR="007221C6" w:rsidRPr="007221C6">
        <w:t>Funding Determination Form</w:t>
      </w:r>
      <w:r w:rsidR="00824E44">
        <w:t xml:space="preserve"> Based on the First-Year Budget for</w:t>
      </w:r>
      <w:r w:rsidR="00824E44" w:rsidRPr="0065556E">
        <w:t xml:space="preserve"> Peak Prep Pleasant Valley, Charter #2062 </w:t>
      </w:r>
      <w:r w:rsidR="00824E44">
        <w:t>(</w:t>
      </w:r>
      <w:r w:rsidR="00EB0FB1">
        <w:t>9</w:t>
      </w:r>
      <w:r w:rsidR="00824E44">
        <w:t xml:space="preserve"> Pages)</w:t>
      </w:r>
    </w:p>
    <w:p w14:paraId="36EB3B89" w14:textId="4298BA76" w:rsidR="0041281A" w:rsidRDefault="00F4767B" w:rsidP="007221C6">
      <w:pPr>
        <w:pStyle w:val="ListParagraph"/>
        <w:numPr>
          <w:ilvl w:val="0"/>
          <w:numId w:val="12"/>
        </w:numPr>
        <w:spacing w:before="0" w:after="240" w:line="240" w:lineRule="auto"/>
        <w:contextualSpacing w:val="0"/>
      </w:pPr>
      <w:r>
        <w:rPr>
          <w:b/>
        </w:rPr>
        <w:t>Attachment 3:</w:t>
      </w:r>
      <w:r>
        <w:t xml:space="preserve"> 90 Day Report </w:t>
      </w:r>
      <w:r w:rsidR="00824E44">
        <w:t xml:space="preserve">and Supplemental Funding Determination Information </w:t>
      </w:r>
      <w:r w:rsidR="007221C6">
        <w:t>for</w:t>
      </w:r>
      <w:r w:rsidR="00FB178F" w:rsidRPr="0065556E">
        <w:t xml:space="preserve"> Peak Prep Pleasant Valley, Charter #2062 </w:t>
      </w:r>
      <w:r w:rsidR="0041281A" w:rsidRPr="0065556E">
        <w:t>(</w:t>
      </w:r>
      <w:r w:rsidR="00824E44">
        <w:t>25</w:t>
      </w:r>
      <w:r w:rsidR="0041281A" w:rsidRPr="0065556E">
        <w:t xml:space="preserve"> Pages)</w:t>
      </w:r>
    </w:p>
    <w:p w14:paraId="783609C5" w14:textId="1ECFADCC" w:rsidR="004F05AA" w:rsidRPr="0065556E" w:rsidRDefault="004F05AA" w:rsidP="007221C6">
      <w:pPr>
        <w:pStyle w:val="ListParagraph"/>
        <w:numPr>
          <w:ilvl w:val="0"/>
          <w:numId w:val="12"/>
        </w:numPr>
        <w:spacing w:before="0" w:after="240" w:line="240" w:lineRule="auto"/>
        <w:contextualSpacing w:val="0"/>
      </w:pPr>
      <w:r>
        <w:rPr>
          <w:b/>
        </w:rPr>
        <w:t>Attachment 4:</w:t>
      </w:r>
      <w:r w:rsidRPr="009F5471">
        <w:t xml:space="preserve"> </w:t>
      </w:r>
      <w:r w:rsidR="00E037E7">
        <w:t>Revised Funding Determination Form and Supplemental Documentation</w:t>
      </w:r>
      <w:r w:rsidR="009F5471">
        <w:t xml:space="preserve"> from Peak Prep Pleasant Valley, Charter #2062 (172 Pages)</w:t>
      </w:r>
    </w:p>
    <w:sectPr w:rsidR="004F05AA" w:rsidRPr="0065556E" w:rsidSect="00FF0480">
      <w:headerReference w:type="default" r:id="rId8"/>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0409" w14:textId="77777777" w:rsidR="00ED6047" w:rsidRDefault="00ED6047" w:rsidP="000E09DC">
      <w:r>
        <w:separator/>
      </w:r>
    </w:p>
  </w:endnote>
  <w:endnote w:type="continuationSeparator" w:id="0">
    <w:p w14:paraId="7D49F869" w14:textId="77777777" w:rsidR="00ED6047" w:rsidRDefault="00ED60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2391" w14:textId="77777777" w:rsidR="00ED6047" w:rsidRDefault="00ED6047" w:rsidP="000E09DC">
      <w:r>
        <w:separator/>
      </w:r>
    </w:p>
  </w:footnote>
  <w:footnote w:type="continuationSeparator" w:id="0">
    <w:p w14:paraId="12AAE0CB" w14:textId="77777777" w:rsidR="00ED6047" w:rsidRDefault="00ED604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2E22A963" w:rsidR="00ED6047" w:rsidRPr="002D6EC8" w:rsidRDefault="00ED6047" w:rsidP="00BA695B">
    <w:pPr>
      <w:spacing w:after="0"/>
      <w:contextualSpacing w:val="0"/>
      <w:jc w:val="right"/>
    </w:pPr>
    <w:r w:rsidRPr="00780B44">
      <w:rPr>
        <w:rFonts w:cs="Arial"/>
      </w:rPr>
      <w:t>accs-</w:t>
    </w:r>
    <w:r w:rsidR="00DD1963">
      <w:rPr>
        <w:rFonts w:cs="Arial"/>
      </w:rPr>
      <w:t>apr2</w:t>
    </w:r>
    <w:r w:rsidR="00A12675">
      <w:rPr>
        <w:rFonts w:cs="Arial"/>
      </w:rPr>
      <w:t>1</w:t>
    </w:r>
    <w:r w:rsidRPr="00780B44">
      <w:rPr>
        <w:rFonts w:cs="Arial"/>
      </w:rPr>
      <w:t>item0</w:t>
    </w:r>
    <w:r w:rsidR="00C17809">
      <w:rPr>
        <w:rFonts w:cs="Arial"/>
      </w:rPr>
      <w:t>2</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8"/>
  </w:num>
  <w:num w:numId="6">
    <w:abstractNumId w:val="1"/>
  </w:num>
  <w:num w:numId="7">
    <w:abstractNumId w:val="3"/>
  </w:num>
  <w:num w:numId="8">
    <w:abstractNumId w:val="5"/>
  </w:num>
  <w:num w:numId="9">
    <w:abstractNumId w:val="6"/>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11D69"/>
    <w:rsid w:val="00024458"/>
    <w:rsid w:val="00025553"/>
    <w:rsid w:val="000321AE"/>
    <w:rsid w:val="000324AD"/>
    <w:rsid w:val="00032825"/>
    <w:rsid w:val="00037709"/>
    <w:rsid w:val="00042E24"/>
    <w:rsid w:val="00050515"/>
    <w:rsid w:val="000555BD"/>
    <w:rsid w:val="000569D6"/>
    <w:rsid w:val="000607AF"/>
    <w:rsid w:val="00062F56"/>
    <w:rsid w:val="00070CBF"/>
    <w:rsid w:val="00073062"/>
    <w:rsid w:val="000731BB"/>
    <w:rsid w:val="000739CA"/>
    <w:rsid w:val="00073CF7"/>
    <w:rsid w:val="0008005F"/>
    <w:rsid w:val="00081E94"/>
    <w:rsid w:val="000877BE"/>
    <w:rsid w:val="00091CDC"/>
    <w:rsid w:val="000928B7"/>
    <w:rsid w:val="00092FF8"/>
    <w:rsid w:val="000951F6"/>
    <w:rsid w:val="00096647"/>
    <w:rsid w:val="000A21F0"/>
    <w:rsid w:val="000A5399"/>
    <w:rsid w:val="000B7276"/>
    <w:rsid w:val="000C5AE0"/>
    <w:rsid w:val="000D5F5E"/>
    <w:rsid w:val="000E09DC"/>
    <w:rsid w:val="000E5362"/>
    <w:rsid w:val="000E70B0"/>
    <w:rsid w:val="0010288D"/>
    <w:rsid w:val="001030E1"/>
    <w:rsid w:val="00103577"/>
    <w:rsid w:val="001048F3"/>
    <w:rsid w:val="00104997"/>
    <w:rsid w:val="0010793A"/>
    <w:rsid w:val="001115F5"/>
    <w:rsid w:val="001130DE"/>
    <w:rsid w:val="00120906"/>
    <w:rsid w:val="00124D2D"/>
    <w:rsid w:val="0012534F"/>
    <w:rsid w:val="00130059"/>
    <w:rsid w:val="0013142F"/>
    <w:rsid w:val="00134328"/>
    <w:rsid w:val="0013532C"/>
    <w:rsid w:val="00144B53"/>
    <w:rsid w:val="00166A01"/>
    <w:rsid w:val="0018148D"/>
    <w:rsid w:val="0018298E"/>
    <w:rsid w:val="00186990"/>
    <w:rsid w:val="00186DCB"/>
    <w:rsid w:val="00187317"/>
    <w:rsid w:val="001947B1"/>
    <w:rsid w:val="00195642"/>
    <w:rsid w:val="001A0CA5"/>
    <w:rsid w:val="001A492E"/>
    <w:rsid w:val="001B127C"/>
    <w:rsid w:val="001B1A02"/>
    <w:rsid w:val="001B3958"/>
    <w:rsid w:val="001C2DB3"/>
    <w:rsid w:val="001C723E"/>
    <w:rsid w:val="001D146B"/>
    <w:rsid w:val="001D2469"/>
    <w:rsid w:val="001D4978"/>
    <w:rsid w:val="001D7FAC"/>
    <w:rsid w:val="001E0FE8"/>
    <w:rsid w:val="001E1929"/>
    <w:rsid w:val="001E1E96"/>
    <w:rsid w:val="001E1F07"/>
    <w:rsid w:val="001E3B8E"/>
    <w:rsid w:val="001E5813"/>
    <w:rsid w:val="001F4C31"/>
    <w:rsid w:val="00200A07"/>
    <w:rsid w:val="00200D9F"/>
    <w:rsid w:val="00202C44"/>
    <w:rsid w:val="002031D1"/>
    <w:rsid w:val="002060E7"/>
    <w:rsid w:val="002174CC"/>
    <w:rsid w:val="00222450"/>
    <w:rsid w:val="00223112"/>
    <w:rsid w:val="00223B76"/>
    <w:rsid w:val="00240622"/>
    <w:rsid w:val="00240910"/>
    <w:rsid w:val="00240B26"/>
    <w:rsid w:val="0024669E"/>
    <w:rsid w:val="00251CDA"/>
    <w:rsid w:val="00252C96"/>
    <w:rsid w:val="00261B72"/>
    <w:rsid w:val="0026233D"/>
    <w:rsid w:val="002627FD"/>
    <w:rsid w:val="00262BE6"/>
    <w:rsid w:val="002631D5"/>
    <w:rsid w:val="00270D4D"/>
    <w:rsid w:val="00283DAA"/>
    <w:rsid w:val="00290708"/>
    <w:rsid w:val="002911CE"/>
    <w:rsid w:val="00294D42"/>
    <w:rsid w:val="002A263F"/>
    <w:rsid w:val="002A6CED"/>
    <w:rsid w:val="002B2176"/>
    <w:rsid w:val="002B4B14"/>
    <w:rsid w:val="002B4C53"/>
    <w:rsid w:val="002C71F2"/>
    <w:rsid w:val="002C7705"/>
    <w:rsid w:val="002D1A82"/>
    <w:rsid w:val="002D49FB"/>
    <w:rsid w:val="002D6EC8"/>
    <w:rsid w:val="002E4CB5"/>
    <w:rsid w:val="002E5031"/>
    <w:rsid w:val="002E52C1"/>
    <w:rsid w:val="002E6FCA"/>
    <w:rsid w:val="002F279B"/>
    <w:rsid w:val="002F7D01"/>
    <w:rsid w:val="00306576"/>
    <w:rsid w:val="00310AB1"/>
    <w:rsid w:val="003131DF"/>
    <w:rsid w:val="00315131"/>
    <w:rsid w:val="00317B34"/>
    <w:rsid w:val="00321613"/>
    <w:rsid w:val="00323B0E"/>
    <w:rsid w:val="00323F65"/>
    <w:rsid w:val="00336AE3"/>
    <w:rsid w:val="00337321"/>
    <w:rsid w:val="00340C5D"/>
    <w:rsid w:val="00343DB1"/>
    <w:rsid w:val="003453FB"/>
    <w:rsid w:val="00351282"/>
    <w:rsid w:val="003533D1"/>
    <w:rsid w:val="003546A4"/>
    <w:rsid w:val="00354B4A"/>
    <w:rsid w:val="00355A2A"/>
    <w:rsid w:val="00363520"/>
    <w:rsid w:val="003652E9"/>
    <w:rsid w:val="003705FC"/>
    <w:rsid w:val="00371992"/>
    <w:rsid w:val="00374D3F"/>
    <w:rsid w:val="00380371"/>
    <w:rsid w:val="00384ACF"/>
    <w:rsid w:val="00386B69"/>
    <w:rsid w:val="00397AC2"/>
    <w:rsid w:val="003B0E4D"/>
    <w:rsid w:val="003B2F22"/>
    <w:rsid w:val="003B307B"/>
    <w:rsid w:val="003B5B8E"/>
    <w:rsid w:val="003C103C"/>
    <w:rsid w:val="003C1CD8"/>
    <w:rsid w:val="003D1ECD"/>
    <w:rsid w:val="003D6DB2"/>
    <w:rsid w:val="003D7C75"/>
    <w:rsid w:val="003E1E8D"/>
    <w:rsid w:val="003E1F44"/>
    <w:rsid w:val="003E215E"/>
    <w:rsid w:val="003E4DF7"/>
    <w:rsid w:val="003E581D"/>
    <w:rsid w:val="003E6800"/>
    <w:rsid w:val="003F61DE"/>
    <w:rsid w:val="0040190B"/>
    <w:rsid w:val="004041BC"/>
    <w:rsid w:val="00406F50"/>
    <w:rsid w:val="00407E9B"/>
    <w:rsid w:val="0041281A"/>
    <w:rsid w:val="00413525"/>
    <w:rsid w:val="0041467B"/>
    <w:rsid w:val="004154DF"/>
    <w:rsid w:val="00417699"/>
    <w:rsid w:val="004202F9"/>
    <w:rsid w:val="004203BC"/>
    <w:rsid w:val="00422329"/>
    <w:rsid w:val="004248D0"/>
    <w:rsid w:val="0042654E"/>
    <w:rsid w:val="00430094"/>
    <w:rsid w:val="00432357"/>
    <w:rsid w:val="0044368B"/>
    <w:rsid w:val="0044390F"/>
    <w:rsid w:val="00443B1F"/>
    <w:rsid w:val="004443B7"/>
    <w:rsid w:val="00445346"/>
    <w:rsid w:val="00445B7E"/>
    <w:rsid w:val="0044659F"/>
    <w:rsid w:val="0044670C"/>
    <w:rsid w:val="00462A53"/>
    <w:rsid w:val="0046519F"/>
    <w:rsid w:val="0047534A"/>
    <w:rsid w:val="004804C8"/>
    <w:rsid w:val="004822DF"/>
    <w:rsid w:val="004847A0"/>
    <w:rsid w:val="00492F24"/>
    <w:rsid w:val="004947BC"/>
    <w:rsid w:val="004A068E"/>
    <w:rsid w:val="004A4984"/>
    <w:rsid w:val="004B6BB9"/>
    <w:rsid w:val="004D3A1D"/>
    <w:rsid w:val="004D6F36"/>
    <w:rsid w:val="004D77E0"/>
    <w:rsid w:val="004E029B"/>
    <w:rsid w:val="004E2579"/>
    <w:rsid w:val="004E401E"/>
    <w:rsid w:val="004E472B"/>
    <w:rsid w:val="004F05AA"/>
    <w:rsid w:val="004F1692"/>
    <w:rsid w:val="004F63BC"/>
    <w:rsid w:val="00501DB9"/>
    <w:rsid w:val="0050251E"/>
    <w:rsid w:val="00505946"/>
    <w:rsid w:val="00506D83"/>
    <w:rsid w:val="00510736"/>
    <w:rsid w:val="00512D1B"/>
    <w:rsid w:val="00517C00"/>
    <w:rsid w:val="00522FDF"/>
    <w:rsid w:val="00523CFD"/>
    <w:rsid w:val="0052783F"/>
    <w:rsid w:val="00527B0E"/>
    <w:rsid w:val="00534ABC"/>
    <w:rsid w:val="005350B0"/>
    <w:rsid w:val="00536715"/>
    <w:rsid w:val="00536910"/>
    <w:rsid w:val="0054059F"/>
    <w:rsid w:val="00550A90"/>
    <w:rsid w:val="0055266E"/>
    <w:rsid w:val="00553EA1"/>
    <w:rsid w:val="005623C2"/>
    <w:rsid w:val="0056631B"/>
    <w:rsid w:val="00566DEE"/>
    <w:rsid w:val="005703F4"/>
    <w:rsid w:val="00572ADE"/>
    <w:rsid w:val="00573D57"/>
    <w:rsid w:val="00577182"/>
    <w:rsid w:val="005A1AED"/>
    <w:rsid w:val="005A2FEC"/>
    <w:rsid w:val="005B6E49"/>
    <w:rsid w:val="005C0063"/>
    <w:rsid w:val="005C27AE"/>
    <w:rsid w:val="005C5755"/>
    <w:rsid w:val="005C66DD"/>
    <w:rsid w:val="005D15C4"/>
    <w:rsid w:val="005D316B"/>
    <w:rsid w:val="005D401E"/>
    <w:rsid w:val="005D62E0"/>
    <w:rsid w:val="005D630D"/>
    <w:rsid w:val="005D699A"/>
    <w:rsid w:val="005D79C6"/>
    <w:rsid w:val="005E51AD"/>
    <w:rsid w:val="005F0222"/>
    <w:rsid w:val="005F2B54"/>
    <w:rsid w:val="005F5512"/>
    <w:rsid w:val="005F5748"/>
    <w:rsid w:val="005F798C"/>
    <w:rsid w:val="005F7E7C"/>
    <w:rsid w:val="00600FDE"/>
    <w:rsid w:val="00601159"/>
    <w:rsid w:val="00601EC9"/>
    <w:rsid w:val="006020FE"/>
    <w:rsid w:val="006042E9"/>
    <w:rsid w:val="00604A25"/>
    <w:rsid w:val="0060666A"/>
    <w:rsid w:val="00611E7A"/>
    <w:rsid w:val="00613E69"/>
    <w:rsid w:val="00615654"/>
    <w:rsid w:val="00616AB5"/>
    <w:rsid w:val="00617223"/>
    <w:rsid w:val="0062033E"/>
    <w:rsid w:val="00624CCA"/>
    <w:rsid w:val="00625FDB"/>
    <w:rsid w:val="00626545"/>
    <w:rsid w:val="006266F2"/>
    <w:rsid w:val="00626758"/>
    <w:rsid w:val="00635042"/>
    <w:rsid w:val="0064329F"/>
    <w:rsid w:val="0064373F"/>
    <w:rsid w:val="00643D29"/>
    <w:rsid w:val="006512CB"/>
    <w:rsid w:val="00653939"/>
    <w:rsid w:val="00653F15"/>
    <w:rsid w:val="00655299"/>
    <w:rsid w:val="0065556E"/>
    <w:rsid w:val="00656222"/>
    <w:rsid w:val="00662A21"/>
    <w:rsid w:val="0067171D"/>
    <w:rsid w:val="006738BA"/>
    <w:rsid w:val="00676B70"/>
    <w:rsid w:val="006860C8"/>
    <w:rsid w:val="00686C64"/>
    <w:rsid w:val="00690FD1"/>
    <w:rsid w:val="00692300"/>
    <w:rsid w:val="00693519"/>
    <w:rsid w:val="00693951"/>
    <w:rsid w:val="006A2812"/>
    <w:rsid w:val="006A63C6"/>
    <w:rsid w:val="006B1750"/>
    <w:rsid w:val="006B2111"/>
    <w:rsid w:val="006D0223"/>
    <w:rsid w:val="006D1849"/>
    <w:rsid w:val="006D41C6"/>
    <w:rsid w:val="006D6FC6"/>
    <w:rsid w:val="006E06C6"/>
    <w:rsid w:val="006E7CE3"/>
    <w:rsid w:val="006F1AB1"/>
    <w:rsid w:val="006F740B"/>
    <w:rsid w:val="006F797A"/>
    <w:rsid w:val="007051F6"/>
    <w:rsid w:val="00710C96"/>
    <w:rsid w:val="00713E5C"/>
    <w:rsid w:val="007221C6"/>
    <w:rsid w:val="007224CC"/>
    <w:rsid w:val="00726EDA"/>
    <w:rsid w:val="0072734E"/>
    <w:rsid w:val="007313A3"/>
    <w:rsid w:val="00733D0A"/>
    <w:rsid w:val="00737CC5"/>
    <w:rsid w:val="007400CB"/>
    <w:rsid w:val="007428B8"/>
    <w:rsid w:val="00746164"/>
    <w:rsid w:val="00746ED5"/>
    <w:rsid w:val="007514ED"/>
    <w:rsid w:val="0075228B"/>
    <w:rsid w:val="007537F1"/>
    <w:rsid w:val="007566B5"/>
    <w:rsid w:val="007617EF"/>
    <w:rsid w:val="007641C6"/>
    <w:rsid w:val="00764466"/>
    <w:rsid w:val="00764AEB"/>
    <w:rsid w:val="007651B6"/>
    <w:rsid w:val="00772605"/>
    <w:rsid w:val="00775131"/>
    <w:rsid w:val="00775390"/>
    <w:rsid w:val="00780B44"/>
    <w:rsid w:val="00780BB6"/>
    <w:rsid w:val="007913E7"/>
    <w:rsid w:val="007937C5"/>
    <w:rsid w:val="00796487"/>
    <w:rsid w:val="00797DB9"/>
    <w:rsid w:val="007A2A8F"/>
    <w:rsid w:val="007A322B"/>
    <w:rsid w:val="007A7F71"/>
    <w:rsid w:val="007B1138"/>
    <w:rsid w:val="007B13D6"/>
    <w:rsid w:val="007B3702"/>
    <w:rsid w:val="007C0EAE"/>
    <w:rsid w:val="007C1A27"/>
    <w:rsid w:val="007C5697"/>
    <w:rsid w:val="007D56A4"/>
    <w:rsid w:val="007D5DE7"/>
    <w:rsid w:val="007D6A8F"/>
    <w:rsid w:val="007F0B66"/>
    <w:rsid w:val="007F2744"/>
    <w:rsid w:val="007F370D"/>
    <w:rsid w:val="007F74F0"/>
    <w:rsid w:val="00801691"/>
    <w:rsid w:val="008026B6"/>
    <w:rsid w:val="0080433D"/>
    <w:rsid w:val="00806E78"/>
    <w:rsid w:val="00810E2A"/>
    <w:rsid w:val="008223B1"/>
    <w:rsid w:val="00822709"/>
    <w:rsid w:val="00822A4F"/>
    <w:rsid w:val="00824E44"/>
    <w:rsid w:val="00833E64"/>
    <w:rsid w:val="0083556E"/>
    <w:rsid w:val="008448EB"/>
    <w:rsid w:val="00846CA4"/>
    <w:rsid w:val="00854DB4"/>
    <w:rsid w:val="00860B77"/>
    <w:rsid w:val="0086465D"/>
    <w:rsid w:val="00865F72"/>
    <w:rsid w:val="00874104"/>
    <w:rsid w:val="00875C6D"/>
    <w:rsid w:val="00876B82"/>
    <w:rsid w:val="00876EEC"/>
    <w:rsid w:val="00882FC1"/>
    <w:rsid w:val="008855A9"/>
    <w:rsid w:val="008909EE"/>
    <w:rsid w:val="00893F0E"/>
    <w:rsid w:val="008948F7"/>
    <w:rsid w:val="00895488"/>
    <w:rsid w:val="008B0CD4"/>
    <w:rsid w:val="008C0805"/>
    <w:rsid w:val="008C3025"/>
    <w:rsid w:val="008C58CC"/>
    <w:rsid w:val="008C5BBA"/>
    <w:rsid w:val="008D6D9B"/>
    <w:rsid w:val="008E233F"/>
    <w:rsid w:val="008E2F92"/>
    <w:rsid w:val="008E51BB"/>
    <w:rsid w:val="008F23C0"/>
    <w:rsid w:val="008F75E6"/>
    <w:rsid w:val="008F7BC4"/>
    <w:rsid w:val="00900358"/>
    <w:rsid w:val="009048C1"/>
    <w:rsid w:val="00906D8D"/>
    <w:rsid w:val="009073F5"/>
    <w:rsid w:val="0091117B"/>
    <w:rsid w:val="00920525"/>
    <w:rsid w:val="009302B6"/>
    <w:rsid w:val="00931B4D"/>
    <w:rsid w:val="00932529"/>
    <w:rsid w:val="0093667F"/>
    <w:rsid w:val="00943771"/>
    <w:rsid w:val="0094608C"/>
    <w:rsid w:val="00956294"/>
    <w:rsid w:val="00957C5D"/>
    <w:rsid w:val="00961D08"/>
    <w:rsid w:val="00964360"/>
    <w:rsid w:val="00965623"/>
    <w:rsid w:val="00973C53"/>
    <w:rsid w:val="009748A2"/>
    <w:rsid w:val="0097738C"/>
    <w:rsid w:val="00980457"/>
    <w:rsid w:val="00981CC8"/>
    <w:rsid w:val="009876A4"/>
    <w:rsid w:val="00990AF8"/>
    <w:rsid w:val="0099125C"/>
    <w:rsid w:val="0099535D"/>
    <w:rsid w:val="009A0F9C"/>
    <w:rsid w:val="009A105B"/>
    <w:rsid w:val="009A1362"/>
    <w:rsid w:val="009A3A1F"/>
    <w:rsid w:val="009A74AF"/>
    <w:rsid w:val="009B04E1"/>
    <w:rsid w:val="009C2FCD"/>
    <w:rsid w:val="009D5028"/>
    <w:rsid w:val="009E1BA2"/>
    <w:rsid w:val="009F3F9D"/>
    <w:rsid w:val="009F5471"/>
    <w:rsid w:val="00A03777"/>
    <w:rsid w:val="00A056E5"/>
    <w:rsid w:val="00A067F5"/>
    <w:rsid w:val="00A07F42"/>
    <w:rsid w:val="00A12675"/>
    <w:rsid w:val="00A148BF"/>
    <w:rsid w:val="00A14F7A"/>
    <w:rsid w:val="00A16315"/>
    <w:rsid w:val="00A210DE"/>
    <w:rsid w:val="00A30B3C"/>
    <w:rsid w:val="00A34A51"/>
    <w:rsid w:val="00A36CD5"/>
    <w:rsid w:val="00A41225"/>
    <w:rsid w:val="00A43C84"/>
    <w:rsid w:val="00A4553C"/>
    <w:rsid w:val="00A51E6F"/>
    <w:rsid w:val="00A5345E"/>
    <w:rsid w:val="00A538C9"/>
    <w:rsid w:val="00A552D0"/>
    <w:rsid w:val="00A55B07"/>
    <w:rsid w:val="00A55FA6"/>
    <w:rsid w:val="00A60392"/>
    <w:rsid w:val="00A662CC"/>
    <w:rsid w:val="00A67820"/>
    <w:rsid w:val="00A7039F"/>
    <w:rsid w:val="00A74797"/>
    <w:rsid w:val="00A810CB"/>
    <w:rsid w:val="00A81CC6"/>
    <w:rsid w:val="00A84B9D"/>
    <w:rsid w:val="00A855D2"/>
    <w:rsid w:val="00A87AE1"/>
    <w:rsid w:val="00A934D2"/>
    <w:rsid w:val="00AA171D"/>
    <w:rsid w:val="00AB3B5B"/>
    <w:rsid w:val="00AB3E00"/>
    <w:rsid w:val="00AB7362"/>
    <w:rsid w:val="00AC0F7B"/>
    <w:rsid w:val="00AC2F3E"/>
    <w:rsid w:val="00AC335E"/>
    <w:rsid w:val="00AC3695"/>
    <w:rsid w:val="00AC4A29"/>
    <w:rsid w:val="00AC7B4B"/>
    <w:rsid w:val="00AD0ECC"/>
    <w:rsid w:val="00AE4375"/>
    <w:rsid w:val="00AE60CE"/>
    <w:rsid w:val="00AF2248"/>
    <w:rsid w:val="00AF4E63"/>
    <w:rsid w:val="00AF6963"/>
    <w:rsid w:val="00B04455"/>
    <w:rsid w:val="00B06187"/>
    <w:rsid w:val="00B10167"/>
    <w:rsid w:val="00B13859"/>
    <w:rsid w:val="00B171A5"/>
    <w:rsid w:val="00B24747"/>
    <w:rsid w:val="00B30CE8"/>
    <w:rsid w:val="00B30F34"/>
    <w:rsid w:val="00B40C0D"/>
    <w:rsid w:val="00B43C92"/>
    <w:rsid w:val="00B47952"/>
    <w:rsid w:val="00B509B8"/>
    <w:rsid w:val="00B5724B"/>
    <w:rsid w:val="00B5751C"/>
    <w:rsid w:val="00B663C6"/>
    <w:rsid w:val="00B723BE"/>
    <w:rsid w:val="00B72477"/>
    <w:rsid w:val="00B82705"/>
    <w:rsid w:val="00B85536"/>
    <w:rsid w:val="00B86263"/>
    <w:rsid w:val="00B940F3"/>
    <w:rsid w:val="00B9547B"/>
    <w:rsid w:val="00B97B40"/>
    <w:rsid w:val="00BA0DEB"/>
    <w:rsid w:val="00BA2160"/>
    <w:rsid w:val="00BA257A"/>
    <w:rsid w:val="00BA3E40"/>
    <w:rsid w:val="00BA695B"/>
    <w:rsid w:val="00BB0C27"/>
    <w:rsid w:val="00BB2084"/>
    <w:rsid w:val="00BC2EA2"/>
    <w:rsid w:val="00BC41D2"/>
    <w:rsid w:val="00BD0A6E"/>
    <w:rsid w:val="00BE214F"/>
    <w:rsid w:val="00BE28F6"/>
    <w:rsid w:val="00BE33AD"/>
    <w:rsid w:val="00BE5B9E"/>
    <w:rsid w:val="00BE5EC9"/>
    <w:rsid w:val="00BF2DEF"/>
    <w:rsid w:val="00BF2F73"/>
    <w:rsid w:val="00BF4981"/>
    <w:rsid w:val="00BF6947"/>
    <w:rsid w:val="00C03809"/>
    <w:rsid w:val="00C04E43"/>
    <w:rsid w:val="00C06F70"/>
    <w:rsid w:val="00C10145"/>
    <w:rsid w:val="00C119D0"/>
    <w:rsid w:val="00C123C5"/>
    <w:rsid w:val="00C136FE"/>
    <w:rsid w:val="00C17809"/>
    <w:rsid w:val="00C22E87"/>
    <w:rsid w:val="00C27D57"/>
    <w:rsid w:val="00C32324"/>
    <w:rsid w:val="00C33D77"/>
    <w:rsid w:val="00C51EB2"/>
    <w:rsid w:val="00C52649"/>
    <w:rsid w:val="00C543F1"/>
    <w:rsid w:val="00C556D9"/>
    <w:rsid w:val="00C614C5"/>
    <w:rsid w:val="00C6157E"/>
    <w:rsid w:val="00C61594"/>
    <w:rsid w:val="00C6467A"/>
    <w:rsid w:val="00C75520"/>
    <w:rsid w:val="00C82CBA"/>
    <w:rsid w:val="00C9454F"/>
    <w:rsid w:val="00CA279C"/>
    <w:rsid w:val="00CA403F"/>
    <w:rsid w:val="00CA7B2E"/>
    <w:rsid w:val="00CB1157"/>
    <w:rsid w:val="00CB1F2B"/>
    <w:rsid w:val="00CB5B55"/>
    <w:rsid w:val="00CB5F98"/>
    <w:rsid w:val="00CB78EA"/>
    <w:rsid w:val="00CC64F3"/>
    <w:rsid w:val="00CC762F"/>
    <w:rsid w:val="00CC7C73"/>
    <w:rsid w:val="00CD2384"/>
    <w:rsid w:val="00CD4190"/>
    <w:rsid w:val="00CD587E"/>
    <w:rsid w:val="00CE1185"/>
    <w:rsid w:val="00CE1C84"/>
    <w:rsid w:val="00CE5445"/>
    <w:rsid w:val="00CF005B"/>
    <w:rsid w:val="00CF123E"/>
    <w:rsid w:val="00CF1C86"/>
    <w:rsid w:val="00D01A4B"/>
    <w:rsid w:val="00D04218"/>
    <w:rsid w:val="00D04B9C"/>
    <w:rsid w:val="00D04BE9"/>
    <w:rsid w:val="00D04F26"/>
    <w:rsid w:val="00D063E8"/>
    <w:rsid w:val="00D10C5B"/>
    <w:rsid w:val="00D17BF8"/>
    <w:rsid w:val="00D24358"/>
    <w:rsid w:val="00D25D7C"/>
    <w:rsid w:val="00D30241"/>
    <w:rsid w:val="00D321A0"/>
    <w:rsid w:val="00D32720"/>
    <w:rsid w:val="00D32D04"/>
    <w:rsid w:val="00D40D9A"/>
    <w:rsid w:val="00D41AFB"/>
    <w:rsid w:val="00D45927"/>
    <w:rsid w:val="00D47DAB"/>
    <w:rsid w:val="00D5115F"/>
    <w:rsid w:val="00D549A5"/>
    <w:rsid w:val="00D60F7C"/>
    <w:rsid w:val="00D62E6C"/>
    <w:rsid w:val="00D66BD4"/>
    <w:rsid w:val="00D70EF6"/>
    <w:rsid w:val="00D743CB"/>
    <w:rsid w:val="00D7709D"/>
    <w:rsid w:val="00D840D9"/>
    <w:rsid w:val="00D84454"/>
    <w:rsid w:val="00D84F5E"/>
    <w:rsid w:val="00D8667C"/>
    <w:rsid w:val="00D86AB9"/>
    <w:rsid w:val="00D86D6E"/>
    <w:rsid w:val="00D93B6C"/>
    <w:rsid w:val="00D960D6"/>
    <w:rsid w:val="00DA0371"/>
    <w:rsid w:val="00DA33DB"/>
    <w:rsid w:val="00DA5BD6"/>
    <w:rsid w:val="00DB0530"/>
    <w:rsid w:val="00DB0B85"/>
    <w:rsid w:val="00DB583A"/>
    <w:rsid w:val="00DC2D10"/>
    <w:rsid w:val="00DC5D44"/>
    <w:rsid w:val="00DC7140"/>
    <w:rsid w:val="00DD1963"/>
    <w:rsid w:val="00DD20CC"/>
    <w:rsid w:val="00DD2715"/>
    <w:rsid w:val="00DD3CAA"/>
    <w:rsid w:val="00DE4A46"/>
    <w:rsid w:val="00DE5F87"/>
    <w:rsid w:val="00DE6C3F"/>
    <w:rsid w:val="00DE6CE6"/>
    <w:rsid w:val="00DF4180"/>
    <w:rsid w:val="00DF44EC"/>
    <w:rsid w:val="00DF5940"/>
    <w:rsid w:val="00DF6924"/>
    <w:rsid w:val="00E037E7"/>
    <w:rsid w:val="00E05555"/>
    <w:rsid w:val="00E06196"/>
    <w:rsid w:val="00E068A8"/>
    <w:rsid w:val="00E165C8"/>
    <w:rsid w:val="00E222D6"/>
    <w:rsid w:val="00E254E8"/>
    <w:rsid w:val="00E26EF7"/>
    <w:rsid w:val="00E30187"/>
    <w:rsid w:val="00E3139E"/>
    <w:rsid w:val="00E327CC"/>
    <w:rsid w:val="00E34492"/>
    <w:rsid w:val="00E370EE"/>
    <w:rsid w:val="00E40DAF"/>
    <w:rsid w:val="00E42A19"/>
    <w:rsid w:val="00E47ED1"/>
    <w:rsid w:val="00E60AC3"/>
    <w:rsid w:val="00E617D5"/>
    <w:rsid w:val="00E64E5A"/>
    <w:rsid w:val="00E7119A"/>
    <w:rsid w:val="00E91B0F"/>
    <w:rsid w:val="00E93645"/>
    <w:rsid w:val="00E95F8E"/>
    <w:rsid w:val="00E97241"/>
    <w:rsid w:val="00EA1CFC"/>
    <w:rsid w:val="00EA3F88"/>
    <w:rsid w:val="00EA4366"/>
    <w:rsid w:val="00EA5072"/>
    <w:rsid w:val="00EA7D4F"/>
    <w:rsid w:val="00EB0FB1"/>
    <w:rsid w:val="00EB161B"/>
    <w:rsid w:val="00EB16F7"/>
    <w:rsid w:val="00EB3474"/>
    <w:rsid w:val="00EB45AE"/>
    <w:rsid w:val="00EC0A87"/>
    <w:rsid w:val="00EC504C"/>
    <w:rsid w:val="00EC5E84"/>
    <w:rsid w:val="00ED14A8"/>
    <w:rsid w:val="00ED3384"/>
    <w:rsid w:val="00ED45A1"/>
    <w:rsid w:val="00ED6047"/>
    <w:rsid w:val="00EE0C5F"/>
    <w:rsid w:val="00EE111F"/>
    <w:rsid w:val="00EF48D3"/>
    <w:rsid w:val="00EF738A"/>
    <w:rsid w:val="00F1381E"/>
    <w:rsid w:val="00F1767A"/>
    <w:rsid w:val="00F20EF8"/>
    <w:rsid w:val="00F22078"/>
    <w:rsid w:val="00F26482"/>
    <w:rsid w:val="00F33F56"/>
    <w:rsid w:val="00F37D5F"/>
    <w:rsid w:val="00F40510"/>
    <w:rsid w:val="00F408AD"/>
    <w:rsid w:val="00F4363E"/>
    <w:rsid w:val="00F4528A"/>
    <w:rsid w:val="00F46D87"/>
    <w:rsid w:val="00F4767B"/>
    <w:rsid w:val="00F6376E"/>
    <w:rsid w:val="00F70DEB"/>
    <w:rsid w:val="00F71A65"/>
    <w:rsid w:val="00F722F5"/>
    <w:rsid w:val="00F77C0B"/>
    <w:rsid w:val="00F80DA7"/>
    <w:rsid w:val="00F8125C"/>
    <w:rsid w:val="00F87AD8"/>
    <w:rsid w:val="00F90654"/>
    <w:rsid w:val="00F92846"/>
    <w:rsid w:val="00FA1AB6"/>
    <w:rsid w:val="00FA2014"/>
    <w:rsid w:val="00FA35C6"/>
    <w:rsid w:val="00FA4439"/>
    <w:rsid w:val="00FA6693"/>
    <w:rsid w:val="00FB12FA"/>
    <w:rsid w:val="00FB178F"/>
    <w:rsid w:val="00FB3113"/>
    <w:rsid w:val="00FC1FCE"/>
    <w:rsid w:val="00FD11D8"/>
    <w:rsid w:val="00FD1BA1"/>
    <w:rsid w:val="00FD203A"/>
    <w:rsid w:val="00FD233F"/>
    <w:rsid w:val="00FD2F30"/>
    <w:rsid w:val="00FD5AE4"/>
    <w:rsid w:val="00FE1B0F"/>
    <w:rsid w:val="00FE3007"/>
    <w:rsid w:val="00FE4927"/>
    <w:rsid w:val="00FE4BD6"/>
    <w:rsid w:val="00FE75F5"/>
    <w:rsid w:val="00FF0480"/>
    <w:rsid w:val="00FF1AD2"/>
    <w:rsid w:val="00FF277C"/>
    <w:rsid w:val="00FF2E75"/>
    <w:rsid w:val="00FF3523"/>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3062"/>
    <w:pPr>
      <w:keepNext/>
      <w:keepLines/>
      <w:spacing w:before="240" w:after="240" w:line="240" w:lineRule="auto"/>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073062"/>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C04E43"/>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2031D1"/>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3062"/>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7306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04E43"/>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031D1"/>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C2DB3"/>
    <w:rPr>
      <w:color w:val="605E5C"/>
      <w:shd w:val="clear" w:color="auto" w:fill="E1DFDD"/>
    </w:rPr>
  </w:style>
  <w:style w:type="character" w:styleId="FollowedHyperlink">
    <w:name w:val="FollowedHyperlink"/>
    <w:basedOn w:val="DefaultParagraphFont"/>
    <w:uiPriority w:val="99"/>
    <w:semiHidden/>
    <w:unhideWhenUsed/>
    <w:rsid w:val="00195642"/>
    <w:rPr>
      <w:color w:val="954F72" w:themeColor="followedHyperlink"/>
      <w:u w:val="single"/>
    </w:rPr>
  </w:style>
  <w:style w:type="table" w:styleId="TableGrid">
    <w:name w:val="Table Grid"/>
    <w:basedOn w:val="TableNormal"/>
    <w:uiPriority w:val="39"/>
    <w:rsid w:val="00D1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145"/>
    <w:rPr>
      <w:sz w:val="16"/>
      <w:szCs w:val="16"/>
    </w:rPr>
  </w:style>
  <w:style w:type="paragraph" w:styleId="CommentText">
    <w:name w:val="annotation text"/>
    <w:basedOn w:val="Normal"/>
    <w:link w:val="CommentTextChar"/>
    <w:uiPriority w:val="99"/>
    <w:semiHidden/>
    <w:unhideWhenUsed/>
    <w:rsid w:val="00C10145"/>
    <w:pPr>
      <w:spacing w:line="240" w:lineRule="auto"/>
    </w:pPr>
    <w:rPr>
      <w:sz w:val="20"/>
      <w:szCs w:val="20"/>
    </w:rPr>
  </w:style>
  <w:style w:type="character" w:customStyle="1" w:styleId="CommentTextChar">
    <w:name w:val="Comment Text Char"/>
    <w:basedOn w:val="DefaultParagraphFont"/>
    <w:link w:val="CommentText"/>
    <w:uiPriority w:val="99"/>
    <w:semiHidden/>
    <w:rsid w:val="00C1014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10145"/>
    <w:rPr>
      <w:b/>
      <w:bCs/>
    </w:rPr>
  </w:style>
  <w:style w:type="character" w:customStyle="1" w:styleId="CommentSubjectChar">
    <w:name w:val="Comment Subject Char"/>
    <w:basedOn w:val="CommentTextChar"/>
    <w:link w:val="CommentSubject"/>
    <w:uiPriority w:val="99"/>
    <w:semiHidden/>
    <w:rsid w:val="00C10145"/>
    <w:rPr>
      <w:rFonts w:ascii="Arial" w:eastAsia="Times New Roman" w:hAnsi="Arial" w:cs="Times New Roman"/>
      <w:b/>
      <w:bCs/>
      <w:sz w:val="20"/>
      <w:szCs w:val="20"/>
    </w:rPr>
  </w:style>
  <w:style w:type="paragraph" w:styleId="Revision">
    <w:name w:val="Revision"/>
    <w:hidden/>
    <w:uiPriority w:val="99"/>
    <w:semiHidden/>
    <w:rsid w:val="00A810C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be/ag/ag/yr20/agenda202003.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7</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April 2021 ACCS Agenda Item 02 - Advisory Commission on Charter Schools (CA State Board of Education)</vt:lpstr>
    </vt:vector>
  </TitlesOfParts>
  <Company>CA Department of Education</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2021 ACCS Agenda Item 02 - Advisory Commission on Charter Schools (CA State Board of Education)</dc:title>
  <dc:subject>Revision of a Funding Determination as Required for Nonclassroom-Based Charter Schools Pursuant to California EC sections 47612.5 and 47634.2, CCRs, Title 5 Section 11963.6(a), and Associated CCRs, Title 5.</dc:subject>
  <dc:creator/>
  <cp:keywords/>
  <dc:description/>
  <cp:lastModifiedBy>Jonathan Yu</cp:lastModifiedBy>
  <cp:revision>25</cp:revision>
  <cp:lastPrinted>2020-03-16T21:00:00Z</cp:lastPrinted>
  <dcterms:created xsi:type="dcterms:W3CDTF">2021-03-15T15:40:00Z</dcterms:created>
  <dcterms:modified xsi:type="dcterms:W3CDTF">2021-04-02T14:54:00Z</dcterms:modified>
</cp:coreProperties>
</file>