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7A9CB" w14:textId="77777777" w:rsidR="00057A96" w:rsidRDefault="00057A96" w:rsidP="00057A96">
      <w:bookmarkStart w:id="0" w:name="_GoBack"/>
      <w:bookmarkEnd w:id="0"/>
      <w:r>
        <w:t>California Department of Education</w:t>
      </w:r>
    </w:p>
    <w:p w14:paraId="732982B8" w14:textId="77777777" w:rsidR="00057A96" w:rsidRDefault="00057A96" w:rsidP="00057A96">
      <w:r>
        <w:t>Executive Office</w:t>
      </w:r>
    </w:p>
    <w:p w14:paraId="1A88D2F8" w14:textId="77777777" w:rsidR="00982A10" w:rsidRDefault="00057A96" w:rsidP="00982A10">
      <w:r>
        <w:t>SBE-00</w:t>
      </w:r>
      <w:r w:rsidR="00BC376B">
        <w:t>2</w:t>
      </w:r>
      <w:r>
        <w:t xml:space="preserve"> (REV. 1</w:t>
      </w:r>
      <w:r w:rsidR="000C139F">
        <w:t>1</w:t>
      </w:r>
      <w:r>
        <w:t>/2017)</w:t>
      </w:r>
    </w:p>
    <w:p w14:paraId="0E122CF8" w14:textId="77777777" w:rsidR="00982A10" w:rsidRDefault="00982A10" w:rsidP="00250AD6">
      <w:pPr>
        <w:jc w:val="right"/>
      </w:pPr>
      <w:r>
        <w:br w:type="column"/>
      </w:r>
      <w:r w:rsidR="002858DC" w:rsidRPr="002858DC">
        <w:t>memo-sssb-cctd-aug22item01</w:t>
      </w:r>
    </w:p>
    <w:p w14:paraId="6A53D466" w14:textId="77777777" w:rsidR="00982A10" w:rsidRDefault="00982A10" w:rsidP="0033616F">
      <w:pPr>
        <w:pStyle w:val="Heading1"/>
        <w:spacing w:line="360" w:lineRule="auto"/>
        <w:rPr>
          <w:rFonts w:ascii="Arial" w:hAnsi="Arial" w:cs="Arial"/>
          <w:b/>
          <w:color w:val="auto"/>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14:paraId="2D0830A3"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2E3EA00D" w14:textId="77777777" w:rsidR="00057A96" w:rsidRPr="008B1135" w:rsidRDefault="008F6CA0" w:rsidP="00C4203F">
      <w:pPr>
        <w:pStyle w:val="MessageHeader"/>
      </w:pPr>
      <w:r w:rsidRPr="008F6CA0">
        <w:rPr>
          <w:b/>
        </w:rPr>
        <w:t>DATE:</w:t>
      </w:r>
      <w:r w:rsidR="002D2710">
        <w:tab/>
        <w:t>August 1</w:t>
      </w:r>
      <w:r w:rsidR="00D1437F">
        <w:t>9</w:t>
      </w:r>
      <w:r w:rsidR="002D2710">
        <w:t>, 2022</w:t>
      </w:r>
      <w:r w:rsidR="00057A96" w:rsidRPr="008B1135">
        <w:t xml:space="preserve"> </w:t>
      </w:r>
    </w:p>
    <w:p w14:paraId="338EED76" w14:textId="77777777" w:rsidR="00057A96" w:rsidRPr="00C61F78" w:rsidRDefault="00057A96" w:rsidP="00C4203F">
      <w:pPr>
        <w:pStyle w:val="MessageHeader"/>
      </w:pPr>
      <w:r w:rsidRPr="008B1135">
        <w:rPr>
          <w:b/>
        </w:rPr>
        <w:t>TO:</w:t>
      </w:r>
      <w:r w:rsidRPr="00C61F78">
        <w:rPr>
          <w:b/>
        </w:rPr>
        <w:tab/>
      </w:r>
      <w:r w:rsidRPr="00C61F78">
        <w:t>MEMBERS, State Board of Education</w:t>
      </w:r>
      <w:r w:rsidRPr="00C61F78">
        <w:tab/>
      </w:r>
    </w:p>
    <w:p w14:paraId="0D38A070" w14:textId="77777777" w:rsidR="00057A96" w:rsidRPr="0033616F" w:rsidRDefault="00057A96" w:rsidP="00C4203F">
      <w:pPr>
        <w:pStyle w:val="MessageHeader"/>
      </w:pPr>
      <w:r w:rsidRPr="008B1135">
        <w:rPr>
          <w:b/>
        </w:rPr>
        <w:t>FROM:</w:t>
      </w:r>
      <w:r w:rsidR="00C61F78">
        <w:tab/>
        <w:t>TO</w:t>
      </w:r>
      <w:r w:rsidR="001D4A5B">
        <w:t>NY THURMOND</w:t>
      </w:r>
      <w:r w:rsidR="00C61F78">
        <w:t xml:space="preserve">, </w:t>
      </w:r>
      <w:r w:rsidRPr="0033616F">
        <w:t>State Superintendent of Public Instruction</w:t>
      </w:r>
    </w:p>
    <w:p w14:paraId="506F90A0" w14:textId="77777777" w:rsidR="00057A96" w:rsidRPr="00C61F78" w:rsidRDefault="00057A96" w:rsidP="00C4203F">
      <w:pPr>
        <w:pStyle w:val="MessageHeader"/>
      </w:pPr>
      <w:r w:rsidRPr="008B1135">
        <w:rPr>
          <w:b/>
        </w:rPr>
        <w:t>SUBJECT:</w:t>
      </w:r>
      <w:r w:rsidRPr="00C61F78">
        <w:rPr>
          <w:b/>
        </w:rPr>
        <w:tab/>
      </w:r>
      <w:r w:rsidR="00B35954">
        <w:t>Update on the California Community Schools Partnership Program</w:t>
      </w:r>
    </w:p>
    <w:p w14:paraId="630C1CD8" w14:textId="77777777" w:rsidR="00057A96" w:rsidRDefault="00474A2F" w:rsidP="002D2710">
      <w:pPr>
        <w:pStyle w:val="Heading2"/>
        <w:spacing w:before="240" w:after="0" w:line="360" w:lineRule="auto"/>
        <w:rPr>
          <w:sz w:val="36"/>
        </w:rPr>
      </w:pPr>
      <w:r>
        <w:rPr>
          <w:sz w:val="36"/>
        </w:rPr>
        <w:t>Summary o</w:t>
      </w:r>
      <w:r w:rsidR="00057A96" w:rsidRPr="008B1135">
        <w:rPr>
          <w:sz w:val="36"/>
        </w:rPr>
        <w:t>f Key Issues</w:t>
      </w:r>
    </w:p>
    <w:p w14:paraId="62BB78B0" w14:textId="77777777" w:rsidR="002D2710" w:rsidRDefault="002D2710" w:rsidP="002D2710">
      <w:r>
        <w:t xml:space="preserve">The purpose of this communication is to update the Board on significant developments in the </w:t>
      </w:r>
      <w:r w:rsidR="00B35954">
        <w:t>California Community School Partnership Program (CCSPP)</w:t>
      </w:r>
      <w:r>
        <w:t xml:space="preserve"> in advance of a full update at the November Board meeting. </w:t>
      </w:r>
    </w:p>
    <w:p w14:paraId="4D11D932" w14:textId="77777777" w:rsidR="00C0032E" w:rsidRDefault="00C0032E" w:rsidP="002D2710"/>
    <w:p w14:paraId="40C62429" w14:textId="77777777" w:rsidR="00C0032E" w:rsidRDefault="00C0032E" w:rsidP="00C0032E">
      <w:r>
        <w:t>The key areas for</w:t>
      </w:r>
      <w:r w:rsidR="00AF4467">
        <w:t xml:space="preserve"> this Memo will include</w:t>
      </w:r>
      <w:r>
        <w:t>:</w:t>
      </w:r>
    </w:p>
    <w:p w14:paraId="0C66204D" w14:textId="77777777" w:rsidR="00AF4467" w:rsidRDefault="00C0032E" w:rsidP="00C0032E">
      <w:pPr>
        <w:pStyle w:val="ListParagraph"/>
        <w:numPr>
          <w:ilvl w:val="0"/>
          <w:numId w:val="2"/>
        </w:numPr>
      </w:pPr>
      <w:r>
        <w:t xml:space="preserve">Status Report on </w:t>
      </w:r>
      <w:r w:rsidR="00452A43">
        <w:t xml:space="preserve">Cohort 1, </w:t>
      </w:r>
      <w:r>
        <w:t>2021-22 CCSPP</w:t>
      </w:r>
      <w:r w:rsidR="00452A43">
        <w:t xml:space="preserve"> planning and implementation</w:t>
      </w:r>
      <w:r>
        <w:t xml:space="preserve"> grant</w:t>
      </w:r>
      <w:r w:rsidR="00B35954">
        <w:t>s</w:t>
      </w:r>
      <w:r w:rsidR="00F65D74">
        <w:t xml:space="preserve"> and lead Technical Assistance Center contract</w:t>
      </w:r>
    </w:p>
    <w:p w14:paraId="44F1D090" w14:textId="77777777" w:rsidR="00C0032E" w:rsidRDefault="00AF4467" w:rsidP="00C0032E">
      <w:pPr>
        <w:pStyle w:val="ListParagraph"/>
        <w:numPr>
          <w:ilvl w:val="0"/>
          <w:numId w:val="2"/>
        </w:numPr>
      </w:pPr>
      <w:r>
        <w:t xml:space="preserve">Regional TAC RFA </w:t>
      </w:r>
      <w:r w:rsidR="000530B3">
        <w:t>release, scoring and award</w:t>
      </w:r>
      <w:r>
        <w:t xml:space="preserve"> timeline</w:t>
      </w:r>
    </w:p>
    <w:p w14:paraId="0BDAECB2" w14:textId="77777777" w:rsidR="00AF4467" w:rsidRDefault="00AF4467" w:rsidP="00C0032E">
      <w:pPr>
        <w:pStyle w:val="ListParagraph"/>
        <w:numPr>
          <w:ilvl w:val="0"/>
          <w:numId w:val="2"/>
        </w:numPr>
      </w:pPr>
      <w:r>
        <w:t xml:space="preserve">Proposed timeline for </w:t>
      </w:r>
      <w:r w:rsidR="003602A6">
        <w:t>2022</w:t>
      </w:r>
      <w:r w:rsidR="00452A43">
        <w:t>-23</w:t>
      </w:r>
      <w:r w:rsidR="003602A6">
        <w:t xml:space="preserve"> </w:t>
      </w:r>
      <w:r>
        <w:t xml:space="preserve">CCSPP </w:t>
      </w:r>
      <w:r w:rsidR="003602A6">
        <w:t xml:space="preserve">planning and implementation grant RFAs for </w:t>
      </w:r>
      <w:r>
        <w:t>Cohort 2</w:t>
      </w:r>
    </w:p>
    <w:p w14:paraId="68B72DF8" w14:textId="77777777" w:rsidR="00C0032E" w:rsidRDefault="000530B3" w:rsidP="002D2710">
      <w:pPr>
        <w:pStyle w:val="ListParagraph"/>
        <w:numPr>
          <w:ilvl w:val="0"/>
          <w:numId w:val="2"/>
        </w:numPr>
      </w:pPr>
      <w:r>
        <w:t>Interim Technical Assistance Plan for Cohort 1: Fall, 2022</w:t>
      </w:r>
    </w:p>
    <w:p w14:paraId="566B83F8" w14:textId="77777777" w:rsidR="00C0032E" w:rsidRDefault="00C0032E" w:rsidP="002D2710"/>
    <w:p w14:paraId="75B2AB1D" w14:textId="77777777" w:rsidR="00B35954" w:rsidRDefault="00EA10FB" w:rsidP="00B35954">
      <w:pPr>
        <w:pStyle w:val="Heading2"/>
        <w:spacing w:before="240" w:after="0" w:line="360" w:lineRule="auto"/>
        <w:rPr>
          <w:sz w:val="36"/>
        </w:rPr>
      </w:pPr>
      <w:r>
        <w:rPr>
          <w:sz w:val="36"/>
        </w:rPr>
        <w:t>Background</w:t>
      </w:r>
    </w:p>
    <w:p w14:paraId="625B788F" w14:textId="77777777" w:rsidR="00943B5D" w:rsidRPr="00C4203F" w:rsidRDefault="00943B5D" w:rsidP="00C4203F">
      <w:pPr>
        <w:pStyle w:val="Heading3"/>
        <w:spacing w:after="240"/>
        <w:rPr>
          <w:rFonts w:ascii="Arial" w:hAnsi="Arial" w:cs="Arial"/>
          <w:b/>
          <w:color w:val="auto"/>
          <w:sz w:val="28"/>
        </w:rPr>
      </w:pPr>
      <w:r w:rsidRPr="00C4203F">
        <w:rPr>
          <w:rFonts w:ascii="Arial" w:hAnsi="Arial" w:cs="Arial"/>
          <w:b/>
          <w:color w:val="auto"/>
          <w:sz w:val="28"/>
        </w:rPr>
        <w:t>2021 California Community Schools Partnership Program (CCSPP)</w:t>
      </w:r>
    </w:p>
    <w:p w14:paraId="6A2CFE0F" w14:textId="151F510F" w:rsidR="00943B5D" w:rsidRPr="00924644" w:rsidRDefault="00943B5D" w:rsidP="00943B5D">
      <w:pPr>
        <w:autoSpaceDE w:val="0"/>
        <w:autoSpaceDN w:val="0"/>
        <w:adjustRightInd w:val="0"/>
        <w:spacing w:after="240"/>
        <w:rPr>
          <w:rFonts w:cs="Arial"/>
        </w:rPr>
      </w:pPr>
      <w:r w:rsidRPr="00924644">
        <w:rPr>
          <w:rFonts w:cs="Arial"/>
        </w:rPr>
        <w:t>In 2021</w:t>
      </w:r>
      <w:r w:rsidR="00641608">
        <w:rPr>
          <w:rFonts w:cs="Arial"/>
        </w:rPr>
        <w:t>,</w:t>
      </w:r>
      <w:r w:rsidRPr="00924644">
        <w:rPr>
          <w:rFonts w:cs="Arial"/>
        </w:rPr>
        <w:t xml:space="preserve"> the California Legislature allocated $3,015,997,000 for the CCSPP to establish new, and expand existing, community schools. Statute and the SBE-adopted California Community Schools Framework </w:t>
      </w:r>
      <w:r w:rsidR="00200B82">
        <w:rPr>
          <w:rFonts w:cs="Arial"/>
        </w:rPr>
        <w:t>(Framework)</w:t>
      </w:r>
      <w:r w:rsidR="00250AD6">
        <w:rPr>
          <w:rFonts w:cs="Arial"/>
        </w:rPr>
        <w:t>, Agenda Item 02, (</w:t>
      </w:r>
      <w:hyperlink r:id="rId8" w:tooltip="SBE Agenda for January 2022" w:history="1">
        <w:r w:rsidR="00250AD6" w:rsidRPr="0086696D">
          <w:rPr>
            <w:rStyle w:val="Hyperlink"/>
            <w:rFonts w:cs="Arial"/>
          </w:rPr>
          <w:t>https://www.cde.ca.gov/be/ag/ag/yr22/agenda202201.asp</w:t>
        </w:r>
      </w:hyperlink>
      <w:r w:rsidR="00250AD6">
        <w:rPr>
          <w:rFonts w:cs="Arial"/>
        </w:rPr>
        <w:t>)</w:t>
      </w:r>
      <w:r w:rsidR="00200B82">
        <w:rPr>
          <w:rFonts w:cs="Arial"/>
        </w:rPr>
        <w:t xml:space="preserve"> </w:t>
      </w:r>
      <w:r w:rsidRPr="00924644">
        <w:rPr>
          <w:rFonts w:cs="Arial"/>
        </w:rPr>
        <w:t xml:space="preserve">establish the CCSPP as a critical equity program that prioritizes schools with more than </w:t>
      </w:r>
      <w:r w:rsidR="00C90A98">
        <w:rPr>
          <w:rFonts w:cs="Arial"/>
        </w:rPr>
        <w:t xml:space="preserve">a </w:t>
      </w:r>
      <w:r w:rsidRPr="00924644">
        <w:rPr>
          <w:rFonts w:cs="Arial"/>
        </w:rPr>
        <w:t>80</w:t>
      </w:r>
      <w:r>
        <w:rPr>
          <w:rFonts w:cs="Arial"/>
        </w:rPr>
        <w:t xml:space="preserve"> percent</w:t>
      </w:r>
      <w:r w:rsidRPr="00924644">
        <w:rPr>
          <w:rFonts w:cs="Arial"/>
        </w:rPr>
        <w:t xml:space="preserve"> </w:t>
      </w:r>
      <w:r w:rsidRPr="00C90A98">
        <w:rPr>
          <w:rFonts w:cs="Arial"/>
        </w:rPr>
        <w:t>unduplicated</w:t>
      </w:r>
      <w:r w:rsidRPr="00924644">
        <w:rPr>
          <w:rFonts w:cs="Arial"/>
        </w:rPr>
        <w:t xml:space="preserve"> </w:t>
      </w:r>
      <w:r w:rsidR="00C90A98">
        <w:rPr>
          <w:rFonts w:cs="Arial"/>
        </w:rPr>
        <w:t>pupil count</w:t>
      </w:r>
      <w:r w:rsidRPr="00924644">
        <w:rPr>
          <w:rFonts w:cs="Arial"/>
        </w:rPr>
        <w:t xml:space="preserve">. The core practices </w:t>
      </w:r>
      <w:r w:rsidR="00457842">
        <w:rPr>
          <w:rFonts w:cs="Arial"/>
        </w:rPr>
        <w:t>th</w:t>
      </w:r>
      <w:r w:rsidR="000B1553">
        <w:rPr>
          <w:rFonts w:cs="Arial"/>
        </w:rPr>
        <w:t>at</w:t>
      </w:r>
      <w:r w:rsidR="00457842">
        <w:rPr>
          <w:rFonts w:cs="Arial"/>
        </w:rPr>
        <w:t xml:space="preserve"> </w:t>
      </w:r>
      <w:r w:rsidRPr="00924644">
        <w:rPr>
          <w:rFonts w:cs="Arial"/>
        </w:rPr>
        <w:t>guide the community schools</w:t>
      </w:r>
      <w:r w:rsidR="00452A43">
        <w:rPr>
          <w:rFonts w:cs="Arial"/>
        </w:rPr>
        <w:t>’</w:t>
      </w:r>
      <w:r w:rsidRPr="00924644">
        <w:rPr>
          <w:rFonts w:cs="Arial"/>
        </w:rPr>
        <w:t xml:space="preserve"> strategy </w:t>
      </w:r>
      <w:r w:rsidR="00457842">
        <w:rPr>
          <w:rFonts w:cs="Arial"/>
        </w:rPr>
        <w:t xml:space="preserve">are </w:t>
      </w:r>
      <w:r w:rsidR="00457842" w:rsidRPr="00924644">
        <w:rPr>
          <w:rFonts w:cs="Arial"/>
        </w:rPr>
        <w:t xml:space="preserve">assets-based and justice-driven </w:t>
      </w:r>
      <w:r w:rsidRPr="00924644">
        <w:rPr>
          <w:rFonts w:cs="Arial"/>
        </w:rPr>
        <w:t xml:space="preserve">to address longstanding opportunity gaps and disparities in student academic outcomes. </w:t>
      </w:r>
      <w:r w:rsidR="006447DB">
        <w:rPr>
          <w:rFonts w:cs="Arial"/>
        </w:rPr>
        <w:t>For general background on the community schools approach, see the October 2021 memo to the SBE</w:t>
      </w:r>
      <w:r w:rsidR="00250AD6">
        <w:rPr>
          <w:rFonts w:cs="Arial"/>
        </w:rPr>
        <w:t xml:space="preserve"> (</w:t>
      </w:r>
      <w:hyperlink r:id="rId9" w:tooltip="October 2021 Information Memoranda" w:history="1">
        <w:r w:rsidR="00250AD6" w:rsidRPr="0086696D">
          <w:rPr>
            <w:rStyle w:val="Hyperlink"/>
            <w:rFonts w:cs="Arial"/>
          </w:rPr>
          <w:t>https://www.cde.ca.gov/be/pn/im/infomem</w:t>
        </w:r>
        <w:r w:rsidR="00250AD6" w:rsidRPr="0086696D">
          <w:rPr>
            <w:rStyle w:val="Hyperlink"/>
            <w:rFonts w:cs="Arial"/>
          </w:rPr>
          <w:t>o</w:t>
        </w:r>
        <w:r w:rsidR="00250AD6" w:rsidRPr="0086696D">
          <w:rPr>
            <w:rStyle w:val="Hyperlink"/>
            <w:rFonts w:cs="Arial"/>
          </w:rPr>
          <w:t>oct2021.asp</w:t>
        </w:r>
      </w:hyperlink>
      <w:r w:rsidR="00250AD6">
        <w:rPr>
          <w:rFonts w:cs="Arial"/>
        </w:rPr>
        <w:t>)</w:t>
      </w:r>
      <w:r w:rsidR="006447DB">
        <w:rPr>
          <w:rFonts w:cs="Arial"/>
        </w:rPr>
        <w:t>.</w:t>
      </w:r>
    </w:p>
    <w:p w14:paraId="5B1B65CE" w14:textId="77777777" w:rsidR="00943B5D" w:rsidRPr="00924644" w:rsidRDefault="00943B5D" w:rsidP="00943B5D">
      <w:pPr>
        <w:autoSpaceDE w:val="0"/>
        <w:autoSpaceDN w:val="0"/>
        <w:adjustRightInd w:val="0"/>
        <w:spacing w:after="240"/>
        <w:rPr>
          <w:rFonts w:cs="Arial"/>
        </w:rPr>
      </w:pPr>
      <w:r w:rsidRPr="00924644">
        <w:rPr>
          <w:rFonts w:cs="Arial"/>
        </w:rPr>
        <w:lastRenderedPageBreak/>
        <w:t>The</w:t>
      </w:r>
      <w:r w:rsidR="00076D6D">
        <w:rPr>
          <w:rFonts w:cs="Arial"/>
        </w:rPr>
        <w:t xml:space="preserve"> 2021</w:t>
      </w:r>
      <w:r w:rsidRPr="00924644">
        <w:rPr>
          <w:rFonts w:cs="Arial"/>
        </w:rPr>
        <w:t xml:space="preserve"> legislation establishe</w:t>
      </w:r>
      <w:r w:rsidR="006F57F1">
        <w:rPr>
          <w:rFonts w:cs="Arial"/>
        </w:rPr>
        <w:t>d</w:t>
      </w:r>
      <w:r w:rsidRPr="00924644">
        <w:rPr>
          <w:rFonts w:cs="Arial"/>
        </w:rPr>
        <w:t xml:space="preserve"> three different grant opportunities and regional T</w:t>
      </w:r>
      <w:r w:rsidR="001E64F7">
        <w:rPr>
          <w:rFonts w:cs="Arial"/>
        </w:rPr>
        <w:t>echnical Assistance Centers</w:t>
      </w:r>
      <w:r w:rsidRPr="00924644">
        <w:rPr>
          <w:rFonts w:cs="Arial"/>
        </w:rPr>
        <w:t xml:space="preserve"> </w:t>
      </w:r>
      <w:r w:rsidR="001E64F7">
        <w:rPr>
          <w:rFonts w:cs="Arial"/>
        </w:rPr>
        <w:t>(TACs)</w:t>
      </w:r>
      <w:r w:rsidR="00076D6D">
        <w:rPr>
          <w:rFonts w:cs="Arial"/>
        </w:rPr>
        <w:t>,</w:t>
      </w:r>
      <w:r w:rsidR="001E64F7">
        <w:rPr>
          <w:rFonts w:cs="Arial"/>
        </w:rPr>
        <w:t xml:space="preserve"> </w:t>
      </w:r>
      <w:r w:rsidRPr="00924644">
        <w:rPr>
          <w:rFonts w:cs="Arial"/>
        </w:rPr>
        <w:t xml:space="preserve">starting in the 2021–22 program year </w:t>
      </w:r>
      <w:r w:rsidR="00076D6D">
        <w:rPr>
          <w:rFonts w:cs="Arial"/>
        </w:rPr>
        <w:t xml:space="preserve">and continuing </w:t>
      </w:r>
      <w:r w:rsidRPr="00924644">
        <w:rPr>
          <w:rFonts w:cs="Arial"/>
        </w:rPr>
        <w:t>through the 2027–28 program year, as follows:</w:t>
      </w:r>
    </w:p>
    <w:p w14:paraId="451D804E" w14:textId="77777777" w:rsidR="00943B5D" w:rsidRPr="00924644" w:rsidRDefault="00943B5D" w:rsidP="00943B5D">
      <w:pPr>
        <w:pStyle w:val="ListParagraph"/>
        <w:numPr>
          <w:ilvl w:val="0"/>
          <w:numId w:val="3"/>
        </w:numPr>
        <w:spacing w:after="240"/>
        <w:contextualSpacing w:val="0"/>
      </w:pPr>
      <w:r w:rsidRPr="00924644">
        <w:t>Planning grants (at least 10 percent of total funding = $287,416,400)</w:t>
      </w:r>
      <w:r w:rsidRPr="00924644">
        <w:rPr>
          <w:rStyle w:val="FootnoteReference"/>
          <w:rFonts w:eastAsiaTheme="majorEastAsia"/>
        </w:rPr>
        <w:footnoteReference w:id="1"/>
      </w:r>
      <w:r w:rsidRPr="00924644">
        <w:t xml:space="preserve"> for the 2021–22 and 2022–23 program years. Grants are up to $200,000 per qualifying entity for LEAs with no community schools. Planning grants have a matching requirement of one-third, with grant periods of up to two years.</w:t>
      </w:r>
    </w:p>
    <w:p w14:paraId="17CFFC77" w14:textId="77777777" w:rsidR="00943B5D" w:rsidRPr="00924644" w:rsidRDefault="00943B5D" w:rsidP="00943B5D">
      <w:pPr>
        <w:pStyle w:val="ListParagraph"/>
        <w:numPr>
          <w:ilvl w:val="0"/>
          <w:numId w:val="3"/>
        </w:numPr>
        <w:spacing w:after="240" w:line="256" w:lineRule="auto"/>
        <w:contextualSpacing w:val="0"/>
      </w:pPr>
      <w:r w:rsidRPr="00924644">
        <w:t>Implementation grants (up to 70 percent of total funding = $2,011,914,800)</w:t>
      </w:r>
      <w:r w:rsidRPr="00924644">
        <w:rPr>
          <w:rStyle w:val="FootnoteReference"/>
          <w:rFonts w:eastAsiaTheme="majorEastAsia"/>
        </w:rPr>
        <w:footnoteReference w:id="2"/>
      </w:r>
      <w:r w:rsidRPr="00924644">
        <w:t xml:space="preserve"> for the 2021-22 through 2027-28 program years. Annual grants of up to $500,000 per school site are available for new, expanded or continuing community schools, with a matching requirement of one-third. New community schools are eligible to receive funds for five years with a demonstration of progress toward the goals articulated for the program services and student outcomes.</w:t>
      </w:r>
    </w:p>
    <w:p w14:paraId="211529B0" w14:textId="77777777" w:rsidR="00943B5D" w:rsidRPr="00924644" w:rsidRDefault="00943B5D" w:rsidP="00943B5D">
      <w:pPr>
        <w:pStyle w:val="ListParagraph"/>
        <w:numPr>
          <w:ilvl w:val="0"/>
          <w:numId w:val="3"/>
        </w:numPr>
        <w:spacing w:after="240" w:line="256" w:lineRule="auto"/>
        <w:contextualSpacing w:val="0"/>
      </w:pPr>
      <w:r w:rsidRPr="00924644">
        <w:t>Coordination grants (at least 20 percent of total funding = $574,832,800)</w:t>
      </w:r>
      <w:r w:rsidRPr="00924644">
        <w:rPr>
          <w:rStyle w:val="FootnoteReference"/>
          <w:rFonts w:eastAsiaTheme="majorEastAsia"/>
        </w:rPr>
        <w:footnoteReference w:id="3"/>
      </w:r>
      <w:r w:rsidRPr="00924644">
        <w:t xml:space="preserve"> for the 2024–25 through 2027–28 program years. Grants are up to $100,000 annually per community school with a one-to-one matching funds requirement.</w:t>
      </w:r>
      <w:r w:rsidR="007A451E">
        <w:t xml:space="preserve"> (</w:t>
      </w:r>
      <w:r w:rsidR="006C7DCD">
        <w:t xml:space="preserve">Note: </w:t>
      </w:r>
      <w:r w:rsidR="007A451E">
        <w:t>Current legislation now refers to these grants as ‘extension grants.</w:t>
      </w:r>
      <w:r w:rsidR="006C7DCD">
        <w:t>’)</w:t>
      </w:r>
    </w:p>
    <w:p w14:paraId="43ED1137" w14:textId="77777777" w:rsidR="00943B5D" w:rsidRPr="001E64F7" w:rsidRDefault="00943B5D" w:rsidP="00943B5D">
      <w:pPr>
        <w:pStyle w:val="ListParagraph"/>
        <w:numPr>
          <w:ilvl w:val="0"/>
          <w:numId w:val="4"/>
        </w:numPr>
        <w:spacing w:before="240" w:after="240"/>
        <w:contextualSpacing w:val="0"/>
        <w:rPr>
          <w:b/>
          <w:bCs/>
        </w:rPr>
      </w:pPr>
      <w:r w:rsidRPr="00924644">
        <w:t xml:space="preserve">Up to $141,833,000 </w:t>
      </w:r>
      <w:r w:rsidR="003602A6">
        <w:t>wa</w:t>
      </w:r>
      <w:r w:rsidRPr="00924644">
        <w:t>s allocated to contract with LEAs to create a minimum of five regional TACs.</w:t>
      </w:r>
    </w:p>
    <w:p w14:paraId="78BA415F" w14:textId="6950AB71" w:rsidR="00AD72E7" w:rsidRDefault="00641608" w:rsidP="001E64F7">
      <w:pPr>
        <w:spacing w:before="240" w:after="240"/>
      </w:pPr>
      <w:r w:rsidRPr="00924644">
        <w:rPr>
          <w:rFonts w:cs="Arial"/>
        </w:rPr>
        <w:t>In 202</w:t>
      </w:r>
      <w:r>
        <w:rPr>
          <w:rFonts w:cs="Arial"/>
        </w:rPr>
        <w:t>2,</w:t>
      </w:r>
      <w:r w:rsidRPr="00924644">
        <w:rPr>
          <w:rFonts w:cs="Arial"/>
        </w:rPr>
        <w:t xml:space="preserve"> the California Legislature </w:t>
      </w:r>
      <w:r w:rsidR="00076D6D">
        <w:rPr>
          <w:rFonts w:cs="Arial"/>
        </w:rPr>
        <w:t xml:space="preserve">amended statute to reconfigure </w:t>
      </w:r>
      <w:r w:rsidR="00AD72E7">
        <w:rPr>
          <w:rFonts w:cs="Arial"/>
        </w:rPr>
        <w:t xml:space="preserve">coordination grants </w:t>
      </w:r>
      <w:r w:rsidR="00076D6D">
        <w:rPr>
          <w:rFonts w:cs="Arial"/>
        </w:rPr>
        <w:t xml:space="preserve">as </w:t>
      </w:r>
      <w:r w:rsidR="00AD72E7">
        <w:rPr>
          <w:rFonts w:cs="Arial"/>
        </w:rPr>
        <w:t>implementation grant</w:t>
      </w:r>
      <w:r w:rsidR="00076D6D">
        <w:rPr>
          <w:rFonts w:cs="Arial"/>
        </w:rPr>
        <w:t xml:space="preserve"> extension</w:t>
      </w:r>
      <w:r w:rsidR="00AD72E7">
        <w:rPr>
          <w:rFonts w:cs="Arial"/>
        </w:rPr>
        <w:t>s</w:t>
      </w:r>
      <w:r w:rsidR="00076D6D">
        <w:rPr>
          <w:rFonts w:cs="Arial"/>
        </w:rPr>
        <w:t>,</w:t>
      </w:r>
      <w:r w:rsidR="00AD72E7">
        <w:rPr>
          <w:rFonts w:cs="Arial"/>
        </w:rPr>
        <w:t xml:space="preserve"> </w:t>
      </w:r>
      <w:r w:rsidR="00076D6D">
        <w:rPr>
          <w:rFonts w:cs="Arial"/>
        </w:rPr>
        <w:t xml:space="preserve">extending the implementation grant period </w:t>
      </w:r>
      <w:r w:rsidR="00AD72E7">
        <w:rPr>
          <w:rFonts w:cs="Arial"/>
        </w:rPr>
        <w:t>from five to seven years</w:t>
      </w:r>
      <w:r w:rsidR="008B6AF1">
        <w:rPr>
          <w:rFonts w:cs="Arial"/>
        </w:rPr>
        <w:t xml:space="preserve"> (referred to as ‘extension grants’)</w:t>
      </w:r>
      <w:r w:rsidR="00AD72E7" w:rsidRPr="003E2E49">
        <w:rPr>
          <w:rFonts w:cs="Arial"/>
        </w:rPr>
        <w:t xml:space="preserve"> </w:t>
      </w:r>
      <w:r w:rsidR="00AD72E7" w:rsidRPr="00D44A3A">
        <w:t xml:space="preserve">for </w:t>
      </w:r>
      <w:r w:rsidR="00076D6D">
        <w:t>continuing</w:t>
      </w:r>
      <w:r w:rsidR="00076D6D" w:rsidRPr="00D44A3A">
        <w:t xml:space="preserve"> </w:t>
      </w:r>
      <w:r w:rsidR="00AD72E7" w:rsidRPr="00D44A3A">
        <w:t xml:space="preserve">coordination costs to local educational agency implementation grantees of up to one hundred thousand dollars ($100,000) annually per </w:t>
      </w:r>
      <w:r w:rsidR="00076D6D">
        <w:t xml:space="preserve">community school </w:t>
      </w:r>
      <w:r w:rsidR="00AD72E7" w:rsidRPr="00D44A3A">
        <w:t xml:space="preserve">site, beginning </w:t>
      </w:r>
      <w:r w:rsidR="00076D6D">
        <w:t>in</w:t>
      </w:r>
      <w:r w:rsidR="00AD72E7" w:rsidRPr="00D44A3A">
        <w:t xml:space="preserve"> the 2025–26 fiscal year, through the 2030–31 fiscal year.</w:t>
      </w:r>
    </w:p>
    <w:p w14:paraId="46EA98C9" w14:textId="606C5FD6" w:rsidR="00EA10FB" w:rsidRPr="00E12896" w:rsidRDefault="00076D6D" w:rsidP="004D0F01">
      <w:pPr>
        <w:tabs>
          <w:tab w:val="left" w:pos="4950"/>
        </w:tabs>
        <w:spacing w:before="240" w:after="240"/>
      </w:pPr>
      <w:r>
        <w:rPr>
          <w:rFonts w:cs="Arial"/>
        </w:rPr>
        <w:t xml:space="preserve">In 2022, the Legislature </w:t>
      </w:r>
      <w:r w:rsidRPr="00924644">
        <w:rPr>
          <w:rFonts w:cs="Arial"/>
        </w:rPr>
        <w:t xml:space="preserve">allocated </w:t>
      </w:r>
      <w:r>
        <w:rPr>
          <w:rFonts w:cs="Arial"/>
        </w:rPr>
        <w:t xml:space="preserve">an additional </w:t>
      </w:r>
      <w:r w:rsidRPr="008B6AF1">
        <w:t>$1,132,554,000</w:t>
      </w:r>
      <w:r w:rsidRPr="00924644">
        <w:rPr>
          <w:rFonts w:cs="Arial"/>
        </w:rPr>
        <w:t xml:space="preserve"> for </w:t>
      </w:r>
      <w:r>
        <w:rPr>
          <w:rFonts w:cs="Arial"/>
        </w:rPr>
        <w:t xml:space="preserve">implementation and extension grants. This brings the total allocation for the CCSPP up to $4,146,551,000. </w:t>
      </w:r>
      <w:r>
        <w:rPr>
          <w:rFonts w:cs="Arial"/>
        </w:rPr>
        <w:lastRenderedPageBreak/>
        <w:t xml:space="preserve">These additional funds extend the program timeline through </w:t>
      </w:r>
      <w:r w:rsidRPr="00D44A3A">
        <w:t>the 2030–31 fiscal year.</w:t>
      </w:r>
      <w:r>
        <w:t xml:space="preserve"> Of this </w:t>
      </w:r>
      <w:r w:rsidR="004D0F01">
        <w:t xml:space="preserve">additional </w:t>
      </w:r>
      <w:r>
        <w:t>amount</w:t>
      </w:r>
      <w:r w:rsidR="007C4AC3">
        <w:rPr>
          <w:rFonts w:cs="Arial"/>
        </w:rPr>
        <w:t>, u</w:t>
      </w:r>
      <w:r w:rsidR="00AD72E7">
        <w:rPr>
          <w:rFonts w:cs="Arial"/>
        </w:rPr>
        <w:t xml:space="preserve">p to $140,000,000 </w:t>
      </w:r>
      <w:r w:rsidR="00D1437F">
        <w:rPr>
          <w:rFonts w:cs="Arial"/>
        </w:rPr>
        <w:t>was</w:t>
      </w:r>
      <w:r w:rsidR="00AD72E7">
        <w:rPr>
          <w:rFonts w:cs="Arial"/>
        </w:rPr>
        <w:t xml:space="preserve"> allocated for county offices of education (COEs) to </w:t>
      </w:r>
      <w:r w:rsidR="00AD72E7" w:rsidRPr="00D44A3A">
        <w:t>coordinate county-level governmental, nonprofit community-based organizations, and other external partnerships to support community school implementation</w:t>
      </w:r>
      <w:r w:rsidR="00AD72E7" w:rsidRPr="003E2E49">
        <w:rPr>
          <w:rFonts w:cs="Arial"/>
        </w:rPr>
        <w:t>.</w:t>
      </w:r>
      <w:r w:rsidR="00AD72E7">
        <w:rPr>
          <w:rFonts w:cs="Arial"/>
        </w:rPr>
        <w:t xml:space="preserve"> COEs with at least two CCSPP grantees will be eligible for these funds.</w:t>
      </w:r>
      <w:r w:rsidR="00B1551C">
        <w:rPr>
          <w:rStyle w:val="FootnoteReference"/>
          <w:rFonts w:cs="Arial"/>
        </w:rPr>
        <w:footnoteReference w:id="4"/>
      </w:r>
    </w:p>
    <w:p w14:paraId="30F43A60" w14:textId="77777777" w:rsidR="00A4080B" w:rsidRPr="007A451E" w:rsidRDefault="00A4080B" w:rsidP="007A451E">
      <w:pPr>
        <w:spacing w:after="480"/>
      </w:pPr>
      <w:r>
        <w:t>An updated CCSPP Program Timeline is attached (Attachment 1). This calendar provides estimated overall allocations per grant type over the initial seven years of the program.</w:t>
      </w:r>
      <w:r w:rsidR="007A451E">
        <w:t xml:space="preserve"> </w:t>
      </w:r>
      <w:r w:rsidR="007A451E" w:rsidRPr="00B40793">
        <w:t xml:space="preserve">Total allocation amounts among the different grant programs in the later years of the program timeline will be determined based on uptake of the grant </w:t>
      </w:r>
      <w:r w:rsidR="00B72227" w:rsidRPr="00B40793">
        <w:t>types</w:t>
      </w:r>
      <w:r w:rsidR="007A451E" w:rsidRPr="00B40793">
        <w:t xml:space="preserve"> and total amounts </w:t>
      </w:r>
      <w:r w:rsidR="003D1F41" w:rsidRPr="00B40793">
        <w:t>remaining in the CCSPP budget.</w:t>
      </w:r>
    </w:p>
    <w:p w14:paraId="2470492C" w14:textId="77777777" w:rsidR="001E64F7" w:rsidRDefault="001E64F7" w:rsidP="001E64F7">
      <w:pPr>
        <w:pStyle w:val="Heading2"/>
        <w:spacing w:before="240" w:after="0" w:line="360" w:lineRule="auto"/>
        <w:rPr>
          <w:sz w:val="36"/>
        </w:rPr>
      </w:pPr>
      <w:r>
        <w:rPr>
          <w:sz w:val="36"/>
        </w:rPr>
        <w:t>2021-22 CCSPP Status Report</w:t>
      </w:r>
    </w:p>
    <w:p w14:paraId="02B3DDBA" w14:textId="77777777" w:rsidR="00943B5D" w:rsidRPr="00943B5D" w:rsidRDefault="00943B5D" w:rsidP="00943B5D">
      <w:pPr>
        <w:pStyle w:val="Heading3"/>
        <w:spacing w:after="240"/>
        <w:rPr>
          <w:rFonts w:ascii="Arial" w:hAnsi="Arial" w:cs="Arial"/>
          <w:b/>
          <w:bCs/>
          <w:color w:val="auto"/>
        </w:rPr>
      </w:pPr>
      <w:r w:rsidRPr="00943B5D">
        <w:rPr>
          <w:rFonts w:ascii="Arial" w:hAnsi="Arial" w:cs="Arial"/>
          <w:b/>
          <w:bCs/>
          <w:color w:val="auto"/>
        </w:rPr>
        <w:t>Planning Grants – Round 1</w:t>
      </w:r>
    </w:p>
    <w:p w14:paraId="494DD9A6" w14:textId="646AD7F9" w:rsidR="00943B5D" w:rsidRPr="00924644" w:rsidRDefault="00943B5D" w:rsidP="00943B5D">
      <w:pPr>
        <w:spacing w:after="240"/>
      </w:pPr>
      <w:r w:rsidRPr="00924644">
        <w:t xml:space="preserve">On March 1, 2022, the CCSPP Planning Grant RFA for the first round of planning grants was released </w:t>
      </w:r>
      <w:r>
        <w:t xml:space="preserve">for LEAs with no existing community schools </w:t>
      </w:r>
      <w:r w:rsidRPr="00924644">
        <w:t>(</w:t>
      </w:r>
      <w:hyperlink r:id="rId10" w:tooltip="California Community Schools Partnership Program: Planning Grant" w:history="1">
        <w:r w:rsidRPr="00924644">
          <w:rPr>
            <w:rStyle w:val="Hyperlink"/>
          </w:rPr>
          <w:t>https://www.cde.ca.gov/fg/fo/profile.asp?id=5708&amp;</w:t>
        </w:r>
        <w:r w:rsidRPr="00924644">
          <w:rPr>
            <w:rStyle w:val="Hyperlink"/>
          </w:rPr>
          <w:t>r</w:t>
        </w:r>
        <w:r w:rsidRPr="00924644">
          <w:rPr>
            <w:rStyle w:val="Hyperlink"/>
          </w:rPr>
          <w:t>ecID=5708</w:t>
        </w:r>
      </w:hyperlink>
      <w:r w:rsidRPr="00924644">
        <w:t xml:space="preserve">). To allow for future rounds of applications, the </w:t>
      </w:r>
      <w:r w:rsidRPr="00924644">
        <w:rPr>
          <w:rFonts w:cs="Arial"/>
        </w:rPr>
        <w:t>total grant budget for the first round of planning grants was up to $134,741,350 (</w:t>
      </w:r>
      <w:r w:rsidR="006C1E1B">
        <w:rPr>
          <w:rFonts w:cs="Arial"/>
        </w:rPr>
        <w:t xml:space="preserve">half of </w:t>
      </w:r>
      <w:r w:rsidRPr="00924644">
        <w:rPr>
          <w:rFonts w:cs="Arial"/>
        </w:rPr>
        <w:t>the total planning grant allocation</w:t>
      </w:r>
      <w:r w:rsidR="006C1E1B">
        <w:rPr>
          <w:rFonts w:cs="Arial"/>
        </w:rPr>
        <w:t>:</w:t>
      </w:r>
      <w:r w:rsidRPr="00924644">
        <w:rPr>
          <w:rFonts w:cs="Arial"/>
        </w:rPr>
        <w:t xml:space="preserve"> </w:t>
      </w:r>
      <w:r w:rsidRPr="00924644">
        <w:t>$287,416,400).</w:t>
      </w:r>
    </w:p>
    <w:p w14:paraId="4AA38E2C" w14:textId="77777777" w:rsidR="00662701" w:rsidRDefault="00943B5D" w:rsidP="00943B5D">
      <w:pPr>
        <w:spacing w:after="240"/>
        <w:rPr>
          <w:rFonts w:cs="Arial"/>
        </w:rPr>
      </w:pPr>
      <w:r w:rsidRPr="00924644">
        <w:t xml:space="preserve">The CDE received 203 complete applications for a total application request of $41,567,510.28. Applicants included: 100 school districts, 15 county offices of education, 87 charter schools and one joint powers agreement. All applications were reviewed and evaluated according to a demonstration of need score (utilizing a set of data elements based on the competitive priorities set out in statute) as well as by a team of scorers using criteria set forth in the rubric and provided in the RFA. The </w:t>
      </w:r>
      <w:r w:rsidR="006C1E1B">
        <w:t xml:space="preserve">192 </w:t>
      </w:r>
      <w:r w:rsidRPr="00924644">
        <w:t xml:space="preserve">grant awards proposed for approval </w:t>
      </w:r>
      <w:r w:rsidR="00662701">
        <w:t xml:space="preserve">at the SBE’s May </w:t>
      </w:r>
      <w:r w:rsidR="00E02EF7">
        <w:rPr>
          <w:rFonts w:cs="Arial"/>
        </w:rPr>
        <w:t xml:space="preserve">were reviewed based on both the statutory qualifying guidelines and the statutory priority guidelines. </w:t>
      </w:r>
      <w:r w:rsidR="00E02EF7" w:rsidRPr="00924644">
        <w:rPr>
          <w:rFonts w:cs="Arial"/>
        </w:rPr>
        <w:t xml:space="preserve">All applicants that met eligibility criteria </w:t>
      </w:r>
      <w:r w:rsidR="00E02EF7">
        <w:rPr>
          <w:rFonts w:cs="Arial"/>
        </w:rPr>
        <w:t xml:space="preserve">and committed to the </w:t>
      </w:r>
      <w:r w:rsidR="00200B82">
        <w:rPr>
          <w:rFonts w:cs="Arial"/>
        </w:rPr>
        <w:t>F</w:t>
      </w:r>
      <w:r w:rsidR="00E02EF7">
        <w:rPr>
          <w:rFonts w:cs="Arial"/>
        </w:rPr>
        <w:t xml:space="preserve">ramework driven community schools design elements </w:t>
      </w:r>
      <w:r w:rsidR="00E02EF7" w:rsidRPr="00924644">
        <w:rPr>
          <w:rFonts w:cs="Arial"/>
        </w:rPr>
        <w:t>were recommended to receive a planning grant.</w:t>
      </w:r>
    </w:p>
    <w:p w14:paraId="7F9208CB" w14:textId="77777777" w:rsidR="003602A6" w:rsidRDefault="003602A6" w:rsidP="00943B5D">
      <w:pPr>
        <w:spacing w:after="240"/>
        <w:rPr>
          <w:rFonts w:cs="Arial"/>
        </w:rPr>
      </w:pPr>
      <w:r>
        <w:rPr>
          <w:rFonts w:cs="Arial"/>
        </w:rPr>
        <w:t xml:space="preserve">In May, the SBE approved </w:t>
      </w:r>
      <w:r w:rsidR="006C1E1B">
        <w:rPr>
          <w:rFonts w:cs="Arial"/>
        </w:rPr>
        <w:t xml:space="preserve">all </w:t>
      </w:r>
      <w:r>
        <w:rPr>
          <w:rFonts w:cs="Arial"/>
        </w:rPr>
        <w:t xml:space="preserve">192 planning grants for a total of </w:t>
      </w:r>
      <w:r w:rsidRPr="009404DF">
        <w:rPr>
          <w:rFonts w:cs="Arial"/>
        </w:rPr>
        <w:t>$38,200,122.40</w:t>
      </w:r>
      <w:r>
        <w:rPr>
          <w:rFonts w:cs="Arial"/>
        </w:rPr>
        <w:t xml:space="preserve">, leaving a balance of </w:t>
      </w:r>
      <w:r w:rsidR="00C730AA" w:rsidRPr="009404DF">
        <w:rPr>
          <w:rFonts w:cs="Arial"/>
          <w:color w:val="000000"/>
        </w:rPr>
        <w:t>$96,541,227.60</w:t>
      </w:r>
      <w:r w:rsidR="00C730AA">
        <w:rPr>
          <w:rFonts w:cs="Arial"/>
          <w:color w:val="000000"/>
        </w:rPr>
        <w:t xml:space="preserve"> remaining for future rounds.</w:t>
      </w:r>
      <w:r w:rsidR="00590006">
        <w:rPr>
          <w:rFonts w:cs="Arial"/>
          <w:color w:val="000000"/>
        </w:rPr>
        <w:t xml:space="preserve"> The </w:t>
      </w:r>
      <w:r w:rsidR="002E0745">
        <w:rPr>
          <w:rFonts w:cs="Arial"/>
          <w:color w:val="000000"/>
        </w:rPr>
        <w:t xml:space="preserve">majority of planning grant awardees have unduplicated </w:t>
      </w:r>
      <w:r w:rsidR="00C90A98">
        <w:rPr>
          <w:rFonts w:cs="Arial"/>
          <w:color w:val="000000"/>
        </w:rPr>
        <w:t xml:space="preserve">pupil </w:t>
      </w:r>
      <w:r w:rsidR="002E0745">
        <w:rPr>
          <w:rFonts w:cs="Arial"/>
          <w:color w:val="000000"/>
        </w:rPr>
        <w:t xml:space="preserve">counts over 70%. </w:t>
      </w:r>
      <w:r>
        <w:rPr>
          <w:rFonts w:cs="Arial"/>
        </w:rPr>
        <w:t xml:space="preserve"> </w:t>
      </w:r>
    </w:p>
    <w:p w14:paraId="206859A5" w14:textId="77777777" w:rsidR="006F57F1" w:rsidRPr="00C4203F" w:rsidRDefault="006F57F1" w:rsidP="00C4203F">
      <w:pPr>
        <w:pStyle w:val="Heading3"/>
        <w:spacing w:after="240"/>
        <w:rPr>
          <w:rFonts w:ascii="Arial" w:hAnsi="Arial" w:cs="Arial"/>
          <w:b/>
          <w:bCs/>
          <w:color w:val="auto"/>
        </w:rPr>
      </w:pPr>
      <w:r w:rsidRPr="00C4203F">
        <w:rPr>
          <w:rFonts w:ascii="Arial" w:hAnsi="Arial" w:cs="Arial"/>
          <w:b/>
          <w:bCs/>
          <w:color w:val="auto"/>
        </w:rPr>
        <w:lastRenderedPageBreak/>
        <w:t>Implementation Grants – Round 1</w:t>
      </w:r>
    </w:p>
    <w:p w14:paraId="5E43D932" w14:textId="71EC60CB" w:rsidR="006F57F1" w:rsidRPr="00924644" w:rsidRDefault="006F57F1" w:rsidP="006F57F1">
      <w:pPr>
        <w:spacing w:after="240"/>
        <w:rPr>
          <w:rFonts w:cs="Arial"/>
        </w:rPr>
      </w:pPr>
      <w:r w:rsidRPr="00924644">
        <w:t>On March 11, 2022, the CCSPP Implementation Grant RFA for the first round of implementation grants was released</w:t>
      </w:r>
      <w:r>
        <w:t xml:space="preserve"> for LEAs seeking to establish new or continue or expand existing community schools</w:t>
      </w:r>
      <w:r w:rsidRPr="00924644">
        <w:t>. (</w:t>
      </w:r>
      <w:hyperlink r:id="rId11" w:tooltip="California Community Schools Partnership Program: Implementation Grant" w:history="1">
        <w:r w:rsidRPr="00924644">
          <w:rPr>
            <w:rStyle w:val="Hyperlink"/>
          </w:rPr>
          <w:t>https://www.cde.ca.g</w:t>
        </w:r>
        <w:r w:rsidRPr="00924644">
          <w:rPr>
            <w:rStyle w:val="Hyperlink"/>
          </w:rPr>
          <w:t>o</w:t>
        </w:r>
        <w:r w:rsidRPr="00924644">
          <w:rPr>
            <w:rStyle w:val="Hyperlink"/>
          </w:rPr>
          <w:t>v/fg/fo/profile.asp?id=5707</w:t>
        </w:r>
      </w:hyperlink>
      <w:r w:rsidRPr="00924644">
        <w:t xml:space="preserve">) </w:t>
      </w:r>
      <w:r w:rsidRPr="00924644">
        <w:rPr>
          <w:rFonts w:cs="Arial"/>
        </w:rPr>
        <w:t>The award amount for the CCSPP implementation grant range is $150,000 to $500,000 per school annually, depending on the size of the school, as follows:</w:t>
      </w:r>
    </w:p>
    <w:tbl>
      <w:tblPr>
        <w:tblStyle w:val="GridTable4"/>
        <w:tblW w:w="9445" w:type="dxa"/>
        <w:tblLook w:val="04A0" w:firstRow="1" w:lastRow="0" w:firstColumn="1" w:lastColumn="0" w:noHBand="0" w:noVBand="1"/>
      </w:tblPr>
      <w:tblGrid>
        <w:gridCol w:w="3325"/>
        <w:gridCol w:w="1980"/>
        <w:gridCol w:w="2070"/>
        <w:gridCol w:w="2070"/>
      </w:tblGrid>
      <w:tr w:rsidR="006F57F1" w:rsidRPr="00924644" w14:paraId="0388A562" w14:textId="77777777" w:rsidTr="004A4CF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BF02D3A" w14:textId="77777777" w:rsidR="006F57F1" w:rsidRPr="00924644" w:rsidRDefault="006F57F1" w:rsidP="004A4CF0">
            <w:pPr>
              <w:spacing w:before="60" w:line="259" w:lineRule="auto"/>
              <w:jc w:val="center"/>
              <w:rPr>
                <w:b w:val="0"/>
                <w:bCs w:val="0"/>
              </w:rPr>
            </w:pPr>
            <w:r w:rsidRPr="00924644">
              <w:t>Enrollment Category</w:t>
            </w:r>
          </w:p>
        </w:tc>
        <w:tc>
          <w:tcPr>
            <w:tcW w:w="1980" w:type="dxa"/>
            <w:vAlign w:val="center"/>
          </w:tcPr>
          <w:p w14:paraId="7803F0A5" w14:textId="77777777" w:rsidR="006F57F1" w:rsidRPr="00924644" w:rsidRDefault="006F57F1" w:rsidP="004A4CF0">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Annual Grant Amount</w:t>
            </w:r>
          </w:p>
          <w:p w14:paraId="4A33DD68" w14:textId="77777777" w:rsidR="006F57F1" w:rsidRPr="00924644" w:rsidRDefault="006F57F1" w:rsidP="004A4CF0">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924644">
              <w:rPr>
                <w:b w:val="0"/>
                <w:i/>
              </w:rPr>
              <w:t>Years One through Four</w:t>
            </w:r>
          </w:p>
        </w:tc>
        <w:tc>
          <w:tcPr>
            <w:tcW w:w="2070" w:type="dxa"/>
            <w:vAlign w:val="center"/>
          </w:tcPr>
          <w:p w14:paraId="42C1B52C" w14:textId="77777777" w:rsidR="006F57F1" w:rsidRPr="00924644" w:rsidRDefault="006F57F1" w:rsidP="004A4CF0">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Annual Grant Amount</w:t>
            </w:r>
          </w:p>
          <w:p w14:paraId="1C504363" w14:textId="77777777" w:rsidR="006F57F1" w:rsidRPr="00924644" w:rsidRDefault="006F57F1" w:rsidP="004A4CF0">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924644">
              <w:rPr>
                <w:b w:val="0"/>
                <w:i/>
              </w:rPr>
              <w:t>Year Five</w:t>
            </w:r>
          </w:p>
        </w:tc>
        <w:tc>
          <w:tcPr>
            <w:tcW w:w="2070" w:type="dxa"/>
            <w:vAlign w:val="center"/>
          </w:tcPr>
          <w:p w14:paraId="4E35DDBE" w14:textId="77777777" w:rsidR="006F57F1" w:rsidRPr="00924644" w:rsidRDefault="006F57F1" w:rsidP="004A4CF0">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Total Grant Amount over Five Years</w:t>
            </w:r>
          </w:p>
        </w:tc>
      </w:tr>
      <w:tr w:rsidR="006F57F1" w:rsidRPr="00924644" w14:paraId="27EA2472" w14:textId="77777777" w:rsidTr="004A4C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C3D4E89" w14:textId="77777777" w:rsidR="006F57F1" w:rsidRPr="00924644" w:rsidRDefault="006F57F1" w:rsidP="004A4CF0">
            <w:pPr>
              <w:spacing w:before="60" w:line="259" w:lineRule="auto"/>
            </w:pPr>
            <w:r w:rsidRPr="00924644">
              <w:t>Very Small:</w:t>
            </w:r>
          </w:p>
          <w:p w14:paraId="46FA9E82" w14:textId="77777777" w:rsidR="006F57F1" w:rsidRPr="00924644" w:rsidRDefault="006F57F1" w:rsidP="004A4CF0">
            <w:pPr>
              <w:spacing w:before="60" w:line="259" w:lineRule="auto"/>
            </w:pPr>
            <w:r w:rsidRPr="00924644">
              <w:t>25-150 students</w:t>
            </w:r>
          </w:p>
        </w:tc>
        <w:tc>
          <w:tcPr>
            <w:tcW w:w="1980" w:type="dxa"/>
            <w:vAlign w:val="center"/>
          </w:tcPr>
          <w:p w14:paraId="179FB8AC" w14:textId="77777777" w:rsidR="006F57F1" w:rsidRPr="00924644" w:rsidRDefault="006F57F1" w:rsidP="004A4CF0">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$150,000</w:t>
            </w:r>
          </w:p>
        </w:tc>
        <w:tc>
          <w:tcPr>
            <w:tcW w:w="2070" w:type="dxa"/>
            <w:vAlign w:val="center"/>
          </w:tcPr>
          <w:p w14:paraId="657C50FC" w14:textId="77777777" w:rsidR="006F57F1" w:rsidRPr="00924644" w:rsidRDefault="006F57F1" w:rsidP="004A4CF0">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$112,500</w:t>
            </w:r>
          </w:p>
        </w:tc>
        <w:tc>
          <w:tcPr>
            <w:tcW w:w="2070" w:type="dxa"/>
            <w:vAlign w:val="center"/>
          </w:tcPr>
          <w:p w14:paraId="6D3BBDB8" w14:textId="77777777" w:rsidR="006F57F1" w:rsidRPr="00924644" w:rsidRDefault="006F57F1" w:rsidP="004A4CF0">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$712,500</w:t>
            </w:r>
          </w:p>
        </w:tc>
      </w:tr>
      <w:tr w:rsidR="006F57F1" w:rsidRPr="00924644" w14:paraId="20769EA8" w14:textId="77777777" w:rsidTr="004A4CF0">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C84F2C4" w14:textId="77777777" w:rsidR="006F57F1" w:rsidRPr="00924644" w:rsidRDefault="006F57F1" w:rsidP="004A4CF0">
            <w:pPr>
              <w:spacing w:before="60"/>
            </w:pPr>
            <w:r w:rsidRPr="00924644">
              <w:t>Small:</w:t>
            </w:r>
          </w:p>
          <w:p w14:paraId="736242BC" w14:textId="77777777" w:rsidR="006F57F1" w:rsidRPr="00924644" w:rsidRDefault="006F57F1" w:rsidP="004A4CF0">
            <w:pPr>
              <w:spacing w:before="60" w:line="259" w:lineRule="auto"/>
            </w:pPr>
            <w:r w:rsidRPr="00924644">
              <w:t>151-400 students</w:t>
            </w:r>
          </w:p>
        </w:tc>
        <w:tc>
          <w:tcPr>
            <w:tcW w:w="1980" w:type="dxa"/>
            <w:vAlign w:val="center"/>
          </w:tcPr>
          <w:p w14:paraId="1BA717F7" w14:textId="77777777" w:rsidR="006F57F1" w:rsidRPr="00924644" w:rsidRDefault="006F57F1" w:rsidP="004A4CF0">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$250,000</w:t>
            </w:r>
          </w:p>
        </w:tc>
        <w:tc>
          <w:tcPr>
            <w:tcW w:w="2070" w:type="dxa"/>
            <w:vAlign w:val="center"/>
          </w:tcPr>
          <w:p w14:paraId="744F2755" w14:textId="77777777" w:rsidR="006F57F1" w:rsidRPr="00924644" w:rsidRDefault="006F57F1" w:rsidP="004A4CF0">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$187,500</w:t>
            </w:r>
          </w:p>
        </w:tc>
        <w:tc>
          <w:tcPr>
            <w:tcW w:w="2070" w:type="dxa"/>
            <w:vAlign w:val="center"/>
          </w:tcPr>
          <w:p w14:paraId="1BA4E875" w14:textId="77777777" w:rsidR="006F57F1" w:rsidRPr="00924644" w:rsidRDefault="006F57F1" w:rsidP="004A4CF0">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$1,187,500</w:t>
            </w:r>
          </w:p>
        </w:tc>
      </w:tr>
      <w:tr w:rsidR="006F57F1" w:rsidRPr="00924644" w14:paraId="118C9DEE" w14:textId="77777777" w:rsidTr="004A4C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1B157D2" w14:textId="77777777" w:rsidR="006F57F1" w:rsidRPr="00924644" w:rsidRDefault="006F57F1" w:rsidP="004A4CF0">
            <w:pPr>
              <w:spacing w:before="60" w:line="259" w:lineRule="auto"/>
            </w:pPr>
            <w:r w:rsidRPr="00924644">
              <w:t>Medium:</w:t>
            </w:r>
          </w:p>
          <w:p w14:paraId="0B82BD07" w14:textId="77777777" w:rsidR="006F57F1" w:rsidRPr="00924644" w:rsidRDefault="006F57F1" w:rsidP="004A4CF0">
            <w:pPr>
              <w:spacing w:before="60" w:line="259" w:lineRule="auto"/>
            </w:pPr>
            <w:r w:rsidRPr="00924644">
              <w:t>401-1,000 students</w:t>
            </w:r>
          </w:p>
        </w:tc>
        <w:tc>
          <w:tcPr>
            <w:tcW w:w="1980" w:type="dxa"/>
            <w:vAlign w:val="center"/>
          </w:tcPr>
          <w:p w14:paraId="319A6FB1" w14:textId="77777777" w:rsidR="006F57F1" w:rsidRPr="00924644" w:rsidRDefault="006F57F1" w:rsidP="004A4CF0">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$300,000</w:t>
            </w:r>
          </w:p>
        </w:tc>
        <w:tc>
          <w:tcPr>
            <w:tcW w:w="2070" w:type="dxa"/>
            <w:vAlign w:val="center"/>
          </w:tcPr>
          <w:p w14:paraId="0CBBA1FA" w14:textId="77777777" w:rsidR="006F57F1" w:rsidRPr="00924644" w:rsidRDefault="006F57F1" w:rsidP="004A4CF0">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$225,000</w:t>
            </w:r>
          </w:p>
        </w:tc>
        <w:tc>
          <w:tcPr>
            <w:tcW w:w="2070" w:type="dxa"/>
            <w:vAlign w:val="center"/>
          </w:tcPr>
          <w:p w14:paraId="15419F65" w14:textId="77777777" w:rsidR="006F57F1" w:rsidRPr="00924644" w:rsidRDefault="006F57F1" w:rsidP="004A4CF0">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$1,425,000</w:t>
            </w:r>
          </w:p>
        </w:tc>
      </w:tr>
      <w:tr w:rsidR="006F57F1" w:rsidRPr="00924644" w14:paraId="3FA3BF5B" w14:textId="77777777" w:rsidTr="004A4CF0">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A936014" w14:textId="77777777" w:rsidR="006F57F1" w:rsidRPr="00924644" w:rsidRDefault="006F57F1" w:rsidP="004A4CF0">
            <w:pPr>
              <w:spacing w:before="60" w:line="259" w:lineRule="auto"/>
            </w:pPr>
            <w:r w:rsidRPr="00924644">
              <w:t>Medium/Large:</w:t>
            </w:r>
          </w:p>
          <w:p w14:paraId="62D9D2B1" w14:textId="77777777" w:rsidR="006F57F1" w:rsidRPr="00924644" w:rsidRDefault="006F57F1" w:rsidP="004A4CF0">
            <w:pPr>
              <w:spacing w:before="60" w:line="259" w:lineRule="auto"/>
            </w:pPr>
            <w:r w:rsidRPr="00924644">
              <w:t>1,001-2,000 students</w:t>
            </w:r>
          </w:p>
        </w:tc>
        <w:tc>
          <w:tcPr>
            <w:tcW w:w="1980" w:type="dxa"/>
            <w:vAlign w:val="center"/>
          </w:tcPr>
          <w:p w14:paraId="5974B65A" w14:textId="77777777" w:rsidR="006F57F1" w:rsidRPr="00924644" w:rsidRDefault="006F57F1" w:rsidP="004A4CF0">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$400,000</w:t>
            </w:r>
          </w:p>
        </w:tc>
        <w:tc>
          <w:tcPr>
            <w:tcW w:w="2070" w:type="dxa"/>
            <w:vAlign w:val="center"/>
          </w:tcPr>
          <w:p w14:paraId="6D8483AB" w14:textId="77777777" w:rsidR="006F57F1" w:rsidRPr="00924644" w:rsidRDefault="006F57F1" w:rsidP="004A4CF0">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$300,000</w:t>
            </w:r>
          </w:p>
        </w:tc>
        <w:tc>
          <w:tcPr>
            <w:tcW w:w="2070" w:type="dxa"/>
            <w:vAlign w:val="center"/>
          </w:tcPr>
          <w:p w14:paraId="0FBC2352" w14:textId="77777777" w:rsidR="006F57F1" w:rsidRPr="00924644" w:rsidRDefault="006F57F1" w:rsidP="004A4CF0">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$1,900,000</w:t>
            </w:r>
          </w:p>
        </w:tc>
      </w:tr>
      <w:tr w:rsidR="006F57F1" w:rsidRPr="00924644" w14:paraId="6499F9BE" w14:textId="77777777" w:rsidTr="004A4C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7F0D33D" w14:textId="77777777" w:rsidR="006F57F1" w:rsidRPr="00924644" w:rsidRDefault="006F57F1" w:rsidP="004A4CF0">
            <w:pPr>
              <w:spacing w:before="60" w:line="259" w:lineRule="auto"/>
            </w:pPr>
            <w:r w:rsidRPr="00924644">
              <w:t>Large:</w:t>
            </w:r>
          </w:p>
          <w:p w14:paraId="3CE48215" w14:textId="77777777" w:rsidR="006F57F1" w:rsidRPr="00924644" w:rsidRDefault="006F57F1" w:rsidP="004A4CF0">
            <w:pPr>
              <w:spacing w:before="60" w:line="259" w:lineRule="auto"/>
            </w:pPr>
            <w:r w:rsidRPr="00924644">
              <w:t>2,001 or more students</w:t>
            </w:r>
          </w:p>
        </w:tc>
        <w:tc>
          <w:tcPr>
            <w:tcW w:w="1980" w:type="dxa"/>
            <w:vAlign w:val="center"/>
          </w:tcPr>
          <w:p w14:paraId="255F3EF1" w14:textId="77777777" w:rsidR="006F57F1" w:rsidRPr="00924644" w:rsidRDefault="006F57F1" w:rsidP="004A4CF0">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$500,000</w:t>
            </w:r>
          </w:p>
        </w:tc>
        <w:tc>
          <w:tcPr>
            <w:tcW w:w="2070" w:type="dxa"/>
            <w:vAlign w:val="center"/>
          </w:tcPr>
          <w:p w14:paraId="51FE58D3" w14:textId="77777777" w:rsidR="006F57F1" w:rsidRPr="00924644" w:rsidRDefault="006F57F1" w:rsidP="004A4CF0">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$375,000</w:t>
            </w:r>
          </w:p>
        </w:tc>
        <w:tc>
          <w:tcPr>
            <w:tcW w:w="2070" w:type="dxa"/>
            <w:vAlign w:val="center"/>
          </w:tcPr>
          <w:p w14:paraId="25A2761D" w14:textId="77777777" w:rsidR="006F57F1" w:rsidRPr="00924644" w:rsidRDefault="006F57F1" w:rsidP="004A4CF0">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$2,375,000</w:t>
            </w:r>
          </w:p>
        </w:tc>
      </w:tr>
    </w:tbl>
    <w:p w14:paraId="020EEB9B" w14:textId="77777777" w:rsidR="006F57F1" w:rsidRDefault="006F57F1" w:rsidP="006F57F1"/>
    <w:p w14:paraId="11715D46" w14:textId="77777777" w:rsidR="006F57F1" w:rsidRDefault="006F57F1" w:rsidP="006F57F1">
      <w:pPr>
        <w:spacing w:after="240"/>
        <w:rPr>
          <w:rFonts w:cs="Arial"/>
        </w:rPr>
      </w:pPr>
      <w:r w:rsidRPr="00924644">
        <w:t xml:space="preserve">The CDE received 90 applications for a total of </w:t>
      </w:r>
      <w:r w:rsidRPr="00924644">
        <w:rPr>
          <w:color w:val="000000" w:themeColor="text1"/>
        </w:rPr>
        <w:t>approximately $749,000,000</w:t>
      </w:r>
      <w:r w:rsidRPr="00924644">
        <w:t xml:space="preserve">. </w:t>
      </w:r>
      <w:r w:rsidRPr="00924644">
        <w:rPr>
          <w:color w:val="000000" w:themeColor="text1"/>
        </w:rPr>
        <w:t xml:space="preserve">Applicants included: 59 school districts, 11 county offices of education and 20 charter schools. The total number of school sites identified in the applications was 652. </w:t>
      </w:r>
      <w:r w:rsidRPr="00924644">
        <w:t xml:space="preserve">All applications were reviewed and evaluated according to a demonstration of need score (utilizing a set of data elements based on the competitive priorities set out in statute) as well as by a team of scorers using criteria set forth in the </w:t>
      </w:r>
      <w:r w:rsidR="007F7D75">
        <w:t xml:space="preserve">scoring </w:t>
      </w:r>
      <w:r w:rsidRPr="00924644">
        <w:t xml:space="preserve">rubric provided in the RFA. The grant awards proposed for approval </w:t>
      </w:r>
      <w:r w:rsidR="007F7D75">
        <w:t xml:space="preserve">by the SBE at the May meeting </w:t>
      </w:r>
      <w:r w:rsidRPr="00924644">
        <w:t>g</w:t>
      </w:r>
      <w:r w:rsidR="007F7D75">
        <w:t>a</w:t>
      </w:r>
      <w:r w:rsidRPr="00924644">
        <w:t xml:space="preserve">ve priority </w:t>
      </w:r>
      <w:r w:rsidRPr="00924644">
        <w:rPr>
          <w:rFonts w:cs="Arial"/>
        </w:rPr>
        <w:t xml:space="preserve">to applicant LEAs with schools in which 80 percent or more of the total student population </w:t>
      </w:r>
      <w:r w:rsidR="007F7D75">
        <w:rPr>
          <w:rFonts w:cs="Arial"/>
        </w:rPr>
        <w:t>was</w:t>
      </w:r>
      <w:r w:rsidRPr="00924644">
        <w:rPr>
          <w:rFonts w:cs="Arial"/>
        </w:rPr>
        <w:t xml:space="preserve"> included in the unduplicated </w:t>
      </w:r>
      <w:r w:rsidR="00562996">
        <w:rPr>
          <w:rFonts w:cs="Arial"/>
        </w:rPr>
        <w:t>pupil</w:t>
      </w:r>
      <w:r w:rsidR="00562996" w:rsidRPr="00924644">
        <w:rPr>
          <w:rFonts w:cs="Arial"/>
        </w:rPr>
        <w:t xml:space="preserve"> </w:t>
      </w:r>
      <w:r w:rsidRPr="00924644">
        <w:rPr>
          <w:rFonts w:cs="Arial"/>
        </w:rPr>
        <w:t xml:space="preserve">count. Per prioritization of rural and small school </w:t>
      </w:r>
      <w:r w:rsidR="007F7D75">
        <w:rPr>
          <w:rFonts w:cs="Arial"/>
        </w:rPr>
        <w:t>approved</w:t>
      </w:r>
      <w:r w:rsidRPr="00924644">
        <w:rPr>
          <w:rFonts w:cs="Arial"/>
        </w:rPr>
        <w:t xml:space="preserve"> by the SBE </w:t>
      </w:r>
      <w:r w:rsidR="007F7D75">
        <w:rPr>
          <w:rFonts w:cs="Arial"/>
        </w:rPr>
        <w:t>in January 2022</w:t>
      </w:r>
      <w:r w:rsidRPr="00924644">
        <w:rPr>
          <w:rFonts w:cs="Arial"/>
        </w:rPr>
        <w:t xml:space="preserve">, qualifying </w:t>
      </w:r>
      <w:r w:rsidR="00050317">
        <w:rPr>
          <w:rFonts w:cs="Arial"/>
        </w:rPr>
        <w:t xml:space="preserve">LEAs with </w:t>
      </w:r>
      <w:r w:rsidRPr="00924644">
        <w:rPr>
          <w:rFonts w:cs="Arial"/>
        </w:rPr>
        <w:t>rural and small schools wh</w:t>
      </w:r>
      <w:r w:rsidR="007F7D75">
        <w:rPr>
          <w:rFonts w:cs="Arial"/>
        </w:rPr>
        <w:t>ich</w:t>
      </w:r>
      <w:r w:rsidRPr="00924644">
        <w:rPr>
          <w:rFonts w:cs="Arial"/>
        </w:rPr>
        <w:t xml:space="preserve"> ha</w:t>
      </w:r>
      <w:r w:rsidR="007F7D75">
        <w:rPr>
          <w:rFonts w:cs="Arial"/>
        </w:rPr>
        <w:t>d</w:t>
      </w:r>
      <w:r w:rsidRPr="00924644">
        <w:rPr>
          <w:rFonts w:cs="Arial"/>
        </w:rPr>
        <w:t xml:space="preserve"> unduplicated </w:t>
      </w:r>
      <w:r w:rsidR="00562996">
        <w:rPr>
          <w:rFonts w:cs="Arial"/>
        </w:rPr>
        <w:t xml:space="preserve">pupil </w:t>
      </w:r>
      <w:r w:rsidRPr="00924644">
        <w:rPr>
          <w:rFonts w:cs="Arial"/>
        </w:rPr>
        <w:t>counts of 70</w:t>
      </w:r>
      <w:r>
        <w:rPr>
          <w:rFonts w:cs="Arial"/>
        </w:rPr>
        <w:t xml:space="preserve"> percent</w:t>
      </w:r>
      <w:r w:rsidRPr="00924644">
        <w:rPr>
          <w:rFonts w:cs="Arial"/>
        </w:rPr>
        <w:t xml:space="preserve"> or higher </w:t>
      </w:r>
      <w:r w:rsidR="007F7D75">
        <w:rPr>
          <w:rFonts w:cs="Arial"/>
        </w:rPr>
        <w:t xml:space="preserve">were </w:t>
      </w:r>
      <w:r w:rsidRPr="00924644">
        <w:rPr>
          <w:rFonts w:cs="Arial"/>
        </w:rPr>
        <w:t>also included</w:t>
      </w:r>
      <w:r w:rsidR="00050317">
        <w:rPr>
          <w:rFonts w:cs="Arial"/>
        </w:rPr>
        <w:t xml:space="preserve"> in proposed grant awards</w:t>
      </w:r>
      <w:r w:rsidRPr="00924644">
        <w:rPr>
          <w:rFonts w:cs="Arial"/>
        </w:rPr>
        <w:t>.</w:t>
      </w:r>
    </w:p>
    <w:p w14:paraId="4513F03E" w14:textId="2955A01F" w:rsidR="00381425" w:rsidRPr="00924644" w:rsidRDefault="00C730AA" w:rsidP="00381425">
      <w:pPr>
        <w:spacing w:after="240"/>
        <w:rPr>
          <w:rFonts w:cs="Arial"/>
        </w:rPr>
      </w:pPr>
      <w:r>
        <w:rPr>
          <w:rFonts w:cs="Arial"/>
        </w:rPr>
        <w:t>In May</w:t>
      </w:r>
      <w:r w:rsidR="00174F86">
        <w:rPr>
          <w:rFonts w:cs="Arial"/>
        </w:rPr>
        <w:t xml:space="preserve"> 2022</w:t>
      </w:r>
      <w:r>
        <w:rPr>
          <w:rFonts w:cs="Arial"/>
        </w:rPr>
        <w:t xml:space="preserve">, the SBE approved implementation grants to </w:t>
      </w:r>
      <w:r w:rsidR="00ED24C6">
        <w:rPr>
          <w:rFonts w:cs="Arial"/>
        </w:rPr>
        <w:t xml:space="preserve">76 </w:t>
      </w:r>
      <w:r>
        <w:rPr>
          <w:rFonts w:cs="Arial"/>
        </w:rPr>
        <w:t>LEAs for a total of 4</w:t>
      </w:r>
      <w:r w:rsidR="003A209A">
        <w:rPr>
          <w:rFonts w:cs="Arial"/>
        </w:rPr>
        <w:t>3</w:t>
      </w:r>
      <w:r>
        <w:rPr>
          <w:rFonts w:cs="Arial"/>
        </w:rPr>
        <w:t>8 schools</w:t>
      </w:r>
      <w:r w:rsidR="00963C33">
        <w:rPr>
          <w:rFonts w:cs="Arial"/>
        </w:rPr>
        <w:t xml:space="preserve"> – </w:t>
      </w:r>
      <w:r w:rsidR="00590006" w:rsidRPr="007D02FE">
        <w:rPr>
          <w:rFonts w:cs="Arial"/>
        </w:rPr>
        <w:t>427</w:t>
      </w:r>
      <w:r w:rsidR="00590006">
        <w:rPr>
          <w:rFonts w:cs="Arial"/>
        </w:rPr>
        <w:t xml:space="preserve"> of the 438 schools awarded implementation grants had unduplicated </w:t>
      </w:r>
      <w:r w:rsidR="00C90A98">
        <w:rPr>
          <w:rFonts w:cs="Arial"/>
        </w:rPr>
        <w:t xml:space="preserve">pupil </w:t>
      </w:r>
      <w:r w:rsidR="00590006">
        <w:rPr>
          <w:rFonts w:cs="Arial"/>
        </w:rPr>
        <w:t xml:space="preserve">counts of 80% or higher. </w:t>
      </w:r>
      <w:r w:rsidR="007277D9">
        <w:rPr>
          <w:rFonts w:cs="Arial"/>
        </w:rPr>
        <w:t xml:space="preserve">Eleven LEA applicants </w:t>
      </w:r>
      <w:r w:rsidR="00590006">
        <w:rPr>
          <w:rFonts w:cs="Arial"/>
        </w:rPr>
        <w:t xml:space="preserve">identified small rural schools </w:t>
      </w:r>
      <w:r w:rsidR="00050317">
        <w:rPr>
          <w:rFonts w:cs="Arial"/>
        </w:rPr>
        <w:t xml:space="preserve">with </w:t>
      </w:r>
      <w:r w:rsidR="00590006">
        <w:rPr>
          <w:rFonts w:cs="Arial"/>
        </w:rPr>
        <w:t>between 70</w:t>
      </w:r>
      <w:r w:rsidR="00562996">
        <w:rPr>
          <w:rFonts w:cs="Arial"/>
        </w:rPr>
        <w:t>%</w:t>
      </w:r>
      <w:r w:rsidR="00590006">
        <w:rPr>
          <w:rFonts w:cs="Arial"/>
        </w:rPr>
        <w:t xml:space="preserve"> and 80% unduplicated </w:t>
      </w:r>
      <w:r w:rsidR="00562996">
        <w:rPr>
          <w:rFonts w:cs="Arial"/>
        </w:rPr>
        <w:t xml:space="preserve">pupil </w:t>
      </w:r>
      <w:r w:rsidR="00590006">
        <w:rPr>
          <w:rFonts w:cs="Arial"/>
        </w:rPr>
        <w:t xml:space="preserve">counts. </w:t>
      </w:r>
      <w:r w:rsidR="00ED24C6">
        <w:rPr>
          <w:rFonts w:cs="Arial"/>
        </w:rPr>
        <w:t>The total amount awarded for implementation grants was $611,087,500.</w:t>
      </w:r>
    </w:p>
    <w:p w14:paraId="1005EF25" w14:textId="77777777" w:rsidR="004D0F01" w:rsidRDefault="004D0F01" w:rsidP="00381425">
      <w:pPr>
        <w:spacing w:before="240" w:after="240"/>
        <w:rPr>
          <w:b/>
          <w:bCs/>
        </w:rPr>
      </w:pPr>
    </w:p>
    <w:p w14:paraId="28F452A4" w14:textId="54EC8061" w:rsidR="006F57F1" w:rsidRPr="00C4203F" w:rsidRDefault="00381425" w:rsidP="00C4203F">
      <w:pPr>
        <w:pStyle w:val="Heading3"/>
        <w:spacing w:after="240"/>
        <w:rPr>
          <w:rFonts w:ascii="Arial" w:hAnsi="Arial" w:cs="Arial"/>
          <w:b/>
          <w:bCs/>
          <w:color w:val="auto"/>
        </w:rPr>
      </w:pPr>
      <w:r w:rsidRPr="00C4203F">
        <w:rPr>
          <w:rFonts w:ascii="Arial" w:hAnsi="Arial" w:cs="Arial"/>
          <w:b/>
          <w:bCs/>
          <w:color w:val="auto"/>
        </w:rPr>
        <w:lastRenderedPageBreak/>
        <w:t>Lead Technical Assistance Center Contract</w:t>
      </w:r>
    </w:p>
    <w:p w14:paraId="4013286F" w14:textId="77777777" w:rsidR="00381425" w:rsidRPr="00924644" w:rsidRDefault="00381425" w:rsidP="00381425">
      <w:pPr>
        <w:tabs>
          <w:tab w:val="left" w:pos="3690"/>
        </w:tabs>
        <w:spacing w:after="240"/>
        <w:rPr>
          <w:rFonts w:cs="Arial"/>
          <w:bCs/>
        </w:rPr>
      </w:pPr>
      <w:r w:rsidRPr="00924644">
        <w:rPr>
          <w:rFonts w:cs="Arial"/>
        </w:rPr>
        <w:t xml:space="preserve">Per SBE action at the January 2022 </w:t>
      </w:r>
      <w:r>
        <w:rPr>
          <w:rFonts w:cs="Arial"/>
        </w:rPr>
        <w:t>SBE</w:t>
      </w:r>
      <w:r w:rsidRPr="00924644">
        <w:rPr>
          <w:rFonts w:cs="Arial"/>
        </w:rPr>
        <w:t xml:space="preserve"> Meeting, the lead TAC will </w:t>
      </w:r>
      <w:r w:rsidRPr="00924644">
        <w:rPr>
          <w:bCs/>
        </w:rPr>
        <w:t>act as a hub of the CCSPP technical assistance system and be responsible for working closely with the CDE to accomplish the following; including, but not limited to:</w:t>
      </w:r>
    </w:p>
    <w:p w14:paraId="3A02EF69" w14:textId="77777777" w:rsidR="00381425" w:rsidRPr="00924644" w:rsidRDefault="00381425" w:rsidP="00381425">
      <w:pPr>
        <w:pStyle w:val="ListParagraph"/>
        <w:numPr>
          <w:ilvl w:val="0"/>
          <w:numId w:val="5"/>
        </w:numPr>
        <w:spacing w:after="240"/>
        <w:ind w:left="1080"/>
        <w:contextualSpacing w:val="0"/>
        <w:rPr>
          <w:rFonts w:cs="Arial"/>
          <w:bCs/>
        </w:rPr>
      </w:pPr>
      <w:r w:rsidRPr="00924644">
        <w:rPr>
          <w:rFonts w:cs="Arial"/>
          <w:bCs/>
        </w:rPr>
        <w:t>Building content and overarching methodology for CCSPP technical assistance.</w:t>
      </w:r>
    </w:p>
    <w:p w14:paraId="1DA754C1" w14:textId="77777777" w:rsidR="00381425" w:rsidRPr="00924644" w:rsidRDefault="00381425" w:rsidP="00381425">
      <w:pPr>
        <w:pStyle w:val="ListParagraph"/>
        <w:numPr>
          <w:ilvl w:val="0"/>
          <w:numId w:val="5"/>
        </w:numPr>
        <w:spacing w:after="240"/>
        <w:ind w:left="1080"/>
        <w:contextualSpacing w:val="0"/>
        <w:rPr>
          <w:rFonts w:cs="Arial"/>
          <w:bCs/>
        </w:rPr>
      </w:pPr>
      <w:r w:rsidRPr="00924644">
        <w:rPr>
          <w:rFonts w:cs="Arial"/>
          <w:bCs/>
        </w:rPr>
        <w:t>Building a developmental implementation rubric to articulate community school implementation benchmarks.</w:t>
      </w:r>
    </w:p>
    <w:p w14:paraId="376B4023" w14:textId="77777777" w:rsidR="00381425" w:rsidRPr="00924644" w:rsidRDefault="00381425" w:rsidP="00381425">
      <w:pPr>
        <w:pStyle w:val="ListParagraph"/>
        <w:numPr>
          <w:ilvl w:val="0"/>
          <w:numId w:val="5"/>
        </w:numPr>
        <w:spacing w:after="240"/>
        <w:ind w:left="1080"/>
        <w:contextualSpacing w:val="0"/>
        <w:rPr>
          <w:rFonts w:cs="Arial"/>
          <w:bCs/>
        </w:rPr>
      </w:pPr>
      <w:r w:rsidRPr="00924644">
        <w:rPr>
          <w:rFonts w:cs="Arial"/>
          <w:bCs/>
        </w:rPr>
        <w:t>Facilitating a community of practice among the regional TACs.</w:t>
      </w:r>
    </w:p>
    <w:p w14:paraId="28885842" w14:textId="144A36D2" w:rsidR="00381425" w:rsidRPr="00924644" w:rsidRDefault="00381425" w:rsidP="00381425">
      <w:pPr>
        <w:pStyle w:val="ListParagraph"/>
        <w:numPr>
          <w:ilvl w:val="0"/>
          <w:numId w:val="5"/>
        </w:numPr>
        <w:spacing w:after="240"/>
        <w:ind w:left="1080"/>
        <w:contextualSpacing w:val="0"/>
        <w:rPr>
          <w:rFonts w:cs="Arial"/>
          <w:bCs/>
        </w:rPr>
      </w:pPr>
      <w:r w:rsidRPr="00924644">
        <w:rPr>
          <w:rFonts w:cs="Arial"/>
          <w:bCs/>
        </w:rPr>
        <w:t>Coordinating and maximizing areas of expertise among the regional TACs. (</w:t>
      </w:r>
      <w:hyperlink r:id="rId12" w:tooltip="January 2022 Item 02" w:history="1">
        <w:r w:rsidRPr="00924644">
          <w:rPr>
            <w:rStyle w:val="Hyperlink"/>
            <w:rFonts w:cs="Arial"/>
            <w:bCs/>
          </w:rPr>
          <w:t>https://www.cde.ca.gov/be/ag/ag/yr22/d</w:t>
        </w:r>
        <w:r w:rsidRPr="00924644">
          <w:rPr>
            <w:rStyle w:val="Hyperlink"/>
            <w:rFonts w:cs="Arial"/>
            <w:bCs/>
          </w:rPr>
          <w:t>o</w:t>
        </w:r>
        <w:r w:rsidRPr="00924644">
          <w:rPr>
            <w:rStyle w:val="Hyperlink"/>
            <w:rFonts w:cs="Arial"/>
            <w:bCs/>
          </w:rPr>
          <w:t>cuments/jan22item02.docx</w:t>
        </w:r>
      </w:hyperlink>
      <w:r w:rsidRPr="00924644">
        <w:rPr>
          <w:rFonts w:cs="Arial"/>
          <w:bCs/>
        </w:rPr>
        <w:t>)</w:t>
      </w:r>
    </w:p>
    <w:p w14:paraId="11AE91C7" w14:textId="77777777" w:rsidR="00381425" w:rsidRPr="00924644" w:rsidRDefault="005A4FB4" w:rsidP="00381425">
      <w:pPr>
        <w:spacing w:after="240"/>
        <w:rPr>
          <w:rFonts w:cs="Arial"/>
          <w:bCs/>
        </w:rPr>
      </w:pPr>
      <w:r>
        <w:rPr>
          <w:rFonts w:cs="Arial"/>
          <w:bCs/>
        </w:rPr>
        <w:t>P</w:t>
      </w:r>
      <w:r w:rsidR="00381425" w:rsidRPr="00924644">
        <w:rPr>
          <w:rFonts w:cs="Arial"/>
          <w:bCs/>
        </w:rPr>
        <w:t>er statu</w:t>
      </w:r>
      <w:r w:rsidR="00381425">
        <w:rPr>
          <w:rFonts w:cs="Arial"/>
          <w:bCs/>
        </w:rPr>
        <w:t>t</w:t>
      </w:r>
      <w:r w:rsidR="00381425" w:rsidRPr="00924644">
        <w:rPr>
          <w:rFonts w:cs="Arial"/>
          <w:bCs/>
        </w:rPr>
        <w:t>e, the regional TACs are charged with the following responsibilities that, per SBE approval, the lead TAC will take a leadership role in accomplishing:</w:t>
      </w:r>
    </w:p>
    <w:p w14:paraId="711B42CD" w14:textId="77777777" w:rsidR="00381425" w:rsidRPr="00924644" w:rsidRDefault="00381425" w:rsidP="00381425">
      <w:pPr>
        <w:pStyle w:val="ListParagraph"/>
        <w:numPr>
          <w:ilvl w:val="0"/>
          <w:numId w:val="5"/>
        </w:numPr>
        <w:spacing w:after="240"/>
        <w:ind w:left="1080"/>
        <w:contextualSpacing w:val="0"/>
        <w:rPr>
          <w:rFonts w:cs="Arial"/>
          <w:bCs/>
        </w:rPr>
      </w:pPr>
      <w:r w:rsidRPr="00924644">
        <w:rPr>
          <w:rFonts w:cs="Arial"/>
          <w:bCs/>
        </w:rPr>
        <w:t xml:space="preserve">Supporting the CDE to </w:t>
      </w:r>
      <w:r w:rsidRPr="00924644">
        <w:rPr>
          <w:rFonts w:cs="Arial"/>
        </w:rPr>
        <w:t>collect and analyze qualitative and quantitative data to assess and evaluate the implementation of community schools and the overall effectiveness of the CCSPP</w:t>
      </w:r>
      <w:r w:rsidRPr="00924644">
        <w:rPr>
          <w:rFonts w:cs="Arial"/>
          <w:bCs/>
        </w:rPr>
        <w:t>.</w:t>
      </w:r>
    </w:p>
    <w:p w14:paraId="3DDEA590" w14:textId="77777777" w:rsidR="00381425" w:rsidRPr="00924644" w:rsidRDefault="00381425" w:rsidP="00381425">
      <w:pPr>
        <w:pStyle w:val="ListParagraph"/>
        <w:numPr>
          <w:ilvl w:val="0"/>
          <w:numId w:val="5"/>
        </w:numPr>
        <w:spacing w:after="240"/>
        <w:ind w:left="1080"/>
        <w:contextualSpacing w:val="0"/>
        <w:rPr>
          <w:rFonts w:cs="Arial"/>
          <w:bCs/>
        </w:rPr>
      </w:pPr>
      <w:r w:rsidRPr="00924644">
        <w:rPr>
          <w:rFonts w:cs="Arial"/>
          <w:bCs/>
        </w:rPr>
        <w:t xml:space="preserve">Supporting the CDE to </w:t>
      </w:r>
      <w:r w:rsidRPr="00924644">
        <w:rPr>
          <w:rFonts w:cs="Arial"/>
        </w:rPr>
        <w:t>align the CCSPP technical assistance system with the Statewide System of Support and other school improvement and professional development support systems</w:t>
      </w:r>
      <w:r w:rsidRPr="00924644">
        <w:rPr>
          <w:rFonts w:cs="Arial"/>
          <w:bCs/>
        </w:rPr>
        <w:t>.</w:t>
      </w:r>
    </w:p>
    <w:p w14:paraId="21825F27" w14:textId="7E25DF7E" w:rsidR="007E3C28" w:rsidRDefault="00381425" w:rsidP="00381425">
      <w:r w:rsidRPr="00924644">
        <w:t xml:space="preserve">On April 4, 2022 the RFA for the </w:t>
      </w:r>
      <w:r>
        <w:t>l</w:t>
      </w:r>
      <w:r w:rsidRPr="00924644">
        <w:t>ead TAC contract was released. (</w:t>
      </w:r>
      <w:hyperlink r:id="rId13" w:tooltip="Lead RFA Contract" w:history="1">
        <w:r w:rsidRPr="00924644">
          <w:rPr>
            <w:rStyle w:val="Hyperlink"/>
          </w:rPr>
          <w:t>https://www.cde.ca.gov/fg/fo/profile.asp?id=5815</w:t>
        </w:r>
      </w:hyperlink>
      <w:r w:rsidRPr="00924644">
        <w:t xml:space="preserve">) </w:t>
      </w:r>
      <w:r w:rsidR="007277D9">
        <w:t>The</w:t>
      </w:r>
      <w:r w:rsidRPr="00924644">
        <w:t xml:space="preserve"> total budget for the lead TAC contract is up to $24,000,000. The </w:t>
      </w:r>
      <w:r>
        <w:t>2022 R</w:t>
      </w:r>
      <w:r w:rsidRPr="00924644">
        <w:t xml:space="preserve">FA </w:t>
      </w:r>
      <w:r>
        <w:t>wa</w:t>
      </w:r>
      <w:r w:rsidRPr="00924644">
        <w:t xml:space="preserve">s for $12,000,000 for a 3-year contract. The application window for the lead TAC closed on April 29. The </w:t>
      </w:r>
      <w:r w:rsidR="005A4FB4">
        <w:t>CDE</w:t>
      </w:r>
      <w:r w:rsidRPr="00924644">
        <w:t xml:space="preserve"> recommendation </w:t>
      </w:r>
      <w:r>
        <w:t>to award the lead TAC contract to a consortium led by the Alameda County Office of Education</w:t>
      </w:r>
      <w:r w:rsidR="00C06CBC">
        <w:t xml:space="preserve"> (ACOE)</w:t>
      </w:r>
      <w:r>
        <w:t xml:space="preserve"> was approved by the SBE at the May 2022 meeting</w:t>
      </w:r>
      <w:r w:rsidRPr="00924644">
        <w:t>.</w:t>
      </w:r>
      <w:r w:rsidR="00FF3432">
        <w:t xml:space="preserve"> </w:t>
      </w:r>
      <w:r w:rsidR="00C06CBC">
        <w:t xml:space="preserve">The </w:t>
      </w:r>
      <w:r w:rsidR="007E3C28">
        <w:t xml:space="preserve">ACOE </w:t>
      </w:r>
      <w:r w:rsidR="00C06CBC">
        <w:t xml:space="preserve">consortium </w:t>
      </w:r>
      <w:r w:rsidR="007E3C28">
        <w:t xml:space="preserve">includes the UCLA Center for Community Schools, Californians for Justice (CFJ) and the National Education Association (NEA). The ACOE application detailed a powerful, but balanced approach that blended research expertise with a potent ground game strategy and strong experience providing technical assistance for other CDE </w:t>
      </w:r>
      <w:r w:rsidR="00C95DAE">
        <w:t>programs.</w:t>
      </w:r>
      <w:r w:rsidR="007E3C28">
        <w:t xml:space="preserve"> </w:t>
      </w:r>
    </w:p>
    <w:p w14:paraId="21892CD8" w14:textId="77777777" w:rsidR="007E3C28" w:rsidRDefault="007E3C28" w:rsidP="00381425"/>
    <w:p w14:paraId="268A0D7F" w14:textId="77777777" w:rsidR="002D2710" w:rsidRDefault="007E3C28" w:rsidP="00381425">
      <w:r>
        <w:t xml:space="preserve">The ACOE team </w:t>
      </w:r>
      <w:r w:rsidR="00490C63">
        <w:t xml:space="preserve">has </w:t>
      </w:r>
      <w:r>
        <w:t xml:space="preserve">worked throughout the summer to </w:t>
      </w:r>
      <w:r w:rsidR="004769AC">
        <w:t xml:space="preserve">hire staff, convene </w:t>
      </w:r>
      <w:r w:rsidR="00192303">
        <w:t>a broader set of potential contributors and advisors,</w:t>
      </w:r>
      <w:r w:rsidR="004769AC">
        <w:t xml:space="preserve"> a</w:t>
      </w:r>
      <w:r w:rsidR="00FF3432">
        <w:t xml:space="preserve">nd </w:t>
      </w:r>
      <w:r>
        <w:t xml:space="preserve">develop the </w:t>
      </w:r>
      <w:r w:rsidR="004769AC">
        <w:t xml:space="preserve">initial elements of the CCSPP TA design. They have also formed an Advisory Board and have held initial meetings with their partner organizations. </w:t>
      </w:r>
      <w:r>
        <w:t xml:space="preserve"> </w:t>
      </w:r>
    </w:p>
    <w:p w14:paraId="19348F5D" w14:textId="77777777" w:rsidR="00B35954" w:rsidRDefault="00B35954" w:rsidP="00B35954">
      <w:pPr>
        <w:pStyle w:val="Heading2"/>
        <w:spacing w:before="240" w:after="0" w:line="360" w:lineRule="auto"/>
        <w:rPr>
          <w:sz w:val="36"/>
        </w:rPr>
      </w:pPr>
      <w:r>
        <w:rPr>
          <w:sz w:val="36"/>
        </w:rPr>
        <w:lastRenderedPageBreak/>
        <w:t>Regional Technical Assistance Centers - RFA</w:t>
      </w:r>
    </w:p>
    <w:p w14:paraId="106CAE8A" w14:textId="77777777" w:rsidR="008433C7" w:rsidRDefault="008433C7" w:rsidP="008433C7">
      <w:pPr>
        <w:rPr>
          <w:rFonts w:cs="Arial"/>
        </w:rPr>
      </w:pPr>
      <w:r>
        <w:rPr>
          <w:rFonts w:cs="Arial"/>
        </w:rPr>
        <w:t xml:space="preserve">Per statute, at least five </w:t>
      </w:r>
      <w:r w:rsidRPr="001C6056">
        <w:rPr>
          <w:rFonts w:cs="Arial"/>
        </w:rPr>
        <w:t xml:space="preserve">Regional </w:t>
      </w:r>
      <w:r>
        <w:rPr>
          <w:rFonts w:cs="Arial"/>
        </w:rPr>
        <w:t>Technical Assistance Centers (</w:t>
      </w:r>
      <w:r w:rsidRPr="001C6056">
        <w:rPr>
          <w:rFonts w:cs="Arial"/>
        </w:rPr>
        <w:t>TACs</w:t>
      </w:r>
      <w:r>
        <w:rPr>
          <w:rFonts w:cs="Arial"/>
        </w:rPr>
        <w:t>)</w:t>
      </w:r>
      <w:r w:rsidRPr="001C6056">
        <w:rPr>
          <w:rFonts w:cs="Arial"/>
        </w:rPr>
        <w:t xml:space="preserve"> will be charged with sharing best practices and assisting both prospective applicants and grant recipients with tasks, including, but not limited to, all of the following:</w:t>
      </w:r>
    </w:p>
    <w:p w14:paraId="3470B01C" w14:textId="77777777" w:rsidR="00490C63" w:rsidRPr="004A3898" w:rsidRDefault="00490C63" w:rsidP="008433C7">
      <w:pPr>
        <w:rPr>
          <w:rFonts w:cs="Arial"/>
        </w:rPr>
      </w:pPr>
    </w:p>
    <w:p w14:paraId="6221030D" w14:textId="77777777" w:rsidR="008433C7" w:rsidRPr="00C97A5F" w:rsidRDefault="008433C7" w:rsidP="008433C7">
      <w:pPr>
        <w:pStyle w:val="ListParagraph"/>
        <w:numPr>
          <w:ilvl w:val="0"/>
          <w:numId w:val="6"/>
        </w:numPr>
        <w:spacing w:after="240"/>
        <w:contextualSpacing w:val="0"/>
        <w:rPr>
          <w:rFonts w:cs="Arial"/>
        </w:rPr>
      </w:pPr>
      <w:r w:rsidRPr="00C97A5F">
        <w:rPr>
          <w:rFonts w:cs="Arial"/>
        </w:rPr>
        <w:t xml:space="preserve">Conducting a comprehensive school and community </w:t>
      </w:r>
      <w:r>
        <w:rPr>
          <w:rFonts w:cs="Arial"/>
        </w:rPr>
        <w:t xml:space="preserve">assets map and </w:t>
      </w:r>
      <w:r w:rsidRPr="00C97A5F">
        <w:rPr>
          <w:rFonts w:cs="Arial"/>
        </w:rPr>
        <w:t>needs assessment.</w:t>
      </w:r>
    </w:p>
    <w:p w14:paraId="277F049B" w14:textId="77777777" w:rsidR="008433C7" w:rsidRDefault="008433C7" w:rsidP="008433C7">
      <w:pPr>
        <w:pStyle w:val="ListParagraph"/>
        <w:numPr>
          <w:ilvl w:val="0"/>
          <w:numId w:val="6"/>
        </w:numPr>
        <w:spacing w:after="240"/>
        <w:contextualSpacing w:val="0"/>
        <w:rPr>
          <w:rFonts w:cs="Arial"/>
        </w:rPr>
      </w:pPr>
      <w:r w:rsidRPr="00C97A5F">
        <w:rPr>
          <w:rFonts w:cs="Arial"/>
        </w:rPr>
        <w:t>Improving authentic family and community engagement in the languages spoken in the community.</w:t>
      </w:r>
    </w:p>
    <w:p w14:paraId="4EE083F3" w14:textId="77777777" w:rsidR="008433C7" w:rsidRDefault="008433C7" w:rsidP="008433C7">
      <w:pPr>
        <w:pStyle w:val="ListParagraph"/>
        <w:numPr>
          <w:ilvl w:val="0"/>
          <w:numId w:val="6"/>
        </w:numPr>
        <w:spacing w:after="240"/>
        <w:contextualSpacing w:val="0"/>
        <w:rPr>
          <w:rFonts w:cs="Arial"/>
        </w:rPr>
      </w:pPr>
      <w:r>
        <w:rPr>
          <w:rFonts w:cs="Arial"/>
        </w:rPr>
        <w:t>Developing programming and strengthening relationships to promote positive, supportive and racially just school climates.</w:t>
      </w:r>
    </w:p>
    <w:p w14:paraId="1632F2B9" w14:textId="77777777" w:rsidR="008433C7" w:rsidRPr="00C97A5F" w:rsidRDefault="008433C7" w:rsidP="008433C7">
      <w:pPr>
        <w:pStyle w:val="ListParagraph"/>
        <w:numPr>
          <w:ilvl w:val="0"/>
          <w:numId w:val="6"/>
        </w:numPr>
        <w:spacing w:after="240"/>
        <w:contextualSpacing w:val="0"/>
        <w:rPr>
          <w:rFonts w:cs="Arial"/>
        </w:rPr>
      </w:pPr>
      <w:r>
        <w:rPr>
          <w:rFonts w:cs="Arial"/>
        </w:rPr>
        <w:t xml:space="preserve">Establishing and supporting collaborative leadership and shared decision-making practices at the LEA and School Site levels. </w:t>
      </w:r>
    </w:p>
    <w:p w14:paraId="3B9656D5" w14:textId="77777777" w:rsidR="008433C7" w:rsidRPr="00C97A5F" w:rsidRDefault="008433C7" w:rsidP="008433C7">
      <w:pPr>
        <w:pStyle w:val="ListParagraph"/>
        <w:numPr>
          <w:ilvl w:val="0"/>
          <w:numId w:val="6"/>
        </w:numPr>
        <w:spacing w:after="240"/>
        <w:contextualSpacing w:val="0"/>
        <w:rPr>
          <w:rFonts w:cs="Arial"/>
        </w:rPr>
      </w:pPr>
      <w:r w:rsidRPr="00C97A5F">
        <w:rPr>
          <w:rFonts w:cs="Arial"/>
        </w:rPr>
        <w:t>Creating</w:t>
      </w:r>
      <w:r>
        <w:rPr>
          <w:rFonts w:cs="Arial"/>
        </w:rPr>
        <w:t>, deepening and expanding</w:t>
      </w:r>
      <w:r w:rsidRPr="00C97A5F">
        <w:rPr>
          <w:rFonts w:cs="Arial"/>
        </w:rPr>
        <w:t xml:space="preserve"> community partnerships.</w:t>
      </w:r>
    </w:p>
    <w:p w14:paraId="118E08FE" w14:textId="77777777" w:rsidR="008433C7" w:rsidRPr="00C97A5F" w:rsidRDefault="008433C7" w:rsidP="008433C7">
      <w:pPr>
        <w:pStyle w:val="ListParagraph"/>
        <w:numPr>
          <w:ilvl w:val="0"/>
          <w:numId w:val="6"/>
        </w:numPr>
        <w:spacing w:after="240"/>
        <w:contextualSpacing w:val="0"/>
        <w:rPr>
          <w:rFonts w:cs="Arial"/>
        </w:rPr>
      </w:pPr>
      <w:r w:rsidRPr="00C97A5F">
        <w:rPr>
          <w:rFonts w:cs="Arial"/>
        </w:rPr>
        <w:t>Developing sustainable funding sources.</w:t>
      </w:r>
    </w:p>
    <w:p w14:paraId="10FBA310" w14:textId="77777777" w:rsidR="008433C7" w:rsidRPr="00C97A5F" w:rsidRDefault="008433C7" w:rsidP="008433C7">
      <w:pPr>
        <w:pStyle w:val="ListParagraph"/>
        <w:numPr>
          <w:ilvl w:val="0"/>
          <w:numId w:val="6"/>
        </w:numPr>
        <w:spacing w:after="240"/>
        <w:contextualSpacing w:val="0"/>
        <w:rPr>
          <w:rFonts w:cs="Arial"/>
        </w:rPr>
      </w:pPr>
      <w:r w:rsidRPr="00C97A5F">
        <w:rPr>
          <w:rFonts w:cs="Arial"/>
        </w:rPr>
        <w:t>Coordinating services across child-serving agencies</w:t>
      </w:r>
      <w:r>
        <w:rPr>
          <w:rFonts w:cs="Arial"/>
        </w:rPr>
        <w:t>, municipalities, governmental entities</w:t>
      </w:r>
      <w:r w:rsidRPr="00C97A5F">
        <w:rPr>
          <w:rFonts w:cs="Arial"/>
        </w:rPr>
        <w:t xml:space="preserve"> and schools.</w:t>
      </w:r>
    </w:p>
    <w:p w14:paraId="20AB456D" w14:textId="77777777" w:rsidR="00DC68A6" w:rsidRDefault="008433C7" w:rsidP="00DC68A6">
      <w:pPr>
        <w:pStyle w:val="ListParagraph"/>
        <w:numPr>
          <w:ilvl w:val="0"/>
          <w:numId w:val="6"/>
        </w:numPr>
        <w:spacing w:after="240"/>
        <w:contextualSpacing w:val="0"/>
        <w:rPr>
          <w:rFonts w:cs="Arial"/>
        </w:rPr>
      </w:pPr>
      <w:r w:rsidRPr="00C97A5F">
        <w:rPr>
          <w:rFonts w:cs="Arial"/>
        </w:rPr>
        <w:t>Accessing and combining funding for services from multiple revenue sources.</w:t>
      </w:r>
    </w:p>
    <w:p w14:paraId="65932B4E" w14:textId="77777777" w:rsidR="00DC68A6" w:rsidRPr="00DC68A6" w:rsidRDefault="008433C7" w:rsidP="00DC68A6">
      <w:pPr>
        <w:spacing w:after="240"/>
        <w:rPr>
          <w:rFonts w:cs="Arial"/>
        </w:rPr>
      </w:pPr>
      <w:r w:rsidRPr="00DC68A6">
        <w:rPr>
          <w:rFonts w:cs="Arial"/>
        </w:rPr>
        <w:t xml:space="preserve">In addition, </w:t>
      </w:r>
      <w:r w:rsidR="00EC36E4" w:rsidRPr="00DC68A6">
        <w:rPr>
          <w:rFonts w:cs="Arial"/>
        </w:rPr>
        <w:t>the RTAC</w:t>
      </w:r>
      <w:r w:rsidR="00DC68A6" w:rsidRPr="00DC68A6">
        <w:rPr>
          <w:rFonts w:cs="Arial"/>
        </w:rPr>
        <w:t>s</w:t>
      </w:r>
      <w:r w:rsidR="00EC36E4" w:rsidRPr="00DC68A6">
        <w:rPr>
          <w:rFonts w:cs="Arial"/>
        </w:rPr>
        <w:t xml:space="preserve"> will contribute to a </w:t>
      </w:r>
      <w:r w:rsidR="00DC68A6" w:rsidRPr="00DC68A6">
        <w:rPr>
          <w:rFonts w:cs="Arial"/>
        </w:rPr>
        <w:t xml:space="preserve">statewide </w:t>
      </w:r>
      <w:r w:rsidR="00EC36E4" w:rsidRPr="00DC68A6">
        <w:rPr>
          <w:rFonts w:cs="Arial"/>
        </w:rPr>
        <w:t xml:space="preserve">community of practice and support the Lead </w:t>
      </w:r>
      <w:r w:rsidR="00DC68A6" w:rsidRPr="00DC68A6">
        <w:rPr>
          <w:rFonts w:cs="Arial"/>
          <w:bCs/>
        </w:rPr>
        <w:t>to develop the following:</w:t>
      </w:r>
    </w:p>
    <w:p w14:paraId="59F13ED4" w14:textId="77777777" w:rsidR="00DC68A6" w:rsidRPr="00705E28" w:rsidRDefault="00DC68A6" w:rsidP="00DC68A6">
      <w:pPr>
        <w:pStyle w:val="ListParagraph"/>
        <w:numPr>
          <w:ilvl w:val="0"/>
          <w:numId w:val="6"/>
        </w:numPr>
        <w:spacing w:after="240"/>
        <w:contextualSpacing w:val="0"/>
        <w:rPr>
          <w:rFonts w:cs="Arial"/>
        </w:rPr>
      </w:pPr>
      <w:r w:rsidRPr="00705E28">
        <w:rPr>
          <w:rFonts w:cs="Arial"/>
        </w:rPr>
        <w:t>Technical assistance content for the CCSPP technical assistance system;</w:t>
      </w:r>
    </w:p>
    <w:p w14:paraId="17042FA6" w14:textId="77777777" w:rsidR="00DC68A6" w:rsidRPr="00705E28" w:rsidRDefault="00DC68A6" w:rsidP="00DC68A6">
      <w:pPr>
        <w:pStyle w:val="ListParagraph"/>
        <w:numPr>
          <w:ilvl w:val="0"/>
          <w:numId w:val="6"/>
        </w:numPr>
        <w:spacing w:after="240"/>
        <w:contextualSpacing w:val="0"/>
        <w:rPr>
          <w:rFonts w:cs="Arial"/>
        </w:rPr>
      </w:pPr>
      <w:r w:rsidRPr="00705E28">
        <w:rPr>
          <w:rFonts w:cs="Arial"/>
        </w:rPr>
        <w:t>An implementation rubric;</w:t>
      </w:r>
    </w:p>
    <w:p w14:paraId="16A4A49C" w14:textId="77777777" w:rsidR="00DC68A6" w:rsidRPr="00705E28" w:rsidRDefault="00DC68A6" w:rsidP="00DC68A6">
      <w:pPr>
        <w:pStyle w:val="ListParagraph"/>
        <w:numPr>
          <w:ilvl w:val="0"/>
          <w:numId w:val="6"/>
        </w:numPr>
        <w:spacing w:after="240"/>
        <w:contextualSpacing w:val="0"/>
        <w:rPr>
          <w:rFonts w:cs="Arial"/>
        </w:rPr>
      </w:pPr>
      <w:r w:rsidRPr="00705E28">
        <w:rPr>
          <w:rFonts w:cs="Arial"/>
        </w:rPr>
        <w:t>Data collection and analysis, assessment and evaluation of effectiveness, and related improvement systems for the CCSPP through participation in a community of practice among the Regional TACs and led by the Lead TAC; and</w:t>
      </w:r>
    </w:p>
    <w:p w14:paraId="454BBC14" w14:textId="77777777" w:rsidR="008433C7" w:rsidRPr="00DC68A6" w:rsidRDefault="00DC68A6" w:rsidP="00DC68A6">
      <w:pPr>
        <w:pStyle w:val="ListParagraph"/>
        <w:numPr>
          <w:ilvl w:val="0"/>
          <w:numId w:val="6"/>
        </w:numPr>
        <w:spacing w:after="240"/>
        <w:contextualSpacing w:val="0"/>
        <w:rPr>
          <w:rFonts w:cs="Arial"/>
        </w:rPr>
      </w:pPr>
      <w:r w:rsidRPr="00705E28">
        <w:rPr>
          <w:rFonts w:cs="Arial"/>
        </w:rPr>
        <w:t>Alignment of the CCSPP to the Statewide System of Support and other school improvement and child supporting systems and programs.</w:t>
      </w:r>
    </w:p>
    <w:p w14:paraId="057B2914" w14:textId="0DFBD060" w:rsidR="009C7090" w:rsidRPr="00C65967" w:rsidRDefault="00384BA6" w:rsidP="009C7090">
      <w:pPr>
        <w:rPr>
          <w:rFonts w:cs="Arial"/>
        </w:rPr>
      </w:pPr>
      <w:r>
        <w:t>A request for applications for the RTAC</w:t>
      </w:r>
      <w:r w:rsidR="00EC36E4">
        <w:t xml:space="preserve"> </w:t>
      </w:r>
      <w:r w:rsidR="00DC68A6">
        <w:t xml:space="preserve">contracts </w:t>
      </w:r>
      <w:r>
        <w:t>was released on July 7, 2022 (</w:t>
      </w:r>
      <w:hyperlink r:id="rId14" w:tooltip="California Community Schools Partnership Program: Regional Technical Assistance" w:history="1">
        <w:r w:rsidRPr="00384BA6">
          <w:rPr>
            <w:rStyle w:val="Hyperlink"/>
          </w:rPr>
          <w:t>https://www.cde.ca.gov/fg/fo/</w:t>
        </w:r>
        <w:r w:rsidRPr="00384BA6">
          <w:rPr>
            <w:rStyle w:val="Hyperlink"/>
          </w:rPr>
          <w:t>r</w:t>
        </w:r>
        <w:r w:rsidRPr="00384BA6">
          <w:rPr>
            <w:rStyle w:val="Hyperlink"/>
          </w:rPr>
          <w:t>17/ccspptac21rfa.asp</w:t>
        </w:r>
      </w:hyperlink>
      <w:r>
        <w:t>)</w:t>
      </w:r>
      <w:r w:rsidR="009C7090">
        <w:t>.</w:t>
      </w:r>
      <w:r>
        <w:t xml:space="preserve"> </w:t>
      </w:r>
      <w:r w:rsidR="009C7090">
        <w:t xml:space="preserve">Up to </w:t>
      </w:r>
      <w:r w:rsidR="009C7090" w:rsidRPr="00C65967">
        <w:rPr>
          <w:rFonts w:cs="Arial"/>
        </w:rPr>
        <w:t>$117,833,000 in contracts may be awarded to LEAs or LEA consortiums</w:t>
      </w:r>
      <w:r w:rsidR="009C7090">
        <w:rPr>
          <w:rFonts w:cs="Arial"/>
        </w:rPr>
        <w:t xml:space="preserve">. </w:t>
      </w:r>
      <w:r w:rsidR="00AD275B">
        <w:rPr>
          <w:rFonts w:cs="Arial"/>
        </w:rPr>
        <w:t xml:space="preserve">LEA applicants receive preference if they partner with </w:t>
      </w:r>
      <w:r w:rsidR="00AD275B" w:rsidRPr="00C65967">
        <w:rPr>
          <w:rFonts w:cs="Arial"/>
          <w:color w:val="333333"/>
        </w:rPr>
        <w:t>institutions of higher education or nonprofit community-based organizations</w:t>
      </w:r>
      <w:r w:rsidR="00AD275B" w:rsidRPr="00C65967">
        <w:rPr>
          <w:rFonts w:cs="Arial"/>
        </w:rPr>
        <w:t xml:space="preserve">. </w:t>
      </w:r>
      <w:r w:rsidR="009C7090" w:rsidRPr="00C65967">
        <w:rPr>
          <w:rFonts w:cs="Arial"/>
        </w:rPr>
        <w:t xml:space="preserve">The award amount for each CCSPP Regional TAC contract </w:t>
      </w:r>
      <w:r w:rsidR="005A4FB4">
        <w:rPr>
          <w:rFonts w:cs="Arial"/>
        </w:rPr>
        <w:t>is set at</w:t>
      </w:r>
      <w:r w:rsidR="009C7090" w:rsidRPr="00C65967">
        <w:rPr>
          <w:rFonts w:cs="Arial"/>
        </w:rPr>
        <w:t xml:space="preserve"> a minimum of $5,000,000 for each contract period for an LEA or LEA consortium to serve </w:t>
      </w:r>
      <w:r w:rsidR="009C7090" w:rsidRPr="00C65967">
        <w:rPr>
          <w:rFonts w:cs="Arial"/>
        </w:rPr>
        <w:lastRenderedPageBreak/>
        <w:t>as an CCSPP Regional TAC. Funding in excess of $5,000,000, if any, for each contract period will be determined by the CDE based on the following factors, which include, but are not limited to:</w:t>
      </w:r>
    </w:p>
    <w:p w14:paraId="60E3A7A0" w14:textId="77777777" w:rsidR="009C7090" w:rsidRPr="00C65967" w:rsidRDefault="009C7090" w:rsidP="009C7090">
      <w:pPr>
        <w:pStyle w:val="ListParagraph"/>
        <w:numPr>
          <w:ilvl w:val="0"/>
          <w:numId w:val="6"/>
        </w:numPr>
        <w:contextualSpacing w:val="0"/>
        <w:rPr>
          <w:rFonts w:cs="Arial"/>
        </w:rPr>
      </w:pPr>
      <w:r w:rsidRPr="00C65967">
        <w:rPr>
          <w:rFonts w:cs="Arial"/>
        </w:rPr>
        <w:t>Number of Regional TACs awarded,</w:t>
      </w:r>
    </w:p>
    <w:p w14:paraId="18A28A48" w14:textId="77777777" w:rsidR="009C7090" w:rsidRPr="00C65967" w:rsidRDefault="009C7090" w:rsidP="009C7090">
      <w:pPr>
        <w:pStyle w:val="ListParagraph"/>
        <w:numPr>
          <w:ilvl w:val="0"/>
          <w:numId w:val="6"/>
        </w:numPr>
        <w:contextualSpacing w:val="0"/>
        <w:rPr>
          <w:rFonts w:cs="Arial"/>
        </w:rPr>
      </w:pPr>
      <w:r w:rsidRPr="00C65967">
        <w:rPr>
          <w:rFonts w:cs="Arial"/>
        </w:rPr>
        <w:t>Number of qualified and prioritized schools within the region assigned, and</w:t>
      </w:r>
    </w:p>
    <w:p w14:paraId="2E9FA7E0" w14:textId="77777777" w:rsidR="009C7090" w:rsidRPr="00C65967" w:rsidRDefault="009C7090" w:rsidP="009C7090">
      <w:pPr>
        <w:pStyle w:val="ListParagraph"/>
        <w:numPr>
          <w:ilvl w:val="0"/>
          <w:numId w:val="6"/>
        </w:numPr>
        <w:spacing w:after="240"/>
        <w:contextualSpacing w:val="0"/>
        <w:rPr>
          <w:rFonts w:cs="Arial"/>
        </w:rPr>
      </w:pPr>
      <w:r w:rsidRPr="00C65967">
        <w:rPr>
          <w:rFonts w:cs="Arial"/>
        </w:rPr>
        <w:t>Number of grants awarded within the region.</w:t>
      </w:r>
    </w:p>
    <w:p w14:paraId="3DF80D4C" w14:textId="77777777" w:rsidR="009C7090" w:rsidRPr="00C65967" w:rsidRDefault="009C7090" w:rsidP="009C7090">
      <w:pPr>
        <w:rPr>
          <w:rFonts w:cs="Arial"/>
        </w:rPr>
      </w:pPr>
      <w:r w:rsidRPr="00C65967">
        <w:rPr>
          <w:rFonts w:cs="Arial"/>
        </w:rPr>
        <w:t>The tentative contract periods and funding amounts are as follows:</w:t>
      </w:r>
    </w:p>
    <w:p w14:paraId="7022FD0A" w14:textId="77777777" w:rsidR="009C7090" w:rsidRPr="00C65967" w:rsidRDefault="009C7090" w:rsidP="009C7090">
      <w:pPr>
        <w:ind w:left="720"/>
        <w:rPr>
          <w:rFonts w:cs="Arial"/>
        </w:rPr>
      </w:pPr>
      <w:r w:rsidRPr="00C65967">
        <w:rPr>
          <w:rFonts w:cs="Arial"/>
        </w:rPr>
        <w:t xml:space="preserve">Contract Period 1: </w:t>
      </w:r>
      <w:r>
        <w:rPr>
          <w:rFonts w:cs="Arial"/>
        </w:rPr>
        <w:t>March</w:t>
      </w:r>
      <w:r w:rsidRPr="00C65967">
        <w:rPr>
          <w:rFonts w:cs="Arial"/>
        </w:rPr>
        <w:t xml:space="preserve"> </w:t>
      </w:r>
      <w:r>
        <w:rPr>
          <w:rFonts w:cs="Arial"/>
        </w:rPr>
        <w:t>1</w:t>
      </w:r>
      <w:r w:rsidRPr="00C65967">
        <w:rPr>
          <w:rFonts w:cs="Arial"/>
        </w:rPr>
        <w:t>, 2023, through June 30, 2025 (a minimum of $5,000,000)</w:t>
      </w:r>
    </w:p>
    <w:p w14:paraId="09526012" w14:textId="77777777" w:rsidR="009C7090" w:rsidRPr="00C65967" w:rsidRDefault="009C7090" w:rsidP="009C7090">
      <w:pPr>
        <w:ind w:left="720"/>
        <w:rPr>
          <w:rFonts w:cs="Arial"/>
        </w:rPr>
      </w:pPr>
      <w:r w:rsidRPr="00C65967">
        <w:rPr>
          <w:rFonts w:cs="Arial"/>
        </w:rPr>
        <w:t>Contract Period 2: July 1, 2025, through June 30, 2028 (a minimum of $5,000,000)</w:t>
      </w:r>
    </w:p>
    <w:p w14:paraId="383C5AB2" w14:textId="77777777" w:rsidR="009C7090" w:rsidRDefault="009C7090" w:rsidP="009C7090">
      <w:pPr>
        <w:rPr>
          <w:rFonts w:eastAsia="Arial" w:cs="Arial"/>
          <w:color w:val="000000"/>
        </w:rPr>
      </w:pPr>
    </w:p>
    <w:p w14:paraId="7E70356D" w14:textId="77777777" w:rsidR="009C7090" w:rsidRDefault="009C7090" w:rsidP="009C7090">
      <w:pPr>
        <w:rPr>
          <w:rFonts w:eastAsia="Arial" w:cs="Arial"/>
          <w:color w:val="000000"/>
        </w:rPr>
      </w:pPr>
      <w:r>
        <w:rPr>
          <w:rFonts w:eastAsia="Arial" w:cs="Arial"/>
          <w:color w:val="000000"/>
        </w:rPr>
        <w:t xml:space="preserve">The </w:t>
      </w:r>
      <w:r w:rsidRPr="00C65967">
        <w:rPr>
          <w:rFonts w:eastAsia="Arial" w:cs="Arial"/>
          <w:color w:val="000000"/>
        </w:rPr>
        <w:t>application</w:t>
      </w:r>
      <w:r>
        <w:rPr>
          <w:rFonts w:eastAsia="Arial" w:cs="Arial"/>
          <w:color w:val="000000"/>
        </w:rPr>
        <w:t>s i</w:t>
      </w:r>
      <w:r w:rsidR="008433C7">
        <w:rPr>
          <w:rFonts w:eastAsia="Arial" w:cs="Arial"/>
          <w:color w:val="000000"/>
        </w:rPr>
        <w:t xml:space="preserve">n </w:t>
      </w:r>
      <w:r>
        <w:rPr>
          <w:rFonts w:eastAsia="Arial" w:cs="Arial"/>
          <w:color w:val="000000"/>
        </w:rPr>
        <w:t>response to the current RFA</w:t>
      </w:r>
      <w:r w:rsidRPr="00C65967">
        <w:rPr>
          <w:rFonts w:eastAsia="Arial" w:cs="Arial"/>
          <w:color w:val="000000"/>
        </w:rPr>
        <w:t xml:space="preserve"> will be for Contract Period 1. The contract</w:t>
      </w:r>
      <w:r>
        <w:rPr>
          <w:rFonts w:eastAsia="Arial" w:cs="Arial"/>
          <w:color w:val="000000"/>
        </w:rPr>
        <w:t>s</w:t>
      </w:r>
      <w:r w:rsidRPr="00C65967">
        <w:rPr>
          <w:rFonts w:eastAsia="Arial" w:cs="Arial"/>
          <w:color w:val="000000"/>
        </w:rPr>
        <w:t xml:space="preserve"> may be renewed based upon successful completion of contract outcomes</w:t>
      </w:r>
      <w:r>
        <w:rPr>
          <w:rFonts w:eastAsia="Arial" w:cs="Arial"/>
          <w:color w:val="000000"/>
        </w:rPr>
        <w:t xml:space="preserve"> as described in the approved contract.</w:t>
      </w:r>
    </w:p>
    <w:p w14:paraId="31BEA3D7" w14:textId="77777777" w:rsidR="008433C7" w:rsidRPr="00B77020" w:rsidRDefault="008433C7" w:rsidP="00BD01D8">
      <w:pPr>
        <w:spacing w:before="240" w:after="240"/>
      </w:pPr>
      <w:r>
        <w:t>The CCSPP Regional TAC contracts may be awarded to an LEA or a consortium of LEAs in the following general areas/regions:</w:t>
      </w:r>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CSPP Regional Contacts - Column 1 Region, Column 2 Counties"/>
      </w:tblPr>
      <w:tblGrid>
        <w:gridCol w:w="1795"/>
        <w:gridCol w:w="7740"/>
      </w:tblGrid>
      <w:tr w:rsidR="008433C7" w:rsidRPr="00E31F98" w14:paraId="47D242C7" w14:textId="77777777" w:rsidTr="00BD01D8">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100" w:firstRow="0" w:lastRow="0" w:firstColumn="1" w:lastColumn="0" w:oddVBand="0" w:evenVBand="0" w:oddHBand="0" w:evenHBand="0" w:firstRowFirstColumn="1" w:firstRowLastColumn="0" w:lastRowFirstColumn="0" w:lastRowLastColumn="0"/>
            <w:tcW w:w="1795" w:type="dxa"/>
            <w:tcBorders>
              <w:bottom w:val="single" w:sz="4" w:space="0" w:color="000000" w:themeColor="text1"/>
            </w:tcBorders>
            <w:vAlign w:val="center"/>
          </w:tcPr>
          <w:p w14:paraId="79A031B7" w14:textId="77777777" w:rsidR="008433C7" w:rsidRPr="001D63E3" w:rsidRDefault="008433C7" w:rsidP="004A4CF0">
            <w:pPr>
              <w:pStyle w:val="BodyText"/>
              <w:rPr>
                <w:rFonts w:eastAsia="Arial" w:cs="Arial"/>
              </w:rPr>
            </w:pPr>
            <w:r w:rsidRPr="001D63E3">
              <w:rPr>
                <w:rFonts w:cs="Arial"/>
              </w:rPr>
              <w:t>Region</w:t>
            </w:r>
          </w:p>
        </w:tc>
        <w:tc>
          <w:tcPr>
            <w:cnfStyle w:val="000100001000" w:firstRow="0" w:lastRow="0" w:firstColumn="0" w:lastColumn="1" w:oddVBand="0" w:evenVBand="0" w:oddHBand="0" w:evenHBand="0" w:firstRowFirstColumn="0" w:firstRowLastColumn="1" w:lastRowFirstColumn="0" w:lastRowLastColumn="0"/>
            <w:tcW w:w="7740" w:type="dxa"/>
            <w:tcBorders>
              <w:bottom w:val="single" w:sz="4" w:space="0" w:color="000000" w:themeColor="text1"/>
            </w:tcBorders>
            <w:vAlign w:val="center"/>
          </w:tcPr>
          <w:p w14:paraId="11A025AE" w14:textId="77777777" w:rsidR="008433C7" w:rsidRPr="001D63E3" w:rsidRDefault="008433C7" w:rsidP="004A4CF0">
            <w:pPr>
              <w:pStyle w:val="BodyText"/>
              <w:rPr>
                <w:rFonts w:eastAsia="Arial" w:cs="Arial"/>
              </w:rPr>
            </w:pPr>
            <w:r w:rsidRPr="001D63E3">
              <w:rPr>
                <w:rFonts w:cs="Arial"/>
              </w:rPr>
              <w:t>Counties</w:t>
            </w:r>
          </w:p>
        </w:tc>
      </w:tr>
      <w:tr w:rsidR="008433C7" w:rsidRPr="00E31F98" w14:paraId="06F8300D" w14:textId="77777777" w:rsidTr="00BD01D8">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795" w:type="dxa"/>
            <w:tcBorders>
              <w:right w:val="single" w:sz="4" w:space="0" w:color="000000" w:themeColor="text1"/>
            </w:tcBorders>
            <w:vAlign w:val="center"/>
          </w:tcPr>
          <w:p w14:paraId="68589978" w14:textId="77777777" w:rsidR="008433C7" w:rsidRPr="00C65967" w:rsidRDefault="008433C7" w:rsidP="004A4CF0">
            <w:pPr>
              <w:rPr>
                <w:rFonts w:eastAsia="Arial" w:cs="Arial"/>
              </w:rPr>
            </w:pPr>
            <w:r w:rsidRPr="00C65967">
              <w:rPr>
                <w:rFonts w:cs="Arial"/>
              </w:rPr>
              <w:t>Northern California</w:t>
            </w:r>
          </w:p>
        </w:tc>
        <w:tc>
          <w:tcPr>
            <w:cnfStyle w:val="000100000000" w:firstRow="0" w:lastRow="0" w:firstColumn="0" w:lastColumn="1" w:oddVBand="0" w:evenVBand="0" w:oddHBand="0" w:evenHBand="0" w:firstRowFirstColumn="0" w:firstRowLastColumn="0" w:lastRowFirstColumn="0" w:lastRowLastColumn="0"/>
            <w:tcW w:w="7740" w:type="dxa"/>
            <w:tcBorders>
              <w:left w:val="single" w:sz="4" w:space="0" w:color="000000" w:themeColor="text1"/>
            </w:tcBorders>
          </w:tcPr>
          <w:p w14:paraId="2A046DE2" w14:textId="77777777" w:rsidR="008433C7" w:rsidRPr="00C65967" w:rsidRDefault="008433C7" w:rsidP="004A4CF0">
            <w:pPr>
              <w:pStyle w:val="BodyText"/>
              <w:rPr>
                <w:rFonts w:eastAsia="Arial" w:cs="Arial"/>
                <w:b w:val="0"/>
                <w:lang w:val="es-MX"/>
              </w:rPr>
            </w:pPr>
            <w:r w:rsidRPr="00C65967">
              <w:rPr>
                <w:rFonts w:eastAsia="Arial" w:cs="Arial"/>
                <w:b w:val="0"/>
                <w:lang w:val="es-MX"/>
              </w:rPr>
              <w:t>Butte, Del Norte, Glenn, Humboldt, Lake, Lassen, Mendocino, Modoc, Plumas, Shasta, Siskiyou, Tehama, and Trinity</w:t>
            </w:r>
          </w:p>
        </w:tc>
      </w:tr>
      <w:tr w:rsidR="008433C7" w:rsidRPr="00E31F98" w14:paraId="53088F71" w14:textId="77777777" w:rsidTr="00BD01D8">
        <w:trPr>
          <w:cantSplit/>
          <w:trHeight w:val="576"/>
        </w:trPr>
        <w:tc>
          <w:tcPr>
            <w:cnfStyle w:val="001000000000" w:firstRow="0" w:lastRow="0" w:firstColumn="1" w:lastColumn="0" w:oddVBand="0" w:evenVBand="0" w:oddHBand="0" w:evenHBand="0" w:firstRowFirstColumn="0" w:firstRowLastColumn="0" w:lastRowFirstColumn="0" w:lastRowLastColumn="0"/>
            <w:tcW w:w="1795" w:type="dxa"/>
            <w:tcBorders>
              <w:right w:val="single" w:sz="4" w:space="0" w:color="000000" w:themeColor="text1"/>
            </w:tcBorders>
            <w:vAlign w:val="center"/>
          </w:tcPr>
          <w:p w14:paraId="7A5817FE" w14:textId="77777777" w:rsidR="008433C7" w:rsidRPr="00C65967" w:rsidRDefault="008433C7" w:rsidP="004A4CF0">
            <w:pPr>
              <w:rPr>
                <w:rFonts w:eastAsia="Arial" w:cs="Arial"/>
              </w:rPr>
            </w:pPr>
            <w:r w:rsidRPr="00C65967">
              <w:rPr>
                <w:rFonts w:cs="Arial"/>
              </w:rPr>
              <w:t>Capitol Area</w:t>
            </w:r>
          </w:p>
        </w:tc>
        <w:tc>
          <w:tcPr>
            <w:cnfStyle w:val="000100000000" w:firstRow="0" w:lastRow="0" w:firstColumn="0" w:lastColumn="1" w:oddVBand="0" w:evenVBand="0" w:oddHBand="0" w:evenHBand="0" w:firstRowFirstColumn="0" w:firstRowLastColumn="0" w:lastRowFirstColumn="0" w:lastRowLastColumn="0"/>
            <w:tcW w:w="7740" w:type="dxa"/>
            <w:tcBorders>
              <w:top w:val="single" w:sz="4" w:space="0" w:color="000000" w:themeColor="text1"/>
              <w:left w:val="single" w:sz="4" w:space="0" w:color="000000" w:themeColor="text1"/>
            </w:tcBorders>
          </w:tcPr>
          <w:p w14:paraId="209D7119" w14:textId="77777777" w:rsidR="008433C7" w:rsidRPr="00C65967" w:rsidRDefault="008433C7" w:rsidP="004A4CF0">
            <w:pPr>
              <w:pStyle w:val="BodyText"/>
              <w:rPr>
                <w:rFonts w:eastAsia="Arial" w:cs="Arial"/>
                <w:b w:val="0"/>
                <w:lang w:val="es-MX"/>
              </w:rPr>
            </w:pPr>
            <w:r w:rsidRPr="00C65967">
              <w:rPr>
                <w:rFonts w:eastAsia="Arial" w:cs="Arial"/>
                <w:b w:val="0"/>
                <w:lang w:val="es-MX"/>
              </w:rPr>
              <w:t xml:space="preserve">Alpine, Colusa, El Dorado, Nevada, Placer, Sacramento, </w:t>
            </w:r>
            <w:r w:rsidRPr="00C65967">
              <w:rPr>
                <w:rFonts w:eastAsia="Arial" w:cs="Arial"/>
                <w:b w:val="0"/>
              </w:rPr>
              <w:t>San Joaquin,</w:t>
            </w:r>
            <w:r w:rsidRPr="00C65967">
              <w:rPr>
                <w:rFonts w:eastAsia="Arial" w:cs="Arial"/>
                <w:b w:val="0"/>
                <w:lang w:val="es-MX"/>
              </w:rPr>
              <w:t xml:space="preserve"> Sierra, </w:t>
            </w:r>
            <w:r w:rsidRPr="00C65967">
              <w:rPr>
                <w:rFonts w:eastAsia="Arial" w:cs="Arial"/>
                <w:b w:val="0"/>
                <w:bCs w:val="0"/>
              </w:rPr>
              <w:t>Solano,</w:t>
            </w:r>
            <w:r w:rsidRPr="00C65967">
              <w:rPr>
                <w:rFonts w:eastAsia="Arial" w:cs="Arial"/>
                <w:b w:val="0"/>
                <w:lang w:val="es-MX"/>
              </w:rPr>
              <w:t xml:space="preserve"> Sutter, Yolo, and Yuba</w:t>
            </w:r>
          </w:p>
        </w:tc>
      </w:tr>
      <w:tr w:rsidR="008433C7" w:rsidRPr="0041256B" w14:paraId="2B0EDC62" w14:textId="77777777" w:rsidTr="00BD01D8">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795" w:type="dxa"/>
            <w:tcBorders>
              <w:right w:val="single" w:sz="4" w:space="0" w:color="000000" w:themeColor="text1"/>
            </w:tcBorders>
            <w:vAlign w:val="center"/>
          </w:tcPr>
          <w:p w14:paraId="0A73C735" w14:textId="77777777" w:rsidR="008433C7" w:rsidRPr="00C65967" w:rsidRDefault="008433C7" w:rsidP="004A4CF0">
            <w:pPr>
              <w:rPr>
                <w:rFonts w:eastAsia="Arial" w:cs="Arial"/>
              </w:rPr>
            </w:pPr>
            <w:r w:rsidRPr="00C65967">
              <w:rPr>
                <w:rFonts w:cs="Arial"/>
              </w:rPr>
              <w:t>Bay Area</w:t>
            </w:r>
          </w:p>
        </w:tc>
        <w:tc>
          <w:tcPr>
            <w:cnfStyle w:val="000100000000" w:firstRow="0" w:lastRow="0" w:firstColumn="0" w:lastColumn="1" w:oddVBand="0" w:evenVBand="0" w:oddHBand="0" w:evenHBand="0" w:firstRowFirstColumn="0" w:firstRowLastColumn="0" w:lastRowFirstColumn="0" w:lastRowLastColumn="0"/>
            <w:tcW w:w="7740" w:type="dxa"/>
            <w:tcBorders>
              <w:left w:val="single" w:sz="4" w:space="0" w:color="000000" w:themeColor="text1"/>
            </w:tcBorders>
          </w:tcPr>
          <w:p w14:paraId="16ADF7F9" w14:textId="77777777" w:rsidR="008433C7" w:rsidRPr="00C65967" w:rsidRDefault="008433C7" w:rsidP="004A4CF0">
            <w:pPr>
              <w:pStyle w:val="BodyText"/>
              <w:rPr>
                <w:rFonts w:eastAsia="Arial" w:cs="Arial"/>
                <w:bCs w:val="0"/>
              </w:rPr>
            </w:pPr>
            <w:r w:rsidRPr="00C65967">
              <w:rPr>
                <w:rFonts w:eastAsia="Arial" w:cs="Arial"/>
                <w:b w:val="0"/>
              </w:rPr>
              <w:t>Alameda,</w:t>
            </w:r>
            <w:r w:rsidRPr="00C65967">
              <w:rPr>
                <w:rFonts w:eastAsia="Arial" w:cs="Arial"/>
                <w:b w:val="0"/>
                <w:bCs w:val="0"/>
              </w:rPr>
              <w:t xml:space="preserve"> Contra Costa, Marin, Napa, San Francisco, San Mateo, </w:t>
            </w:r>
            <w:r w:rsidRPr="00C65967">
              <w:rPr>
                <w:rFonts w:eastAsia="Arial" w:cs="Arial"/>
                <w:b w:val="0"/>
                <w:bCs w:val="0"/>
              </w:rPr>
              <w:br/>
            </w:r>
            <w:r w:rsidRPr="00C65967">
              <w:rPr>
                <w:rFonts w:eastAsia="Arial" w:cs="Arial"/>
                <w:b w:val="0"/>
                <w:lang w:val="es-MX"/>
              </w:rPr>
              <w:t xml:space="preserve">Santa Clara, </w:t>
            </w:r>
            <w:r w:rsidRPr="00C65967">
              <w:rPr>
                <w:rFonts w:eastAsia="Arial" w:cs="Arial"/>
                <w:b w:val="0"/>
                <w:bCs w:val="0"/>
              </w:rPr>
              <w:t xml:space="preserve">and </w:t>
            </w:r>
            <w:r w:rsidRPr="00C65967">
              <w:rPr>
                <w:rFonts w:eastAsia="Arial" w:cs="Arial"/>
                <w:b w:val="0"/>
                <w:lang w:val="es-MX"/>
              </w:rPr>
              <w:t>Sonoma</w:t>
            </w:r>
          </w:p>
        </w:tc>
      </w:tr>
      <w:tr w:rsidR="008433C7" w:rsidRPr="00E31F98" w14:paraId="55C5CE1B" w14:textId="77777777" w:rsidTr="00BD01D8">
        <w:trPr>
          <w:cantSplit/>
          <w:trHeight w:val="576"/>
        </w:trPr>
        <w:tc>
          <w:tcPr>
            <w:cnfStyle w:val="001000000000" w:firstRow="0" w:lastRow="0" w:firstColumn="1" w:lastColumn="0" w:oddVBand="0" w:evenVBand="0" w:oddHBand="0" w:evenHBand="0" w:firstRowFirstColumn="0" w:firstRowLastColumn="0" w:lastRowFirstColumn="0" w:lastRowLastColumn="0"/>
            <w:tcW w:w="1795" w:type="dxa"/>
            <w:tcBorders>
              <w:right w:val="single" w:sz="4" w:space="0" w:color="000000" w:themeColor="text1"/>
            </w:tcBorders>
            <w:vAlign w:val="center"/>
          </w:tcPr>
          <w:p w14:paraId="742955AB" w14:textId="77777777" w:rsidR="008433C7" w:rsidRPr="00C65967" w:rsidRDefault="008433C7" w:rsidP="004A4CF0">
            <w:pPr>
              <w:rPr>
                <w:rFonts w:eastAsia="Arial" w:cs="Arial"/>
              </w:rPr>
            </w:pPr>
            <w:r w:rsidRPr="00C65967">
              <w:rPr>
                <w:rFonts w:cs="Arial"/>
              </w:rPr>
              <w:t>Central Coast</w:t>
            </w:r>
          </w:p>
        </w:tc>
        <w:tc>
          <w:tcPr>
            <w:cnfStyle w:val="000100000000" w:firstRow="0" w:lastRow="0" w:firstColumn="0" w:lastColumn="1" w:oddVBand="0" w:evenVBand="0" w:oddHBand="0" w:evenHBand="0" w:firstRowFirstColumn="0" w:firstRowLastColumn="0" w:lastRowFirstColumn="0" w:lastRowLastColumn="0"/>
            <w:tcW w:w="7740" w:type="dxa"/>
            <w:tcBorders>
              <w:left w:val="single" w:sz="4" w:space="0" w:color="000000" w:themeColor="text1"/>
            </w:tcBorders>
          </w:tcPr>
          <w:p w14:paraId="70C8788E" w14:textId="77777777" w:rsidR="008433C7" w:rsidRPr="00C65967" w:rsidRDefault="008433C7" w:rsidP="004A4CF0">
            <w:pPr>
              <w:pStyle w:val="BodyText"/>
              <w:rPr>
                <w:rFonts w:eastAsia="Arial" w:cs="Arial"/>
                <w:b w:val="0"/>
                <w:lang w:val="es-MX"/>
              </w:rPr>
            </w:pPr>
            <w:r w:rsidRPr="00C65967">
              <w:rPr>
                <w:rFonts w:eastAsia="Arial" w:cs="Arial"/>
                <w:b w:val="0"/>
                <w:lang w:val="es-MX"/>
              </w:rPr>
              <w:t xml:space="preserve">Monterey, San Benito, </w:t>
            </w:r>
            <w:r w:rsidRPr="00C65967">
              <w:rPr>
                <w:rFonts w:cs="Arial"/>
                <w:b w:val="0"/>
              </w:rPr>
              <w:t xml:space="preserve">San Luis Obispo, Santa Barbara, </w:t>
            </w:r>
            <w:r w:rsidRPr="00C65967">
              <w:rPr>
                <w:rFonts w:eastAsia="Arial" w:cs="Arial"/>
                <w:b w:val="0"/>
                <w:lang w:val="es-MX"/>
              </w:rPr>
              <w:t>Santa Cruz, and Ventura</w:t>
            </w:r>
          </w:p>
        </w:tc>
      </w:tr>
      <w:tr w:rsidR="008433C7" w:rsidRPr="00E31F98" w14:paraId="694AE495" w14:textId="77777777" w:rsidTr="00BD01D8">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auto"/>
              <w:right w:val="single" w:sz="4" w:space="0" w:color="000000" w:themeColor="text1"/>
            </w:tcBorders>
            <w:vAlign w:val="center"/>
          </w:tcPr>
          <w:p w14:paraId="2080B8A7" w14:textId="77777777" w:rsidR="008433C7" w:rsidRPr="00C65967" w:rsidRDefault="008433C7" w:rsidP="004A4CF0">
            <w:pPr>
              <w:pStyle w:val="BodyText"/>
              <w:rPr>
                <w:rFonts w:eastAsia="Arial" w:cs="Arial"/>
              </w:rPr>
            </w:pPr>
            <w:r w:rsidRPr="00C65967">
              <w:rPr>
                <w:rFonts w:cs="Arial"/>
              </w:rPr>
              <w:t>Central Valley</w:t>
            </w:r>
          </w:p>
        </w:tc>
        <w:tc>
          <w:tcPr>
            <w:cnfStyle w:val="000100000000" w:firstRow="0" w:lastRow="0" w:firstColumn="0" w:lastColumn="1" w:oddVBand="0" w:evenVBand="0" w:oddHBand="0" w:evenHBand="0" w:firstRowFirstColumn="0" w:firstRowLastColumn="0" w:lastRowFirstColumn="0" w:lastRowLastColumn="0"/>
            <w:tcW w:w="7740" w:type="dxa"/>
            <w:tcBorders>
              <w:left w:val="single" w:sz="4" w:space="0" w:color="000000" w:themeColor="text1"/>
              <w:bottom w:val="single" w:sz="4" w:space="0" w:color="auto"/>
            </w:tcBorders>
          </w:tcPr>
          <w:p w14:paraId="0538A627" w14:textId="77777777" w:rsidR="008433C7" w:rsidRPr="00C65967" w:rsidRDefault="008433C7" w:rsidP="004A4CF0">
            <w:pPr>
              <w:pStyle w:val="BodyText"/>
              <w:rPr>
                <w:rFonts w:eastAsia="Arial" w:cs="Arial"/>
                <w:b w:val="0"/>
              </w:rPr>
            </w:pPr>
            <w:r w:rsidRPr="00C65967">
              <w:rPr>
                <w:rFonts w:eastAsia="Arial" w:cs="Arial"/>
                <w:b w:val="0"/>
              </w:rPr>
              <w:t xml:space="preserve">Amador, Calaveras, </w:t>
            </w:r>
            <w:r w:rsidRPr="00C65967">
              <w:rPr>
                <w:rFonts w:cs="Arial"/>
                <w:b w:val="0"/>
              </w:rPr>
              <w:t xml:space="preserve">Fresno, Kern, Kings, Madera, Mariposa, Merced, </w:t>
            </w:r>
            <w:r w:rsidRPr="00C65967">
              <w:rPr>
                <w:rFonts w:eastAsia="Arial" w:cs="Arial"/>
                <w:b w:val="0"/>
              </w:rPr>
              <w:t>Stanislaus, Tulare, and Tuolumne</w:t>
            </w:r>
          </w:p>
        </w:tc>
      </w:tr>
      <w:tr w:rsidR="008433C7" w:rsidRPr="00E31F98" w14:paraId="5F312180" w14:textId="77777777" w:rsidTr="00BD01D8">
        <w:trPr>
          <w:cantSplit/>
          <w:trHeight w:val="576"/>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bottom w:val="single" w:sz="4" w:space="0" w:color="auto"/>
              <w:right w:val="single" w:sz="4" w:space="0" w:color="auto"/>
            </w:tcBorders>
            <w:vAlign w:val="center"/>
          </w:tcPr>
          <w:p w14:paraId="79300DBA" w14:textId="77777777" w:rsidR="008433C7" w:rsidRPr="00C65967" w:rsidRDefault="008433C7" w:rsidP="004A4CF0">
            <w:pPr>
              <w:pStyle w:val="BodyText"/>
              <w:rPr>
                <w:rFonts w:cs="Arial"/>
              </w:rPr>
            </w:pPr>
            <w:r w:rsidRPr="00C65967">
              <w:rPr>
                <w:rFonts w:cs="Arial"/>
              </w:rPr>
              <w:t>Greater Los Angeles</w:t>
            </w:r>
          </w:p>
        </w:tc>
        <w:tc>
          <w:tcPr>
            <w:cnfStyle w:val="000100000000" w:firstRow="0" w:lastRow="0" w:firstColumn="0" w:lastColumn="1" w:oddVBand="0" w:evenVBand="0" w:oddHBand="0" w:evenHBand="0" w:firstRowFirstColumn="0" w:firstRowLastColumn="0" w:lastRowFirstColumn="0" w:lastRowLastColumn="0"/>
            <w:tcW w:w="7740" w:type="dxa"/>
            <w:tcBorders>
              <w:top w:val="single" w:sz="4" w:space="0" w:color="auto"/>
              <w:left w:val="single" w:sz="4" w:space="0" w:color="auto"/>
              <w:bottom w:val="single" w:sz="4" w:space="0" w:color="auto"/>
            </w:tcBorders>
          </w:tcPr>
          <w:p w14:paraId="438BA476" w14:textId="77777777" w:rsidR="008433C7" w:rsidRPr="00C65967" w:rsidRDefault="008433C7" w:rsidP="004A4CF0">
            <w:pPr>
              <w:pStyle w:val="BodyText"/>
              <w:rPr>
                <w:rFonts w:cs="Arial"/>
                <w:b w:val="0"/>
              </w:rPr>
            </w:pPr>
            <w:r w:rsidRPr="00C65967">
              <w:rPr>
                <w:rFonts w:cs="Arial"/>
                <w:b w:val="0"/>
              </w:rPr>
              <w:t>Los Angeles</w:t>
            </w:r>
          </w:p>
        </w:tc>
      </w:tr>
      <w:tr w:rsidR="008433C7" w:rsidRPr="00E31F98" w14:paraId="08D34031" w14:textId="77777777" w:rsidTr="00BD01D8">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795" w:type="dxa"/>
            <w:tcBorders>
              <w:right w:val="single" w:sz="4" w:space="0" w:color="auto"/>
            </w:tcBorders>
            <w:vAlign w:val="center"/>
          </w:tcPr>
          <w:p w14:paraId="7ADF1525" w14:textId="77777777" w:rsidR="008433C7" w:rsidRPr="00C65967" w:rsidRDefault="008433C7" w:rsidP="004A4CF0">
            <w:pPr>
              <w:pStyle w:val="BodyText"/>
              <w:rPr>
                <w:rFonts w:cs="Arial"/>
              </w:rPr>
            </w:pPr>
            <w:r w:rsidRPr="00C65967">
              <w:rPr>
                <w:rFonts w:cs="Arial"/>
              </w:rPr>
              <w:t>Southern Coast</w:t>
            </w:r>
          </w:p>
        </w:tc>
        <w:tc>
          <w:tcPr>
            <w:cnfStyle w:val="000100000000" w:firstRow="0" w:lastRow="0" w:firstColumn="0" w:lastColumn="1" w:oddVBand="0" w:evenVBand="0" w:oddHBand="0" w:evenHBand="0" w:firstRowFirstColumn="0" w:firstRowLastColumn="0" w:lastRowFirstColumn="0" w:lastRowLastColumn="0"/>
            <w:tcW w:w="7740" w:type="dxa"/>
            <w:tcBorders>
              <w:left w:val="single" w:sz="4" w:space="0" w:color="auto"/>
            </w:tcBorders>
          </w:tcPr>
          <w:p w14:paraId="5B3B30FD" w14:textId="77777777" w:rsidR="008433C7" w:rsidRPr="00C65967" w:rsidRDefault="008433C7" w:rsidP="004A4CF0">
            <w:pPr>
              <w:pStyle w:val="BodyText"/>
              <w:rPr>
                <w:rFonts w:cs="Arial"/>
                <w:b w:val="0"/>
              </w:rPr>
            </w:pPr>
            <w:r w:rsidRPr="00C65967">
              <w:rPr>
                <w:rFonts w:cs="Arial"/>
                <w:b w:val="0"/>
              </w:rPr>
              <w:t>Imperial, Orange, and San Diego</w:t>
            </w:r>
          </w:p>
        </w:tc>
      </w:tr>
      <w:tr w:rsidR="008433C7" w:rsidRPr="00E31F98" w14:paraId="4D774002" w14:textId="77777777" w:rsidTr="00BD01D8">
        <w:trPr>
          <w:cnfStyle w:val="010000000000" w:firstRow="0" w:lastRow="1" w:firstColumn="0" w:lastColumn="0" w:oddVBand="0" w:evenVBand="0" w:oddHBand="0" w:evenHBand="0" w:firstRowFirstColumn="0" w:firstRowLastColumn="0" w:lastRowFirstColumn="0" w:lastRowLastColumn="0"/>
          <w:cantSplit/>
          <w:trHeight w:val="576"/>
        </w:trPr>
        <w:tc>
          <w:tcPr>
            <w:cnfStyle w:val="001000000001" w:firstRow="0" w:lastRow="0" w:firstColumn="1" w:lastColumn="0" w:oddVBand="0" w:evenVBand="0" w:oddHBand="0" w:evenHBand="0" w:firstRowFirstColumn="0" w:firstRowLastColumn="0" w:lastRowFirstColumn="1" w:lastRowLastColumn="0"/>
            <w:tcW w:w="1795" w:type="dxa"/>
            <w:tcBorders>
              <w:top w:val="single" w:sz="4" w:space="0" w:color="auto"/>
              <w:bottom w:val="single" w:sz="4" w:space="0" w:color="auto"/>
              <w:right w:val="single" w:sz="4" w:space="0" w:color="auto"/>
            </w:tcBorders>
            <w:vAlign w:val="center"/>
          </w:tcPr>
          <w:p w14:paraId="2B5248F5" w14:textId="77777777" w:rsidR="008433C7" w:rsidRPr="00C65967" w:rsidRDefault="008433C7" w:rsidP="004A4CF0">
            <w:pPr>
              <w:pStyle w:val="BodyText"/>
              <w:rPr>
                <w:rFonts w:cs="Arial"/>
              </w:rPr>
            </w:pPr>
            <w:r w:rsidRPr="00C65967">
              <w:rPr>
                <w:rFonts w:cs="Arial"/>
              </w:rPr>
              <w:t>Southern Inland</w:t>
            </w:r>
          </w:p>
        </w:tc>
        <w:tc>
          <w:tcPr>
            <w:cnfStyle w:val="000100000010" w:firstRow="0" w:lastRow="0" w:firstColumn="0" w:lastColumn="1" w:oddVBand="0" w:evenVBand="0" w:oddHBand="0" w:evenHBand="0" w:firstRowFirstColumn="0" w:firstRowLastColumn="0" w:lastRowFirstColumn="0" w:lastRowLastColumn="1"/>
            <w:tcW w:w="7740" w:type="dxa"/>
            <w:tcBorders>
              <w:top w:val="single" w:sz="4" w:space="0" w:color="auto"/>
              <w:left w:val="single" w:sz="4" w:space="0" w:color="auto"/>
              <w:bottom w:val="single" w:sz="4" w:space="0" w:color="auto"/>
            </w:tcBorders>
          </w:tcPr>
          <w:p w14:paraId="0EC5987A" w14:textId="77777777" w:rsidR="008433C7" w:rsidRPr="00C65967" w:rsidRDefault="008433C7" w:rsidP="004A4CF0">
            <w:pPr>
              <w:pStyle w:val="BodyText"/>
              <w:rPr>
                <w:rFonts w:cs="Arial"/>
                <w:b w:val="0"/>
              </w:rPr>
            </w:pPr>
            <w:r w:rsidRPr="00C65967">
              <w:rPr>
                <w:rFonts w:cs="Arial"/>
                <w:b w:val="0"/>
              </w:rPr>
              <w:t>Inyo, Mono, Riverside, and San Bernardino</w:t>
            </w:r>
          </w:p>
        </w:tc>
      </w:tr>
    </w:tbl>
    <w:p w14:paraId="72DF75B3" w14:textId="77777777" w:rsidR="008433C7" w:rsidRPr="00915950" w:rsidRDefault="00E411D6" w:rsidP="008433C7">
      <w:pPr>
        <w:pStyle w:val="NoSpacing"/>
        <w:spacing w:before="240" w:after="240"/>
        <w:rPr>
          <w:rFonts w:cs="Arial"/>
        </w:rPr>
      </w:pPr>
      <w:r>
        <w:t xml:space="preserve">CDE identified these regions after reviewing data that identified geographic concentration of eligible students based on criteria identified in statute. </w:t>
      </w:r>
      <w:r w:rsidR="008433C7" w:rsidRPr="00915950">
        <w:t xml:space="preserve">If a region has no successful applicants for this competitive process or if </w:t>
      </w:r>
      <w:r w:rsidR="008433C7">
        <w:t xml:space="preserve">the </w:t>
      </w:r>
      <w:r w:rsidR="008433C7" w:rsidRPr="00915950">
        <w:t xml:space="preserve">CDE determines the needs in a region outweigh demonstrated capacity outlined in grant applications for that </w:t>
      </w:r>
      <w:r w:rsidR="008433C7" w:rsidRPr="00915950">
        <w:lastRenderedPageBreak/>
        <w:t>region, t</w:t>
      </w:r>
      <w:r w:rsidR="008433C7">
        <w:t>he</w:t>
      </w:r>
      <w:r w:rsidR="008433C7" w:rsidRPr="00915950">
        <w:t xml:space="preserve"> CDE may combine or reconfigure the regions. These regions may be reconfigured by</w:t>
      </w:r>
      <w:r w:rsidR="008433C7">
        <w:t xml:space="preserve"> the</w:t>
      </w:r>
      <w:r w:rsidR="008433C7" w:rsidRPr="00915950">
        <w:t xml:space="preserve"> CDE with consideration of the following factors:</w:t>
      </w:r>
    </w:p>
    <w:p w14:paraId="01B3403A" w14:textId="77777777" w:rsidR="008433C7" w:rsidRPr="00705E28" w:rsidRDefault="008433C7" w:rsidP="008433C7">
      <w:pPr>
        <w:pStyle w:val="ListParagraph"/>
        <w:numPr>
          <w:ilvl w:val="0"/>
          <w:numId w:val="6"/>
        </w:numPr>
        <w:contextualSpacing w:val="0"/>
        <w:rPr>
          <w:rFonts w:cs="Arial"/>
        </w:rPr>
      </w:pPr>
      <w:r w:rsidRPr="00705E28">
        <w:rPr>
          <w:rFonts w:cs="Arial"/>
        </w:rPr>
        <w:t>Geographic proximity</w:t>
      </w:r>
    </w:p>
    <w:p w14:paraId="54B3AFA2" w14:textId="77777777" w:rsidR="008433C7" w:rsidRPr="00705E28" w:rsidRDefault="008433C7" w:rsidP="008433C7">
      <w:pPr>
        <w:pStyle w:val="ListParagraph"/>
        <w:numPr>
          <w:ilvl w:val="0"/>
          <w:numId w:val="6"/>
        </w:numPr>
        <w:contextualSpacing w:val="0"/>
        <w:rPr>
          <w:rFonts w:cs="Arial"/>
        </w:rPr>
      </w:pPr>
      <w:r w:rsidRPr="00705E28">
        <w:rPr>
          <w:rFonts w:cs="Arial"/>
        </w:rPr>
        <w:t>Alignment with complimentary state initiatives</w:t>
      </w:r>
    </w:p>
    <w:p w14:paraId="0C65CD66" w14:textId="77777777" w:rsidR="008433C7" w:rsidRPr="00705E28" w:rsidRDefault="008433C7" w:rsidP="008433C7">
      <w:pPr>
        <w:pStyle w:val="ListParagraph"/>
        <w:numPr>
          <w:ilvl w:val="0"/>
          <w:numId w:val="6"/>
        </w:numPr>
        <w:contextualSpacing w:val="0"/>
        <w:rPr>
          <w:rFonts w:cs="Arial"/>
        </w:rPr>
      </w:pPr>
      <w:r w:rsidRPr="00705E28">
        <w:rPr>
          <w:rFonts w:cs="Arial"/>
        </w:rPr>
        <w:t>Concentration of existing planning and implementation grants</w:t>
      </w:r>
    </w:p>
    <w:p w14:paraId="3885699E" w14:textId="77777777" w:rsidR="008433C7" w:rsidRPr="00705E28" w:rsidRDefault="008433C7" w:rsidP="008433C7">
      <w:pPr>
        <w:pStyle w:val="ListParagraph"/>
        <w:numPr>
          <w:ilvl w:val="0"/>
          <w:numId w:val="6"/>
        </w:numPr>
        <w:spacing w:after="240"/>
        <w:contextualSpacing w:val="0"/>
        <w:rPr>
          <w:rFonts w:cs="Arial"/>
        </w:rPr>
      </w:pPr>
      <w:r w:rsidRPr="00705E28">
        <w:rPr>
          <w:rFonts w:cs="Arial"/>
        </w:rPr>
        <w:t xml:space="preserve">Concentration of potentially qualifying and prioritized LEAs and </w:t>
      </w:r>
      <w:r>
        <w:rPr>
          <w:rFonts w:cs="Arial"/>
        </w:rPr>
        <w:t>School Site</w:t>
      </w:r>
      <w:r w:rsidRPr="00705E28">
        <w:rPr>
          <w:rFonts w:cs="Arial"/>
        </w:rPr>
        <w:t>s</w:t>
      </w:r>
    </w:p>
    <w:p w14:paraId="7131A8A3" w14:textId="77777777" w:rsidR="009C7090" w:rsidRDefault="008B6AF1" w:rsidP="00DC68A6">
      <w:pPr>
        <w:spacing w:before="240" w:after="480"/>
      </w:pPr>
      <w:r>
        <w:t xml:space="preserve">Applications are due on September 9, 2022. The CDE will bring </w:t>
      </w:r>
      <w:r w:rsidR="00664990">
        <w:t>recommended contract awardees to the Board in November</w:t>
      </w:r>
      <w:r w:rsidR="008433C7">
        <w:t>.</w:t>
      </w:r>
    </w:p>
    <w:p w14:paraId="191F780B" w14:textId="77777777" w:rsidR="006F2D6A" w:rsidRDefault="006F2D6A" w:rsidP="006F2D6A">
      <w:pPr>
        <w:pStyle w:val="Heading2"/>
        <w:spacing w:before="240" w:after="0" w:line="360" w:lineRule="auto"/>
        <w:rPr>
          <w:sz w:val="36"/>
        </w:rPr>
      </w:pPr>
      <w:r>
        <w:rPr>
          <w:sz w:val="36"/>
        </w:rPr>
        <w:t>2022-23 CCSPP Timeline</w:t>
      </w:r>
    </w:p>
    <w:p w14:paraId="674CF72A" w14:textId="77777777" w:rsidR="006F2D6A" w:rsidRPr="003D1F41" w:rsidRDefault="00D4748E" w:rsidP="006F2D6A">
      <w:pPr>
        <w:autoSpaceDE w:val="0"/>
        <w:autoSpaceDN w:val="0"/>
        <w:adjustRightInd w:val="0"/>
        <w:spacing w:after="240"/>
        <w:rPr>
          <w:strike/>
        </w:rPr>
      </w:pPr>
      <w:r>
        <w:t>A round of applications for both planning and implementation grants will occur in the 2022-23 school year. The proposed timeline allows time for: outreach to potential applicants, updates to critical eligibility data, and first round planning grant awardees time to complete implementation plans within the first year of their planning grants and apply in the second round of implementation grants.</w:t>
      </w:r>
      <w:r w:rsidR="00174F86">
        <w:t xml:space="preserve"> </w:t>
      </w:r>
      <w:r w:rsidR="00F37EBF" w:rsidRPr="00B40793">
        <w:t xml:space="preserve">Outreach to potential applicants will be coordinated </w:t>
      </w:r>
      <w:r w:rsidR="003D1F41" w:rsidRPr="00B40793">
        <w:t>by</w:t>
      </w:r>
      <w:r w:rsidR="00F37EBF" w:rsidRPr="00B40793">
        <w:t xml:space="preserve"> CDE</w:t>
      </w:r>
      <w:r w:rsidR="003D1F41" w:rsidRPr="00B40793">
        <w:t>.</w:t>
      </w:r>
      <w:r w:rsidR="00F37EBF" w:rsidRPr="00B40793">
        <w:t xml:space="preserve"> </w:t>
      </w:r>
    </w:p>
    <w:p w14:paraId="0EB2F6CE" w14:textId="77777777" w:rsidR="004273AE" w:rsidRPr="00C4203F" w:rsidRDefault="004273AE" w:rsidP="00C4203F">
      <w:pPr>
        <w:pStyle w:val="Heading3"/>
        <w:spacing w:after="240"/>
        <w:rPr>
          <w:rFonts w:ascii="Arial" w:hAnsi="Arial" w:cs="Arial"/>
          <w:b/>
          <w:color w:val="auto"/>
        </w:rPr>
      </w:pPr>
      <w:r w:rsidRPr="00C4203F">
        <w:rPr>
          <w:rFonts w:ascii="Arial" w:hAnsi="Arial" w:cs="Arial"/>
          <w:b/>
          <w:color w:val="auto"/>
        </w:rPr>
        <w:t>Planning Grants – Round 2</w:t>
      </w:r>
    </w:p>
    <w:p w14:paraId="02B2E992" w14:textId="77777777" w:rsidR="00496605" w:rsidRDefault="004273AE" w:rsidP="00496605">
      <w:pPr>
        <w:autoSpaceDE w:val="0"/>
        <w:autoSpaceDN w:val="0"/>
        <w:adjustRightInd w:val="0"/>
        <w:spacing w:after="240"/>
      </w:pPr>
      <w:r>
        <w:t>The following is the proposed timeline for the second round of planning grant applications</w:t>
      </w:r>
    </w:p>
    <w:tbl>
      <w:tblPr>
        <w:tblStyle w:val="TableGrid"/>
        <w:tblW w:w="9350" w:type="dxa"/>
        <w:tblLook w:val="04A0" w:firstRow="1" w:lastRow="0" w:firstColumn="1" w:lastColumn="0" w:noHBand="0" w:noVBand="1"/>
      </w:tblPr>
      <w:tblGrid>
        <w:gridCol w:w="2425"/>
        <w:gridCol w:w="6925"/>
      </w:tblGrid>
      <w:tr w:rsidR="006E2A89" w14:paraId="588651EA" w14:textId="77777777" w:rsidTr="00FF7391">
        <w:trPr>
          <w:cantSplit/>
          <w:tblHeader/>
        </w:trPr>
        <w:tc>
          <w:tcPr>
            <w:tcW w:w="2425" w:type="dxa"/>
            <w:shd w:val="clear" w:color="auto" w:fill="171717" w:themeFill="background2" w:themeFillShade="1A"/>
            <w:vAlign w:val="center"/>
          </w:tcPr>
          <w:p w14:paraId="24B74A60" w14:textId="77777777" w:rsidR="006E2A89" w:rsidRPr="007C62C1" w:rsidRDefault="006E2A89" w:rsidP="007C62C1">
            <w:pPr>
              <w:pStyle w:val="BodyText"/>
              <w:jc w:val="center"/>
              <w:rPr>
                <w:rFonts w:cs="Arial"/>
                <w:b/>
                <w:color w:val="FFFFFF" w:themeColor="background1"/>
              </w:rPr>
            </w:pPr>
            <w:r w:rsidRPr="007C62C1">
              <w:rPr>
                <w:rFonts w:cs="Arial"/>
                <w:b/>
                <w:color w:val="FFFFFF" w:themeColor="background1"/>
              </w:rPr>
              <w:t>Date</w:t>
            </w:r>
          </w:p>
        </w:tc>
        <w:tc>
          <w:tcPr>
            <w:tcW w:w="6925" w:type="dxa"/>
            <w:shd w:val="clear" w:color="auto" w:fill="171717" w:themeFill="background2" w:themeFillShade="1A"/>
            <w:vAlign w:val="center"/>
          </w:tcPr>
          <w:p w14:paraId="26AD1188" w14:textId="77777777" w:rsidR="006E2A89" w:rsidRPr="007C62C1" w:rsidRDefault="006E2A89" w:rsidP="007C62C1">
            <w:pPr>
              <w:pStyle w:val="BodyText"/>
              <w:jc w:val="center"/>
              <w:rPr>
                <w:rFonts w:cs="Arial"/>
                <w:b/>
                <w:color w:val="FFFFFF" w:themeColor="background1"/>
              </w:rPr>
            </w:pPr>
            <w:r w:rsidRPr="007C62C1">
              <w:rPr>
                <w:rFonts w:cs="Arial"/>
                <w:b/>
                <w:color w:val="FFFFFF" w:themeColor="background1"/>
              </w:rPr>
              <w:t>Activity</w:t>
            </w:r>
          </w:p>
        </w:tc>
      </w:tr>
      <w:tr w:rsidR="006E2A89" w14:paraId="1B562069" w14:textId="77777777" w:rsidTr="00FF7391">
        <w:trPr>
          <w:cantSplit/>
        </w:trPr>
        <w:tc>
          <w:tcPr>
            <w:tcW w:w="2425" w:type="dxa"/>
            <w:vAlign w:val="center"/>
          </w:tcPr>
          <w:p w14:paraId="34017119" w14:textId="77777777" w:rsidR="006E2A89" w:rsidRPr="00B92A41" w:rsidRDefault="006E2A89" w:rsidP="006E2A89">
            <w:pPr>
              <w:rPr>
                <w:rFonts w:cs="Arial"/>
                <w:color w:val="201F1E"/>
              </w:rPr>
            </w:pPr>
            <w:r>
              <w:rPr>
                <w:rFonts w:cs="Arial"/>
                <w:color w:val="201F1E"/>
                <w:bdr w:val="none" w:sz="0" w:space="0" w:color="auto" w:frame="1"/>
              </w:rPr>
              <w:t>Nov</w:t>
            </w:r>
            <w:r w:rsidRPr="00B92A41">
              <w:rPr>
                <w:rFonts w:cs="Arial"/>
                <w:color w:val="201F1E"/>
                <w:bdr w:val="none" w:sz="0" w:space="0" w:color="auto" w:frame="1"/>
              </w:rPr>
              <w:t xml:space="preserve">ember </w:t>
            </w:r>
            <w:r>
              <w:rPr>
                <w:rFonts w:cs="Arial"/>
                <w:color w:val="201F1E"/>
                <w:bdr w:val="none" w:sz="0" w:space="0" w:color="auto" w:frame="1"/>
              </w:rPr>
              <w:t>1</w:t>
            </w:r>
            <w:r w:rsidRPr="00B92A41">
              <w:rPr>
                <w:rFonts w:cs="Arial"/>
                <w:color w:val="201F1E"/>
                <w:bdr w:val="none" w:sz="0" w:space="0" w:color="auto" w:frame="1"/>
              </w:rPr>
              <w:t>, 2022</w:t>
            </w:r>
          </w:p>
        </w:tc>
        <w:tc>
          <w:tcPr>
            <w:tcW w:w="6925" w:type="dxa"/>
            <w:vAlign w:val="center"/>
          </w:tcPr>
          <w:p w14:paraId="365CA5EC" w14:textId="77777777" w:rsidR="006E2A89" w:rsidRPr="00B92A41" w:rsidRDefault="006E2A89" w:rsidP="006E2A89">
            <w:pPr>
              <w:rPr>
                <w:rFonts w:cs="Arial"/>
                <w:color w:val="201F1E"/>
              </w:rPr>
            </w:pPr>
            <w:r w:rsidRPr="00B92A41">
              <w:rPr>
                <w:rFonts w:cs="Arial"/>
                <w:color w:val="201F1E"/>
                <w:bdr w:val="none" w:sz="0" w:space="0" w:color="auto" w:frame="1"/>
              </w:rPr>
              <w:t>RFA Release Date</w:t>
            </w:r>
          </w:p>
        </w:tc>
      </w:tr>
      <w:tr w:rsidR="006E2A89" w14:paraId="1C39B85F" w14:textId="77777777" w:rsidTr="00FF7391">
        <w:trPr>
          <w:cantSplit/>
        </w:trPr>
        <w:tc>
          <w:tcPr>
            <w:tcW w:w="2425" w:type="dxa"/>
            <w:vAlign w:val="center"/>
          </w:tcPr>
          <w:p w14:paraId="52260F2B" w14:textId="77777777" w:rsidR="006E2A89" w:rsidRPr="00B92A41" w:rsidRDefault="006E2A89" w:rsidP="006E2A89">
            <w:pPr>
              <w:rPr>
                <w:rFonts w:cs="Arial"/>
                <w:color w:val="201F1E"/>
              </w:rPr>
            </w:pPr>
            <w:r>
              <w:rPr>
                <w:rFonts w:cs="Arial"/>
                <w:color w:val="201F1E"/>
                <w:bdr w:val="none" w:sz="0" w:space="0" w:color="auto" w:frame="1"/>
              </w:rPr>
              <w:t>December 20</w:t>
            </w:r>
            <w:r w:rsidRPr="00B92A41">
              <w:rPr>
                <w:rFonts w:cs="Arial"/>
                <w:color w:val="201F1E"/>
                <w:bdr w:val="none" w:sz="0" w:space="0" w:color="auto" w:frame="1"/>
              </w:rPr>
              <w:t>, 202</w:t>
            </w:r>
            <w:r>
              <w:rPr>
                <w:rFonts w:cs="Arial"/>
                <w:color w:val="201F1E"/>
                <w:bdr w:val="none" w:sz="0" w:space="0" w:color="auto" w:frame="1"/>
              </w:rPr>
              <w:t>2</w:t>
            </w:r>
          </w:p>
        </w:tc>
        <w:tc>
          <w:tcPr>
            <w:tcW w:w="6925" w:type="dxa"/>
            <w:vAlign w:val="center"/>
          </w:tcPr>
          <w:p w14:paraId="1920D936" w14:textId="77777777" w:rsidR="006E2A89" w:rsidRPr="00B92A41" w:rsidRDefault="006E2A89" w:rsidP="006E2A89">
            <w:pPr>
              <w:rPr>
                <w:rFonts w:cs="Arial"/>
                <w:color w:val="201F1E"/>
              </w:rPr>
            </w:pPr>
            <w:r w:rsidRPr="00B92A41">
              <w:rPr>
                <w:rFonts w:cs="Arial"/>
                <w:color w:val="201F1E"/>
                <w:bdr w:val="none" w:sz="0" w:space="0" w:color="auto" w:frame="1"/>
              </w:rPr>
              <w:t>Applications must be received at the CDE, by 11:59 p.m. Pacific Standard Time (PST)</w:t>
            </w:r>
          </w:p>
        </w:tc>
      </w:tr>
      <w:tr w:rsidR="006E2A89" w14:paraId="28BD9DD8" w14:textId="77777777" w:rsidTr="00FF7391">
        <w:trPr>
          <w:cantSplit/>
        </w:trPr>
        <w:tc>
          <w:tcPr>
            <w:tcW w:w="2425" w:type="dxa"/>
            <w:vAlign w:val="center"/>
          </w:tcPr>
          <w:p w14:paraId="6D62E07D" w14:textId="77777777" w:rsidR="006E2A89" w:rsidRPr="00B92A41" w:rsidRDefault="006E2A89" w:rsidP="006E2A89">
            <w:pPr>
              <w:rPr>
                <w:rFonts w:cs="Arial"/>
                <w:color w:val="201F1E"/>
              </w:rPr>
            </w:pPr>
            <w:r>
              <w:rPr>
                <w:rFonts w:cs="Arial"/>
                <w:color w:val="201F1E"/>
                <w:bdr w:val="none" w:sz="0" w:space="0" w:color="auto" w:frame="1"/>
              </w:rPr>
              <w:t>January 2023 - February</w:t>
            </w:r>
            <w:r w:rsidRPr="00B92A41">
              <w:rPr>
                <w:rFonts w:cs="Arial"/>
                <w:color w:val="201F1E"/>
                <w:bdr w:val="none" w:sz="0" w:space="0" w:color="auto" w:frame="1"/>
              </w:rPr>
              <w:t xml:space="preserve"> 202</w:t>
            </w:r>
            <w:r>
              <w:rPr>
                <w:rFonts w:cs="Arial"/>
                <w:color w:val="201F1E"/>
                <w:bdr w:val="none" w:sz="0" w:space="0" w:color="auto" w:frame="1"/>
              </w:rPr>
              <w:t>3</w:t>
            </w:r>
          </w:p>
        </w:tc>
        <w:tc>
          <w:tcPr>
            <w:tcW w:w="6925" w:type="dxa"/>
            <w:vAlign w:val="center"/>
          </w:tcPr>
          <w:p w14:paraId="054AFC4C" w14:textId="77777777" w:rsidR="006E2A89" w:rsidRPr="00B92A41" w:rsidRDefault="006E2A89" w:rsidP="006E2A89">
            <w:pPr>
              <w:rPr>
                <w:rFonts w:cs="Arial"/>
                <w:color w:val="201F1E"/>
              </w:rPr>
            </w:pPr>
            <w:r w:rsidRPr="00B92A41">
              <w:rPr>
                <w:rFonts w:cs="Arial"/>
                <w:color w:val="201F1E"/>
                <w:bdr w:val="none" w:sz="0" w:space="0" w:color="auto" w:frame="1"/>
              </w:rPr>
              <w:t>Scoring of Applications</w:t>
            </w:r>
          </w:p>
        </w:tc>
      </w:tr>
      <w:tr w:rsidR="006E2A89" w14:paraId="558EACD6" w14:textId="77777777" w:rsidTr="00FF7391">
        <w:trPr>
          <w:cantSplit/>
        </w:trPr>
        <w:tc>
          <w:tcPr>
            <w:tcW w:w="2425" w:type="dxa"/>
            <w:vAlign w:val="center"/>
          </w:tcPr>
          <w:p w14:paraId="0D5D1DB8" w14:textId="77777777" w:rsidR="006E2A89" w:rsidRPr="00B92A41" w:rsidRDefault="006E2A89" w:rsidP="006E2A89">
            <w:pPr>
              <w:rPr>
                <w:rFonts w:cs="Arial"/>
                <w:color w:val="201F1E"/>
              </w:rPr>
            </w:pPr>
            <w:r>
              <w:rPr>
                <w:rFonts w:cs="Arial"/>
                <w:color w:val="201F1E"/>
                <w:bdr w:val="none" w:sz="0" w:space="0" w:color="auto" w:frame="1"/>
              </w:rPr>
              <w:t>March</w:t>
            </w:r>
            <w:r w:rsidRPr="00B92A41">
              <w:rPr>
                <w:rFonts w:cs="Arial"/>
                <w:color w:val="201F1E"/>
                <w:bdr w:val="none" w:sz="0" w:space="0" w:color="auto" w:frame="1"/>
              </w:rPr>
              <w:t xml:space="preserve"> 2023</w:t>
            </w:r>
          </w:p>
        </w:tc>
        <w:tc>
          <w:tcPr>
            <w:tcW w:w="6925" w:type="dxa"/>
            <w:vAlign w:val="center"/>
          </w:tcPr>
          <w:p w14:paraId="4849E2CD" w14:textId="77777777" w:rsidR="006E2A89" w:rsidRPr="00B92A41" w:rsidRDefault="006E2A89" w:rsidP="006E2A89">
            <w:pPr>
              <w:rPr>
                <w:rFonts w:cs="Arial"/>
                <w:color w:val="201F1E"/>
              </w:rPr>
            </w:pPr>
            <w:r w:rsidRPr="00B92A41">
              <w:rPr>
                <w:rFonts w:cs="Arial"/>
                <w:color w:val="201F1E"/>
                <w:bdr w:val="none" w:sz="0" w:space="0" w:color="auto" w:frame="1"/>
              </w:rPr>
              <w:t>Proposed grantees Announced and Presented to the SBE for Approval</w:t>
            </w:r>
          </w:p>
        </w:tc>
      </w:tr>
      <w:tr w:rsidR="006E2A89" w14:paraId="559B4A95" w14:textId="77777777" w:rsidTr="00FF7391">
        <w:trPr>
          <w:cantSplit/>
        </w:trPr>
        <w:tc>
          <w:tcPr>
            <w:tcW w:w="2425" w:type="dxa"/>
            <w:vAlign w:val="center"/>
          </w:tcPr>
          <w:p w14:paraId="5D8969D4" w14:textId="77777777" w:rsidR="006E2A89" w:rsidRPr="00B92A41" w:rsidRDefault="006E2A89" w:rsidP="006E2A89">
            <w:pPr>
              <w:rPr>
                <w:rFonts w:cs="Arial"/>
                <w:color w:val="201F1E"/>
              </w:rPr>
            </w:pPr>
            <w:r w:rsidRPr="00B92A41">
              <w:rPr>
                <w:rFonts w:cs="Arial"/>
                <w:color w:val="201F1E"/>
                <w:bdr w:val="none" w:sz="0" w:space="0" w:color="auto" w:frame="1"/>
              </w:rPr>
              <w:t xml:space="preserve">Two weeks after the </w:t>
            </w:r>
            <w:r>
              <w:rPr>
                <w:rFonts w:cs="Arial"/>
                <w:color w:val="201F1E"/>
                <w:bdr w:val="none" w:sz="0" w:space="0" w:color="auto" w:frame="1"/>
              </w:rPr>
              <w:t>March</w:t>
            </w:r>
            <w:r w:rsidRPr="00B92A41">
              <w:rPr>
                <w:rFonts w:cs="Arial"/>
                <w:color w:val="201F1E"/>
                <w:bdr w:val="none" w:sz="0" w:space="0" w:color="auto" w:frame="1"/>
              </w:rPr>
              <w:t xml:space="preserve"> SBE meeting</w:t>
            </w:r>
          </w:p>
        </w:tc>
        <w:tc>
          <w:tcPr>
            <w:tcW w:w="6925" w:type="dxa"/>
            <w:vAlign w:val="center"/>
          </w:tcPr>
          <w:p w14:paraId="7BADCCEB" w14:textId="77777777" w:rsidR="006E2A89" w:rsidRPr="00B92A41" w:rsidRDefault="006E2A89" w:rsidP="006E2A89">
            <w:pPr>
              <w:rPr>
                <w:rFonts w:cs="Arial"/>
                <w:color w:val="201F1E"/>
              </w:rPr>
            </w:pPr>
            <w:r w:rsidRPr="00B92A41">
              <w:rPr>
                <w:rFonts w:cs="Arial"/>
                <w:color w:val="201F1E"/>
                <w:bdr w:val="none" w:sz="0" w:space="0" w:color="auto" w:frame="1"/>
              </w:rPr>
              <w:t>Appeals must be received at the CDE</w:t>
            </w:r>
          </w:p>
        </w:tc>
      </w:tr>
      <w:tr w:rsidR="006E2A89" w14:paraId="042A8709" w14:textId="77777777" w:rsidTr="00FF7391">
        <w:trPr>
          <w:cantSplit/>
        </w:trPr>
        <w:tc>
          <w:tcPr>
            <w:tcW w:w="2425" w:type="dxa"/>
            <w:vAlign w:val="center"/>
          </w:tcPr>
          <w:p w14:paraId="41890FAB" w14:textId="77777777" w:rsidR="006E2A89" w:rsidRPr="00B92A41" w:rsidRDefault="006E2A89" w:rsidP="006E2A89">
            <w:pPr>
              <w:rPr>
                <w:rFonts w:cs="Arial"/>
                <w:color w:val="201F1E"/>
              </w:rPr>
            </w:pPr>
            <w:r>
              <w:rPr>
                <w:rFonts w:cs="Arial"/>
                <w:color w:val="201F1E"/>
                <w:bdr w:val="none" w:sz="0" w:space="0" w:color="auto" w:frame="1"/>
              </w:rPr>
              <w:t>April</w:t>
            </w:r>
            <w:r w:rsidRPr="00B92A41">
              <w:rPr>
                <w:rFonts w:cs="Arial"/>
                <w:color w:val="201F1E"/>
                <w:bdr w:val="none" w:sz="0" w:space="0" w:color="auto" w:frame="1"/>
              </w:rPr>
              <w:t xml:space="preserve"> 2023</w:t>
            </w:r>
          </w:p>
        </w:tc>
        <w:tc>
          <w:tcPr>
            <w:tcW w:w="6925" w:type="dxa"/>
            <w:vAlign w:val="center"/>
          </w:tcPr>
          <w:p w14:paraId="422AEF48" w14:textId="77777777" w:rsidR="006E2A89" w:rsidRPr="00B92A41" w:rsidRDefault="006E2A89" w:rsidP="006E2A89">
            <w:pPr>
              <w:rPr>
                <w:rFonts w:cs="Arial"/>
                <w:color w:val="201F1E"/>
              </w:rPr>
            </w:pPr>
            <w:r w:rsidRPr="00B92A41">
              <w:rPr>
                <w:rFonts w:cs="Arial"/>
                <w:color w:val="201F1E"/>
                <w:bdr w:val="none" w:sz="0" w:space="0" w:color="auto" w:frame="1"/>
              </w:rPr>
              <w:t>GAN Letters Released</w:t>
            </w:r>
          </w:p>
        </w:tc>
      </w:tr>
      <w:tr w:rsidR="006E2A89" w14:paraId="61F0D20C" w14:textId="77777777" w:rsidTr="00FF7391">
        <w:trPr>
          <w:cantSplit/>
        </w:trPr>
        <w:tc>
          <w:tcPr>
            <w:tcW w:w="2425" w:type="dxa"/>
            <w:vAlign w:val="center"/>
          </w:tcPr>
          <w:p w14:paraId="6E8B0AA1" w14:textId="77777777" w:rsidR="006E2A89" w:rsidRPr="00B92A41" w:rsidRDefault="006E2A89" w:rsidP="006E2A89">
            <w:pPr>
              <w:rPr>
                <w:rFonts w:cs="Arial"/>
                <w:color w:val="201F1E"/>
              </w:rPr>
            </w:pPr>
            <w:r>
              <w:rPr>
                <w:rFonts w:cs="Arial"/>
                <w:color w:val="201F1E"/>
                <w:bdr w:val="none" w:sz="0" w:space="0" w:color="auto" w:frame="1"/>
              </w:rPr>
              <w:t>May-June</w:t>
            </w:r>
            <w:r w:rsidRPr="00B92A41">
              <w:rPr>
                <w:rFonts w:cs="Arial"/>
                <w:color w:val="201F1E"/>
                <w:bdr w:val="none" w:sz="0" w:space="0" w:color="auto" w:frame="1"/>
              </w:rPr>
              <w:t xml:space="preserve"> 2023</w:t>
            </w:r>
          </w:p>
        </w:tc>
        <w:tc>
          <w:tcPr>
            <w:tcW w:w="6925" w:type="dxa"/>
            <w:vAlign w:val="center"/>
          </w:tcPr>
          <w:p w14:paraId="6723C2B0" w14:textId="77777777" w:rsidR="006E2A89" w:rsidRPr="00B92A41" w:rsidRDefault="006E2A89" w:rsidP="006E2A89">
            <w:pPr>
              <w:rPr>
                <w:rFonts w:cs="Arial"/>
                <w:color w:val="201F1E"/>
              </w:rPr>
            </w:pPr>
            <w:r w:rsidRPr="00B92A41">
              <w:rPr>
                <w:rFonts w:cs="Arial"/>
                <w:color w:val="201F1E"/>
                <w:bdr w:val="none" w:sz="0" w:space="0" w:color="auto" w:frame="1"/>
              </w:rPr>
              <w:t>Disbursement of Funds</w:t>
            </w:r>
          </w:p>
        </w:tc>
      </w:tr>
      <w:tr w:rsidR="006E2A89" w14:paraId="01C7C87C" w14:textId="77777777" w:rsidTr="00FF7391">
        <w:trPr>
          <w:cantSplit/>
        </w:trPr>
        <w:tc>
          <w:tcPr>
            <w:tcW w:w="2425" w:type="dxa"/>
            <w:vAlign w:val="center"/>
          </w:tcPr>
          <w:p w14:paraId="6EB6F6B7" w14:textId="77777777" w:rsidR="006E2A89" w:rsidRPr="00B92A41" w:rsidRDefault="006E2A89" w:rsidP="006E2A89">
            <w:pPr>
              <w:rPr>
                <w:rFonts w:cs="Arial"/>
                <w:color w:val="201F1E"/>
              </w:rPr>
            </w:pPr>
            <w:r>
              <w:rPr>
                <w:rFonts w:cs="Arial"/>
                <w:color w:val="201F1E"/>
                <w:bdr w:val="none" w:sz="0" w:space="0" w:color="auto" w:frame="1"/>
              </w:rPr>
              <w:t>May</w:t>
            </w:r>
            <w:r w:rsidRPr="00B92A41">
              <w:rPr>
                <w:rFonts w:cs="Arial"/>
                <w:color w:val="201F1E"/>
                <w:bdr w:val="none" w:sz="0" w:space="0" w:color="auto" w:frame="1"/>
              </w:rPr>
              <w:t xml:space="preserve"> 1, 2023</w:t>
            </w:r>
          </w:p>
        </w:tc>
        <w:tc>
          <w:tcPr>
            <w:tcW w:w="6925" w:type="dxa"/>
            <w:vAlign w:val="center"/>
          </w:tcPr>
          <w:p w14:paraId="7C23BAF2" w14:textId="77777777" w:rsidR="006E2A89" w:rsidRPr="00B92A41" w:rsidRDefault="006E2A89" w:rsidP="006E2A89">
            <w:pPr>
              <w:rPr>
                <w:rFonts w:cs="Arial"/>
                <w:color w:val="201F1E"/>
              </w:rPr>
            </w:pPr>
            <w:r w:rsidRPr="00B92A41">
              <w:rPr>
                <w:rFonts w:cs="Arial"/>
                <w:color w:val="201F1E"/>
                <w:bdr w:val="none" w:sz="0" w:space="0" w:color="auto" w:frame="1"/>
              </w:rPr>
              <w:t>Project Term Begins</w:t>
            </w:r>
          </w:p>
        </w:tc>
      </w:tr>
      <w:tr w:rsidR="006E2A89" w14:paraId="771B562C" w14:textId="77777777" w:rsidTr="00FF7391">
        <w:trPr>
          <w:cantSplit/>
        </w:trPr>
        <w:tc>
          <w:tcPr>
            <w:tcW w:w="2425" w:type="dxa"/>
            <w:vAlign w:val="center"/>
          </w:tcPr>
          <w:p w14:paraId="6862E62E" w14:textId="77777777" w:rsidR="006E2A89" w:rsidRPr="003D1F41" w:rsidRDefault="006E2A89" w:rsidP="006E2A89">
            <w:pPr>
              <w:rPr>
                <w:rFonts w:cs="Arial"/>
                <w:color w:val="201F1E"/>
              </w:rPr>
            </w:pPr>
            <w:r w:rsidRPr="003D1F41">
              <w:rPr>
                <w:rFonts w:cs="Arial"/>
                <w:color w:val="201F1E"/>
                <w:bdr w:val="none" w:sz="0" w:space="0" w:color="auto" w:frame="1"/>
              </w:rPr>
              <w:t>June 30, 2025</w:t>
            </w:r>
          </w:p>
        </w:tc>
        <w:tc>
          <w:tcPr>
            <w:tcW w:w="6925" w:type="dxa"/>
            <w:vAlign w:val="center"/>
          </w:tcPr>
          <w:p w14:paraId="35256834" w14:textId="77777777" w:rsidR="006E2A89" w:rsidRPr="003D1F41" w:rsidRDefault="006E2A89" w:rsidP="006E2A89">
            <w:pPr>
              <w:rPr>
                <w:rFonts w:cs="Arial"/>
                <w:color w:val="201F1E"/>
              </w:rPr>
            </w:pPr>
            <w:r w:rsidRPr="003D1F41">
              <w:rPr>
                <w:rFonts w:cs="Arial"/>
                <w:color w:val="201F1E"/>
                <w:bdr w:val="none" w:sz="0" w:space="0" w:color="auto" w:frame="1"/>
              </w:rPr>
              <w:t>All Funds Must be Expended</w:t>
            </w:r>
          </w:p>
        </w:tc>
      </w:tr>
    </w:tbl>
    <w:p w14:paraId="6EC5DA88" w14:textId="77777777" w:rsidR="006E2A89" w:rsidRPr="00B92A41" w:rsidRDefault="006E2A89" w:rsidP="00496605">
      <w:pPr>
        <w:autoSpaceDE w:val="0"/>
        <w:autoSpaceDN w:val="0"/>
        <w:adjustRightInd w:val="0"/>
        <w:spacing w:after="240"/>
        <w:rPr>
          <w:rFonts w:ascii="Calibri" w:hAnsi="Calibri" w:cs="Calibri"/>
          <w:color w:val="201F1E"/>
          <w:sz w:val="22"/>
          <w:szCs w:val="22"/>
        </w:rPr>
      </w:pPr>
    </w:p>
    <w:p w14:paraId="375D79AF" w14:textId="77777777" w:rsidR="00D4748E" w:rsidRPr="00C4203F" w:rsidRDefault="00D4748E" w:rsidP="00C4203F">
      <w:pPr>
        <w:pStyle w:val="Heading3"/>
        <w:spacing w:after="240"/>
        <w:rPr>
          <w:rFonts w:ascii="Arial" w:hAnsi="Arial" w:cs="Arial"/>
          <w:b/>
          <w:color w:val="auto"/>
        </w:rPr>
      </w:pPr>
      <w:r w:rsidRPr="00C4203F">
        <w:rPr>
          <w:rFonts w:ascii="Arial" w:hAnsi="Arial" w:cs="Arial"/>
          <w:b/>
          <w:color w:val="auto"/>
        </w:rPr>
        <w:t>Implementation Grants – Round 2</w:t>
      </w:r>
    </w:p>
    <w:p w14:paraId="1812062B" w14:textId="77777777" w:rsidR="00FC33C3" w:rsidRDefault="004273AE" w:rsidP="00FC33C3">
      <w:pPr>
        <w:autoSpaceDE w:val="0"/>
        <w:autoSpaceDN w:val="0"/>
        <w:adjustRightInd w:val="0"/>
        <w:spacing w:after="240"/>
      </w:pPr>
      <w:r>
        <w:t>The following is the proposed timeline for the second round of implementation grant applications:</w:t>
      </w:r>
    </w:p>
    <w:tbl>
      <w:tblPr>
        <w:tblStyle w:val="TableGrid"/>
        <w:tblW w:w="9350" w:type="dxa"/>
        <w:tblLook w:val="04A0" w:firstRow="1" w:lastRow="0" w:firstColumn="1" w:lastColumn="0" w:noHBand="0" w:noVBand="1"/>
      </w:tblPr>
      <w:tblGrid>
        <w:gridCol w:w="2425"/>
        <w:gridCol w:w="6925"/>
      </w:tblGrid>
      <w:tr w:rsidR="006E2A89" w14:paraId="6986CF96" w14:textId="77777777" w:rsidTr="00FF7391">
        <w:trPr>
          <w:cantSplit/>
          <w:trHeight w:val="395"/>
          <w:tblHeader/>
        </w:trPr>
        <w:tc>
          <w:tcPr>
            <w:tcW w:w="2425" w:type="dxa"/>
            <w:shd w:val="clear" w:color="auto" w:fill="171717" w:themeFill="background2" w:themeFillShade="1A"/>
            <w:vAlign w:val="center"/>
          </w:tcPr>
          <w:p w14:paraId="06836010" w14:textId="77777777" w:rsidR="006E2A89" w:rsidRPr="007C62C1" w:rsidRDefault="006E2A89" w:rsidP="006E2A89">
            <w:pPr>
              <w:jc w:val="center"/>
              <w:rPr>
                <w:rFonts w:cs="Arial"/>
                <w:b/>
                <w:color w:val="FFFFFF" w:themeColor="background1"/>
                <w:bdr w:val="none" w:sz="0" w:space="0" w:color="auto" w:frame="1"/>
              </w:rPr>
            </w:pPr>
            <w:r w:rsidRPr="007C62C1">
              <w:rPr>
                <w:rFonts w:cs="Arial"/>
                <w:b/>
                <w:color w:val="FFFFFF" w:themeColor="background1"/>
                <w:bdr w:val="none" w:sz="0" w:space="0" w:color="auto" w:frame="1"/>
              </w:rPr>
              <w:lastRenderedPageBreak/>
              <w:t>Date</w:t>
            </w:r>
          </w:p>
        </w:tc>
        <w:tc>
          <w:tcPr>
            <w:tcW w:w="6925" w:type="dxa"/>
            <w:shd w:val="clear" w:color="auto" w:fill="171717" w:themeFill="background2" w:themeFillShade="1A"/>
            <w:vAlign w:val="center"/>
          </w:tcPr>
          <w:p w14:paraId="79090161" w14:textId="77777777" w:rsidR="006E2A89" w:rsidRPr="007C62C1" w:rsidRDefault="006E2A89" w:rsidP="006E2A89">
            <w:pPr>
              <w:jc w:val="center"/>
              <w:rPr>
                <w:rFonts w:cs="Arial"/>
                <w:b/>
                <w:color w:val="FFFFFF" w:themeColor="background1"/>
                <w:bdr w:val="none" w:sz="0" w:space="0" w:color="auto" w:frame="1"/>
              </w:rPr>
            </w:pPr>
            <w:r w:rsidRPr="007C62C1">
              <w:rPr>
                <w:rFonts w:cs="Arial"/>
                <w:b/>
                <w:color w:val="FFFFFF" w:themeColor="background1"/>
                <w:bdr w:val="none" w:sz="0" w:space="0" w:color="auto" w:frame="1"/>
              </w:rPr>
              <w:t>Activity</w:t>
            </w:r>
          </w:p>
        </w:tc>
      </w:tr>
      <w:tr w:rsidR="006E2A89" w14:paraId="739C49E4" w14:textId="77777777" w:rsidTr="00FF7391">
        <w:trPr>
          <w:cantSplit/>
        </w:trPr>
        <w:tc>
          <w:tcPr>
            <w:tcW w:w="2425" w:type="dxa"/>
            <w:vAlign w:val="center"/>
          </w:tcPr>
          <w:p w14:paraId="73D69650" w14:textId="77777777" w:rsidR="006E2A89" w:rsidRPr="00B92A41" w:rsidRDefault="006E2A89" w:rsidP="006E2A89">
            <w:pPr>
              <w:tabs>
                <w:tab w:val="left" w:pos="600"/>
              </w:tabs>
              <w:rPr>
                <w:rFonts w:cs="Arial"/>
                <w:color w:val="201F1E"/>
              </w:rPr>
            </w:pPr>
            <w:r>
              <w:rPr>
                <w:rFonts w:cs="Arial"/>
                <w:color w:val="201F1E"/>
                <w:bdr w:val="none" w:sz="0" w:space="0" w:color="auto" w:frame="1"/>
              </w:rPr>
              <w:t>January</w:t>
            </w:r>
            <w:r w:rsidRPr="00B92A41">
              <w:rPr>
                <w:rFonts w:cs="Arial"/>
                <w:color w:val="201F1E"/>
                <w:bdr w:val="none" w:sz="0" w:space="0" w:color="auto" w:frame="1"/>
              </w:rPr>
              <w:t xml:space="preserve"> 1</w:t>
            </w:r>
            <w:r>
              <w:rPr>
                <w:rFonts w:cs="Arial"/>
                <w:color w:val="201F1E"/>
                <w:bdr w:val="none" w:sz="0" w:space="0" w:color="auto" w:frame="1"/>
              </w:rPr>
              <w:t>5</w:t>
            </w:r>
            <w:r w:rsidRPr="00B92A41">
              <w:rPr>
                <w:rFonts w:cs="Arial"/>
                <w:color w:val="201F1E"/>
                <w:bdr w:val="none" w:sz="0" w:space="0" w:color="auto" w:frame="1"/>
              </w:rPr>
              <w:t>, 2022</w:t>
            </w:r>
          </w:p>
        </w:tc>
        <w:tc>
          <w:tcPr>
            <w:tcW w:w="6925" w:type="dxa"/>
            <w:vAlign w:val="center"/>
          </w:tcPr>
          <w:p w14:paraId="0A517FB0" w14:textId="77777777" w:rsidR="006E2A89" w:rsidRPr="00B92A41" w:rsidRDefault="006E2A89" w:rsidP="006E2A89">
            <w:pPr>
              <w:rPr>
                <w:rFonts w:cs="Arial"/>
                <w:color w:val="201F1E"/>
              </w:rPr>
            </w:pPr>
            <w:r w:rsidRPr="00B92A41">
              <w:rPr>
                <w:rFonts w:cs="Arial"/>
                <w:color w:val="201F1E"/>
                <w:bdr w:val="none" w:sz="0" w:space="0" w:color="auto" w:frame="1"/>
              </w:rPr>
              <w:t>RFA Release Date</w:t>
            </w:r>
          </w:p>
        </w:tc>
      </w:tr>
      <w:tr w:rsidR="006E2A89" w14:paraId="4DA25021" w14:textId="77777777" w:rsidTr="00FF7391">
        <w:trPr>
          <w:cantSplit/>
        </w:trPr>
        <w:tc>
          <w:tcPr>
            <w:tcW w:w="2425" w:type="dxa"/>
            <w:vAlign w:val="center"/>
          </w:tcPr>
          <w:p w14:paraId="4DCBB08E" w14:textId="77777777" w:rsidR="006E2A89" w:rsidRPr="00B92A41" w:rsidRDefault="006E2A89" w:rsidP="006E2A89">
            <w:pPr>
              <w:rPr>
                <w:rFonts w:cs="Arial"/>
                <w:color w:val="201F1E"/>
              </w:rPr>
            </w:pPr>
            <w:r>
              <w:rPr>
                <w:rFonts w:cs="Arial"/>
                <w:color w:val="201F1E"/>
                <w:bdr w:val="none" w:sz="0" w:space="0" w:color="auto" w:frame="1"/>
              </w:rPr>
              <w:t>March 17</w:t>
            </w:r>
            <w:r w:rsidRPr="00B92A41">
              <w:rPr>
                <w:rFonts w:cs="Arial"/>
                <w:color w:val="201F1E"/>
                <w:bdr w:val="none" w:sz="0" w:space="0" w:color="auto" w:frame="1"/>
              </w:rPr>
              <w:t>, 202</w:t>
            </w:r>
            <w:r>
              <w:rPr>
                <w:rFonts w:cs="Arial"/>
                <w:color w:val="201F1E"/>
                <w:bdr w:val="none" w:sz="0" w:space="0" w:color="auto" w:frame="1"/>
              </w:rPr>
              <w:t>3</w:t>
            </w:r>
          </w:p>
        </w:tc>
        <w:tc>
          <w:tcPr>
            <w:tcW w:w="6925" w:type="dxa"/>
            <w:vAlign w:val="center"/>
          </w:tcPr>
          <w:p w14:paraId="1A4113D3" w14:textId="77777777" w:rsidR="006E2A89" w:rsidRPr="00B92A41" w:rsidRDefault="006E2A89" w:rsidP="006E2A89">
            <w:pPr>
              <w:rPr>
                <w:rFonts w:cs="Arial"/>
                <w:color w:val="201F1E"/>
              </w:rPr>
            </w:pPr>
            <w:r w:rsidRPr="00B92A41">
              <w:rPr>
                <w:rFonts w:cs="Arial"/>
                <w:color w:val="201F1E"/>
                <w:bdr w:val="none" w:sz="0" w:space="0" w:color="auto" w:frame="1"/>
              </w:rPr>
              <w:t>Applications must be received at the CDE, by 11:59 p.m. Pacific Standard Time (PST)</w:t>
            </w:r>
          </w:p>
        </w:tc>
      </w:tr>
      <w:tr w:rsidR="006E2A89" w14:paraId="2DB14F7F" w14:textId="77777777" w:rsidTr="00FF7391">
        <w:trPr>
          <w:cantSplit/>
        </w:trPr>
        <w:tc>
          <w:tcPr>
            <w:tcW w:w="2425" w:type="dxa"/>
            <w:vAlign w:val="center"/>
          </w:tcPr>
          <w:p w14:paraId="66E8F0F4" w14:textId="77777777" w:rsidR="006E2A89" w:rsidRPr="00B92A41" w:rsidRDefault="006E2A89" w:rsidP="006E2A89">
            <w:pPr>
              <w:rPr>
                <w:rFonts w:cs="Arial"/>
                <w:color w:val="201F1E"/>
              </w:rPr>
            </w:pPr>
            <w:r>
              <w:rPr>
                <w:rFonts w:cs="Arial"/>
                <w:color w:val="201F1E"/>
                <w:bdr w:val="none" w:sz="0" w:space="0" w:color="auto" w:frame="1"/>
              </w:rPr>
              <w:t>March 2023 - April</w:t>
            </w:r>
            <w:r w:rsidRPr="00B92A41">
              <w:rPr>
                <w:rFonts w:cs="Arial"/>
                <w:color w:val="201F1E"/>
                <w:bdr w:val="none" w:sz="0" w:space="0" w:color="auto" w:frame="1"/>
              </w:rPr>
              <w:t xml:space="preserve"> 202</w:t>
            </w:r>
            <w:r>
              <w:rPr>
                <w:rFonts w:cs="Arial"/>
                <w:color w:val="201F1E"/>
                <w:bdr w:val="none" w:sz="0" w:space="0" w:color="auto" w:frame="1"/>
              </w:rPr>
              <w:t>3</w:t>
            </w:r>
          </w:p>
        </w:tc>
        <w:tc>
          <w:tcPr>
            <w:tcW w:w="6925" w:type="dxa"/>
            <w:vAlign w:val="center"/>
          </w:tcPr>
          <w:p w14:paraId="1170C139" w14:textId="77777777" w:rsidR="006E2A89" w:rsidRPr="00B92A41" w:rsidRDefault="006E2A89" w:rsidP="006E2A89">
            <w:pPr>
              <w:rPr>
                <w:rFonts w:cs="Arial"/>
                <w:color w:val="201F1E"/>
              </w:rPr>
            </w:pPr>
            <w:r w:rsidRPr="00B92A41">
              <w:rPr>
                <w:rFonts w:cs="Arial"/>
                <w:color w:val="201F1E"/>
                <w:bdr w:val="none" w:sz="0" w:space="0" w:color="auto" w:frame="1"/>
              </w:rPr>
              <w:t>Scoring of Applications</w:t>
            </w:r>
          </w:p>
        </w:tc>
      </w:tr>
      <w:tr w:rsidR="006E2A89" w14:paraId="231CDBE3" w14:textId="77777777" w:rsidTr="00FF7391">
        <w:trPr>
          <w:cantSplit/>
        </w:trPr>
        <w:tc>
          <w:tcPr>
            <w:tcW w:w="2425" w:type="dxa"/>
            <w:vAlign w:val="center"/>
          </w:tcPr>
          <w:p w14:paraId="06437FED" w14:textId="77777777" w:rsidR="006E2A89" w:rsidRPr="00B92A41" w:rsidRDefault="006E2A89" w:rsidP="006E2A89">
            <w:pPr>
              <w:rPr>
                <w:rFonts w:cs="Arial"/>
                <w:color w:val="201F1E"/>
              </w:rPr>
            </w:pPr>
            <w:r>
              <w:rPr>
                <w:rFonts w:cs="Arial"/>
                <w:color w:val="201F1E"/>
                <w:bdr w:val="none" w:sz="0" w:space="0" w:color="auto" w:frame="1"/>
              </w:rPr>
              <w:t>May</w:t>
            </w:r>
            <w:r w:rsidRPr="00B92A41">
              <w:rPr>
                <w:rFonts w:cs="Arial"/>
                <w:color w:val="201F1E"/>
                <w:bdr w:val="none" w:sz="0" w:space="0" w:color="auto" w:frame="1"/>
              </w:rPr>
              <w:t xml:space="preserve"> 2023</w:t>
            </w:r>
          </w:p>
        </w:tc>
        <w:tc>
          <w:tcPr>
            <w:tcW w:w="6925" w:type="dxa"/>
            <w:vAlign w:val="center"/>
          </w:tcPr>
          <w:p w14:paraId="668F50D5" w14:textId="77777777" w:rsidR="006E2A89" w:rsidRPr="00B92A41" w:rsidRDefault="006E2A89" w:rsidP="006E2A89">
            <w:pPr>
              <w:rPr>
                <w:rFonts w:cs="Arial"/>
                <w:color w:val="201F1E"/>
              </w:rPr>
            </w:pPr>
            <w:r w:rsidRPr="00B92A41">
              <w:rPr>
                <w:rFonts w:cs="Arial"/>
                <w:color w:val="201F1E"/>
                <w:bdr w:val="none" w:sz="0" w:space="0" w:color="auto" w:frame="1"/>
              </w:rPr>
              <w:t>Proposed grantees Announced and Presented to the SBE for Approval</w:t>
            </w:r>
          </w:p>
        </w:tc>
      </w:tr>
      <w:tr w:rsidR="006E2A89" w14:paraId="0F0107BE" w14:textId="77777777" w:rsidTr="00FF7391">
        <w:trPr>
          <w:cantSplit/>
        </w:trPr>
        <w:tc>
          <w:tcPr>
            <w:tcW w:w="2425" w:type="dxa"/>
            <w:vAlign w:val="center"/>
          </w:tcPr>
          <w:p w14:paraId="252C6B82" w14:textId="77777777" w:rsidR="006E2A89" w:rsidRPr="00B92A41" w:rsidRDefault="006E2A89" w:rsidP="006E2A89">
            <w:pPr>
              <w:rPr>
                <w:rFonts w:cs="Arial"/>
                <w:color w:val="201F1E"/>
              </w:rPr>
            </w:pPr>
            <w:r w:rsidRPr="00B92A41">
              <w:rPr>
                <w:rFonts w:cs="Arial"/>
                <w:color w:val="201F1E"/>
                <w:bdr w:val="none" w:sz="0" w:space="0" w:color="auto" w:frame="1"/>
              </w:rPr>
              <w:t xml:space="preserve">Two weeks after the </w:t>
            </w:r>
            <w:r>
              <w:rPr>
                <w:rFonts w:cs="Arial"/>
                <w:color w:val="201F1E"/>
                <w:bdr w:val="none" w:sz="0" w:space="0" w:color="auto" w:frame="1"/>
              </w:rPr>
              <w:t>May</w:t>
            </w:r>
            <w:r w:rsidRPr="00B92A41">
              <w:rPr>
                <w:rFonts w:cs="Arial"/>
                <w:color w:val="201F1E"/>
                <w:bdr w:val="none" w:sz="0" w:space="0" w:color="auto" w:frame="1"/>
              </w:rPr>
              <w:t xml:space="preserve"> SBE meeting</w:t>
            </w:r>
          </w:p>
        </w:tc>
        <w:tc>
          <w:tcPr>
            <w:tcW w:w="6925" w:type="dxa"/>
            <w:vAlign w:val="center"/>
          </w:tcPr>
          <w:p w14:paraId="34251E1D" w14:textId="77777777" w:rsidR="006E2A89" w:rsidRPr="00B92A41" w:rsidRDefault="006E2A89" w:rsidP="006E2A89">
            <w:pPr>
              <w:rPr>
                <w:rFonts w:cs="Arial"/>
                <w:color w:val="201F1E"/>
              </w:rPr>
            </w:pPr>
            <w:r w:rsidRPr="00B92A41">
              <w:rPr>
                <w:rFonts w:cs="Arial"/>
                <w:color w:val="201F1E"/>
                <w:bdr w:val="none" w:sz="0" w:space="0" w:color="auto" w:frame="1"/>
              </w:rPr>
              <w:t>Appeals must be received at the CDE</w:t>
            </w:r>
          </w:p>
        </w:tc>
      </w:tr>
      <w:tr w:rsidR="006E2A89" w14:paraId="37302876" w14:textId="77777777" w:rsidTr="00FF7391">
        <w:trPr>
          <w:cantSplit/>
        </w:trPr>
        <w:tc>
          <w:tcPr>
            <w:tcW w:w="2425" w:type="dxa"/>
            <w:vAlign w:val="center"/>
          </w:tcPr>
          <w:p w14:paraId="3592C942" w14:textId="77777777" w:rsidR="006E2A89" w:rsidRPr="00B92A41" w:rsidRDefault="006E2A89" w:rsidP="006E2A89">
            <w:pPr>
              <w:rPr>
                <w:rFonts w:cs="Arial"/>
                <w:color w:val="201F1E"/>
              </w:rPr>
            </w:pPr>
            <w:r>
              <w:rPr>
                <w:rFonts w:cs="Arial"/>
                <w:color w:val="201F1E"/>
                <w:bdr w:val="none" w:sz="0" w:space="0" w:color="auto" w:frame="1"/>
              </w:rPr>
              <w:t>June</w:t>
            </w:r>
            <w:r w:rsidRPr="00B92A41">
              <w:rPr>
                <w:rFonts w:cs="Arial"/>
                <w:color w:val="201F1E"/>
                <w:bdr w:val="none" w:sz="0" w:space="0" w:color="auto" w:frame="1"/>
              </w:rPr>
              <w:t xml:space="preserve"> 2023</w:t>
            </w:r>
          </w:p>
        </w:tc>
        <w:tc>
          <w:tcPr>
            <w:tcW w:w="6925" w:type="dxa"/>
            <w:vAlign w:val="center"/>
          </w:tcPr>
          <w:p w14:paraId="5B3FBC85" w14:textId="77777777" w:rsidR="006E2A89" w:rsidRPr="00B92A41" w:rsidRDefault="006E2A89" w:rsidP="006E2A89">
            <w:pPr>
              <w:rPr>
                <w:rFonts w:cs="Arial"/>
                <w:color w:val="201F1E"/>
              </w:rPr>
            </w:pPr>
            <w:r w:rsidRPr="00B92A41">
              <w:rPr>
                <w:rFonts w:cs="Arial"/>
                <w:color w:val="201F1E"/>
                <w:bdr w:val="none" w:sz="0" w:space="0" w:color="auto" w:frame="1"/>
              </w:rPr>
              <w:t>GAN Letters Released</w:t>
            </w:r>
          </w:p>
        </w:tc>
      </w:tr>
      <w:tr w:rsidR="006E2A89" w14:paraId="749DC754" w14:textId="77777777" w:rsidTr="00FF7391">
        <w:trPr>
          <w:cantSplit/>
        </w:trPr>
        <w:tc>
          <w:tcPr>
            <w:tcW w:w="2425" w:type="dxa"/>
            <w:vAlign w:val="center"/>
          </w:tcPr>
          <w:p w14:paraId="4D8D1128" w14:textId="77777777" w:rsidR="006E2A89" w:rsidRPr="00B92A41" w:rsidRDefault="006E2A89" w:rsidP="006E2A89">
            <w:pPr>
              <w:rPr>
                <w:rFonts w:cs="Arial"/>
                <w:color w:val="201F1E"/>
              </w:rPr>
            </w:pPr>
            <w:r>
              <w:rPr>
                <w:rFonts w:cs="Arial"/>
                <w:color w:val="201F1E"/>
                <w:bdr w:val="none" w:sz="0" w:space="0" w:color="auto" w:frame="1"/>
              </w:rPr>
              <w:t>July - August</w:t>
            </w:r>
            <w:r w:rsidRPr="00B92A41">
              <w:rPr>
                <w:rFonts w:cs="Arial"/>
                <w:color w:val="201F1E"/>
                <w:bdr w:val="none" w:sz="0" w:space="0" w:color="auto" w:frame="1"/>
              </w:rPr>
              <w:t xml:space="preserve"> 2023</w:t>
            </w:r>
          </w:p>
        </w:tc>
        <w:tc>
          <w:tcPr>
            <w:tcW w:w="6925" w:type="dxa"/>
            <w:vAlign w:val="center"/>
          </w:tcPr>
          <w:p w14:paraId="37D800A7" w14:textId="77777777" w:rsidR="006E2A89" w:rsidRPr="00B92A41" w:rsidRDefault="006E2A89" w:rsidP="006E2A89">
            <w:pPr>
              <w:rPr>
                <w:rFonts w:cs="Arial"/>
                <w:color w:val="201F1E"/>
              </w:rPr>
            </w:pPr>
            <w:r w:rsidRPr="00B92A41">
              <w:rPr>
                <w:rFonts w:cs="Arial"/>
                <w:color w:val="201F1E"/>
                <w:bdr w:val="none" w:sz="0" w:space="0" w:color="auto" w:frame="1"/>
              </w:rPr>
              <w:t>Disbursement of Funds</w:t>
            </w:r>
          </w:p>
        </w:tc>
      </w:tr>
      <w:tr w:rsidR="006E2A89" w14:paraId="43AAA9C0" w14:textId="77777777" w:rsidTr="00FF7391">
        <w:trPr>
          <w:cantSplit/>
        </w:trPr>
        <w:tc>
          <w:tcPr>
            <w:tcW w:w="2425" w:type="dxa"/>
            <w:vAlign w:val="center"/>
          </w:tcPr>
          <w:p w14:paraId="63F4D85A" w14:textId="77777777" w:rsidR="006E2A89" w:rsidRPr="00B92A41" w:rsidRDefault="006E2A89" w:rsidP="006E2A89">
            <w:pPr>
              <w:rPr>
                <w:rFonts w:cs="Arial"/>
                <w:color w:val="201F1E"/>
              </w:rPr>
            </w:pPr>
            <w:r>
              <w:rPr>
                <w:rFonts w:cs="Arial"/>
                <w:color w:val="201F1E"/>
                <w:bdr w:val="none" w:sz="0" w:space="0" w:color="auto" w:frame="1"/>
              </w:rPr>
              <w:t>July 1</w:t>
            </w:r>
            <w:r w:rsidRPr="00B92A41">
              <w:rPr>
                <w:rFonts w:cs="Arial"/>
                <w:color w:val="201F1E"/>
                <w:bdr w:val="none" w:sz="0" w:space="0" w:color="auto" w:frame="1"/>
              </w:rPr>
              <w:t>, 2023</w:t>
            </w:r>
          </w:p>
        </w:tc>
        <w:tc>
          <w:tcPr>
            <w:tcW w:w="6925" w:type="dxa"/>
            <w:vAlign w:val="center"/>
          </w:tcPr>
          <w:p w14:paraId="431CD1D5" w14:textId="77777777" w:rsidR="006E2A89" w:rsidRPr="00B92A41" w:rsidRDefault="006E2A89" w:rsidP="006E2A89">
            <w:pPr>
              <w:rPr>
                <w:rFonts w:cs="Arial"/>
                <w:color w:val="201F1E"/>
              </w:rPr>
            </w:pPr>
            <w:r w:rsidRPr="00B92A41">
              <w:rPr>
                <w:rFonts w:cs="Arial"/>
                <w:color w:val="201F1E"/>
                <w:bdr w:val="none" w:sz="0" w:space="0" w:color="auto" w:frame="1"/>
              </w:rPr>
              <w:t>Project Term Begins</w:t>
            </w:r>
          </w:p>
        </w:tc>
      </w:tr>
      <w:tr w:rsidR="006E2A89" w14:paraId="13370FC9" w14:textId="77777777" w:rsidTr="00FF7391">
        <w:trPr>
          <w:cantSplit/>
        </w:trPr>
        <w:tc>
          <w:tcPr>
            <w:tcW w:w="2425" w:type="dxa"/>
            <w:vAlign w:val="center"/>
          </w:tcPr>
          <w:p w14:paraId="053F0EA2" w14:textId="77777777" w:rsidR="006E2A89" w:rsidRPr="00B92A41" w:rsidRDefault="006E2A89" w:rsidP="006E2A89">
            <w:pPr>
              <w:rPr>
                <w:rFonts w:cs="Arial"/>
                <w:color w:val="201F1E"/>
              </w:rPr>
            </w:pPr>
            <w:r w:rsidRPr="003D1F41">
              <w:rPr>
                <w:rFonts w:cs="Arial"/>
                <w:color w:val="201F1E"/>
                <w:bdr w:val="none" w:sz="0" w:space="0" w:color="auto" w:frame="1"/>
              </w:rPr>
              <w:t>June 30, 2028</w:t>
            </w:r>
          </w:p>
        </w:tc>
        <w:tc>
          <w:tcPr>
            <w:tcW w:w="6925" w:type="dxa"/>
            <w:vAlign w:val="center"/>
          </w:tcPr>
          <w:p w14:paraId="5F211532" w14:textId="77777777" w:rsidR="006E2A89" w:rsidRPr="00B92A41" w:rsidRDefault="006E2A89" w:rsidP="006E2A89">
            <w:pPr>
              <w:rPr>
                <w:rFonts w:cs="Arial"/>
                <w:color w:val="201F1E"/>
              </w:rPr>
            </w:pPr>
            <w:r w:rsidRPr="00B92A41">
              <w:rPr>
                <w:rFonts w:cs="Arial"/>
                <w:color w:val="201F1E"/>
                <w:bdr w:val="none" w:sz="0" w:space="0" w:color="auto" w:frame="1"/>
              </w:rPr>
              <w:t>All Funds Must be Expended</w:t>
            </w:r>
          </w:p>
        </w:tc>
      </w:tr>
    </w:tbl>
    <w:p w14:paraId="426545B8" w14:textId="77777777" w:rsidR="00FC33C3" w:rsidRDefault="00FC33C3" w:rsidP="00FC33C3">
      <w:pPr>
        <w:autoSpaceDE w:val="0"/>
        <w:autoSpaceDN w:val="0"/>
        <w:adjustRightInd w:val="0"/>
        <w:spacing w:after="240"/>
        <w:rPr>
          <w:rFonts w:cs="Arial"/>
        </w:rPr>
      </w:pPr>
    </w:p>
    <w:p w14:paraId="42308A6C" w14:textId="77777777" w:rsidR="00DC68A6" w:rsidRDefault="00DC68A6" w:rsidP="00C4203F">
      <w:pPr>
        <w:pStyle w:val="Heading2"/>
        <w:spacing w:before="240" w:after="240"/>
        <w:rPr>
          <w:sz w:val="36"/>
        </w:rPr>
      </w:pPr>
      <w:r>
        <w:rPr>
          <w:sz w:val="36"/>
        </w:rPr>
        <w:t>Interim Technical Assistance Plan for Cohort 1 Grant</w:t>
      </w:r>
      <w:r w:rsidR="00E55CF6">
        <w:rPr>
          <w:sz w:val="36"/>
        </w:rPr>
        <w:t>ee</w:t>
      </w:r>
      <w:r>
        <w:rPr>
          <w:sz w:val="36"/>
        </w:rPr>
        <w:t>s</w:t>
      </w:r>
    </w:p>
    <w:p w14:paraId="5B3B1E42" w14:textId="77777777" w:rsidR="00390982" w:rsidRDefault="00294668" w:rsidP="006F2D6A">
      <w:pPr>
        <w:autoSpaceDE w:val="0"/>
        <w:autoSpaceDN w:val="0"/>
        <w:adjustRightInd w:val="0"/>
        <w:spacing w:after="240"/>
      </w:pPr>
      <w:r>
        <w:t xml:space="preserve">The </w:t>
      </w:r>
      <w:r w:rsidR="00037AD0">
        <w:t>L</w:t>
      </w:r>
      <w:r>
        <w:t xml:space="preserve">ead TAC partnership is in the process of developing a comprehensive plan for transformative assistance for the CCSPP. </w:t>
      </w:r>
      <w:r w:rsidR="00F944F5">
        <w:t>T</w:t>
      </w:r>
      <w:r>
        <w:t xml:space="preserve">he CDE has also worked with key partners to develop interim supports for </w:t>
      </w:r>
      <w:r w:rsidR="00F944F5">
        <w:t>C</w:t>
      </w:r>
      <w:r>
        <w:t xml:space="preserve">ohort </w:t>
      </w:r>
      <w:r w:rsidR="00F944F5">
        <w:t>1</w:t>
      </w:r>
      <w:r>
        <w:t xml:space="preserve"> planning and implementation grantees.</w:t>
      </w:r>
    </w:p>
    <w:p w14:paraId="0604BFB1" w14:textId="77777777" w:rsidR="00912FB2" w:rsidRDefault="00390982" w:rsidP="006F2D6A">
      <w:pPr>
        <w:autoSpaceDE w:val="0"/>
        <w:autoSpaceDN w:val="0"/>
        <w:adjustRightInd w:val="0"/>
        <w:spacing w:after="240"/>
      </w:pPr>
      <w:r>
        <w:t>Planning grantees are required to complete several activities as a condition of their grant, including conducting a comprehensive school and community needs and asset assessment, developing partnerships with community-based organizations, and preparing a community school implementation plan. Implementation grantees are required to execute community school implementation plans by entering into contracts with service providers, engaging in training with grantee and contractor personnel, collecting program impact data, and securing long-term funding streams, among other activities. The CDE interim technical assistance plan includes a variety of strategies to assist grantees in performing these activities.</w:t>
      </w:r>
    </w:p>
    <w:p w14:paraId="7F3AAA7C" w14:textId="77777777" w:rsidR="00AC1765" w:rsidRPr="00C4203F" w:rsidRDefault="00AC1765" w:rsidP="00C4203F">
      <w:pPr>
        <w:pStyle w:val="Heading3"/>
        <w:spacing w:after="240"/>
        <w:rPr>
          <w:rFonts w:ascii="Arial" w:hAnsi="Arial" w:cs="Arial"/>
          <w:b/>
          <w:color w:val="auto"/>
          <w:sz w:val="28"/>
        </w:rPr>
      </w:pPr>
      <w:r w:rsidRPr="00C4203F">
        <w:rPr>
          <w:rFonts w:ascii="Arial" w:hAnsi="Arial" w:cs="Arial"/>
          <w:b/>
          <w:color w:val="auto"/>
          <w:sz w:val="28"/>
        </w:rPr>
        <w:t xml:space="preserve">The CDE Interim Plan has three key elements: </w:t>
      </w:r>
    </w:p>
    <w:p w14:paraId="08AB584D" w14:textId="77777777" w:rsidR="00D4748E" w:rsidRDefault="00F50175" w:rsidP="00B25255">
      <w:pPr>
        <w:pStyle w:val="ListParagraph"/>
        <w:numPr>
          <w:ilvl w:val="0"/>
          <w:numId w:val="7"/>
        </w:numPr>
        <w:autoSpaceDE w:val="0"/>
        <w:autoSpaceDN w:val="0"/>
        <w:adjustRightInd w:val="0"/>
        <w:spacing w:after="240"/>
      </w:pPr>
      <w:r w:rsidRPr="00B25255">
        <w:rPr>
          <w:b/>
        </w:rPr>
        <w:t>Webinars</w:t>
      </w:r>
      <w:r w:rsidRPr="004D0F01">
        <w:rPr>
          <w:b/>
        </w:rPr>
        <w:t>:</w:t>
      </w:r>
      <w:r>
        <w:t xml:space="preserve"> </w:t>
      </w:r>
      <w:r w:rsidR="00AC1765">
        <w:t xml:space="preserve">A series of informational webinars for both planning and implementation </w:t>
      </w:r>
      <w:r>
        <w:t xml:space="preserve">grant recipients that cover critical elements of the </w:t>
      </w:r>
      <w:proofErr w:type="gramStart"/>
      <w:r w:rsidR="005F1D5B">
        <w:t>needs</w:t>
      </w:r>
      <w:proofErr w:type="gramEnd"/>
      <w:r w:rsidR="005F1D5B">
        <w:t xml:space="preserve"> assessment, asset mapping and </w:t>
      </w:r>
      <w:r w:rsidR="00344B55">
        <w:t xml:space="preserve">other </w:t>
      </w:r>
      <w:r>
        <w:t>planning process</w:t>
      </w:r>
      <w:r w:rsidR="005F1D5B">
        <w:t xml:space="preserve">es, with an emphasis on building capacity for participatory planning and program design relevant to both planning </w:t>
      </w:r>
      <w:r>
        <w:t>and the implementation grant</w:t>
      </w:r>
      <w:r w:rsidR="005F1D5B">
        <w:t>ees</w:t>
      </w:r>
      <w:r>
        <w:t>. These will be held bi-weekly and co-hosted by CDE and ACOE</w:t>
      </w:r>
      <w:r w:rsidR="00390982">
        <w:t>.</w:t>
      </w:r>
      <w:r w:rsidR="007E4411">
        <w:t xml:space="preserve"> We anticipate the webinars to begin in late September and run through the end of the calendar year</w:t>
      </w:r>
      <w:r w:rsidR="00490C63">
        <w:t>.</w:t>
      </w:r>
    </w:p>
    <w:p w14:paraId="30674230" w14:textId="77777777" w:rsidR="00E00371" w:rsidRDefault="00F50175" w:rsidP="0084749B">
      <w:pPr>
        <w:pStyle w:val="ListParagraph"/>
        <w:numPr>
          <w:ilvl w:val="0"/>
          <w:numId w:val="7"/>
        </w:numPr>
        <w:autoSpaceDE w:val="0"/>
        <w:autoSpaceDN w:val="0"/>
        <w:adjustRightInd w:val="0"/>
        <w:spacing w:after="240"/>
      </w:pPr>
      <w:r w:rsidRPr="00B25255">
        <w:rPr>
          <w:b/>
        </w:rPr>
        <w:t>Call Centers/Email Boxes</w:t>
      </w:r>
      <w:r>
        <w:rPr>
          <w:b/>
        </w:rPr>
        <w:t xml:space="preserve">: </w:t>
      </w:r>
      <w:r w:rsidRPr="00440213">
        <w:t>Technica</w:t>
      </w:r>
      <w:r w:rsidRPr="00037AD0">
        <w:t>l</w:t>
      </w:r>
      <w:r>
        <w:t xml:space="preserve"> Assistance call centers and email addresses </w:t>
      </w:r>
      <w:r w:rsidR="00537662">
        <w:t xml:space="preserve">will be created, </w:t>
      </w:r>
      <w:r>
        <w:t>where grantees can call or email with questions and receive con</w:t>
      </w:r>
      <w:r w:rsidR="00880666">
        <w:t xml:space="preserve">sultative responses </w:t>
      </w:r>
      <w:r>
        <w:t xml:space="preserve">within 48 hours or have a team consultation </w:t>
      </w:r>
      <w:r>
        <w:lastRenderedPageBreak/>
        <w:t>meeting within a week of their initial inquiry. The call centers and email addresses will be jointly staffed by ACOE and CDE staff</w:t>
      </w:r>
      <w:r w:rsidR="00390982">
        <w:t>.</w:t>
      </w:r>
    </w:p>
    <w:p w14:paraId="0462F878" w14:textId="7BA00E67" w:rsidR="00B25255" w:rsidRPr="00B40793" w:rsidRDefault="00F50175" w:rsidP="00E00371">
      <w:pPr>
        <w:pStyle w:val="ListParagraph"/>
        <w:numPr>
          <w:ilvl w:val="0"/>
          <w:numId w:val="7"/>
        </w:numPr>
        <w:autoSpaceDE w:val="0"/>
        <w:autoSpaceDN w:val="0"/>
        <w:adjustRightInd w:val="0"/>
        <w:spacing w:after="240"/>
      </w:pPr>
      <w:r w:rsidRPr="00C90A98">
        <w:rPr>
          <w:b/>
        </w:rPr>
        <w:t>Interdisciplinary Guidance</w:t>
      </w:r>
      <w:r w:rsidRPr="0035278D">
        <w:rPr>
          <w:b/>
        </w:rPr>
        <w:t xml:space="preserve"> Teams: </w:t>
      </w:r>
      <w:r w:rsidR="00390982">
        <w:t>The CDE is d</w:t>
      </w:r>
      <w:r w:rsidR="00664990">
        <w:t>e</w:t>
      </w:r>
      <w:r w:rsidR="00390982">
        <w:t>veloping</w:t>
      </w:r>
      <w:r>
        <w:t xml:space="preserve"> interdisciplinary TA guidance teams that will be virtually deployed </w:t>
      </w:r>
      <w:r w:rsidR="00880666">
        <w:t xml:space="preserve">to assist grantees with planning and implementation questions and issues that arise during </w:t>
      </w:r>
      <w:r w:rsidR="00390982">
        <w:t xml:space="preserve">the </w:t>
      </w:r>
      <w:r w:rsidR="00880666">
        <w:t xml:space="preserve">fall </w:t>
      </w:r>
      <w:r w:rsidR="00390982">
        <w:t xml:space="preserve">2022 </w:t>
      </w:r>
      <w:r w:rsidR="00880666">
        <w:t xml:space="preserve">semester. </w:t>
      </w:r>
      <w:r w:rsidR="00C90A98">
        <w:t>T</w:t>
      </w:r>
      <w:r w:rsidR="00505499">
        <w:t>eams</w:t>
      </w:r>
      <w:r w:rsidR="00390982">
        <w:t xml:space="preserve"> will be available</w:t>
      </w:r>
      <w:r w:rsidR="00505499">
        <w:t xml:space="preserve"> for planning grantees and </w:t>
      </w:r>
      <w:r w:rsidR="00390982">
        <w:t>for</w:t>
      </w:r>
      <w:r w:rsidR="00505499">
        <w:t xml:space="preserve"> implementation grantees</w:t>
      </w:r>
      <w:r w:rsidR="00097441">
        <w:t xml:space="preserve"> and will provide guidance on all elements of initial planning and implementation grant operations</w:t>
      </w:r>
      <w:r w:rsidR="00390982" w:rsidRPr="00C90A98">
        <w:t>.</w:t>
      </w:r>
      <w:r w:rsidR="00505499" w:rsidRPr="00C90A98">
        <w:t xml:space="preserve"> </w:t>
      </w:r>
      <w:r w:rsidR="00390982" w:rsidRPr="00B40793">
        <w:t>T</w:t>
      </w:r>
      <w:r w:rsidR="00505499" w:rsidRPr="00B40793">
        <w:t xml:space="preserve">hese teams </w:t>
      </w:r>
      <w:r w:rsidR="00390982" w:rsidRPr="00B40793">
        <w:t xml:space="preserve">will be </w:t>
      </w:r>
      <w:r w:rsidR="00505499" w:rsidRPr="00B40793">
        <w:t>available for consultation meetings throughout the semester</w:t>
      </w:r>
      <w:r w:rsidR="008B3050" w:rsidRPr="00B40793">
        <w:t>.</w:t>
      </w:r>
    </w:p>
    <w:p w14:paraId="63E2BC94" w14:textId="77777777" w:rsidR="006F2D6A" w:rsidRPr="00C4203F" w:rsidRDefault="0084749B" w:rsidP="00C4203F">
      <w:pPr>
        <w:pStyle w:val="Heading3"/>
        <w:spacing w:after="240"/>
        <w:rPr>
          <w:rFonts w:ascii="Arial" w:hAnsi="Arial" w:cs="Arial"/>
          <w:b/>
          <w:color w:val="auto"/>
          <w:sz w:val="28"/>
        </w:rPr>
      </w:pPr>
      <w:r w:rsidRPr="00C4203F">
        <w:rPr>
          <w:rFonts w:ascii="Arial" w:hAnsi="Arial" w:cs="Arial"/>
          <w:b/>
          <w:color w:val="auto"/>
          <w:sz w:val="28"/>
        </w:rPr>
        <w:t>Staffing the Interim Plan</w:t>
      </w:r>
    </w:p>
    <w:p w14:paraId="0C696152" w14:textId="77777777" w:rsidR="002858DC" w:rsidRDefault="000B6166" w:rsidP="00BD01D8">
      <w:pPr>
        <w:pStyle w:val="ListParagraph"/>
        <w:autoSpaceDE w:val="0"/>
        <w:autoSpaceDN w:val="0"/>
        <w:adjustRightInd w:val="0"/>
        <w:spacing w:after="240"/>
        <w:ind w:left="0"/>
        <w:rPr>
          <w:bCs/>
        </w:rPr>
      </w:pPr>
      <w:r>
        <w:rPr>
          <w:bCs/>
        </w:rPr>
        <w:t xml:space="preserve">In order to ensure that CDE has the </w:t>
      </w:r>
      <w:r w:rsidR="003E21FC">
        <w:rPr>
          <w:bCs/>
        </w:rPr>
        <w:t xml:space="preserve">capacity </w:t>
      </w:r>
      <w:r>
        <w:rPr>
          <w:bCs/>
        </w:rPr>
        <w:t>to implement this baseline interim TA plan</w:t>
      </w:r>
      <w:r w:rsidR="002D47D5">
        <w:rPr>
          <w:bCs/>
        </w:rPr>
        <w:t>,</w:t>
      </w:r>
      <w:r>
        <w:rPr>
          <w:bCs/>
        </w:rPr>
        <w:t xml:space="preserve"> </w:t>
      </w:r>
      <w:r w:rsidR="003E21FC">
        <w:rPr>
          <w:bCs/>
        </w:rPr>
        <w:t>the Department will</w:t>
      </w:r>
      <w:r w:rsidR="00431F2D">
        <w:rPr>
          <w:bCs/>
        </w:rPr>
        <w:t xml:space="preserve"> use three key internal and external </w:t>
      </w:r>
      <w:r w:rsidR="00F0558B">
        <w:rPr>
          <w:bCs/>
        </w:rPr>
        <w:t xml:space="preserve">resources throughout the </w:t>
      </w:r>
      <w:r w:rsidR="002D47D5">
        <w:rPr>
          <w:bCs/>
        </w:rPr>
        <w:t>f</w:t>
      </w:r>
      <w:r w:rsidR="00F0558B">
        <w:rPr>
          <w:bCs/>
        </w:rPr>
        <w:t xml:space="preserve">all </w:t>
      </w:r>
      <w:r w:rsidR="002D47D5">
        <w:rPr>
          <w:bCs/>
        </w:rPr>
        <w:t xml:space="preserve">2022 </w:t>
      </w:r>
      <w:r w:rsidR="00F0558B">
        <w:rPr>
          <w:bCs/>
        </w:rPr>
        <w:t xml:space="preserve">semester to staff </w:t>
      </w:r>
      <w:r w:rsidR="002D47D5">
        <w:rPr>
          <w:bCs/>
        </w:rPr>
        <w:t>the</w:t>
      </w:r>
      <w:r w:rsidR="00F0558B">
        <w:rPr>
          <w:bCs/>
        </w:rPr>
        <w:t xml:space="preserve"> elements of the plan. CDE may </w:t>
      </w:r>
      <w:r w:rsidR="004A420C">
        <w:rPr>
          <w:bCs/>
        </w:rPr>
        <w:t>augment</w:t>
      </w:r>
      <w:r w:rsidR="00F0558B">
        <w:rPr>
          <w:bCs/>
        </w:rPr>
        <w:t xml:space="preserve"> the roster below as staff</w:t>
      </w:r>
      <w:r w:rsidR="00BA49EA">
        <w:rPr>
          <w:bCs/>
        </w:rPr>
        <w:t xml:space="preserve"> </w:t>
      </w:r>
      <w:r w:rsidR="003E21FC">
        <w:rPr>
          <w:bCs/>
        </w:rPr>
        <w:t xml:space="preserve">are hired </w:t>
      </w:r>
      <w:r w:rsidR="00BA49EA">
        <w:rPr>
          <w:bCs/>
        </w:rPr>
        <w:t>through allocations in the latest state budget to support CCSPP implementation.</w:t>
      </w:r>
      <w:r w:rsidR="002858DC" w:rsidDel="002858DC">
        <w:rPr>
          <w:bCs/>
        </w:rPr>
        <w:t xml:space="preserve"> </w:t>
      </w:r>
    </w:p>
    <w:p w14:paraId="41C73B50" w14:textId="77777777" w:rsidR="00433416" w:rsidRDefault="00433416" w:rsidP="00BD01D8">
      <w:pPr>
        <w:pStyle w:val="ListParagraph"/>
        <w:autoSpaceDE w:val="0"/>
        <w:autoSpaceDN w:val="0"/>
        <w:adjustRightInd w:val="0"/>
        <w:spacing w:after="240"/>
        <w:ind w:left="0"/>
        <w:rPr>
          <w:bCs/>
        </w:rPr>
      </w:pPr>
    </w:p>
    <w:p w14:paraId="133B5291" w14:textId="77777777" w:rsidR="003A209A" w:rsidRDefault="00FC2E35" w:rsidP="00BD01D8">
      <w:pPr>
        <w:pStyle w:val="ListParagraph"/>
        <w:numPr>
          <w:ilvl w:val="0"/>
          <w:numId w:val="9"/>
        </w:numPr>
        <w:autoSpaceDE w:val="0"/>
        <w:autoSpaceDN w:val="0"/>
        <w:adjustRightInd w:val="0"/>
        <w:spacing w:after="240"/>
        <w:ind w:left="720"/>
        <w:rPr>
          <w:bCs/>
        </w:rPr>
      </w:pPr>
      <w:r w:rsidRPr="00B25255">
        <w:rPr>
          <w:b/>
          <w:bCs/>
        </w:rPr>
        <w:t>Internal CDE Team</w:t>
      </w:r>
      <w:r w:rsidRPr="004D0F01">
        <w:rPr>
          <w:b/>
          <w:bCs/>
        </w:rPr>
        <w:t>:</w:t>
      </w:r>
      <w:r>
        <w:rPr>
          <w:bCs/>
        </w:rPr>
        <w:t xml:space="preserve"> </w:t>
      </w:r>
      <w:r w:rsidR="003E21FC">
        <w:rPr>
          <w:bCs/>
        </w:rPr>
        <w:t>To support</w:t>
      </w:r>
      <w:r>
        <w:rPr>
          <w:bCs/>
        </w:rPr>
        <w:t xml:space="preserve"> implementation of the CCSPP, the CDE will dedicate key staff towards this interim baseline TA process. Depu</w:t>
      </w:r>
      <w:r w:rsidR="00D1679B">
        <w:rPr>
          <w:bCs/>
        </w:rPr>
        <w:t xml:space="preserve">ty </w:t>
      </w:r>
      <w:r w:rsidR="00B40793">
        <w:rPr>
          <w:bCs/>
        </w:rPr>
        <w:t>Superintendent</w:t>
      </w:r>
      <w:r w:rsidR="00D1679B">
        <w:rPr>
          <w:bCs/>
        </w:rPr>
        <w:t xml:space="preserve"> Steve Zimmer, Senior Advisor Brooklyn Williams and Division Director Pete Callas will co-lead the three </w:t>
      </w:r>
      <w:r w:rsidR="00C90A98">
        <w:rPr>
          <w:bCs/>
        </w:rPr>
        <w:t xml:space="preserve">elements </w:t>
      </w:r>
      <w:r w:rsidR="00D1679B">
        <w:rPr>
          <w:bCs/>
        </w:rPr>
        <w:t xml:space="preserve">of TA options. </w:t>
      </w:r>
      <w:r w:rsidR="00D1679B" w:rsidRPr="00B40793">
        <w:rPr>
          <w:bCs/>
        </w:rPr>
        <w:t>Deanna Niebuhr</w:t>
      </w:r>
      <w:r w:rsidR="00D1679B">
        <w:rPr>
          <w:bCs/>
        </w:rPr>
        <w:t xml:space="preserve"> will coordinate content area </w:t>
      </w:r>
      <w:r w:rsidR="003A209A">
        <w:rPr>
          <w:bCs/>
        </w:rPr>
        <w:t>information for webinars, the CDE CCSPP email and the guidance teams. Lisa Reimers and Rachel Moran will assist with questions related to grant awards, budget and contracts. CDE staff will be represented on each interdisciplinary guidance team</w:t>
      </w:r>
      <w:r w:rsidR="00B74C55">
        <w:rPr>
          <w:bCs/>
        </w:rPr>
        <w:t>.</w:t>
      </w:r>
    </w:p>
    <w:p w14:paraId="65DB4ABB" w14:textId="77777777" w:rsidR="002858DC" w:rsidRDefault="002858DC" w:rsidP="00BD01D8">
      <w:pPr>
        <w:pStyle w:val="ListParagraph"/>
        <w:autoSpaceDE w:val="0"/>
        <w:autoSpaceDN w:val="0"/>
        <w:adjustRightInd w:val="0"/>
        <w:spacing w:after="240"/>
        <w:rPr>
          <w:bCs/>
        </w:rPr>
      </w:pPr>
    </w:p>
    <w:p w14:paraId="28CEE1C5" w14:textId="77777777" w:rsidR="003D50A4" w:rsidRDefault="009A4893" w:rsidP="00BD01D8">
      <w:pPr>
        <w:pStyle w:val="ListParagraph"/>
        <w:numPr>
          <w:ilvl w:val="0"/>
          <w:numId w:val="8"/>
        </w:numPr>
        <w:autoSpaceDE w:val="0"/>
        <w:autoSpaceDN w:val="0"/>
        <w:adjustRightInd w:val="0"/>
        <w:spacing w:after="240"/>
        <w:ind w:left="720"/>
        <w:rPr>
          <w:bCs/>
        </w:rPr>
      </w:pPr>
      <w:r>
        <w:rPr>
          <w:b/>
          <w:bCs/>
        </w:rPr>
        <w:t>Alameda County Office of Ed Lead TAC Team</w:t>
      </w:r>
      <w:r w:rsidRPr="004D0F01">
        <w:rPr>
          <w:b/>
          <w:bCs/>
        </w:rPr>
        <w:t>:</w:t>
      </w:r>
      <w:r>
        <w:rPr>
          <w:bCs/>
        </w:rPr>
        <w:t xml:space="preserve"> The ACOE team has already begun to operate a call center for Cohort </w:t>
      </w:r>
      <w:r w:rsidR="0082115F">
        <w:rPr>
          <w:bCs/>
        </w:rPr>
        <w:t xml:space="preserve">1 </w:t>
      </w:r>
      <w:r w:rsidR="008B3050">
        <w:rPr>
          <w:bCs/>
        </w:rPr>
        <w:t>m</w:t>
      </w:r>
      <w:r>
        <w:rPr>
          <w:bCs/>
        </w:rPr>
        <w:t xml:space="preserve">embers. The call center </w:t>
      </w:r>
      <w:r w:rsidR="002D47D5">
        <w:rPr>
          <w:bCs/>
        </w:rPr>
        <w:t xml:space="preserve">opened </w:t>
      </w:r>
      <w:r>
        <w:rPr>
          <w:bCs/>
        </w:rPr>
        <w:t>on August 1</w:t>
      </w:r>
      <w:r w:rsidRPr="00B25255">
        <w:rPr>
          <w:bCs/>
          <w:vertAlign w:val="superscript"/>
        </w:rPr>
        <w:t>st</w:t>
      </w:r>
      <w:r>
        <w:rPr>
          <w:bCs/>
        </w:rPr>
        <w:t xml:space="preserve"> and has already begun to address</w:t>
      </w:r>
      <w:r w:rsidR="00440213">
        <w:rPr>
          <w:bCs/>
        </w:rPr>
        <w:t xml:space="preserve"> programmatic questions from both planning and implementation grant recipients. ACOE and CDE are in constant communication as these processes launch. The ACOE Call Center will operate parallel to the CDE CCSPP email to address the full spectrum of initial assistance and guidance LEAs and School sites will need as they begin the community schools planning and implementation processes. The ACOE team is developing content webinars that CDE will adapt to meet interim TA needs of LEAs for Fall semester. ACOE staff </w:t>
      </w:r>
      <w:r w:rsidR="003D50A4">
        <w:rPr>
          <w:bCs/>
        </w:rPr>
        <w:t>will also join the interdisciplinary guidance teams</w:t>
      </w:r>
      <w:r w:rsidR="009C275D">
        <w:rPr>
          <w:bCs/>
        </w:rPr>
        <w:t xml:space="preserve">. Members of </w:t>
      </w:r>
      <w:r w:rsidR="003023BC">
        <w:rPr>
          <w:bCs/>
        </w:rPr>
        <w:t xml:space="preserve">ACOE partnership (UCLA Center, NEA and CFJ) have also committed staff to the interim TA efforts once that staff is in place. </w:t>
      </w:r>
    </w:p>
    <w:p w14:paraId="23B80362" w14:textId="77777777" w:rsidR="002858DC" w:rsidRDefault="002858DC" w:rsidP="00BD01D8">
      <w:pPr>
        <w:pStyle w:val="ListParagraph"/>
        <w:autoSpaceDE w:val="0"/>
        <w:autoSpaceDN w:val="0"/>
        <w:adjustRightInd w:val="0"/>
        <w:spacing w:after="240"/>
        <w:rPr>
          <w:bCs/>
        </w:rPr>
      </w:pPr>
    </w:p>
    <w:p w14:paraId="65667EA5" w14:textId="77777777" w:rsidR="0084749B" w:rsidRDefault="003D50A4" w:rsidP="00BD01D8">
      <w:pPr>
        <w:pStyle w:val="ListParagraph"/>
        <w:numPr>
          <w:ilvl w:val="0"/>
          <w:numId w:val="8"/>
        </w:numPr>
        <w:autoSpaceDE w:val="0"/>
        <w:autoSpaceDN w:val="0"/>
        <w:adjustRightInd w:val="0"/>
        <w:spacing w:after="240"/>
        <w:ind w:left="720"/>
        <w:rPr>
          <w:bCs/>
        </w:rPr>
      </w:pPr>
      <w:r>
        <w:rPr>
          <w:b/>
          <w:bCs/>
        </w:rPr>
        <w:t>WestEd</w:t>
      </w:r>
      <w:r w:rsidRPr="004D0F01">
        <w:rPr>
          <w:b/>
          <w:bCs/>
        </w:rPr>
        <w:t>:</w:t>
      </w:r>
      <w:r>
        <w:rPr>
          <w:bCs/>
        </w:rPr>
        <w:t xml:space="preserve"> WestEd has been the technical assistance provider for the </w:t>
      </w:r>
      <w:r w:rsidR="00433416">
        <w:rPr>
          <w:bCs/>
        </w:rPr>
        <w:t xml:space="preserve">original </w:t>
      </w:r>
      <w:r>
        <w:rPr>
          <w:bCs/>
        </w:rPr>
        <w:t xml:space="preserve">2020 </w:t>
      </w:r>
      <w:r w:rsidR="00A26AC2">
        <w:rPr>
          <w:bCs/>
        </w:rPr>
        <w:t>CCSPP</w:t>
      </w:r>
      <w:r>
        <w:rPr>
          <w:bCs/>
        </w:rPr>
        <w:t xml:space="preserve"> grant cohort (20 awardees). The team that has </w:t>
      </w:r>
      <w:r w:rsidR="00F35C6F">
        <w:rPr>
          <w:bCs/>
        </w:rPr>
        <w:t>led</w:t>
      </w:r>
      <w:r>
        <w:rPr>
          <w:bCs/>
        </w:rPr>
        <w:t xml:space="preserve"> this work is interested in supplementing CDE and ACOE </w:t>
      </w:r>
      <w:r w:rsidR="00A26AC2">
        <w:rPr>
          <w:bCs/>
        </w:rPr>
        <w:t xml:space="preserve">capacity </w:t>
      </w:r>
      <w:r w:rsidR="00BA49EA">
        <w:rPr>
          <w:bCs/>
        </w:rPr>
        <w:t xml:space="preserve">to increase responsiveness and ability to address the CCSPP </w:t>
      </w:r>
      <w:r w:rsidR="00A26AC2">
        <w:rPr>
          <w:bCs/>
        </w:rPr>
        <w:t>Cohort 1</w:t>
      </w:r>
      <w:r w:rsidR="00BA49EA">
        <w:rPr>
          <w:bCs/>
        </w:rPr>
        <w:t xml:space="preserve"> interim TA needs. </w:t>
      </w:r>
      <w:r>
        <w:rPr>
          <w:bCs/>
        </w:rPr>
        <w:t xml:space="preserve">CDE </w:t>
      </w:r>
      <w:r w:rsidR="00537662">
        <w:rPr>
          <w:bCs/>
        </w:rPr>
        <w:t>requested and received funding in the 2022-23 budget act</w:t>
      </w:r>
      <w:r w:rsidR="00BA49EA">
        <w:rPr>
          <w:bCs/>
        </w:rPr>
        <w:t xml:space="preserve"> to extend the West</w:t>
      </w:r>
      <w:r w:rsidR="002858DC">
        <w:rPr>
          <w:bCs/>
        </w:rPr>
        <w:t>E</w:t>
      </w:r>
      <w:r w:rsidR="00BA49EA">
        <w:rPr>
          <w:bCs/>
        </w:rPr>
        <w:t xml:space="preserve">d TA contract to increase </w:t>
      </w:r>
      <w:r w:rsidR="00A26AC2">
        <w:rPr>
          <w:bCs/>
        </w:rPr>
        <w:t>the Department’s capacity</w:t>
      </w:r>
      <w:r w:rsidR="00BA49EA">
        <w:rPr>
          <w:bCs/>
        </w:rPr>
        <w:t xml:space="preserve"> to respond to </w:t>
      </w:r>
      <w:r w:rsidR="00A26AC2">
        <w:rPr>
          <w:bCs/>
        </w:rPr>
        <w:lastRenderedPageBreak/>
        <w:t>technical</w:t>
      </w:r>
      <w:r w:rsidR="00BA49EA">
        <w:rPr>
          <w:bCs/>
        </w:rPr>
        <w:t xml:space="preserve"> questions</w:t>
      </w:r>
      <w:r w:rsidR="00A26AC2">
        <w:rPr>
          <w:bCs/>
        </w:rPr>
        <w:t xml:space="preserve"> from grantees</w:t>
      </w:r>
      <w:r w:rsidR="00BA49EA">
        <w:rPr>
          <w:bCs/>
        </w:rPr>
        <w:t xml:space="preserve"> until the Regional TACs are operational. </w:t>
      </w:r>
      <w:r w:rsidR="009C275D">
        <w:rPr>
          <w:bCs/>
        </w:rPr>
        <w:t xml:space="preserve">The WestEd team will assist in staffing the </w:t>
      </w:r>
      <w:r w:rsidR="00A26AC2">
        <w:rPr>
          <w:bCs/>
        </w:rPr>
        <w:t>ACOE C</w:t>
      </w:r>
      <w:r w:rsidR="009C275D">
        <w:rPr>
          <w:bCs/>
        </w:rPr>
        <w:t xml:space="preserve">all </w:t>
      </w:r>
      <w:r w:rsidR="00A26AC2">
        <w:rPr>
          <w:bCs/>
        </w:rPr>
        <w:t>C</w:t>
      </w:r>
      <w:r w:rsidR="009C275D">
        <w:rPr>
          <w:bCs/>
        </w:rPr>
        <w:t xml:space="preserve">enter and responding to </w:t>
      </w:r>
      <w:r w:rsidR="00A26AC2">
        <w:rPr>
          <w:bCs/>
        </w:rPr>
        <w:t xml:space="preserve">CDE CCSPP </w:t>
      </w:r>
      <w:r w:rsidR="009C275D">
        <w:rPr>
          <w:bCs/>
        </w:rPr>
        <w:t>email box inquiries. They will also assist with the logistics and outreach for the informational webinars. When appropriate WestEd staff will supplement or augment staffing for the interdisciplinary guidance teams. Further details on the WestEd contract extension will be forthcoming.</w:t>
      </w:r>
    </w:p>
    <w:p w14:paraId="28157B0D" w14:textId="77777777" w:rsidR="0084749B" w:rsidRPr="00C4203F" w:rsidRDefault="0084749B" w:rsidP="00C4203F">
      <w:pPr>
        <w:pStyle w:val="Heading3"/>
        <w:spacing w:after="240"/>
        <w:rPr>
          <w:rFonts w:ascii="Arial" w:hAnsi="Arial" w:cs="Arial"/>
          <w:b/>
          <w:color w:val="auto"/>
          <w:sz w:val="28"/>
        </w:rPr>
      </w:pPr>
      <w:r w:rsidRPr="00C4203F">
        <w:rPr>
          <w:rFonts w:ascii="Arial" w:hAnsi="Arial" w:cs="Arial"/>
          <w:b/>
          <w:color w:val="auto"/>
          <w:sz w:val="28"/>
        </w:rPr>
        <w:t>Operationalizing the Plan</w:t>
      </w:r>
    </w:p>
    <w:p w14:paraId="5B1E65E8" w14:textId="77777777" w:rsidR="003023BC" w:rsidRDefault="007D02FE" w:rsidP="0084749B">
      <w:pPr>
        <w:autoSpaceDE w:val="0"/>
        <w:autoSpaceDN w:val="0"/>
        <w:adjustRightInd w:val="0"/>
        <w:spacing w:after="240"/>
        <w:rPr>
          <w:bCs/>
        </w:rPr>
      </w:pPr>
      <w:r>
        <w:rPr>
          <w:bCs/>
        </w:rPr>
        <w:t xml:space="preserve">The </w:t>
      </w:r>
      <w:r w:rsidR="003023BC">
        <w:rPr>
          <w:bCs/>
        </w:rPr>
        <w:t>CDE and ACOE</w:t>
      </w:r>
      <w:r w:rsidR="00EA7AD5">
        <w:rPr>
          <w:bCs/>
        </w:rPr>
        <w:t xml:space="preserve"> are currently</w:t>
      </w:r>
      <w:r w:rsidR="003023BC">
        <w:rPr>
          <w:bCs/>
        </w:rPr>
        <w:t xml:space="preserve"> align</w:t>
      </w:r>
      <w:r w:rsidR="00EA7AD5">
        <w:rPr>
          <w:bCs/>
        </w:rPr>
        <w:t>ing</w:t>
      </w:r>
      <w:r w:rsidR="003023BC">
        <w:rPr>
          <w:bCs/>
        </w:rPr>
        <w:t xml:space="preserve"> the ACOE Call Center with the CDE CCSPP email box</w:t>
      </w:r>
      <w:r w:rsidR="00753743">
        <w:rPr>
          <w:bCs/>
        </w:rPr>
        <w:t xml:space="preserve"> and </w:t>
      </w:r>
      <w:r w:rsidR="003023BC">
        <w:rPr>
          <w:bCs/>
        </w:rPr>
        <w:t>solidify</w:t>
      </w:r>
      <w:r w:rsidR="00753743">
        <w:rPr>
          <w:bCs/>
        </w:rPr>
        <w:t>ing</w:t>
      </w:r>
      <w:r w:rsidR="003023BC">
        <w:rPr>
          <w:bCs/>
        </w:rPr>
        <w:t xml:space="preserve"> roles and collaboration norms for the interim TA period. </w:t>
      </w:r>
      <w:r w:rsidR="00A26AC2">
        <w:rPr>
          <w:bCs/>
        </w:rPr>
        <w:t xml:space="preserve">CDE </w:t>
      </w:r>
      <w:r w:rsidR="003023BC">
        <w:rPr>
          <w:bCs/>
        </w:rPr>
        <w:t xml:space="preserve">will update a draft FAQ document and elevate emerging questions that have been addressed to the Call Center and the CCSPP inbox as a training guide </w:t>
      </w:r>
      <w:r w:rsidR="008E2E96">
        <w:rPr>
          <w:bCs/>
        </w:rPr>
        <w:t xml:space="preserve">is developed </w:t>
      </w:r>
      <w:r w:rsidR="003023BC">
        <w:rPr>
          <w:bCs/>
        </w:rPr>
        <w:t xml:space="preserve">for all team members who will be staffing elements of this interim TA plan. </w:t>
      </w:r>
    </w:p>
    <w:p w14:paraId="38385A5C" w14:textId="77777777" w:rsidR="00B963C6" w:rsidRDefault="007D02FE" w:rsidP="0084749B">
      <w:pPr>
        <w:autoSpaceDE w:val="0"/>
        <w:autoSpaceDN w:val="0"/>
        <w:adjustRightInd w:val="0"/>
        <w:spacing w:after="240"/>
        <w:rPr>
          <w:bCs/>
        </w:rPr>
      </w:pPr>
      <w:r>
        <w:rPr>
          <w:bCs/>
        </w:rPr>
        <w:t xml:space="preserve">The </w:t>
      </w:r>
      <w:r w:rsidR="003023BC">
        <w:rPr>
          <w:bCs/>
        </w:rPr>
        <w:t xml:space="preserve">CDE and ACOE </w:t>
      </w:r>
      <w:r w:rsidR="00A14B5A">
        <w:rPr>
          <w:bCs/>
        </w:rPr>
        <w:t>will begin weekly collaborative meetings on Friday August 1</w:t>
      </w:r>
      <w:r w:rsidR="0032074F">
        <w:rPr>
          <w:bCs/>
        </w:rPr>
        <w:t>9, 2022</w:t>
      </w:r>
      <w:r w:rsidR="00A14B5A">
        <w:rPr>
          <w:bCs/>
        </w:rPr>
        <w:t xml:space="preserve">. When appropriate Lead TAC partners and WestEd will join these meetings. The goal of these weekly meetings is to facilitate the seamless launch of the 2022 CCSPP technical assistance resources and collaborate on all elements of the subsequent implementation. </w:t>
      </w:r>
      <w:r w:rsidR="00537662">
        <w:rPr>
          <w:bCs/>
        </w:rPr>
        <w:t xml:space="preserve">Beginning </w:t>
      </w:r>
      <w:r w:rsidR="00A14B5A">
        <w:rPr>
          <w:bCs/>
        </w:rPr>
        <w:t>Monday August 2</w:t>
      </w:r>
      <w:r w:rsidR="0032074F">
        <w:rPr>
          <w:bCs/>
        </w:rPr>
        <w:t>2, 2022,</w:t>
      </w:r>
      <w:r w:rsidR="00A14B5A">
        <w:rPr>
          <w:bCs/>
        </w:rPr>
        <w:t xml:space="preserve"> CDE and ACOE will </w:t>
      </w:r>
      <w:r w:rsidR="00537662">
        <w:rPr>
          <w:bCs/>
        </w:rPr>
        <w:t xml:space="preserve">meet </w:t>
      </w:r>
      <w:r w:rsidR="00A14B5A">
        <w:rPr>
          <w:bCs/>
        </w:rPr>
        <w:t xml:space="preserve">twice weekly </w:t>
      </w:r>
      <w:r w:rsidR="00537662">
        <w:rPr>
          <w:bCs/>
        </w:rPr>
        <w:t xml:space="preserve">to coordinate the </w:t>
      </w:r>
      <w:r w:rsidR="00A14B5A">
        <w:rPr>
          <w:bCs/>
        </w:rPr>
        <w:t xml:space="preserve">call center/email box </w:t>
      </w:r>
      <w:r w:rsidR="0032074F">
        <w:rPr>
          <w:bCs/>
        </w:rPr>
        <w:t>response</w:t>
      </w:r>
      <w:r w:rsidR="00537662">
        <w:rPr>
          <w:bCs/>
        </w:rPr>
        <w:t>s</w:t>
      </w:r>
      <w:r w:rsidR="0032074F">
        <w:rPr>
          <w:bCs/>
        </w:rPr>
        <w:t xml:space="preserve"> </w:t>
      </w:r>
      <w:r w:rsidR="00A14B5A">
        <w:rPr>
          <w:bCs/>
        </w:rPr>
        <w:t xml:space="preserve">to ensure there is consistent messaging and congruent information shared with grantees. </w:t>
      </w:r>
      <w:r w:rsidR="0032074F">
        <w:rPr>
          <w:bCs/>
        </w:rPr>
        <w:t xml:space="preserve">The Department </w:t>
      </w:r>
      <w:r w:rsidR="00A14B5A">
        <w:rPr>
          <w:bCs/>
        </w:rPr>
        <w:t>anticipate</w:t>
      </w:r>
      <w:r w:rsidR="0032074F">
        <w:rPr>
          <w:bCs/>
        </w:rPr>
        <w:t>s</w:t>
      </w:r>
      <w:r w:rsidR="00A14B5A">
        <w:rPr>
          <w:bCs/>
        </w:rPr>
        <w:t xml:space="preserve"> </w:t>
      </w:r>
      <w:r w:rsidR="0032074F">
        <w:rPr>
          <w:bCs/>
        </w:rPr>
        <w:t xml:space="preserve">that </w:t>
      </w:r>
      <w:r w:rsidR="00A14B5A">
        <w:rPr>
          <w:bCs/>
        </w:rPr>
        <w:t>staff will meet with this frequen</w:t>
      </w:r>
      <w:r w:rsidR="00B963C6">
        <w:rPr>
          <w:bCs/>
        </w:rPr>
        <w:t xml:space="preserve">cy throughout </w:t>
      </w:r>
      <w:r w:rsidR="0032074F">
        <w:rPr>
          <w:bCs/>
        </w:rPr>
        <w:t>the f</w:t>
      </w:r>
      <w:r w:rsidR="00B963C6">
        <w:rPr>
          <w:bCs/>
        </w:rPr>
        <w:t xml:space="preserve">all </w:t>
      </w:r>
      <w:r w:rsidR="0032074F">
        <w:rPr>
          <w:bCs/>
        </w:rPr>
        <w:t>2022 s</w:t>
      </w:r>
      <w:r w:rsidR="00B963C6">
        <w:rPr>
          <w:bCs/>
        </w:rPr>
        <w:t xml:space="preserve">emester. </w:t>
      </w:r>
    </w:p>
    <w:p w14:paraId="64EF5688" w14:textId="77777777" w:rsidR="00D22402" w:rsidRDefault="007D02FE" w:rsidP="002858DC">
      <w:pPr>
        <w:autoSpaceDE w:val="0"/>
        <w:autoSpaceDN w:val="0"/>
        <w:adjustRightInd w:val="0"/>
        <w:spacing w:after="240"/>
        <w:rPr>
          <w:bCs/>
        </w:rPr>
      </w:pPr>
      <w:r>
        <w:rPr>
          <w:bCs/>
        </w:rPr>
        <w:t xml:space="preserve">The </w:t>
      </w:r>
      <w:r w:rsidR="00B963C6">
        <w:rPr>
          <w:bCs/>
        </w:rPr>
        <w:t xml:space="preserve">CDE will be in ongoing communications with SBE staff and SBE </w:t>
      </w:r>
      <w:r w:rsidR="00537662">
        <w:rPr>
          <w:bCs/>
        </w:rPr>
        <w:t xml:space="preserve">community school liaisons </w:t>
      </w:r>
      <w:r w:rsidR="00B963C6">
        <w:rPr>
          <w:bCs/>
        </w:rPr>
        <w:t xml:space="preserve">throughout this interim TA process. </w:t>
      </w:r>
      <w:r w:rsidR="00097441">
        <w:rPr>
          <w:bCs/>
        </w:rPr>
        <w:t xml:space="preserve">CDE will also be in regular communication with the county offices of education which will play a key coordination role especially during the interim TA period. </w:t>
      </w:r>
      <w:r w:rsidR="00B963C6">
        <w:rPr>
          <w:bCs/>
        </w:rPr>
        <w:t xml:space="preserve">The process will be dynamic and </w:t>
      </w:r>
      <w:r w:rsidR="0032074F">
        <w:rPr>
          <w:bCs/>
        </w:rPr>
        <w:t xml:space="preserve">CDE </w:t>
      </w:r>
      <w:r w:rsidR="00B963C6">
        <w:rPr>
          <w:bCs/>
        </w:rPr>
        <w:t>expect</w:t>
      </w:r>
      <w:r w:rsidR="0032074F">
        <w:rPr>
          <w:bCs/>
        </w:rPr>
        <w:t>s</w:t>
      </w:r>
      <w:r w:rsidR="00B963C6">
        <w:rPr>
          <w:bCs/>
        </w:rPr>
        <w:t xml:space="preserve"> to be in a consistent feedback loop</w:t>
      </w:r>
      <w:r w:rsidR="0032074F">
        <w:rPr>
          <w:bCs/>
        </w:rPr>
        <w:t xml:space="preserve">, holding itself </w:t>
      </w:r>
      <w:r w:rsidR="00B963C6">
        <w:rPr>
          <w:bCs/>
        </w:rPr>
        <w:t>accountable to listening to the field and making course corrections as</w:t>
      </w:r>
      <w:r w:rsidR="006447DB">
        <w:rPr>
          <w:bCs/>
        </w:rPr>
        <w:t xml:space="preserve"> the technical assistance system is built out</w:t>
      </w:r>
      <w:r w:rsidR="00BE5C9C">
        <w:rPr>
          <w:bCs/>
        </w:rPr>
        <w:t>.</w:t>
      </w:r>
    </w:p>
    <w:p w14:paraId="4CD79AD0" w14:textId="77777777" w:rsidR="006F2D6A" w:rsidRPr="002858DC" w:rsidRDefault="00D22402" w:rsidP="002858DC">
      <w:pPr>
        <w:autoSpaceDE w:val="0"/>
        <w:autoSpaceDN w:val="0"/>
        <w:adjustRightInd w:val="0"/>
        <w:spacing w:after="240"/>
        <w:rPr>
          <w:bCs/>
        </w:rPr>
      </w:pPr>
      <w:r>
        <w:rPr>
          <w:bCs/>
        </w:rPr>
        <w:t xml:space="preserve">At the November SBE meeting, the Deputy </w:t>
      </w:r>
      <w:r w:rsidR="00F35C6F">
        <w:rPr>
          <w:bCs/>
        </w:rPr>
        <w:t>Superintendent</w:t>
      </w:r>
      <w:r w:rsidR="006F3966">
        <w:rPr>
          <w:bCs/>
        </w:rPr>
        <w:t xml:space="preserve"> </w:t>
      </w:r>
      <w:r>
        <w:rPr>
          <w:bCs/>
        </w:rPr>
        <w:t>will report to the Board about progress for the inaugural cohor</w:t>
      </w:r>
      <w:r w:rsidR="00BE5C9C">
        <w:rPr>
          <w:bCs/>
        </w:rPr>
        <w:t xml:space="preserve">t. We will also bring the selected RTAC </w:t>
      </w:r>
      <w:r w:rsidR="007E4411">
        <w:rPr>
          <w:bCs/>
        </w:rPr>
        <w:t xml:space="preserve">awardees to the Board for approval. </w:t>
      </w:r>
      <w:r w:rsidR="00B57F1D">
        <w:rPr>
          <w:bCs/>
        </w:rPr>
        <w:t>The CDE</w:t>
      </w:r>
      <w:r w:rsidR="007E4411">
        <w:rPr>
          <w:bCs/>
        </w:rPr>
        <w:t xml:space="preserve"> will also invite the Alameda County consortium to report directly to the Board on the progress of the transformative assistance model. </w:t>
      </w:r>
      <w:r w:rsidR="00BE5C9C">
        <w:rPr>
          <w:bCs/>
        </w:rPr>
        <w:t xml:space="preserve"> </w:t>
      </w:r>
    </w:p>
    <w:p w14:paraId="065AFDA0" w14:textId="77777777" w:rsidR="00057A96" w:rsidRPr="008B1135" w:rsidRDefault="00057A96" w:rsidP="008B1135">
      <w:pPr>
        <w:pStyle w:val="Heading2"/>
        <w:spacing w:before="240" w:after="0" w:line="360" w:lineRule="auto"/>
        <w:rPr>
          <w:sz w:val="36"/>
        </w:rPr>
      </w:pPr>
      <w:r w:rsidRPr="008B1135">
        <w:rPr>
          <w:sz w:val="36"/>
        </w:rPr>
        <w:t>Attachment(s)</w:t>
      </w:r>
    </w:p>
    <w:p w14:paraId="6BC0915A" w14:textId="1F1FCDA6" w:rsidR="00057A96" w:rsidRPr="00FF7391" w:rsidRDefault="00FF7391" w:rsidP="00FF7391">
      <w:pPr>
        <w:pStyle w:val="ListParagraph"/>
        <w:numPr>
          <w:ilvl w:val="0"/>
          <w:numId w:val="20"/>
        </w:numPr>
        <w:autoSpaceDE w:val="0"/>
        <w:autoSpaceDN w:val="0"/>
        <w:adjustRightInd w:val="0"/>
        <w:spacing w:after="240"/>
        <w:rPr>
          <w:bCs/>
        </w:rPr>
      </w:pPr>
      <w:r w:rsidRPr="00FF7391">
        <w:rPr>
          <w:b/>
          <w:bCs/>
        </w:rPr>
        <w:t>Attachment 1:</w:t>
      </w:r>
      <w:r w:rsidRPr="00FF7391">
        <w:rPr>
          <w:bCs/>
        </w:rPr>
        <w:t xml:space="preserve"> </w:t>
      </w:r>
      <w:r w:rsidR="007C4AC3" w:rsidRPr="00FF7391">
        <w:rPr>
          <w:bCs/>
        </w:rPr>
        <w:t>California Community Schools Partnership Program Timeline (3 pages)</w:t>
      </w:r>
    </w:p>
    <w:sectPr w:rsidR="00057A96" w:rsidRPr="00FF7391" w:rsidSect="00057A96">
      <w:headerReference w:type="default" r:id="rId15"/>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B58B" w14:textId="77777777" w:rsidR="007269A2" w:rsidRDefault="007269A2" w:rsidP="00943B5D">
      <w:r>
        <w:separator/>
      </w:r>
    </w:p>
  </w:endnote>
  <w:endnote w:type="continuationSeparator" w:id="0">
    <w:p w14:paraId="6B5CD94C" w14:textId="77777777" w:rsidR="007269A2" w:rsidRDefault="007269A2" w:rsidP="0094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FD05" w14:textId="77777777" w:rsidR="007269A2" w:rsidRDefault="007269A2" w:rsidP="00943B5D">
      <w:r>
        <w:separator/>
      </w:r>
    </w:p>
  </w:footnote>
  <w:footnote w:type="continuationSeparator" w:id="0">
    <w:p w14:paraId="2EAA3694" w14:textId="77777777" w:rsidR="007269A2" w:rsidRDefault="007269A2" w:rsidP="00943B5D">
      <w:r>
        <w:continuationSeparator/>
      </w:r>
    </w:p>
  </w:footnote>
  <w:footnote w:id="1">
    <w:p w14:paraId="2775B126" w14:textId="77777777" w:rsidR="00943B5D" w:rsidRDefault="00943B5D" w:rsidP="00943B5D">
      <w:pPr>
        <w:pStyle w:val="FootnoteText"/>
        <w:rPr>
          <w:sz w:val="24"/>
          <w:szCs w:val="24"/>
        </w:rPr>
      </w:pPr>
      <w:r w:rsidRPr="00582C51">
        <w:rPr>
          <w:rStyle w:val="FootnoteReference"/>
          <w:rFonts w:eastAsiaTheme="majorEastAsia"/>
          <w:sz w:val="24"/>
          <w:szCs w:val="24"/>
        </w:rPr>
        <w:footnoteRef/>
      </w:r>
      <w:r w:rsidRPr="00582C51">
        <w:rPr>
          <w:sz w:val="24"/>
          <w:szCs w:val="24"/>
        </w:rPr>
        <w:t xml:space="preserve"> </w:t>
      </w:r>
      <w:r>
        <w:rPr>
          <w:sz w:val="24"/>
          <w:szCs w:val="24"/>
        </w:rPr>
        <w:t xml:space="preserve">This amount represents 10 percent of $2,874,164,000 – the total amount of funding, </w:t>
      </w:r>
      <w:r>
        <w:rPr>
          <w:rFonts w:cs="Arial"/>
          <w:sz w:val="24"/>
          <w:szCs w:val="24"/>
        </w:rPr>
        <w:t>$3,015,997,000, minus the amount of funding set aside for technical assistance, $141,833,000.</w:t>
      </w:r>
    </w:p>
  </w:footnote>
  <w:footnote w:id="2">
    <w:p w14:paraId="6919C6A9" w14:textId="77777777" w:rsidR="00943B5D" w:rsidRDefault="00943B5D" w:rsidP="00943B5D">
      <w:pPr>
        <w:pStyle w:val="FootnoteText"/>
        <w:rPr>
          <w:sz w:val="24"/>
          <w:szCs w:val="24"/>
        </w:rPr>
      </w:pPr>
      <w:r w:rsidRPr="00582C51">
        <w:rPr>
          <w:rStyle w:val="FootnoteReference"/>
          <w:rFonts w:eastAsiaTheme="majorEastAsia"/>
          <w:sz w:val="24"/>
        </w:rPr>
        <w:footnoteRef/>
      </w:r>
      <w:r w:rsidRPr="00582C51">
        <w:t xml:space="preserve"> </w:t>
      </w:r>
      <w:r>
        <w:rPr>
          <w:sz w:val="24"/>
          <w:szCs w:val="24"/>
        </w:rPr>
        <w:t xml:space="preserve">This amount represents 70 percent of $2,874,164,000 – the total amount of funding, </w:t>
      </w:r>
      <w:r>
        <w:rPr>
          <w:rFonts w:cs="Arial"/>
          <w:sz w:val="24"/>
          <w:szCs w:val="24"/>
        </w:rPr>
        <w:t>$3,015,997,000, minus the amount of funding set aside for technical assistance, $141,833,000.</w:t>
      </w:r>
    </w:p>
  </w:footnote>
  <w:footnote w:id="3">
    <w:p w14:paraId="1CE722A7" w14:textId="77777777" w:rsidR="00943B5D" w:rsidRDefault="00943B5D" w:rsidP="00943B5D">
      <w:pPr>
        <w:pStyle w:val="FootnoteText"/>
      </w:pPr>
      <w:r w:rsidRPr="00582C51">
        <w:rPr>
          <w:rStyle w:val="FootnoteReference"/>
          <w:rFonts w:eastAsiaTheme="majorEastAsia"/>
          <w:sz w:val="24"/>
          <w:szCs w:val="24"/>
        </w:rPr>
        <w:footnoteRef/>
      </w:r>
      <w:r w:rsidRPr="00582C51">
        <w:rPr>
          <w:sz w:val="24"/>
          <w:szCs w:val="24"/>
        </w:rPr>
        <w:t xml:space="preserve"> T</w:t>
      </w:r>
      <w:r>
        <w:rPr>
          <w:sz w:val="24"/>
          <w:szCs w:val="24"/>
        </w:rPr>
        <w:t xml:space="preserve">his amount represents 20 percent of $2,874,164,000 – the total amount of funding, </w:t>
      </w:r>
      <w:r>
        <w:rPr>
          <w:rFonts w:cs="Arial"/>
          <w:sz w:val="24"/>
          <w:szCs w:val="24"/>
        </w:rPr>
        <w:t>$3,015,997,000, minus the amount of funding set aside for technical assistance, $141,833,000.</w:t>
      </w:r>
    </w:p>
  </w:footnote>
  <w:footnote w:id="4">
    <w:p w14:paraId="6A2931AA" w14:textId="77777777" w:rsidR="00B1551C" w:rsidRPr="00200B82" w:rsidRDefault="00B1551C">
      <w:pPr>
        <w:pStyle w:val="FootnoteText"/>
        <w:rPr>
          <w:sz w:val="24"/>
          <w:szCs w:val="24"/>
        </w:rPr>
      </w:pPr>
      <w:r>
        <w:rPr>
          <w:rStyle w:val="FootnoteReference"/>
        </w:rPr>
        <w:footnoteRef/>
      </w:r>
      <w:r>
        <w:t xml:space="preserve"> </w:t>
      </w:r>
      <w:r>
        <w:rPr>
          <w:sz w:val="24"/>
          <w:szCs w:val="24"/>
        </w:rPr>
        <w:t xml:space="preserve">Per statute, </w:t>
      </w:r>
      <w:r w:rsidR="00200B82">
        <w:rPr>
          <w:sz w:val="24"/>
          <w:szCs w:val="24"/>
        </w:rPr>
        <w:t>COE</w:t>
      </w:r>
      <w:r w:rsidRPr="00E3122D">
        <w:rPr>
          <w:sz w:val="24"/>
          <w:szCs w:val="24"/>
        </w:rPr>
        <w:t xml:space="preserve"> grant award amounts shall be determined based on the number of community schools and the number of pupils served in those schools, using an allocation formula determined by the Superintendent</w:t>
      </w:r>
      <w:r w:rsidR="00E3122D">
        <w:rPr>
          <w:sz w:val="24"/>
          <w:szCs w:val="24"/>
        </w:rPr>
        <w:t xml:space="preserve">. Amounts will be </w:t>
      </w:r>
      <w:r w:rsidRPr="00E3122D">
        <w:rPr>
          <w:sz w:val="24"/>
          <w:szCs w:val="24"/>
        </w:rPr>
        <w:t>at least $200,000 and up to $500,000 annually, for seven years, for each qualifying county office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5FCA" w14:textId="77777777" w:rsidR="00250AD6" w:rsidRDefault="00250AD6" w:rsidP="00250AD6">
    <w:pPr>
      <w:pStyle w:val="Header"/>
      <w:jc w:val="right"/>
    </w:pPr>
    <w:r w:rsidRPr="002858DC">
      <w:t>memo-sssb-cctd-aug22item01</w:t>
    </w:r>
  </w:p>
  <w:p w14:paraId="2532A31F" w14:textId="77777777" w:rsidR="00250AD6" w:rsidRPr="00250AD6" w:rsidRDefault="00250AD6" w:rsidP="00250AD6">
    <w:pPr>
      <w:pStyle w:val="Header"/>
      <w:spacing w:after="120"/>
      <w:jc w:val="right"/>
    </w:pPr>
    <w:r w:rsidRPr="00250AD6">
      <w:t xml:space="preserve">Page </w:t>
    </w:r>
    <w:r w:rsidRPr="00250AD6">
      <w:rPr>
        <w:bCs/>
      </w:rPr>
      <w:fldChar w:fldCharType="begin"/>
    </w:r>
    <w:r w:rsidRPr="00250AD6">
      <w:rPr>
        <w:bCs/>
      </w:rPr>
      <w:instrText xml:space="preserve"> PAGE  \* Arabic  \* MERGEFORMAT </w:instrText>
    </w:r>
    <w:r w:rsidRPr="00250AD6">
      <w:rPr>
        <w:bCs/>
      </w:rPr>
      <w:fldChar w:fldCharType="separate"/>
    </w:r>
    <w:r w:rsidRPr="00250AD6">
      <w:rPr>
        <w:bCs/>
        <w:noProof/>
      </w:rPr>
      <w:t>1</w:t>
    </w:r>
    <w:r w:rsidRPr="00250AD6">
      <w:rPr>
        <w:bCs/>
      </w:rPr>
      <w:fldChar w:fldCharType="end"/>
    </w:r>
    <w:r w:rsidRPr="00250AD6">
      <w:t xml:space="preserve"> of </w:t>
    </w:r>
    <w:r w:rsidRPr="00250AD6">
      <w:rPr>
        <w:bCs/>
      </w:rPr>
      <w:fldChar w:fldCharType="begin"/>
    </w:r>
    <w:r w:rsidRPr="00250AD6">
      <w:rPr>
        <w:bCs/>
      </w:rPr>
      <w:instrText xml:space="preserve"> NUMPAGES  \* Arabic  \* MERGEFORMAT </w:instrText>
    </w:r>
    <w:r w:rsidRPr="00250AD6">
      <w:rPr>
        <w:bCs/>
      </w:rPr>
      <w:fldChar w:fldCharType="separate"/>
    </w:r>
    <w:r w:rsidRPr="00250AD6">
      <w:rPr>
        <w:bCs/>
        <w:noProof/>
      </w:rPr>
      <w:t>2</w:t>
    </w:r>
    <w:r w:rsidRPr="00250AD6">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2227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CAE0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2C9B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C35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A844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3E9A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0487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67C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C8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04D3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76F7E"/>
    <w:multiLevelType w:val="hybridMultilevel"/>
    <w:tmpl w:val="F6B40568"/>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1" w15:restartNumberingAfterBreak="0">
    <w:nsid w:val="22206D82"/>
    <w:multiLevelType w:val="hybridMultilevel"/>
    <w:tmpl w:val="BA34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925A9"/>
    <w:multiLevelType w:val="hybridMultilevel"/>
    <w:tmpl w:val="1EA0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A1E28"/>
    <w:multiLevelType w:val="hybridMultilevel"/>
    <w:tmpl w:val="40AA408C"/>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5"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F531E6"/>
    <w:multiLevelType w:val="hybridMultilevel"/>
    <w:tmpl w:val="DD6ABC8C"/>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8" w15:restartNumberingAfterBreak="0">
    <w:nsid w:val="769E6FCA"/>
    <w:multiLevelType w:val="hybridMultilevel"/>
    <w:tmpl w:val="D126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15"/>
  </w:num>
  <w:num w:numId="5">
    <w:abstractNumId w:val="19"/>
  </w:num>
  <w:num w:numId="6">
    <w:abstractNumId w:val="12"/>
  </w:num>
  <w:num w:numId="7">
    <w:abstractNumId w:val="10"/>
  </w:num>
  <w:num w:numId="8">
    <w:abstractNumId w:val="1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28F8"/>
    <w:rsid w:val="00037AD0"/>
    <w:rsid w:val="00050317"/>
    <w:rsid w:val="000530B3"/>
    <w:rsid w:val="00053B2A"/>
    <w:rsid w:val="00057A96"/>
    <w:rsid w:val="00063939"/>
    <w:rsid w:val="0007250A"/>
    <w:rsid w:val="00076D6D"/>
    <w:rsid w:val="00077927"/>
    <w:rsid w:val="00097441"/>
    <w:rsid w:val="000A22B4"/>
    <w:rsid w:val="000B1553"/>
    <w:rsid w:val="000B6166"/>
    <w:rsid w:val="000C139F"/>
    <w:rsid w:val="000C44E7"/>
    <w:rsid w:val="0016173B"/>
    <w:rsid w:val="001648E9"/>
    <w:rsid w:val="00174F86"/>
    <w:rsid w:val="00175DFC"/>
    <w:rsid w:val="00184DEF"/>
    <w:rsid w:val="00187C81"/>
    <w:rsid w:val="00192303"/>
    <w:rsid w:val="001A0DF8"/>
    <w:rsid w:val="001B2B2C"/>
    <w:rsid w:val="001D4A5B"/>
    <w:rsid w:val="001E3D89"/>
    <w:rsid w:val="001E64F7"/>
    <w:rsid w:val="00200B82"/>
    <w:rsid w:val="002327C8"/>
    <w:rsid w:val="002408E4"/>
    <w:rsid w:val="00250AD6"/>
    <w:rsid w:val="002858DC"/>
    <w:rsid w:val="0029286A"/>
    <w:rsid w:val="00294668"/>
    <w:rsid w:val="002D2710"/>
    <w:rsid w:val="002D47D5"/>
    <w:rsid w:val="002E0745"/>
    <w:rsid w:val="003023BC"/>
    <w:rsid w:val="0030328F"/>
    <w:rsid w:val="0032074F"/>
    <w:rsid w:val="00321D49"/>
    <w:rsid w:val="00322C00"/>
    <w:rsid w:val="003240F8"/>
    <w:rsid w:val="00325EAA"/>
    <w:rsid w:val="00335DC4"/>
    <w:rsid w:val="0033616F"/>
    <w:rsid w:val="00344067"/>
    <w:rsid w:val="00344B55"/>
    <w:rsid w:val="0035278D"/>
    <w:rsid w:val="003602A6"/>
    <w:rsid w:val="00360C29"/>
    <w:rsid w:val="00364C1F"/>
    <w:rsid w:val="003774EE"/>
    <w:rsid w:val="00381425"/>
    <w:rsid w:val="00384BA6"/>
    <w:rsid w:val="00385F3B"/>
    <w:rsid w:val="00390982"/>
    <w:rsid w:val="003A209A"/>
    <w:rsid w:val="003B4DF6"/>
    <w:rsid w:val="003C75A8"/>
    <w:rsid w:val="003D1C0F"/>
    <w:rsid w:val="003D1F41"/>
    <w:rsid w:val="003D50A4"/>
    <w:rsid w:val="003E21FC"/>
    <w:rsid w:val="003E2E49"/>
    <w:rsid w:val="003E3B94"/>
    <w:rsid w:val="00423C5F"/>
    <w:rsid w:val="004273AE"/>
    <w:rsid w:val="00431F2D"/>
    <w:rsid w:val="00433416"/>
    <w:rsid w:val="00440213"/>
    <w:rsid w:val="00440316"/>
    <w:rsid w:val="00452A43"/>
    <w:rsid w:val="00457842"/>
    <w:rsid w:val="00474A2F"/>
    <w:rsid w:val="004769AC"/>
    <w:rsid w:val="00490C63"/>
    <w:rsid w:val="00496605"/>
    <w:rsid w:val="00497E68"/>
    <w:rsid w:val="004A420C"/>
    <w:rsid w:val="004D0F01"/>
    <w:rsid w:val="004E121C"/>
    <w:rsid w:val="00505499"/>
    <w:rsid w:val="0051479B"/>
    <w:rsid w:val="00524A34"/>
    <w:rsid w:val="00537662"/>
    <w:rsid w:val="0054334A"/>
    <w:rsid w:val="00561130"/>
    <w:rsid w:val="00562996"/>
    <w:rsid w:val="00590006"/>
    <w:rsid w:val="00597CBE"/>
    <w:rsid w:val="005A4FB4"/>
    <w:rsid w:val="005B1325"/>
    <w:rsid w:val="005B1BC0"/>
    <w:rsid w:val="005C4462"/>
    <w:rsid w:val="005D600A"/>
    <w:rsid w:val="005F1D5B"/>
    <w:rsid w:val="005F3F6F"/>
    <w:rsid w:val="00632D27"/>
    <w:rsid w:val="006332BB"/>
    <w:rsid w:val="00641608"/>
    <w:rsid w:val="006447DB"/>
    <w:rsid w:val="00657A38"/>
    <w:rsid w:val="00662701"/>
    <w:rsid w:val="00664990"/>
    <w:rsid w:val="00681207"/>
    <w:rsid w:val="006826A9"/>
    <w:rsid w:val="006829EE"/>
    <w:rsid w:val="006C1E1B"/>
    <w:rsid w:val="006C7DCD"/>
    <w:rsid w:val="006E2A89"/>
    <w:rsid w:val="006F2D6A"/>
    <w:rsid w:val="006F3966"/>
    <w:rsid w:val="006F57F1"/>
    <w:rsid w:val="00710D33"/>
    <w:rsid w:val="007269A2"/>
    <w:rsid w:val="007277D9"/>
    <w:rsid w:val="00753636"/>
    <w:rsid w:val="00753743"/>
    <w:rsid w:val="00755024"/>
    <w:rsid w:val="007757C6"/>
    <w:rsid w:val="007868EF"/>
    <w:rsid w:val="007A2218"/>
    <w:rsid w:val="007A2653"/>
    <w:rsid w:val="007A451E"/>
    <w:rsid w:val="007C4AC3"/>
    <w:rsid w:val="007C62C1"/>
    <w:rsid w:val="007D02FE"/>
    <w:rsid w:val="007E3C28"/>
    <w:rsid w:val="007E4411"/>
    <w:rsid w:val="007E50D9"/>
    <w:rsid w:val="007F7D75"/>
    <w:rsid w:val="00803951"/>
    <w:rsid w:val="0082115F"/>
    <w:rsid w:val="008213F2"/>
    <w:rsid w:val="008433C7"/>
    <w:rsid w:val="0084749B"/>
    <w:rsid w:val="00880666"/>
    <w:rsid w:val="008A1119"/>
    <w:rsid w:val="008B1135"/>
    <w:rsid w:val="008B3050"/>
    <w:rsid w:val="008B6AF1"/>
    <w:rsid w:val="008D2B05"/>
    <w:rsid w:val="008E2E96"/>
    <w:rsid w:val="008F6CA0"/>
    <w:rsid w:val="00912FB2"/>
    <w:rsid w:val="00943B5D"/>
    <w:rsid w:val="0095370B"/>
    <w:rsid w:val="00963290"/>
    <w:rsid w:val="00963C33"/>
    <w:rsid w:val="00975A96"/>
    <w:rsid w:val="00982A10"/>
    <w:rsid w:val="009A4893"/>
    <w:rsid w:val="009C275D"/>
    <w:rsid w:val="009C7090"/>
    <w:rsid w:val="00A11875"/>
    <w:rsid w:val="00A14B5A"/>
    <w:rsid w:val="00A26AC2"/>
    <w:rsid w:val="00A35C73"/>
    <w:rsid w:val="00A4080B"/>
    <w:rsid w:val="00AB4C92"/>
    <w:rsid w:val="00AC1765"/>
    <w:rsid w:val="00AD275B"/>
    <w:rsid w:val="00AD72E7"/>
    <w:rsid w:val="00AF4467"/>
    <w:rsid w:val="00B1551C"/>
    <w:rsid w:val="00B25255"/>
    <w:rsid w:val="00B35954"/>
    <w:rsid w:val="00B40793"/>
    <w:rsid w:val="00B57F1D"/>
    <w:rsid w:val="00B61F10"/>
    <w:rsid w:val="00B72227"/>
    <w:rsid w:val="00B74C55"/>
    <w:rsid w:val="00B92A41"/>
    <w:rsid w:val="00B960F3"/>
    <w:rsid w:val="00B963C6"/>
    <w:rsid w:val="00BA49EA"/>
    <w:rsid w:val="00BC3667"/>
    <w:rsid w:val="00BC376B"/>
    <w:rsid w:val="00BD01D8"/>
    <w:rsid w:val="00BD1C75"/>
    <w:rsid w:val="00BE5C9C"/>
    <w:rsid w:val="00BF7F32"/>
    <w:rsid w:val="00C0032E"/>
    <w:rsid w:val="00C01A29"/>
    <w:rsid w:val="00C06CBC"/>
    <w:rsid w:val="00C249A0"/>
    <w:rsid w:val="00C3324A"/>
    <w:rsid w:val="00C4203F"/>
    <w:rsid w:val="00C420BB"/>
    <w:rsid w:val="00C44790"/>
    <w:rsid w:val="00C61F78"/>
    <w:rsid w:val="00C730AA"/>
    <w:rsid w:val="00C90A98"/>
    <w:rsid w:val="00C92ADD"/>
    <w:rsid w:val="00C95DAE"/>
    <w:rsid w:val="00CA3E12"/>
    <w:rsid w:val="00CC02B8"/>
    <w:rsid w:val="00CC5474"/>
    <w:rsid w:val="00CE3396"/>
    <w:rsid w:val="00D1437F"/>
    <w:rsid w:val="00D1679B"/>
    <w:rsid w:val="00D22402"/>
    <w:rsid w:val="00D34835"/>
    <w:rsid w:val="00D4049C"/>
    <w:rsid w:val="00D4748E"/>
    <w:rsid w:val="00D569B3"/>
    <w:rsid w:val="00D609D5"/>
    <w:rsid w:val="00D753A9"/>
    <w:rsid w:val="00D81E7D"/>
    <w:rsid w:val="00DC4F40"/>
    <w:rsid w:val="00DC5F5C"/>
    <w:rsid w:val="00DC5FAA"/>
    <w:rsid w:val="00DC68A6"/>
    <w:rsid w:val="00DC7F4C"/>
    <w:rsid w:val="00E00371"/>
    <w:rsid w:val="00E02EF7"/>
    <w:rsid w:val="00E12896"/>
    <w:rsid w:val="00E3122D"/>
    <w:rsid w:val="00E32FDC"/>
    <w:rsid w:val="00E411D6"/>
    <w:rsid w:val="00E55CF6"/>
    <w:rsid w:val="00EA10FB"/>
    <w:rsid w:val="00EA7AD5"/>
    <w:rsid w:val="00EA7D32"/>
    <w:rsid w:val="00EC36E4"/>
    <w:rsid w:val="00EC3FF1"/>
    <w:rsid w:val="00ED24C6"/>
    <w:rsid w:val="00F0558B"/>
    <w:rsid w:val="00F06887"/>
    <w:rsid w:val="00F27414"/>
    <w:rsid w:val="00F27709"/>
    <w:rsid w:val="00F35C6F"/>
    <w:rsid w:val="00F37CA7"/>
    <w:rsid w:val="00F37EBF"/>
    <w:rsid w:val="00F50175"/>
    <w:rsid w:val="00F65D74"/>
    <w:rsid w:val="00F93051"/>
    <w:rsid w:val="00F944F5"/>
    <w:rsid w:val="00FC2E35"/>
    <w:rsid w:val="00FC33C3"/>
    <w:rsid w:val="00FC5443"/>
    <w:rsid w:val="00FD4247"/>
    <w:rsid w:val="00FF3432"/>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9F836"/>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5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43B5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List1,List11,Step Paragraph,Numbered Paragraph"/>
    <w:basedOn w:val="Normal"/>
    <w:link w:val="ListParagraphChar"/>
    <w:uiPriority w:val="34"/>
    <w:qFormat/>
    <w:rsid w:val="00C0032E"/>
    <w:pPr>
      <w:ind w:left="720"/>
      <w:contextualSpacing/>
    </w:pPr>
  </w:style>
  <w:style w:type="paragraph" w:styleId="FootnoteText">
    <w:name w:val="footnote text"/>
    <w:basedOn w:val="Normal"/>
    <w:link w:val="FootnoteTextChar"/>
    <w:uiPriority w:val="99"/>
    <w:semiHidden/>
    <w:unhideWhenUsed/>
    <w:rsid w:val="00943B5D"/>
    <w:pPr>
      <w:spacing w:after="240" w:line="256" w:lineRule="auto"/>
    </w:pPr>
    <w:rPr>
      <w:sz w:val="20"/>
      <w:szCs w:val="20"/>
    </w:rPr>
  </w:style>
  <w:style w:type="character" w:customStyle="1" w:styleId="FootnoteTextChar">
    <w:name w:val="Footnote Text Char"/>
    <w:basedOn w:val="DefaultParagraphFont"/>
    <w:link w:val="FootnoteText"/>
    <w:uiPriority w:val="99"/>
    <w:semiHidden/>
    <w:rsid w:val="00943B5D"/>
    <w:rPr>
      <w:rFonts w:ascii="Arial" w:eastAsia="Times New Roman" w:hAnsi="Arial" w:cs="Times New Roman"/>
      <w:sz w:val="20"/>
      <w:szCs w:val="20"/>
    </w:rPr>
  </w:style>
  <w:style w:type="character" w:customStyle="1" w:styleId="ListParagraphChar">
    <w:name w:val="List Paragraph Char"/>
    <w:aliases w:val="list Char,List1 Char,List11 Char,Step Paragraph Char,Numbered Paragraph Char"/>
    <w:link w:val="ListParagraph"/>
    <w:uiPriority w:val="34"/>
    <w:locked/>
    <w:rsid w:val="00943B5D"/>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943B5D"/>
    <w:rPr>
      <w:vertAlign w:val="superscript"/>
    </w:rPr>
  </w:style>
  <w:style w:type="character" w:customStyle="1" w:styleId="Heading3Char">
    <w:name w:val="Heading 3 Char"/>
    <w:basedOn w:val="DefaultParagraphFont"/>
    <w:link w:val="Heading3"/>
    <w:uiPriority w:val="9"/>
    <w:rsid w:val="00943B5D"/>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943B5D"/>
    <w:rPr>
      <w:color w:val="0000FF"/>
      <w:u w:val="single"/>
    </w:rPr>
  </w:style>
  <w:style w:type="table" w:styleId="GridTable4">
    <w:name w:val="Grid Table 4"/>
    <w:basedOn w:val="TableNormal"/>
    <w:uiPriority w:val="49"/>
    <w:rsid w:val="006F57F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B92A41"/>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384BA6"/>
    <w:rPr>
      <w:color w:val="605E5C"/>
      <w:shd w:val="clear" w:color="auto" w:fill="E1DFDD"/>
    </w:rPr>
  </w:style>
  <w:style w:type="paragraph" w:styleId="BodyText">
    <w:name w:val="Body Text"/>
    <w:basedOn w:val="Normal"/>
    <w:link w:val="BodyTextChar"/>
    <w:rsid w:val="008433C7"/>
    <w:pPr>
      <w:spacing w:after="120"/>
    </w:pPr>
    <w:rPr>
      <w:rFonts w:eastAsia="Calibri"/>
    </w:rPr>
  </w:style>
  <w:style w:type="character" w:customStyle="1" w:styleId="BodyTextChar">
    <w:name w:val="Body Text Char"/>
    <w:basedOn w:val="DefaultParagraphFont"/>
    <w:link w:val="BodyText"/>
    <w:rsid w:val="008433C7"/>
    <w:rPr>
      <w:rFonts w:ascii="Arial" w:eastAsia="Calibri" w:hAnsi="Arial" w:cs="Times New Roman"/>
      <w:sz w:val="24"/>
      <w:szCs w:val="24"/>
    </w:rPr>
  </w:style>
  <w:style w:type="paragraph" w:styleId="NoSpacing">
    <w:name w:val="No Spacing"/>
    <w:uiPriority w:val="1"/>
    <w:qFormat/>
    <w:rsid w:val="008433C7"/>
    <w:pPr>
      <w:spacing w:after="0" w:line="240" w:lineRule="auto"/>
    </w:pPr>
    <w:rPr>
      <w:rFonts w:ascii="Arial" w:eastAsia="Times New Roman" w:hAnsi="Arial" w:cs="Times New Roman"/>
      <w:sz w:val="24"/>
      <w:szCs w:val="24"/>
    </w:rPr>
  </w:style>
  <w:style w:type="table" w:styleId="ListTable3">
    <w:name w:val="List Table 3"/>
    <w:basedOn w:val="TableNormal"/>
    <w:uiPriority w:val="48"/>
    <w:rsid w:val="008433C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CC02B8"/>
    <w:rPr>
      <w:sz w:val="16"/>
      <w:szCs w:val="16"/>
    </w:rPr>
  </w:style>
  <w:style w:type="paragraph" w:styleId="CommentText">
    <w:name w:val="annotation text"/>
    <w:basedOn w:val="Normal"/>
    <w:link w:val="CommentTextChar"/>
    <w:uiPriority w:val="99"/>
    <w:unhideWhenUsed/>
    <w:rsid w:val="00CC02B8"/>
    <w:rPr>
      <w:sz w:val="20"/>
      <w:szCs w:val="20"/>
    </w:rPr>
  </w:style>
  <w:style w:type="character" w:customStyle="1" w:styleId="CommentTextChar">
    <w:name w:val="Comment Text Char"/>
    <w:basedOn w:val="DefaultParagraphFont"/>
    <w:link w:val="CommentText"/>
    <w:uiPriority w:val="99"/>
    <w:rsid w:val="00CC02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C02B8"/>
    <w:rPr>
      <w:b/>
      <w:bCs/>
    </w:rPr>
  </w:style>
  <w:style w:type="character" w:customStyle="1" w:styleId="CommentSubjectChar">
    <w:name w:val="Comment Subject Char"/>
    <w:basedOn w:val="CommentTextChar"/>
    <w:link w:val="CommentSubject"/>
    <w:uiPriority w:val="99"/>
    <w:semiHidden/>
    <w:rsid w:val="00CC02B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5A4FB4"/>
    <w:rPr>
      <w:color w:val="954F72" w:themeColor="followedHyperlink"/>
      <w:u w:val="single"/>
    </w:rPr>
  </w:style>
  <w:style w:type="paragraph" w:styleId="NormalWeb">
    <w:name w:val="Normal (Web)"/>
    <w:basedOn w:val="Normal"/>
    <w:uiPriority w:val="99"/>
    <w:semiHidden/>
    <w:unhideWhenUsed/>
    <w:rsid w:val="00294668"/>
    <w:pPr>
      <w:spacing w:before="100" w:beforeAutospacing="1" w:after="100" w:afterAutospacing="1"/>
    </w:pPr>
    <w:rPr>
      <w:rFonts w:ascii="Times New Roman" w:hAnsi="Times New Roman"/>
    </w:rPr>
  </w:style>
  <w:style w:type="paragraph" w:styleId="Revision">
    <w:name w:val="Revision"/>
    <w:hidden/>
    <w:uiPriority w:val="99"/>
    <w:semiHidden/>
    <w:rsid w:val="00710D33"/>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250AD6"/>
    <w:pPr>
      <w:tabs>
        <w:tab w:val="center" w:pos="4680"/>
        <w:tab w:val="right" w:pos="9360"/>
      </w:tabs>
    </w:pPr>
  </w:style>
  <w:style w:type="character" w:customStyle="1" w:styleId="HeaderChar">
    <w:name w:val="Header Char"/>
    <w:basedOn w:val="DefaultParagraphFont"/>
    <w:link w:val="Header"/>
    <w:uiPriority w:val="99"/>
    <w:rsid w:val="00250AD6"/>
    <w:rPr>
      <w:rFonts w:ascii="Arial" w:eastAsia="Times New Roman" w:hAnsi="Arial" w:cs="Times New Roman"/>
      <w:sz w:val="24"/>
      <w:szCs w:val="24"/>
    </w:rPr>
  </w:style>
  <w:style w:type="paragraph" w:styleId="Footer">
    <w:name w:val="footer"/>
    <w:basedOn w:val="Normal"/>
    <w:link w:val="FooterChar"/>
    <w:uiPriority w:val="99"/>
    <w:unhideWhenUsed/>
    <w:rsid w:val="00250AD6"/>
    <w:pPr>
      <w:tabs>
        <w:tab w:val="center" w:pos="4680"/>
        <w:tab w:val="right" w:pos="9360"/>
      </w:tabs>
    </w:pPr>
  </w:style>
  <w:style w:type="character" w:customStyle="1" w:styleId="FooterChar">
    <w:name w:val="Footer Char"/>
    <w:basedOn w:val="DefaultParagraphFont"/>
    <w:link w:val="Footer"/>
    <w:uiPriority w:val="99"/>
    <w:rsid w:val="00250AD6"/>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250AD6"/>
    <w:rPr>
      <w:color w:val="605E5C"/>
      <w:shd w:val="clear" w:color="auto" w:fill="E1DFDD"/>
    </w:rPr>
  </w:style>
  <w:style w:type="table" w:styleId="TableGrid">
    <w:name w:val="Table Grid"/>
    <w:basedOn w:val="TableNormal"/>
    <w:uiPriority w:val="39"/>
    <w:rsid w:val="006E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423C5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23C5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16200">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424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22/agenda202201.asp" TargetMode="External"/><Relationship Id="rId13" Type="http://schemas.openxmlformats.org/officeDocument/2006/relationships/hyperlink" Target="https://www.cde.ca.gov/fg/fo/profile.asp?id=58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22/documents/jan22item0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fo/profile.asp?id=57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e.ca.gov/fg/fo/profile.asp?id=5708&amp;recID=5708" TargetMode="External"/><Relationship Id="rId4" Type="http://schemas.openxmlformats.org/officeDocument/2006/relationships/settings" Target="settings.xml"/><Relationship Id="rId9" Type="http://schemas.openxmlformats.org/officeDocument/2006/relationships/hyperlink" Target="https://www.cde.ca.gov/be/pn/im/infomemooct2021.asp" TargetMode="External"/><Relationship Id="rId14" Type="http://schemas.openxmlformats.org/officeDocument/2006/relationships/hyperlink" Target="https://www.cde.ca.gov/fg/fo/r17/ccspptac21rf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4246-A538-457E-9651-F53BD3D1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3692</Words>
  <Characters>21050</Characters>
  <DocSecurity>0</DocSecurity>
  <Lines>175</Lines>
  <Paragraphs>49</Paragraphs>
  <ScaleCrop>false</ScaleCrop>
  <HeadingPairs>
    <vt:vector size="2" baseType="variant">
      <vt:variant>
        <vt:lpstr>Title</vt:lpstr>
      </vt:variant>
      <vt:variant>
        <vt:i4>1</vt:i4>
      </vt:variant>
    </vt:vector>
  </HeadingPairs>
  <TitlesOfParts>
    <vt:vector size="1" baseType="lpstr">
      <vt:lpstr>SBE Memorandum Template</vt:lpstr>
    </vt:vector>
  </TitlesOfParts>
  <Company>California State Board of Education</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2022 Memo SSSB CCTD Item 01 - Information Memorandum (CA State Board of Education)</dc:title>
  <dc:subject>Update on the California Community Schools Partnership Program.</dc:subject>
  <dc:creator/>
  <cp:keywords/>
  <dc:description/>
  <cp:lastPrinted>2017-10-30T18:36:00Z</cp:lastPrinted>
  <dcterms:created xsi:type="dcterms:W3CDTF">2022-08-19T20:01:00Z</dcterms:created>
  <dcterms:modified xsi:type="dcterms:W3CDTF">2022-08-19T20:56:00Z</dcterms:modified>
  <cp:category/>
</cp:coreProperties>
</file>