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BF9ED" w14:textId="2629C79C" w:rsidR="00057A96" w:rsidRPr="007378F8" w:rsidRDefault="00057A96" w:rsidP="00057A96">
      <w:bookmarkStart w:id="0" w:name="_GoBack"/>
      <w:bookmarkEnd w:id="0"/>
      <w:r w:rsidRPr="007378F8">
        <w:t>California Department of Education</w:t>
      </w:r>
    </w:p>
    <w:p w14:paraId="318FB976" w14:textId="77777777" w:rsidR="00057A96" w:rsidRPr="007378F8" w:rsidRDefault="00057A96" w:rsidP="00057A96">
      <w:r w:rsidRPr="007378F8">
        <w:t>Executive Office</w:t>
      </w:r>
    </w:p>
    <w:p w14:paraId="71CABED4" w14:textId="77777777" w:rsidR="00982A10" w:rsidRPr="007378F8" w:rsidRDefault="00057A96" w:rsidP="00982A10">
      <w:r w:rsidRPr="007378F8">
        <w:t>SBE-00</w:t>
      </w:r>
      <w:r w:rsidR="00BC376B" w:rsidRPr="007378F8">
        <w:t>2</w:t>
      </w:r>
      <w:r w:rsidRPr="007378F8">
        <w:t xml:space="preserve"> (REV. 1</w:t>
      </w:r>
      <w:r w:rsidR="000C139F" w:rsidRPr="007378F8">
        <w:t>1</w:t>
      </w:r>
      <w:r w:rsidRPr="007378F8">
        <w:t>/2017)</w:t>
      </w:r>
    </w:p>
    <w:p w14:paraId="0A07B87D" w14:textId="77777777" w:rsidR="007A025B" w:rsidRPr="007378F8" w:rsidRDefault="00982A10" w:rsidP="007A025B">
      <w:pPr>
        <w:jc w:val="right"/>
        <w:rPr>
          <w:rFonts w:cs="Arial"/>
        </w:rPr>
      </w:pPr>
      <w:r w:rsidRPr="007378F8">
        <w:br w:type="column"/>
      </w:r>
      <w:proofErr w:type="gramStart"/>
      <w:r w:rsidR="00394D19" w:rsidRPr="007378F8">
        <w:rPr>
          <w:rFonts w:cs="Arial"/>
        </w:rPr>
        <w:t>memo-pptb-adad-</w:t>
      </w:r>
      <w:r w:rsidR="006C7912" w:rsidRPr="007378F8">
        <w:rPr>
          <w:rFonts w:cs="Arial"/>
        </w:rPr>
        <w:t>oct18item0</w:t>
      </w:r>
      <w:r w:rsidR="00597B49" w:rsidRPr="007378F8">
        <w:rPr>
          <w:rFonts w:cs="Arial"/>
        </w:rPr>
        <w:t>2</w:t>
      </w:r>
      <w:proofErr w:type="gramEnd"/>
    </w:p>
    <w:p w14:paraId="653D556C" w14:textId="77777777" w:rsidR="00982A10" w:rsidRPr="007378F8" w:rsidRDefault="00982A10" w:rsidP="00982A10"/>
    <w:p w14:paraId="7D02EB0B" w14:textId="77777777" w:rsidR="00982A10" w:rsidRPr="007378F8" w:rsidRDefault="00982A10" w:rsidP="0033616F">
      <w:pPr>
        <w:pStyle w:val="Heading1"/>
        <w:spacing w:line="360" w:lineRule="auto"/>
        <w:rPr>
          <w:rFonts w:ascii="Arial" w:hAnsi="Arial" w:cs="Arial"/>
          <w:b/>
          <w:color w:val="auto"/>
          <w:sz w:val="40"/>
          <w:szCs w:val="52"/>
        </w:rPr>
        <w:sectPr w:rsidR="00982A10" w:rsidRPr="007378F8" w:rsidSect="00982A10">
          <w:type w:val="continuous"/>
          <w:pgSz w:w="12240" w:h="15840"/>
          <w:pgMar w:top="720" w:right="1440" w:bottom="1440" w:left="1440" w:header="720" w:footer="720" w:gutter="0"/>
          <w:cols w:num="2" w:space="144" w:equalWidth="0">
            <w:col w:w="5760" w:space="144"/>
            <w:col w:w="3456"/>
          </w:cols>
        </w:sectPr>
      </w:pPr>
    </w:p>
    <w:p w14:paraId="74000AE4" w14:textId="77777777" w:rsidR="00057A96" w:rsidRPr="007378F8" w:rsidRDefault="00BC376B" w:rsidP="008D4D4F">
      <w:pPr>
        <w:pStyle w:val="Heading1"/>
        <w:spacing w:after="240"/>
        <w:rPr>
          <w:rFonts w:ascii="Arial" w:hAnsi="Arial" w:cs="Arial"/>
          <w:b/>
          <w:color w:val="auto"/>
          <w:sz w:val="40"/>
          <w:szCs w:val="52"/>
        </w:rPr>
      </w:pPr>
      <w:r w:rsidRPr="007378F8">
        <w:rPr>
          <w:rFonts w:ascii="Arial" w:hAnsi="Arial" w:cs="Arial"/>
          <w:b/>
          <w:color w:val="auto"/>
          <w:sz w:val="40"/>
          <w:szCs w:val="52"/>
        </w:rPr>
        <w:t>MEMORANDUM</w:t>
      </w:r>
    </w:p>
    <w:p w14:paraId="40AEBD72" w14:textId="779ECB92" w:rsidR="00057A96" w:rsidRPr="007378F8" w:rsidRDefault="008F6CA0" w:rsidP="00913B13">
      <w:pPr>
        <w:pStyle w:val="MessageHeader"/>
      </w:pPr>
      <w:r w:rsidRPr="007378F8">
        <w:rPr>
          <w:b/>
        </w:rPr>
        <w:t>DATE:</w:t>
      </w:r>
      <w:r w:rsidRPr="007378F8">
        <w:tab/>
      </w:r>
      <w:r w:rsidR="00706C50" w:rsidRPr="007378F8">
        <w:t>October 15</w:t>
      </w:r>
      <w:r w:rsidR="00D26A25" w:rsidRPr="007378F8">
        <w:t>, 2018</w:t>
      </w:r>
    </w:p>
    <w:p w14:paraId="0AA6988E" w14:textId="77777777" w:rsidR="00057A96" w:rsidRPr="007378F8" w:rsidRDefault="00057A96" w:rsidP="00913B13">
      <w:pPr>
        <w:pStyle w:val="MessageHeader"/>
      </w:pPr>
      <w:r w:rsidRPr="007378F8">
        <w:rPr>
          <w:b/>
        </w:rPr>
        <w:t>TO:</w:t>
      </w:r>
      <w:r w:rsidRPr="007378F8">
        <w:rPr>
          <w:b/>
        </w:rPr>
        <w:tab/>
      </w:r>
      <w:r w:rsidRPr="007378F8">
        <w:t>MEMBERS, State Board of Education</w:t>
      </w:r>
      <w:r w:rsidRPr="007378F8">
        <w:tab/>
      </w:r>
    </w:p>
    <w:p w14:paraId="343746C5" w14:textId="77777777" w:rsidR="00057A96" w:rsidRPr="007378F8" w:rsidRDefault="00057A96" w:rsidP="00913B13">
      <w:pPr>
        <w:pStyle w:val="MessageHeader"/>
      </w:pPr>
      <w:r w:rsidRPr="007378F8">
        <w:rPr>
          <w:b/>
        </w:rPr>
        <w:t>FROM:</w:t>
      </w:r>
      <w:r w:rsidR="00C61F78" w:rsidRPr="007378F8">
        <w:tab/>
        <w:t xml:space="preserve">TOM TORLAKSON, </w:t>
      </w:r>
      <w:r w:rsidRPr="007378F8">
        <w:t>State Superintendent of Public Instruction</w:t>
      </w:r>
    </w:p>
    <w:p w14:paraId="47A2BC79" w14:textId="77777777" w:rsidR="00057A96" w:rsidRPr="007378F8" w:rsidRDefault="00057A96" w:rsidP="00913B13">
      <w:pPr>
        <w:pStyle w:val="MessageHeader"/>
      </w:pPr>
      <w:r w:rsidRPr="007378F8">
        <w:rPr>
          <w:b/>
        </w:rPr>
        <w:t>SUBJECT:</w:t>
      </w:r>
      <w:r w:rsidRPr="007378F8">
        <w:rPr>
          <w:b/>
        </w:rPr>
        <w:tab/>
      </w:r>
      <w:r w:rsidR="00FF4177" w:rsidRPr="007378F8">
        <w:t xml:space="preserve">Summative English Language Proficiency Assessments for California: Update on the Threshold </w:t>
      </w:r>
      <w:r w:rsidR="008510FD" w:rsidRPr="007378F8">
        <w:t xml:space="preserve">Score </w:t>
      </w:r>
      <w:r w:rsidR="00FF4177" w:rsidRPr="007378F8">
        <w:t xml:space="preserve">Validation Study and Supplemental </w:t>
      </w:r>
      <w:r w:rsidR="008510FD" w:rsidRPr="007378F8">
        <w:t xml:space="preserve">Empirical </w:t>
      </w:r>
      <w:r w:rsidR="00FF4177" w:rsidRPr="007378F8">
        <w:t>Analyses.</w:t>
      </w:r>
      <w:r w:rsidR="00A2705A" w:rsidRPr="007378F8">
        <w:t xml:space="preserve"> </w:t>
      </w:r>
    </w:p>
    <w:p w14:paraId="49253DAE" w14:textId="77777777" w:rsidR="00057A96" w:rsidRPr="007378F8" w:rsidRDefault="00474A2F" w:rsidP="00991E47">
      <w:pPr>
        <w:pStyle w:val="Heading2"/>
        <w:spacing w:before="240" w:after="240"/>
        <w:rPr>
          <w:sz w:val="36"/>
        </w:rPr>
      </w:pPr>
      <w:r w:rsidRPr="007378F8">
        <w:rPr>
          <w:sz w:val="36"/>
        </w:rPr>
        <w:t>Summary o</w:t>
      </w:r>
      <w:r w:rsidR="00057A96" w:rsidRPr="007378F8">
        <w:rPr>
          <w:sz w:val="36"/>
        </w:rPr>
        <w:t>f Key Issues</w:t>
      </w:r>
    </w:p>
    <w:p w14:paraId="34BC203E" w14:textId="77777777" w:rsidR="00251E53" w:rsidRPr="007378F8" w:rsidRDefault="00251E53" w:rsidP="00B64C7F">
      <w:pPr>
        <w:spacing w:after="240"/>
        <w:rPr>
          <w:rFonts w:cs="Arial"/>
        </w:rPr>
      </w:pPr>
      <w:r w:rsidRPr="007378F8">
        <w:rPr>
          <w:rFonts w:cs="Arial"/>
        </w:rPr>
        <w:t xml:space="preserve">This </w:t>
      </w:r>
      <w:r w:rsidR="0075411B" w:rsidRPr="007378F8">
        <w:rPr>
          <w:rFonts w:cs="Arial"/>
        </w:rPr>
        <w:t>Memorandum</w:t>
      </w:r>
      <w:r w:rsidRPr="007378F8">
        <w:rPr>
          <w:rFonts w:cs="Arial"/>
        </w:rPr>
        <w:t xml:space="preserve"> provides a summary of </w:t>
      </w:r>
      <w:r w:rsidR="00FF4177" w:rsidRPr="007378F8">
        <w:rPr>
          <w:rFonts w:cs="Arial"/>
        </w:rPr>
        <w:t>the Summative</w:t>
      </w:r>
      <w:r w:rsidRPr="007378F8">
        <w:rPr>
          <w:rFonts w:cs="Arial"/>
        </w:rPr>
        <w:t xml:space="preserve"> </w:t>
      </w:r>
      <w:r w:rsidR="0075411B" w:rsidRPr="007378F8">
        <w:rPr>
          <w:rFonts w:cs="Arial"/>
        </w:rPr>
        <w:t>English Language Proficiency Assessments for California (ELPAC)</w:t>
      </w:r>
      <w:r w:rsidR="0045445E" w:rsidRPr="007378F8">
        <w:rPr>
          <w:rFonts w:cs="Arial"/>
        </w:rPr>
        <w:t xml:space="preserve"> t</w:t>
      </w:r>
      <w:r w:rsidR="00FF4177" w:rsidRPr="007378F8">
        <w:rPr>
          <w:rFonts w:cs="Arial"/>
        </w:rPr>
        <w:t xml:space="preserve">hreshold </w:t>
      </w:r>
      <w:r w:rsidR="0045445E" w:rsidRPr="007378F8">
        <w:rPr>
          <w:rFonts w:cs="Arial"/>
        </w:rPr>
        <w:t>s</w:t>
      </w:r>
      <w:r w:rsidR="00EF4DC8" w:rsidRPr="007378F8">
        <w:rPr>
          <w:rFonts w:cs="Arial"/>
        </w:rPr>
        <w:t xml:space="preserve">core </w:t>
      </w:r>
      <w:r w:rsidR="0045445E" w:rsidRPr="007378F8">
        <w:rPr>
          <w:rFonts w:cs="Arial"/>
        </w:rPr>
        <w:t>validation s</w:t>
      </w:r>
      <w:r w:rsidR="00FF4177" w:rsidRPr="007378F8">
        <w:rPr>
          <w:rFonts w:cs="Arial"/>
        </w:rPr>
        <w:t xml:space="preserve">tudy and </w:t>
      </w:r>
      <w:r w:rsidR="0045445E" w:rsidRPr="007378F8">
        <w:rPr>
          <w:rFonts w:cs="Arial"/>
        </w:rPr>
        <w:t>supplemental empirical a</w:t>
      </w:r>
      <w:r w:rsidR="008510FD" w:rsidRPr="007378F8">
        <w:rPr>
          <w:rFonts w:cs="Arial"/>
        </w:rPr>
        <w:t>nalyses</w:t>
      </w:r>
      <w:r w:rsidR="00FF4177" w:rsidRPr="007378F8">
        <w:rPr>
          <w:rFonts w:cs="Arial"/>
        </w:rPr>
        <w:t xml:space="preserve">. </w:t>
      </w:r>
      <w:r w:rsidR="00EF4DC8" w:rsidRPr="007378F8">
        <w:rPr>
          <w:rFonts w:cs="Arial"/>
        </w:rPr>
        <w:t>R</w:t>
      </w:r>
      <w:r w:rsidR="00FF4177" w:rsidRPr="007378F8">
        <w:rPr>
          <w:rFonts w:cs="Arial"/>
        </w:rPr>
        <w:t>esults</w:t>
      </w:r>
      <w:r w:rsidR="00EF4DC8" w:rsidRPr="007378F8">
        <w:rPr>
          <w:rFonts w:cs="Arial"/>
        </w:rPr>
        <w:t xml:space="preserve"> from these studies</w:t>
      </w:r>
      <w:r w:rsidR="00FF4177" w:rsidRPr="007378F8">
        <w:rPr>
          <w:rFonts w:cs="Arial"/>
        </w:rPr>
        <w:t xml:space="preserve"> will be used to inform proposed recommendations to the State Board of Education (SBE) in November 2018. </w:t>
      </w:r>
    </w:p>
    <w:p w14:paraId="302DB0CF" w14:textId="77777777" w:rsidR="0004743E" w:rsidRPr="007378F8" w:rsidRDefault="00EF4DC8" w:rsidP="00913B13">
      <w:pPr>
        <w:pStyle w:val="Heading3"/>
      </w:pPr>
      <w:r w:rsidRPr="007378F8">
        <w:t>Purpose of the Studies</w:t>
      </w:r>
    </w:p>
    <w:p w14:paraId="63E4B736" w14:textId="2FC4CFE5" w:rsidR="00EF4DC8" w:rsidRPr="007378F8" w:rsidRDefault="00EF4DC8" w:rsidP="00B64C7F">
      <w:pPr>
        <w:spacing w:after="240"/>
      </w:pPr>
      <w:r w:rsidRPr="007378F8">
        <w:t xml:space="preserve">In December 2017, the California Department of Education (CDE) submitted a Memorandum to the SBE that outlined the expectations of the threshold score validation study and supplemental </w:t>
      </w:r>
      <w:r w:rsidR="008510FD" w:rsidRPr="007378F8">
        <w:t xml:space="preserve">empirical </w:t>
      </w:r>
      <w:r w:rsidRPr="007378F8">
        <w:t>analyses</w:t>
      </w:r>
      <w:r w:rsidR="00F6396C" w:rsidRPr="007378F8">
        <w:t xml:space="preserve"> upon completion of the first operational Summative ELPAC</w:t>
      </w:r>
      <w:r w:rsidRPr="007378F8">
        <w:t>.</w:t>
      </w:r>
      <w:r w:rsidR="00F6396C" w:rsidRPr="007378F8">
        <w:t xml:space="preserve"> </w:t>
      </w:r>
      <w:r w:rsidR="00EF4DE7" w:rsidRPr="007378F8">
        <w:t xml:space="preserve">These analyses align with the current practice that has been </w:t>
      </w:r>
      <w:r w:rsidR="007140C1" w:rsidRPr="007378F8">
        <w:t xml:space="preserve">conducted </w:t>
      </w:r>
      <w:r w:rsidR="00EF4DE7" w:rsidRPr="007378F8">
        <w:t xml:space="preserve">by other states to determine their threshold scores. </w:t>
      </w:r>
      <w:r w:rsidR="001A2532" w:rsidRPr="007378F8">
        <w:t xml:space="preserve">The </w:t>
      </w:r>
      <w:r w:rsidR="00B44427" w:rsidRPr="007378F8">
        <w:t xml:space="preserve">Memorandum can be found on the CDE </w:t>
      </w:r>
      <w:r w:rsidR="002453F0" w:rsidRPr="007378F8">
        <w:t xml:space="preserve">SBE information memorandum </w:t>
      </w:r>
      <w:r w:rsidR="00B44427" w:rsidRPr="007378F8">
        <w:t>web</w:t>
      </w:r>
      <w:r w:rsidR="002453F0" w:rsidRPr="007378F8">
        <w:t xml:space="preserve"> page</w:t>
      </w:r>
      <w:r w:rsidR="00B44427" w:rsidRPr="007378F8">
        <w:t xml:space="preserve"> at </w:t>
      </w:r>
      <w:hyperlink r:id="rId8" w:tooltip="This link opens the December 2017 SBE Memorandum " w:history="1">
        <w:r w:rsidR="00B44427" w:rsidRPr="007378F8">
          <w:rPr>
            <w:rStyle w:val="Hyperlink"/>
          </w:rPr>
          <w:t>https://www.cde.ca.gov/be/pn/im/documents/memo-pptb-adad-dec17item03.docx</w:t>
        </w:r>
      </w:hyperlink>
      <w:r w:rsidR="00B44427" w:rsidRPr="007378F8">
        <w:t xml:space="preserve">. </w:t>
      </w:r>
    </w:p>
    <w:p w14:paraId="58556D6E" w14:textId="77777777" w:rsidR="00EF4DC8" w:rsidRPr="007378F8" w:rsidRDefault="00EF4DC8" w:rsidP="00B64C7F">
      <w:pPr>
        <w:spacing w:after="240"/>
      </w:pPr>
      <w:r w:rsidRPr="007378F8">
        <w:t xml:space="preserve">The purpose of the threshold score validation study </w:t>
      </w:r>
      <w:r w:rsidR="009E3A33" w:rsidRPr="007378F8">
        <w:t>was</w:t>
      </w:r>
      <w:r w:rsidRPr="007378F8">
        <w:t xml:space="preserve"> to evaluate the degree to which the threshold scores and performance levels of the </w:t>
      </w:r>
      <w:r w:rsidR="00A64A17" w:rsidRPr="007378F8">
        <w:t>S</w:t>
      </w:r>
      <w:r w:rsidRPr="007378F8">
        <w:t xml:space="preserve">ummative ELPAC accurately </w:t>
      </w:r>
      <w:proofErr w:type="gramStart"/>
      <w:r w:rsidRPr="007378F8">
        <w:t>distinguish</w:t>
      </w:r>
      <w:proofErr w:type="gramEnd"/>
      <w:r w:rsidRPr="007378F8">
        <w:t xml:space="preserve"> between levels of students’ English proficiency.</w:t>
      </w:r>
      <w:r w:rsidR="009E3A33" w:rsidRPr="007378F8">
        <w:t xml:space="preserve"> </w:t>
      </w:r>
      <w:r w:rsidR="009E3A33" w:rsidRPr="007378F8">
        <w:rPr>
          <w:rFonts w:cs="Arial"/>
        </w:rPr>
        <w:t>Included in Attachment 1 is an executive summary of the study from the ELPAC testing contractor, Educational Testing Service (ETS), of the results based on students in kindergarten through grade twelve.</w:t>
      </w:r>
    </w:p>
    <w:p w14:paraId="6053F47E" w14:textId="5FF128E6" w:rsidR="009E3A33" w:rsidRPr="007378F8" w:rsidRDefault="009E3A33" w:rsidP="00B64C7F">
      <w:pPr>
        <w:spacing w:after="240"/>
      </w:pPr>
      <w:r w:rsidRPr="007378F8">
        <w:t>The purpose of the</w:t>
      </w:r>
      <w:r w:rsidR="00EF4DC8" w:rsidRPr="007378F8">
        <w:t xml:space="preserve"> supplemental </w:t>
      </w:r>
      <w:r w:rsidR="008510FD" w:rsidRPr="007378F8">
        <w:t xml:space="preserve">empirical </w:t>
      </w:r>
      <w:r w:rsidR="00EF4DC8" w:rsidRPr="007378F8">
        <w:t xml:space="preserve">analyses </w:t>
      </w:r>
      <w:r w:rsidRPr="007378F8">
        <w:t>was</w:t>
      </w:r>
      <w:r w:rsidR="00EF4DC8" w:rsidRPr="007378F8">
        <w:t xml:space="preserve"> to examine the relationship </w:t>
      </w:r>
      <w:r w:rsidR="00DF2AE3" w:rsidRPr="007378F8">
        <w:t xml:space="preserve">between </w:t>
      </w:r>
      <w:r w:rsidR="0058225D" w:rsidRPr="007378F8">
        <w:t xml:space="preserve">student test scores and performance levels on the first operational </w:t>
      </w:r>
      <w:r w:rsidR="000106C7" w:rsidRPr="007378F8">
        <w:t xml:space="preserve">Summative </w:t>
      </w:r>
      <w:r w:rsidR="00A64A17" w:rsidRPr="007378F8">
        <w:t>ELPAC</w:t>
      </w:r>
      <w:r w:rsidR="007E5DCE" w:rsidRPr="007378F8">
        <w:t xml:space="preserve"> </w:t>
      </w:r>
      <w:r w:rsidR="00093587" w:rsidRPr="007378F8">
        <w:t>relative</w:t>
      </w:r>
      <w:r w:rsidR="00D139E5" w:rsidRPr="007378F8">
        <w:t xml:space="preserve"> to student test scores and performance levels on the </w:t>
      </w:r>
      <w:r w:rsidR="0058225D" w:rsidRPr="007378F8">
        <w:t xml:space="preserve">California Assessment of Student Performance and Progress (CAASPP) English language arts/literacy (ELA). </w:t>
      </w:r>
      <w:r w:rsidR="007140C1" w:rsidRPr="007378F8">
        <w:t xml:space="preserve">The primary purpose was to examine the ELPAC level 4 students’ performance on the CAASPP ELA as one way to evaluate if those students performed </w:t>
      </w:r>
      <w:r w:rsidR="007140C1" w:rsidRPr="007378F8">
        <w:lastRenderedPageBreak/>
        <w:t xml:space="preserve">similarly to English only </w:t>
      </w:r>
      <w:r w:rsidR="00023700" w:rsidRPr="007378F8">
        <w:t xml:space="preserve">(EO) </w:t>
      </w:r>
      <w:r w:rsidR="007140C1" w:rsidRPr="007378F8">
        <w:t xml:space="preserve">students on the CAASPP ELA. </w:t>
      </w:r>
      <w:r w:rsidR="0058225D" w:rsidRPr="007378F8">
        <w:t xml:space="preserve">Both assessments were administered in the spring of 2018. </w:t>
      </w:r>
      <w:r w:rsidR="00EF4DC8" w:rsidRPr="007378F8">
        <w:t xml:space="preserve"> </w:t>
      </w:r>
      <w:r w:rsidRPr="007378F8">
        <w:rPr>
          <w:rFonts w:cs="Arial"/>
        </w:rPr>
        <w:t xml:space="preserve">Included in Attachment 2 is an executive summary from the California Comprehensive Center </w:t>
      </w:r>
      <w:r w:rsidR="002453F0" w:rsidRPr="007378F8">
        <w:rPr>
          <w:rFonts w:cs="Arial"/>
        </w:rPr>
        <w:t xml:space="preserve">at </w:t>
      </w:r>
      <w:proofErr w:type="spellStart"/>
      <w:r w:rsidR="002453F0" w:rsidRPr="007378F8">
        <w:rPr>
          <w:rFonts w:cs="Arial"/>
        </w:rPr>
        <w:t>WestEd</w:t>
      </w:r>
      <w:proofErr w:type="spellEnd"/>
      <w:r w:rsidR="002453F0" w:rsidRPr="007378F8">
        <w:rPr>
          <w:rFonts w:cs="Arial"/>
        </w:rPr>
        <w:t xml:space="preserve"> </w:t>
      </w:r>
      <w:r w:rsidRPr="007378F8">
        <w:rPr>
          <w:rFonts w:cs="Arial"/>
        </w:rPr>
        <w:t xml:space="preserve">of the results from their </w:t>
      </w:r>
      <w:r w:rsidR="007E7CB6" w:rsidRPr="007378F8">
        <w:rPr>
          <w:rFonts w:cs="Arial"/>
        </w:rPr>
        <w:t xml:space="preserve">supplemental empirical analyses of the ELPAC </w:t>
      </w:r>
      <w:r w:rsidRPr="007378F8">
        <w:rPr>
          <w:rFonts w:cs="Arial"/>
        </w:rPr>
        <w:t>based on grades three through eight and grade eleven.</w:t>
      </w:r>
      <w:r w:rsidR="0057494A" w:rsidRPr="007378F8">
        <w:rPr>
          <w:rFonts w:cs="Arial"/>
        </w:rPr>
        <w:t xml:space="preserve"> </w:t>
      </w:r>
    </w:p>
    <w:p w14:paraId="0FD77652" w14:textId="6B6DC3E4" w:rsidR="00F6396C" w:rsidRPr="007378F8" w:rsidRDefault="00EF4DC8" w:rsidP="00B64C7F">
      <w:pPr>
        <w:spacing w:after="240"/>
      </w:pPr>
      <w:r w:rsidRPr="007378F8">
        <w:t xml:space="preserve">Validation of threshold scores and </w:t>
      </w:r>
      <w:r w:rsidR="008510FD" w:rsidRPr="007378F8">
        <w:t xml:space="preserve">supplemental </w:t>
      </w:r>
      <w:r w:rsidRPr="007378F8">
        <w:t xml:space="preserve">empirical analyses </w:t>
      </w:r>
      <w:r w:rsidR="0058225D" w:rsidRPr="007378F8">
        <w:rPr>
          <w:rFonts w:eastAsia="Calibri" w:cs="Arial"/>
        </w:rPr>
        <w:t xml:space="preserve">of the relationship of ELPAC to CAASPP ELA </w:t>
      </w:r>
      <w:r w:rsidRPr="007378F8">
        <w:t>are critical for appropriate test use and state-level policy discussions on establ</w:t>
      </w:r>
      <w:r w:rsidR="004B03DD" w:rsidRPr="007378F8">
        <w:t>ishing an ELPAC criterion for English learner</w:t>
      </w:r>
      <w:r w:rsidR="00C01651" w:rsidRPr="007378F8">
        <w:t xml:space="preserve"> (EL)</w:t>
      </w:r>
      <w:r w:rsidRPr="007378F8">
        <w:t xml:space="preserve"> reclassification decisions.</w:t>
      </w:r>
      <w:r w:rsidR="00EF4DE7" w:rsidRPr="007378F8">
        <w:t xml:space="preserve">  </w:t>
      </w:r>
    </w:p>
    <w:p w14:paraId="57E2D485" w14:textId="77777777" w:rsidR="00891AD3" w:rsidRPr="007378F8" w:rsidRDefault="00F6396C" w:rsidP="00913B13">
      <w:pPr>
        <w:pStyle w:val="Heading3"/>
      </w:pPr>
      <w:r w:rsidRPr="007378F8">
        <w:t>Next Steps</w:t>
      </w:r>
    </w:p>
    <w:p w14:paraId="2A8EB357" w14:textId="2EB3C28C" w:rsidR="004E0E93" w:rsidRPr="007378F8" w:rsidRDefault="00655C68" w:rsidP="004E0E93">
      <w:pPr>
        <w:spacing w:after="240"/>
      </w:pPr>
      <w:r w:rsidRPr="007378F8">
        <w:t xml:space="preserve">The CDE is currently reviewing the results </w:t>
      </w:r>
      <w:r w:rsidR="006C7912" w:rsidRPr="007378F8">
        <w:t xml:space="preserve">of the </w:t>
      </w:r>
      <w:r w:rsidR="00093E4E" w:rsidRPr="007378F8">
        <w:t xml:space="preserve">threshold score </w:t>
      </w:r>
      <w:r w:rsidR="006C7912" w:rsidRPr="007378F8">
        <w:t xml:space="preserve">validation study and supplemental </w:t>
      </w:r>
      <w:r w:rsidR="008510FD" w:rsidRPr="007378F8">
        <w:t xml:space="preserve">empirical </w:t>
      </w:r>
      <w:r w:rsidR="006C7912" w:rsidRPr="007378F8">
        <w:t xml:space="preserve">analyses to consider whether to maintain or adjust </w:t>
      </w:r>
      <w:r w:rsidR="00277536" w:rsidRPr="007378F8">
        <w:t>2017–18</w:t>
      </w:r>
      <w:r w:rsidR="0033375A" w:rsidRPr="007378F8">
        <w:t xml:space="preserve"> threshold scores approved on </w:t>
      </w:r>
      <w:r w:rsidR="006C7912" w:rsidRPr="007378F8">
        <w:t xml:space="preserve">November 8, 2017. The CDE will provide the SBE with a recommendation in November 2018. </w:t>
      </w:r>
      <w:r w:rsidR="009C4513" w:rsidRPr="007378F8">
        <w:t>If the SBE approves threshold score changes, t</w:t>
      </w:r>
      <w:r w:rsidR="004E0E93" w:rsidRPr="007378F8">
        <w:t>he CDE will notify LEA Superintendents and charter school administrators</w:t>
      </w:r>
      <w:r w:rsidR="009C4513" w:rsidRPr="007378F8">
        <w:t xml:space="preserve"> of those changes to the 2018-19 threshold scores. </w:t>
      </w:r>
    </w:p>
    <w:p w14:paraId="35D341E1" w14:textId="54D62F06" w:rsidR="004E0E93" w:rsidRPr="007378F8" w:rsidRDefault="004E0E93" w:rsidP="00225A35">
      <w:pPr>
        <w:spacing w:after="480"/>
      </w:pPr>
      <w:r w:rsidRPr="007378F8">
        <w:rPr>
          <w:rFonts w:cs="Arial"/>
        </w:rPr>
        <w:t>In addition, the CDE has begun recruitment of teachers to participate in the Initial</w:t>
      </w:r>
      <w:r w:rsidR="009C4513" w:rsidRPr="007378F8">
        <w:rPr>
          <w:rFonts w:cs="Arial"/>
        </w:rPr>
        <w:t xml:space="preserve"> ELPAC threshold validation review p</w:t>
      </w:r>
      <w:r w:rsidRPr="007378F8">
        <w:rPr>
          <w:rFonts w:cs="Arial"/>
        </w:rPr>
        <w:t>rocess this fall. The CDE is anticipating collecting surveys from teachers for approximately 1,500 students of which 50 pe</w:t>
      </w:r>
      <w:r w:rsidR="000362E1" w:rsidRPr="007378F8">
        <w:rPr>
          <w:rFonts w:cs="Arial"/>
        </w:rPr>
        <w:t>rcent will be ELs</w:t>
      </w:r>
      <w:r w:rsidRPr="007378F8">
        <w:rPr>
          <w:rFonts w:cs="Arial"/>
        </w:rPr>
        <w:t xml:space="preserve"> and 50 percent will be initial fluent English proficient (IFEP). Teachers will use the approved general performance level descriptors to agree or disagree with the classification of their students as either EL or IFEP. After surveys are collected, an analysis of the responses will be conducted by ETS. </w:t>
      </w:r>
      <w:r w:rsidR="009C4513" w:rsidRPr="007378F8">
        <w:rPr>
          <w:rFonts w:cs="Arial"/>
        </w:rPr>
        <w:t xml:space="preserve">CDE will utilize the results from the analysis to </w:t>
      </w:r>
      <w:r w:rsidRPr="007378F8">
        <w:rPr>
          <w:rFonts w:cs="Arial"/>
        </w:rPr>
        <w:t xml:space="preserve">inform </w:t>
      </w:r>
      <w:r w:rsidR="009C4513" w:rsidRPr="007378F8">
        <w:rPr>
          <w:rFonts w:cs="Arial"/>
        </w:rPr>
        <w:t>a recommendation to either maintain or revise the Initial ELPAC threshold scores for the 2019–20 school year. The recommendation related to the Initial ELPAC threshold scores is anticipated to be brought before the SBE</w:t>
      </w:r>
      <w:r w:rsidRPr="007378F8">
        <w:rPr>
          <w:rFonts w:cs="Arial"/>
        </w:rPr>
        <w:t xml:space="preserve"> in March 2019</w:t>
      </w:r>
      <w:r w:rsidR="009C4513" w:rsidRPr="007378F8">
        <w:rPr>
          <w:rFonts w:cs="Arial"/>
        </w:rPr>
        <w:t>.</w:t>
      </w:r>
      <w:r w:rsidRPr="007378F8">
        <w:rPr>
          <w:rFonts w:cs="Arial"/>
        </w:rPr>
        <w:t xml:space="preserve"> </w:t>
      </w:r>
    </w:p>
    <w:p w14:paraId="79CEAF1A" w14:textId="77777777" w:rsidR="00057A96" w:rsidRPr="007378F8" w:rsidRDefault="00057A96" w:rsidP="00B50325">
      <w:pPr>
        <w:pStyle w:val="Heading2"/>
        <w:spacing w:before="240" w:after="240"/>
        <w:rPr>
          <w:sz w:val="36"/>
        </w:rPr>
      </w:pPr>
      <w:r w:rsidRPr="007378F8">
        <w:rPr>
          <w:sz w:val="36"/>
        </w:rPr>
        <w:t>Attachment(s)</w:t>
      </w:r>
    </w:p>
    <w:p w14:paraId="092071AF" w14:textId="26B88AA4" w:rsidR="00AB6FAA" w:rsidRPr="007378F8" w:rsidRDefault="00AB6FAA" w:rsidP="00AD78BE">
      <w:pPr>
        <w:pStyle w:val="ListParagraph"/>
        <w:numPr>
          <w:ilvl w:val="0"/>
          <w:numId w:val="28"/>
        </w:numPr>
        <w:spacing w:after="240"/>
      </w:pPr>
      <w:r w:rsidRPr="007378F8">
        <w:rPr>
          <w:rFonts w:cs="Arial"/>
        </w:rPr>
        <w:t xml:space="preserve">Attachment 1: </w:t>
      </w:r>
      <w:r w:rsidR="001A670E" w:rsidRPr="007378F8">
        <w:t xml:space="preserve">English Language Proficiency Assessments for California </w:t>
      </w:r>
      <w:r w:rsidR="00F6396C" w:rsidRPr="007378F8">
        <w:t>Threshold Score Validation Study Executive Summary</w:t>
      </w:r>
      <w:r w:rsidR="00806C1C" w:rsidRPr="007378F8">
        <w:t xml:space="preserve"> (</w:t>
      </w:r>
      <w:r w:rsidR="002E675B" w:rsidRPr="007378F8">
        <w:t>3</w:t>
      </w:r>
      <w:r w:rsidR="00F6396C" w:rsidRPr="007378F8">
        <w:t xml:space="preserve"> </w:t>
      </w:r>
      <w:r w:rsidRPr="007378F8">
        <w:t>Pages)</w:t>
      </w:r>
    </w:p>
    <w:p w14:paraId="3CB5F627" w14:textId="5FED1E84" w:rsidR="003166BE" w:rsidRPr="007378F8" w:rsidRDefault="00193C73" w:rsidP="00AD78BE">
      <w:pPr>
        <w:pStyle w:val="ListParagraph"/>
        <w:numPr>
          <w:ilvl w:val="0"/>
          <w:numId w:val="28"/>
        </w:numPr>
        <w:spacing w:after="240"/>
        <w:sectPr w:rsidR="003166BE" w:rsidRPr="007378F8" w:rsidSect="00123566">
          <w:headerReference w:type="default" r:id="rId9"/>
          <w:type w:val="continuous"/>
          <w:pgSz w:w="12240" w:h="15840"/>
          <w:pgMar w:top="720" w:right="1440" w:bottom="1440" w:left="1440" w:header="720" w:footer="720" w:gutter="0"/>
          <w:cols w:space="720"/>
          <w:docGrid w:linePitch="326"/>
        </w:sectPr>
      </w:pPr>
      <w:r w:rsidRPr="007378F8">
        <w:t xml:space="preserve">Attachment 2: </w:t>
      </w:r>
      <w:r w:rsidR="00F6396C" w:rsidRPr="007378F8">
        <w:t xml:space="preserve">Supplemental </w:t>
      </w:r>
      <w:r w:rsidR="008510FD" w:rsidRPr="007378F8">
        <w:t xml:space="preserve">Empirical </w:t>
      </w:r>
      <w:r w:rsidR="00F6396C" w:rsidRPr="007378F8">
        <w:t>Analyses</w:t>
      </w:r>
      <w:r w:rsidR="00084575" w:rsidRPr="007378F8">
        <w:t xml:space="preserve"> of the English Language </w:t>
      </w:r>
      <w:r w:rsidR="00AD78BE" w:rsidRPr="007378F8">
        <w:t xml:space="preserve">Proficiency </w:t>
      </w:r>
      <w:r w:rsidR="001A670E" w:rsidRPr="007378F8">
        <w:t>Assessments for California</w:t>
      </w:r>
      <w:r w:rsidR="00F6396C" w:rsidRPr="007378F8">
        <w:t xml:space="preserve"> </w:t>
      </w:r>
      <w:r w:rsidR="00477355" w:rsidRPr="007378F8">
        <w:t>(</w:t>
      </w:r>
      <w:r w:rsidR="002E675B" w:rsidRPr="007378F8">
        <w:t>3</w:t>
      </w:r>
      <w:r w:rsidR="00304700" w:rsidRPr="007378F8">
        <w:t xml:space="preserve"> </w:t>
      </w:r>
      <w:r w:rsidR="00864EE4" w:rsidRPr="007378F8">
        <w:t>Pages</w:t>
      </w:r>
      <w:r w:rsidR="00AA5E32" w:rsidRPr="007378F8">
        <w:t>)</w:t>
      </w:r>
    </w:p>
    <w:p w14:paraId="2BB11D1F" w14:textId="1F30D87C" w:rsidR="00552F6F" w:rsidRPr="007378F8" w:rsidRDefault="00913B13" w:rsidP="00552F6F">
      <w:pPr>
        <w:pStyle w:val="Heading1"/>
        <w:spacing w:after="240"/>
        <w:rPr>
          <w:rFonts w:ascii="Arial" w:hAnsi="Arial" w:cs="Arial"/>
          <w:b/>
          <w:color w:val="auto"/>
          <w:sz w:val="40"/>
          <w:szCs w:val="40"/>
        </w:rPr>
      </w:pPr>
      <w:r>
        <w:rPr>
          <w:rFonts w:ascii="Arial" w:hAnsi="Arial" w:cs="Arial"/>
          <w:b/>
          <w:color w:val="auto"/>
          <w:sz w:val="40"/>
          <w:szCs w:val="40"/>
        </w:rPr>
        <w:lastRenderedPageBreak/>
        <w:t xml:space="preserve">Attachment 1: </w:t>
      </w:r>
      <w:r w:rsidR="00552F6F" w:rsidRPr="007378F8">
        <w:rPr>
          <w:rFonts w:ascii="Arial" w:hAnsi="Arial" w:cs="Arial"/>
          <w:b/>
          <w:color w:val="auto"/>
          <w:sz w:val="40"/>
          <w:szCs w:val="40"/>
        </w:rPr>
        <w:t>English Language Proficie</w:t>
      </w:r>
      <w:r w:rsidR="002E675B" w:rsidRPr="007378F8">
        <w:rPr>
          <w:rFonts w:ascii="Arial" w:hAnsi="Arial" w:cs="Arial"/>
          <w:b/>
          <w:color w:val="auto"/>
          <w:sz w:val="40"/>
          <w:szCs w:val="40"/>
        </w:rPr>
        <w:t>ncy Assessments for California</w:t>
      </w:r>
      <w:r w:rsidR="00552F6F" w:rsidRPr="007378F8">
        <w:rPr>
          <w:rFonts w:ascii="Arial" w:hAnsi="Arial" w:cs="Arial"/>
          <w:b/>
          <w:color w:val="auto"/>
          <w:sz w:val="40"/>
          <w:szCs w:val="40"/>
        </w:rPr>
        <w:t xml:space="preserve"> T</w:t>
      </w:r>
      <w:r w:rsidR="00215008" w:rsidRPr="007378F8">
        <w:rPr>
          <w:rFonts w:ascii="Arial" w:hAnsi="Arial" w:cs="Arial"/>
          <w:b/>
          <w:color w:val="auto"/>
          <w:sz w:val="40"/>
          <w:szCs w:val="40"/>
        </w:rPr>
        <w:t xml:space="preserve">hreshold Score Validation Study </w:t>
      </w:r>
      <w:r w:rsidR="00552F6F" w:rsidRPr="007378F8">
        <w:rPr>
          <w:rFonts w:ascii="Arial" w:hAnsi="Arial" w:cs="Arial"/>
          <w:b/>
          <w:color w:val="auto"/>
          <w:sz w:val="40"/>
          <w:szCs w:val="40"/>
        </w:rPr>
        <w:t>Executive Summary</w:t>
      </w:r>
    </w:p>
    <w:p w14:paraId="44B6F7C4" w14:textId="77777777" w:rsidR="00552F6F" w:rsidRPr="007378F8" w:rsidRDefault="00552F6F" w:rsidP="00552F6F">
      <w:pPr>
        <w:pStyle w:val="Heading2"/>
        <w:spacing w:before="240" w:after="240"/>
        <w:rPr>
          <w:sz w:val="36"/>
          <w:szCs w:val="36"/>
        </w:rPr>
      </w:pPr>
      <w:r w:rsidRPr="007378F8">
        <w:rPr>
          <w:sz w:val="36"/>
          <w:szCs w:val="36"/>
        </w:rPr>
        <w:t>Overview</w:t>
      </w:r>
    </w:p>
    <w:p w14:paraId="3A4BFB50" w14:textId="5CFBC87B" w:rsidR="00552F6F" w:rsidRPr="007378F8" w:rsidRDefault="00552F6F" w:rsidP="00AB6FFB">
      <w:pPr>
        <w:spacing w:after="240"/>
        <w:rPr>
          <w:rFonts w:eastAsiaTheme="minorHAnsi" w:cs="Arial"/>
          <w:szCs w:val="22"/>
        </w:rPr>
      </w:pPr>
      <w:r w:rsidRPr="007378F8">
        <w:rPr>
          <w:rFonts w:eastAsiaTheme="minorHAnsi" w:cs="Arial"/>
          <w:szCs w:val="22"/>
        </w:rPr>
        <w:t xml:space="preserve">At the request of the California Department of Education (CDE), Educational Testing Service (ETS) conducted a threshold score validation study to provide additional validity evidence of the Summative </w:t>
      </w:r>
      <w:r w:rsidR="00A01440" w:rsidRPr="007378F8">
        <w:rPr>
          <w:rFonts w:eastAsiaTheme="minorHAnsi" w:cs="Arial"/>
          <w:szCs w:val="22"/>
        </w:rPr>
        <w:t>English Language Proficiency Assessments for California (</w:t>
      </w:r>
      <w:r w:rsidRPr="007378F8">
        <w:rPr>
          <w:rFonts w:eastAsiaTheme="minorHAnsi" w:cs="Arial"/>
          <w:szCs w:val="22"/>
        </w:rPr>
        <w:t>ELPAC</w:t>
      </w:r>
      <w:r w:rsidR="00A01440" w:rsidRPr="007378F8">
        <w:rPr>
          <w:rFonts w:eastAsiaTheme="minorHAnsi" w:cs="Arial"/>
          <w:szCs w:val="22"/>
        </w:rPr>
        <w:t>)</w:t>
      </w:r>
      <w:r w:rsidRPr="007378F8">
        <w:rPr>
          <w:rFonts w:eastAsiaTheme="minorHAnsi" w:cs="Arial"/>
          <w:szCs w:val="22"/>
        </w:rPr>
        <w:t xml:space="preserve"> </w:t>
      </w:r>
      <w:r w:rsidR="00277536" w:rsidRPr="007378F8">
        <w:rPr>
          <w:rFonts w:eastAsiaTheme="minorHAnsi" w:cs="Arial"/>
          <w:szCs w:val="22"/>
        </w:rPr>
        <w:t>2017–18</w:t>
      </w:r>
      <w:r w:rsidRPr="007378F8">
        <w:rPr>
          <w:rFonts w:eastAsiaTheme="minorHAnsi" w:cs="Arial"/>
          <w:szCs w:val="22"/>
        </w:rPr>
        <w:t xml:space="preserve"> threshold scores that were approved by the State Board of Education in November 2017. The methodology used for the study is known as the Contrasting Groups Method</w:t>
      </w:r>
      <w:r w:rsidRPr="007378F8">
        <w:rPr>
          <w:rFonts w:eastAsiaTheme="minorHAnsi" w:cs="Arial"/>
          <w:szCs w:val="22"/>
          <w:vertAlign w:val="superscript"/>
        </w:rPr>
        <w:footnoteReference w:id="1"/>
      </w:r>
      <w:r w:rsidRPr="007378F8">
        <w:rPr>
          <w:rFonts w:eastAsiaTheme="minorHAnsi" w:cs="Arial"/>
          <w:szCs w:val="22"/>
        </w:rPr>
        <w:t xml:space="preserve"> and is described below.  </w:t>
      </w:r>
    </w:p>
    <w:p w14:paraId="0FF4EF20" w14:textId="77777777" w:rsidR="00552F6F" w:rsidRPr="007378F8" w:rsidRDefault="00552F6F" w:rsidP="00AB6FFB">
      <w:pPr>
        <w:spacing w:after="240"/>
        <w:rPr>
          <w:rFonts w:eastAsiaTheme="minorHAnsi" w:cs="Arial"/>
          <w:szCs w:val="22"/>
        </w:rPr>
      </w:pPr>
      <w:r w:rsidRPr="007378F8">
        <w:rPr>
          <w:rFonts w:eastAsiaTheme="minorHAnsi" w:cs="Arial"/>
          <w:szCs w:val="22"/>
        </w:rPr>
        <w:t>The purpose of conducting the threshold score validation study was to evaluate the degree to which the threshold scores and performance levels of the Summative ELPAC consistently distinguish between levels of students’ English language proficiency, based on teacher ratings from a multi-step process (standard setting in October 2017 and the validation study)</w:t>
      </w:r>
      <w:r w:rsidR="00552D7D" w:rsidRPr="007378F8">
        <w:rPr>
          <w:rFonts w:eastAsiaTheme="minorHAnsi" w:cs="Arial"/>
          <w:szCs w:val="22"/>
        </w:rPr>
        <w:t>.</w:t>
      </w:r>
      <w:r w:rsidRPr="007378F8">
        <w:rPr>
          <w:rFonts w:eastAsiaTheme="minorHAnsi" w:cs="Arial"/>
          <w:szCs w:val="22"/>
        </w:rPr>
        <w:t xml:space="preserve"> Implementing a multistep process offers increased confidence in decisions utilizing threshold scores based on ELPAC results. Because the classification of the proficiency levels for English learners (ELs) entails relatively high-stakes decisions for individual students’ academic paths, school program funding, and resource plans, it is crucial to cross-validate the threshold scores for each proficiency level to the extent possible. </w:t>
      </w:r>
    </w:p>
    <w:p w14:paraId="428667E8" w14:textId="77777777" w:rsidR="00552F6F" w:rsidRPr="007378F8" w:rsidRDefault="00552F6F" w:rsidP="00552F6F">
      <w:pPr>
        <w:pStyle w:val="Heading2"/>
        <w:spacing w:before="240" w:after="240"/>
        <w:rPr>
          <w:sz w:val="36"/>
          <w:szCs w:val="36"/>
        </w:rPr>
      </w:pPr>
      <w:r w:rsidRPr="007378F8">
        <w:rPr>
          <w:sz w:val="36"/>
          <w:szCs w:val="36"/>
        </w:rPr>
        <w:t>Contrasting Groups Method</w:t>
      </w:r>
    </w:p>
    <w:p w14:paraId="394CFB7C" w14:textId="77777777" w:rsidR="00552F6F" w:rsidRPr="007378F8" w:rsidRDefault="00552F6F" w:rsidP="00AB6FFB">
      <w:pPr>
        <w:spacing w:after="240"/>
        <w:rPr>
          <w:rFonts w:eastAsiaTheme="minorHAnsi" w:cs="Arial"/>
          <w:szCs w:val="22"/>
        </w:rPr>
      </w:pPr>
      <w:r w:rsidRPr="007378F8">
        <w:rPr>
          <w:rFonts w:eastAsiaTheme="minorHAnsi" w:cs="Arial"/>
          <w:szCs w:val="22"/>
        </w:rPr>
        <w:t xml:space="preserve">Using a methodology known as Contrasting Groups, teacher judgments of students’ performance levels were collected. At a point approximately seven months into the school year, teachers familiar with students in their classroom were asked to classify students according to the approved ELPAC General Performance Level Descriptors (PLDs) and ELPAC domain and grade/grade-span–specific PLDs. Selection of </w:t>
      </w:r>
      <w:r w:rsidR="00C334CA" w:rsidRPr="007378F8">
        <w:rPr>
          <w:rFonts w:eastAsiaTheme="minorHAnsi" w:cs="Arial"/>
          <w:szCs w:val="22"/>
        </w:rPr>
        <w:t>local educational agencies (</w:t>
      </w:r>
      <w:r w:rsidRPr="007378F8">
        <w:rPr>
          <w:rFonts w:eastAsiaTheme="minorHAnsi" w:cs="Arial"/>
          <w:szCs w:val="22"/>
        </w:rPr>
        <w:t>LEAs</w:t>
      </w:r>
      <w:r w:rsidR="00C334CA" w:rsidRPr="007378F8">
        <w:rPr>
          <w:rFonts w:eastAsiaTheme="minorHAnsi" w:cs="Arial"/>
          <w:szCs w:val="22"/>
        </w:rPr>
        <w:t>)</w:t>
      </w:r>
      <w:r w:rsidRPr="007378F8">
        <w:rPr>
          <w:rFonts w:eastAsiaTheme="minorHAnsi" w:cs="Arial"/>
          <w:szCs w:val="22"/>
        </w:rPr>
        <w:t xml:space="preserve"> participating in the contrasting groups study was targeted to allow for a statewide demographic representation of LEAs and students, a wide range of performance and to require a reasonable number of student ratings from each teacher. </w:t>
      </w:r>
    </w:p>
    <w:p w14:paraId="59589378" w14:textId="77777777" w:rsidR="00552F6F" w:rsidRPr="007378F8" w:rsidRDefault="00552F6F" w:rsidP="00AB6FFB">
      <w:pPr>
        <w:spacing w:after="240"/>
        <w:rPr>
          <w:rFonts w:eastAsiaTheme="minorHAnsi" w:cs="Arial"/>
          <w:szCs w:val="22"/>
        </w:rPr>
      </w:pPr>
      <w:r w:rsidRPr="007378F8">
        <w:rPr>
          <w:rFonts w:eastAsiaTheme="minorHAnsi" w:cs="Arial"/>
          <w:szCs w:val="22"/>
        </w:rPr>
        <w:t xml:space="preserve">The judgment of the teachers was based on their knowledge and understanding of their own </w:t>
      </w:r>
      <w:r w:rsidR="00552D7D" w:rsidRPr="007378F8">
        <w:rPr>
          <w:rFonts w:eastAsiaTheme="minorHAnsi" w:cs="Arial"/>
          <w:szCs w:val="22"/>
        </w:rPr>
        <w:t>student</w:t>
      </w:r>
      <w:r w:rsidRPr="007378F8">
        <w:rPr>
          <w:rFonts w:eastAsiaTheme="minorHAnsi" w:cs="Arial"/>
          <w:szCs w:val="22"/>
        </w:rPr>
        <w:t xml:space="preserve">s’ levels of proficiency, relative to the California-approved final PLDs. Note </w:t>
      </w:r>
      <w:r w:rsidRPr="007378F8">
        <w:rPr>
          <w:rFonts w:eastAsiaTheme="minorHAnsi" w:cs="Arial"/>
          <w:szCs w:val="22"/>
        </w:rPr>
        <w:lastRenderedPageBreak/>
        <w:t>that California-approved PLDs w</w:t>
      </w:r>
      <w:r w:rsidR="00552D7D" w:rsidRPr="007378F8">
        <w:rPr>
          <w:rFonts w:eastAsiaTheme="minorHAnsi" w:cs="Arial"/>
          <w:szCs w:val="22"/>
        </w:rPr>
        <w:t>ere</w:t>
      </w:r>
      <w:r w:rsidRPr="007378F8">
        <w:rPr>
          <w:rFonts w:eastAsiaTheme="minorHAnsi" w:cs="Arial"/>
          <w:szCs w:val="22"/>
        </w:rPr>
        <w:t xml:space="preserve"> the starting point for this contrasting groups study, thereby maintaining the meaning of the performance levels from the standard setting studies for consistency and standardization. A statistical analysis was conducted comparing students’ ELPAC scores to teachers’ judgments.</w:t>
      </w:r>
    </w:p>
    <w:p w14:paraId="361E511D" w14:textId="77777777" w:rsidR="00552F6F" w:rsidRPr="007378F8" w:rsidRDefault="00552F6F" w:rsidP="00AB6FFB">
      <w:pPr>
        <w:spacing w:after="240"/>
        <w:rPr>
          <w:rFonts w:eastAsiaTheme="minorHAnsi" w:cs="Arial"/>
          <w:szCs w:val="22"/>
        </w:rPr>
      </w:pPr>
      <w:r w:rsidRPr="007378F8">
        <w:rPr>
          <w:rFonts w:eastAsiaTheme="minorHAnsi" w:cs="Arial"/>
          <w:szCs w:val="22"/>
        </w:rPr>
        <w:t>The results of the statistical analyses and teacher judgments can be used in concert with other information including the results from the panel-based standard setting and post-standard setting considerations and the impact of threshold scores on the ELPAC score distributions.</w:t>
      </w:r>
    </w:p>
    <w:p w14:paraId="441A9C4D" w14:textId="77777777" w:rsidR="00552F6F" w:rsidRPr="007378F8" w:rsidRDefault="00552F6F" w:rsidP="00913B13">
      <w:pPr>
        <w:pStyle w:val="Heading3"/>
      </w:pPr>
      <w:r w:rsidRPr="007378F8">
        <w:t xml:space="preserve">Description of </w:t>
      </w:r>
      <w:r w:rsidR="00552D7D" w:rsidRPr="007378F8">
        <w:t>s</w:t>
      </w:r>
      <w:r w:rsidRPr="007378F8">
        <w:t xml:space="preserve">ample of participating teachers and students </w:t>
      </w:r>
    </w:p>
    <w:p w14:paraId="07CEBFB0" w14:textId="77777777" w:rsidR="00214AB0" w:rsidRPr="007378F8" w:rsidRDefault="00214AB0" w:rsidP="00214AB0">
      <w:pPr>
        <w:spacing w:after="240"/>
        <w:rPr>
          <w:rFonts w:eastAsiaTheme="minorHAnsi" w:cs="Arial"/>
          <w:szCs w:val="22"/>
        </w:rPr>
      </w:pPr>
      <w:r w:rsidRPr="007378F8">
        <w:rPr>
          <w:rFonts w:eastAsiaTheme="minorHAnsi" w:cs="Arial"/>
          <w:szCs w:val="22"/>
        </w:rPr>
        <w:t>The selection of LEAs was done in concert with input from the CDE and the ELPAC Technical Advisory Group (TAG)</w:t>
      </w:r>
      <w:r w:rsidRPr="007378F8">
        <w:rPr>
          <w:rFonts w:eastAsiaTheme="minorHAnsi" w:cs="Arial"/>
          <w:i/>
          <w:szCs w:val="22"/>
        </w:rPr>
        <w:t>.</w:t>
      </w:r>
      <w:r w:rsidRPr="007378F8">
        <w:rPr>
          <w:rFonts w:eastAsiaTheme="minorHAnsi" w:cs="Arial"/>
          <w:szCs w:val="22"/>
        </w:rPr>
        <w:t xml:space="preserve"> The goals of the teacher recruitment were (1) to obtain teacher ratings on ELs across the state who represent the full range of English language proficiency levels and (2) to select teachers who had not administered the operational ELPAC to their students in order to eliminate potential bias in their ratings. In the final analysis, 1,521 teachers and 11,128 students, from 154 LEAs across the state were included. The student sample characteristics were representative of the 2017–18 operational ELPAC test taker population. </w:t>
      </w:r>
    </w:p>
    <w:p w14:paraId="15BE99BC" w14:textId="77777777" w:rsidR="00552F6F" w:rsidRPr="007378F8" w:rsidRDefault="00552F6F" w:rsidP="00913B13">
      <w:pPr>
        <w:pStyle w:val="Heading3"/>
      </w:pPr>
      <w:r w:rsidRPr="007378F8">
        <w:t xml:space="preserve">Instructions to participating teachers </w:t>
      </w:r>
    </w:p>
    <w:p w14:paraId="4C1C8029" w14:textId="77777777" w:rsidR="00552F6F" w:rsidRPr="007378F8" w:rsidRDefault="00552F6F" w:rsidP="00AB6FFB">
      <w:pPr>
        <w:spacing w:after="240"/>
        <w:rPr>
          <w:rFonts w:eastAsiaTheme="minorHAnsi" w:cs="Arial"/>
          <w:szCs w:val="22"/>
        </w:rPr>
      </w:pPr>
      <w:r w:rsidRPr="007378F8">
        <w:rPr>
          <w:rFonts w:eastAsiaTheme="minorHAnsi" w:cs="Arial"/>
          <w:szCs w:val="22"/>
        </w:rPr>
        <w:t>Teachers were provided the domain- and grade-specific Performance Level Descriptors for each of the four domains, and the General PLDs, and asked to become familiar with these documents for the their students’ grade level.</w:t>
      </w:r>
    </w:p>
    <w:p w14:paraId="7C6D8DF1" w14:textId="77777777" w:rsidR="00552F6F" w:rsidRPr="007378F8" w:rsidRDefault="00552F6F" w:rsidP="00AB6FFB">
      <w:pPr>
        <w:spacing w:after="240"/>
        <w:rPr>
          <w:rFonts w:eastAsiaTheme="minorHAnsi" w:cs="Arial"/>
          <w:szCs w:val="22"/>
        </w:rPr>
      </w:pPr>
      <w:r w:rsidRPr="007378F8">
        <w:rPr>
          <w:rFonts w:eastAsiaTheme="minorHAnsi" w:cs="Arial"/>
          <w:szCs w:val="22"/>
        </w:rPr>
        <w:t>Participating teachers received an overview of the ELPAC, the score reporting hierarchy and how the overall score is calculated, and a review of the rating form and how to complete the form. Teachers were asked to complete one form per student and to provide the expected overall score performance level.</w:t>
      </w:r>
    </w:p>
    <w:p w14:paraId="11EB49B8" w14:textId="77777777" w:rsidR="00552F6F" w:rsidRPr="007378F8" w:rsidRDefault="00552F6F" w:rsidP="00AA2436">
      <w:pPr>
        <w:pStyle w:val="Heading2"/>
        <w:rPr>
          <w:sz w:val="36"/>
          <w:szCs w:val="36"/>
        </w:rPr>
      </w:pPr>
      <w:r w:rsidRPr="007378F8">
        <w:rPr>
          <w:sz w:val="36"/>
          <w:szCs w:val="36"/>
        </w:rPr>
        <w:t xml:space="preserve">Results </w:t>
      </w:r>
    </w:p>
    <w:p w14:paraId="0A77D25E" w14:textId="1B237689" w:rsidR="00552F6F" w:rsidRPr="007378F8" w:rsidRDefault="00552F6F" w:rsidP="00AB6FFB">
      <w:pPr>
        <w:spacing w:after="240"/>
        <w:rPr>
          <w:rFonts w:eastAsiaTheme="minorHAnsi" w:cs="Arial"/>
          <w:szCs w:val="22"/>
        </w:rPr>
      </w:pPr>
      <w:r w:rsidRPr="007378F8">
        <w:rPr>
          <w:rFonts w:eastAsiaTheme="minorHAnsi" w:cs="Arial"/>
          <w:szCs w:val="22"/>
        </w:rPr>
        <w:t xml:space="preserve">Results from the rater agreement analysis of the contrasting groups study indicated a trend for most grades for most performance levels. Teacher ratings of expected performance level were compared to the students’ ELPAC performance levels based on the </w:t>
      </w:r>
      <w:r w:rsidR="00277536" w:rsidRPr="007378F8">
        <w:rPr>
          <w:rFonts w:eastAsiaTheme="minorHAnsi" w:cs="Arial"/>
          <w:szCs w:val="22"/>
        </w:rPr>
        <w:t>2017–18</w:t>
      </w:r>
      <w:r w:rsidRPr="007378F8">
        <w:rPr>
          <w:rFonts w:eastAsiaTheme="minorHAnsi" w:cs="Arial"/>
          <w:szCs w:val="22"/>
        </w:rPr>
        <w:t xml:space="preserve"> threshold scores. The comparison indicated an exact or adjacent</w:t>
      </w:r>
      <w:r w:rsidR="007D5A1E" w:rsidRPr="007378F8">
        <w:rPr>
          <w:rFonts w:eastAsiaTheme="minorHAnsi" w:cs="Arial"/>
          <w:szCs w:val="22"/>
        </w:rPr>
        <w:t xml:space="preserve"> agreement rate between 85 percent and 90 percent</w:t>
      </w:r>
      <w:r w:rsidRPr="007378F8">
        <w:rPr>
          <w:rFonts w:eastAsiaTheme="minorHAnsi" w:cs="Arial"/>
          <w:szCs w:val="22"/>
        </w:rPr>
        <w:t xml:space="preserve"> in kindergarten and g</w:t>
      </w:r>
      <w:r w:rsidR="007D5A1E" w:rsidRPr="007378F8">
        <w:rPr>
          <w:rFonts w:eastAsiaTheme="minorHAnsi" w:cs="Arial"/>
          <w:szCs w:val="22"/>
        </w:rPr>
        <w:t xml:space="preserve">rades </w:t>
      </w:r>
      <w:r w:rsidR="00DA1E82" w:rsidRPr="007378F8">
        <w:rPr>
          <w:rFonts w:eastAsiaTheme="minorHAnsi" w:cs="Arial"/>
          <w:szCs w:val="22"/>
        </w:rPr>
        <w:t>one and two</w:t>
      </w:r>
      <w:r w:rsidR="007D5A1E" w:rsidRPr="007378F8">
        <w:rPr>
          <w:rFonts w:eastAsiaTheme="minorHAnsi" w:cs="Arial"/>
          <w:szCs w:val="22"/>
        </w:rPr>
        <w:t>, and a rate at 90 percent</w:t>
      </w:r>
      <w:r w:rsidRPr="007378F8">
        <w:rPr>
          <w:rFonts w:eastAsiaTheme="minorHAnsi" w:cs="Arial"/>
          <w:szCs w:val="22"/>
        </w:rPr>
        <w:t xml:space="preserve"> or above for grades </w:t>
      </w:r>
      <w:r w:rsidR="00DA1E82" w:rsidRPr="007378F8">
        <w:rPr>
          <w:rFonts w:eastAsiaTheme="minorHAnsi" w:cs="Arial"/>
          <w:szCs w:val="22"/>
        </w:rPr>
        <w:t>three through twelve</w:t>
      </w:r>
      <w:r w:rsidRPr="007378F8">
        <w:rPr>
          <w:rFonts w:eastAsiaTheme="minorHAnsi" w:cs="Arial"/>
          <w:szCs w:val="22"/>
        </w:rPr>
        <w:t xml:space="preserve">. This means, for example, where teacher ratings of students indicated a Level 3, exact or adjacent agreement was met if the students’ ELPAC performance level was a Level 2 or 3 or 4. For most grades, it appears teachers who rated the ELs in their classrooms placed their students at a lower performance level than what the ELPAC </w:t>
      </w:r>
      <w:r w:rsidR="00277536" w:rsidRPr="007378F8">
        <w:rPr>
          <w:rFonts w:eastAsiaTheme="minorHAnsi" w:cs="Arial"/>
          <w:szCs w:val="22"/>
        </w:rPr>
        <w:t>2017–18</w:t>
      </w:r>
      <w:r w:rsidRPr="007378F8">
        <w:rPr>
          <w:rFonts w:eastAsiaTheme="minorHAnsi" w:cs="Arial"/>
          <w:szCs w:val="22"/>
        </w:rPr>
        <w:t xml:space="preserve"> threshold score indicate</w:t>
      </w:r>
      <w:r w:rsidR="00552D7D" w:rsidRPr="007378F8">
        <w:rPr>
          <w:rFonts w:eastAsiaTheme="minorHAnsi" w:cs="Arial"/>
          <w:szCs w:val="22"/>
        </w:rPr>
        <w:t>d</w:t>
      </w:r>
      <w:r w:rsidRPr="007378F8">
        <w:rPr>
          <w:rFonts w:eastAsiaTheme="minorHAnsi" w:cs="Arial"/>
          <w:szCs w:val="22"/>
        </w:rPr>
        <w:t xml:space="preserve">. </w:t>
      </w:r>
    </w:p>
    <w:p w14:paraId="31CE0E4E" w14:textId="77777777" w:rsidR="00552F6F" w:rsidRPr="007378F8" w:rsidRDefault="00552F6F" w:rsidP="002E675B">
      <w:pPr>
        <w:pStyle w:val="Heading2"/>
        <w:spacing w:before="240" w:after="240"/>
        <w:rPr>
          <w:sz w:val="36"/>
          <w:szCs w:val="36"/>
        </w:rPr>
      </w:pPr>
      <w:r w:rsidRPr="007378F8">
        <w:rPr>
          <w:sz w:val="36"/>
          <w:szCs w:val="36"/>
        </w:rPr>
        <w:lastRenderedPageBreak/>
        <w:t xml:space="preserve">Next steps </w:t>
      </w:r>
    </w:p>
    <w:p w14:paraId="49079BFB" w14:textId="6B22A017" w:rsidR="00552F6F" w:rsidRPr="007378F8" w:rsidRDefault="00552F6F" w:rsidP="00AB6FFB">
      <w:pPr>
        <w:spacing w:after="240"/>
        <w:rPr>
          <w:rFonts w:eastAsiaTheme="minorHAnsi" w:cs="Arial"/>
          <w:szCs w:val="22"/>
        </w:rPr>
      </w:pPr>
      <w:r w:rsidRPr="007378F8">
        <w:rPr>
          <w:rFonts w:eastAsiaTheme="minorHAnsi" w:cs="Arial"/>
          <w:szCs w:val="22"/>
        </w:rPr>
        <w:t>Final analyses based on the 2018 ELPAC operational data are underway</w:t>
      </w:r>
      <w:r w:rsidR="00A64A17" w:rsidRPr="007378F8">
        <w:rPr>
          <w:rFonts w:eastAsiaTheme="minorHAnsi" w:cs="Arial"/>
          <w:szCs w:val="22"/>
        </w:rPr>
        <w:t xml:space="preserve"> by the CDE. T</w:t>
      </w:r>
      <w:r w:rsidRPr="007378F8">
        <w:rPr>
          <w:rFonts w:eastAsiaTheme="minorHAnsi" w:cs="Arial"/>
          <w:szCs w:val="22"/>
        </w:rPr>
        <w:t xml:space="preserve">he impact on the students who will be classified into each performance level must be </w:t>
      </w:r>
      <w:r w:rsidR="00A64A17" w:rsidRPr="007378F8">
        <w:rPr>
          <w:rFonts w:eastAsiaTheme="minorHAnsi" w:cs="Arial"/>
          <w:szCs w:val="22"/>
        </w:rPr>
        <w:t>considered</w:t>
      </w:r>
      <w:r w:rsidRPr="007378F8">
        <w:rPr>
          <w:rFonts w:eastAsiaTheme="minorHAnsi" w:cs="Arial"/>
          <w:szCs w:val="22"/>
        </w:rPr>
        <w:t xml:space="preserve"> prior to making recommendations for adjusting the </w:t>
      </w:r>
      <w:r w:rsidR="00277536" w:rsidRPr="007378F8">
        <w:rPr>
          <w:rFonts w:eastAsiaTheme="minorHAnsi" w:cs="Arial"/>
          <w:szCs w:val="22"/>
        </w:rPr>
        <w:t>2017–18</w:t>
      </w:r>
      <w:r w:rsidRPr="007378F8">
        <w:rPr>
          <w:rFonts w:eastAsiaTheme="minorHAnsi" w:cs="Arial"/>
          <w:szCs w:val="22"/>
        </w:rPr>
        <w:t xml:space="preserve"> Summative ELPAC threshold scores. Analyses will take into account the results from the threshold score validation study, score scales and score distributions, as well as the </w:t>
      </w:r>
      <w:r w:rsidRPr="007378F8">
        <w:rPr>
          <w:rFonts w:eastAsiaTheme="minorHAnsi" w:cs="Arial"/>
          <w:snapToGrid w:val="0"/>
          <w:szCs w:val="22"/>
        </w:rPr>
        <w:t>four performance levels reported for three composite scores, Oral Language, Written Language, and an Overall Score.</w:t>
      </w:r>
    </w:p>
    <w:p w14:paraId="43F7B743" w14:textId="77777777" w:rsidR="00552F6F" w:rsidRPr="007378F8" w:rsidRDefault="00552F6F" w:rsidP="00864EA9">
      <w:pPr>
        <w:spacing w:after="120"/>
        <w:rPr>
          <w:rFonts w:eastAsiaTheme="minorHAnsi" w:cs="Arial"/>
          <w:snapToGrid w:val="0"/>
          <w:sz w:val="22"/>
          <w:szCs w:val="22"/>
        </w:rPr>
      </w:pPr>
    </w:p>
    <w:p w14:paraId="113E5F55" w14:textId="77777777" w:rsidR="00552F6F" w:rsidRPr="007378F8" w:rsidRDefault="00552F6F" w:rsidP="00864EA9">
      <w:pPr>
        <w:spacing w:after="120"/>
        <w:rPr>
          <w:rFonts w:eastAsiaTheme="minorHAnsi" w:cs="Arial"/>
          <w:snapToGrid w:val="0"/>
          <w:sz w:val="22"/>
          <w:szCs w:val="22"/>
        </w:rPr>
        <w:sectPr w:rsidR="00552F6F" w:rsidRPr="007378F8" w:rsidSect="00010647">
          <w:headerReference w:type="default" r:id="rId10"/>
          <w:pgSz w:w="12240" w:h="15840"/>
          <w:pgMar w:top="720" w:right="1440" w:bottom="1440" w:left="1440" w:header="720" w:footer="720" w:gutter="0"/>
          <w:pgNumType w:start="1"/>
          <w:cols w:space="720"/>
          <w:docGrid w:linePitch="360"/>
        </w:sectPr>
      </w:pPr>
    </w:p>
    <w:p w14:paraId="20DBF920" w14:textId="2FEDD8F3" w:rsidR="00552F6F" w:rsidRPr="007378F8" w:rsidRDefault="00913B13" w:rsidP="002E675B">
      <w:pPr>
        <w:pStyle w:val="Heading1"/>
        <w:spacing w:after="240"/>
        <w:jc w:val="center"/>
        <w:rPr>
          <w:rFonts w:ascii="Arial" w:eastAsia="Calibri" w:hAnsi="Arial" w:cs="Arial"/>
          <w:b/>
          <w:color w:val="auto"/>
          <w:sz w:val="40"/>
          <w:szCs w:val="40"/>
        </w:rPr>
      </w:pPr>
      <w:r>
        <w:rPr>
          <w:rFonts w:ascii="Arial" w:eastAsia="Calibri" w:hAnsi="Arial" w:cs="Arial"/>
          <w:b/>
          <w:color w:val="auto"/>
          <w:sz w:val="40"/>
          <w:szCs w:val="40"/>
        </w:rPr>
        <w:lastRenderedPageBreak/>
        <w:t xml:space="preserve">Attachment 2: </w:t>
      </w:r>
      <w:r w:rsidR="00552F6F" w:rsidRPr="007378F8">
        <w:rPr>
          <w:rFonts w:ascii="Arial" w:eastAsia="Calibri" w:hAnsi="Arial" w:cs="Arial"/>
          <w:b/>
          <w:color w:val="auto"/>
          <w:sz w:val="40"/>
          <w:szCs w:val="40"/>
        </w:rPr>
        <w:t>Supplemental Empirical Analyses of the English Language Proficiency Assessments for California</w:t>
      </w:r>
    </w:p>
    <w:p w14:paraId="31F111C6" w14:textId="77777777" w:rsidR="00552F6F" w:rsidRPr="007378F8" w:rsidRDefault="00552F6F" w:rsidP="002E675B">
      <w:pPr>
        <w:pStyle w:val="Heading2"/>
        <w:spacing w:before="240" w:after="240"/>
        <w:rPr>
          <w:rFonts w:eastAsia="Calibri"/>
          <w:sz w:val="36"/>
          <w:szCs w:val="36"/>
        </w:rPr>
      </w:pPr>
      <w:r w:rsidRPr="007378F8">
        <w:rPr>
          <w:rFonts w:eastAsia="Calibri"/>
          <w:sz w:val="36"/>
          <w:szCs w:val="36"/>
        </w:rPr>
        <w:t>Background</w:t>
      </w:r>
    </w:p>
    <w:p w14:paraId="0843A7E8" w14:textId="77777777" w:rsidR="00552F6F" w:rsidRPr="007378F8" w:rsidRDefault="00552F6F" w:rsidP="00AB6FFB">
      <w:pPr>
        <w:spacing w:after="240" w:line="259" w:lineRule="auto"/>
        <w:rPr>
          <w:rFonts w:eastAsia="Calibri" w:cs="Arial"/>
        </w:rPr>
      </w:pPr>
      <w:r w:rsidRPr="007378F8">
        <w:rPr>
          <w:rFonts w:eastAsia="Calibri" w:cs="Arial"/>
        </w:rPr>
        <w:t xml:space="preserve">In addition to a threshold score validation study conducted by the Educational Testing Service, the CDE requested the California Comprehensive Center at </w:t>
      </w:r>
      <w:proofErr w:type="spellStart"/>
      <w:r w:rsidRPr="007378F8">
        <w:rPr>
          <w:rFonts w:eastAsia="Calibri" w:cs="Arial"/>
        </w:rPr>
        <w:t>WestEd</w:t>
      </w:r>
      <w:proofErr w:type="spellEnd"/>
      <w:r w:rsidRPr="007378F8">
        <w:rPr>
          <w:rFonts w:eastAsia="Calibri" w:cs="Arial"/>
        </w:rPr>
        <w:t xml:space="preserve"> (CA CC) to conduct supplemental analyses to examine the relationship of English Learners’ (ELs) performance on the California Assessment of Student Performance and Progress (CAASPP) English language arts/literacy (ELA) relative to their English Language Proficiency Assessments for California (ELPAC) performance. Validation of threshold scores and empirical analyses of the relationship of ELPAC to CAASPP ELA are critical for appropriate test use and state-level policy discussions on establishing an ELPAC criterion for EL reclassification decisions.</w:t>
      </w:r>
    </w:p>
    <w:p w14:paraId="268D33FE" w14:textId="6DF179EA" w:rsidR="00552F6F" w:rsidRPr="007378F8" w:rsidRDefault="00552F6F" w:rsidP="00AB6FFB">
      <w:pPr>
        <w:spacing w:after="240" w:line="259" w:lineRule="auto"/>
        <w:rPr>
          <w:rFonts w:eastAsia="Calibri" w:cs="Arial"/>
        </w:rPr>
      </w:pPr>
      <w:r w:rsidRPr="007378F8">
        <w:rPr>
          <w:rFonts w:eastAsia="Calibri" w:cs="Arial"/>
        </w:rPr>
        <w:t>Specifically, these empirical analyses examined the relationship of student test scores and performance levels on the first operational Summative ELPAC to student test scores and performance levels on the 2018 CAASPP ELA</w:t>
      </w:r>
      <w:r w:rsidR="002903AC" w:rsidRPr="007378F8">
        <w:rPr>
          <w:rFonts w:eastAsia="Calibri" w:cs="Arial"/>
        </w:rPr>
        <w:t>.</w:t>
      </w:r>
      <w:r w:rsidRPr="007378F8">
        <w:rPr>
          <w:rFonts w:eastAsia="Calibri" w:cs="Arial"/>
        </w:rPr>
        <w:t xml:space="preserve"> Both assessments were administered in spring 2018. </w:t>
      </w:r>
    </w:p>
    <w:p w14:paraId="12106068" w14:textId="77777777" w:rsidR="00552F6F" w:rsidRPr="007378F8" w:rsidRDefault="00552F6F" w:rsidP="002E675B">
      <w:pPr>
        <w:pStyle w:val="Heading2"/>
        <w:spacing w:before="240" w:after="240"/>
        <w:rPr>
          <w:rFonts w:eastAsia="Calibri"/>
          <w:sz w:val="36"/>
          <w:szCs w:val="36"/>
        </w:rPr>
      </w:pPr>
      <w:r w:rsidRPr="007378F8">
        <w:rPr>
          <w:rFonts w:eastAsia="Calibri"/>
          <w:sz w:val="36"/>
          <w:szCs w:val="36"/>
        </w:rPr>
        <w:t>Data Sources</w:t>
      </w:r>
    </w:p>
    <w:p w14:paraId="194F340D" w14:textId="6601C094" w:rsidR="002E675B" w:rsidRPr="007378F8" w:rsidRDefault="00552F6F" w:rsidP="00AB6FFB">
      <w:pPr>
        <w:spacing w:after="240" w:line="259" w:lineRule="auto"/>
        <w:rPr>
          <w:rFonts w:eastAsia="Calibri" w:cs="Arial"/>
        </w:rPr>
      </w:pPr>
      <w:r w:rsidRPr="007378F8">
        <w:rPr>
          <w:rFonts w:eastAsia="Calibri" w:cs="Arial"/>
        </w:rPr>
        <w:t xml:space="preserve">The CDE supplied the CA CC with a matched student level data file containing: a) 2018 CAASPP ELA assessment data for </w:t>
      </w:r>
      <w:r w:rsidRPr="007378F8">
        <w:rPr>
          <w:rFonts w:eastAsia="Calibri" w:cs="Arial"/>
          <w:b/>
        </w:rPr>
        <w:t>all students</w:t>
      </w:r>
      <w:r w:rsidRPr="007378F8">
        <w:rPr>
          <w:rFonts w:eastAsia="Calibri" w:cs="Arial"/>
        </w:rPr>
        <w:t xml:space="preserve"> in grades </w:t>
      </w:r>
      <w:r w:rsidR="00093E4E" w:rsidRPr="007378F8">
        <w:rPr>
          <w:rFonts w:eastAsia="Calibri" w:cs="Arial"/>
        </w:rPr>
        <w:t>three</w:t>
      </w:r>
      <w:r w:rsidRPr="007378F8">
        <w:rPr>
          <w:rFonts w:eastAsia="Calibri" w:cs="Arial"/>
        </w:rPr>
        <w:t xml:space="preserve"> through </w:t>
      </w:r>
      <w:r w:rsidR="00093E4E" w:rsidRPr="007378F8">
        <w:rPr>
          <w:rFonts w:eastAsia="Calibri" w:cs="Arial"/>
        </w:rPr>
        <w:t>eight</w:t>
      </w:r>
      <w:r w:rsidRPr="007378F8">
        <w:rPr>
          <w:rFonts w:eastAsia="Calibri" w:cs="Arial"/>
        </w:rPr>
        <w:t xml:space="preserve"> and </w:t>
      </w:r>
      <w:r w:rsidR="002453F0" w:rsidRPr="007378F8">
        <w:rPr>
          <w:rFonts w:eastAsia="Calibri" w:cs="Arial"/>
        </w:rPr>
        <w:t xml:space="preserve">grade </w:t>
      </w:r>
      <w:r w:rsidR="00093E4E" w:rsidRPr="007378F8">
        <w:rPr>
          <w:rFonts w:eastAsia="Calibri" w:cs="Arial"/>
        </w:rPr>
        <w:t>eleven</w:t>
      </w:r>
      <w:r w:rsidRPr="007378F8">
        <w:rPr>
          <w:rFonts w:eastAsia="Calibri" w:cs="Arial"/>
        </w:rPr>
        <w:t xml:space="preserve">, including overall scale score and performance level results for each subject area; and b) 2018 </w:t>
      </w:r>
      <w:r w:rsidR="00A64A17" w:rsidRPr="007378F8">
        <w:rPr>
          <w:rFonts w:eastAsia="Calibri" w:cs="Arial"/>
        </w:rPr>
        <w:t xml:space="preserve">Summative </w:t>
      </w:r>
      <w:r w:rsidRPr="007378F8">
        <w:rPr>
          <w:rFonts w:eastAsia="Calibri" w:cs="Arial"/>
        </w:rPr>
        <w:t xml:space="preserve">ELPAC </w:t>
      </w:r>
      <w:r w:rsidR="00A64A17" w:rsidRPr="007378F8">
        <w:rPr>
          <w:rFonts w:eastAsia="Calibri" w:cs="Arial"/>
        </w:rPr>
        <w:t xml:space="preserve">assessment </w:t>
      </w:r>
      <w:r w:rsidRPr="007378F8">
        <w:rPr>
          <w:rFonts w:eastAsia="Calibri" w:cs="Arial"/>
        </w:rPr>
        <w:t xml:space="preserve">data for </w:t>
      </w:r>
      <w:r w:rsidRPr="007378F8">
        <w:rPr>
          <w:rFonts w:eastAsia="Calibri" w:cs="Arial"/>
          <w:b/>
        </w:rPr>
        <w:t xml:space="preserve">all EL students </w:t>
      </w:r>
      <w:r w:rsidRPr="007378F8">
        <w:rPr>
          <w:rFonts w:eastAsia="Calibri" w:cs="Arial"/>
        </w:rPr>
        <w:t xml:space="preserve">in grades </w:t>
      </w:r>
      <w:r w:rsidR="00093E4E" w:rsidRPr="007378F8">
        <w:rPr>
          <w:rFonts w:eastAsia="Calibri" w:cs="Arial"/>
        </w:rPr>
        <w:t xml:space="preserve">three through eight and </w:t>
      </w:r>
      <w:r w:rsidR="002453F0" w:rsidRPr="007378F8">
        <w:rPr>
          <w:rFonts w:eastAsia="Calibri" w:cs="Arial"/>
        </w:rPr>
        <w:t xml:space="preserve">grade </w:t>
      </w:r>
      <w:r w:rsidR="00093E4E" w:rsidRPr="007378F8">
        <w:rPr>
          <w:rFonts w:eastAsia="Calibri" w:cs="Arial"/>
        </w:rPr>
        <w:t>eleven</w:t>
      </w:r>
      <w:r w:rsidRPr="007378F8">
        <w:rPr>
          <w:rFonts w:eastAsia="Calibri" w:cs="Arial"/>
        </w:rPr>
        <w:t>, including scale score and performance level results at the overall, oral and written, and individual (listening, speaking, reading, and writing) domain levels.</w:t>
      </w:r>
      <w:r w:rsidR="002E675B" w:rsidRPr="007378F8">
        <w:rPr>
          <w:rFonts w:eastAsia="Calibri" w:cs="Arial"/>
        </w:rPr>
        <w:br w:type="page"/>
      </w:r>
    </w:p>
    <w:p w14:paraId="0E8C8807" w14:textId="77777777" w:rsidR="00552F6F" w:rsidRPr="007378F8" w:rsidRDefault="00552F6F" w:rsidP="002E675B">
      <w:pPr>
        <w:pStyle w:val="Heading2"/>
        <w:spacing w:before="240" w:after="240"/>
        <w:rPr>
          <w:rFonts w:eastAsia="Calibri"/>
          <w:sz w:val="36"/>
          <w:szCs w:val="36"/>
        </w:rPr>
      </w:pPr>
      <w:r w:rsidRPr="007378F8">
        <w:rPr>
          <w:rFonts w:eastAsia="Calibri"/>
          <w:sz w:val="36"/>
          <w:szCs w:val="36"/>
        </w:rPr>
        <w:lastRenderedPageBreak/>
        <w:t>Analytic Methods</w:t>
      </w:r>
    </w:p>
    <w:p w14:paraId="404B3BF3" w14:textId="77777777" w:rsidR="00552F6F" w:rsidRPr="007378F8" w:rsidRDefault="00552F6F" w:rsidP="00AB6FFB">
      <w:pPr>
        <w:spacing w:after="240" w:line="259" w:lineRule="auto"/>
        <w:rPr>
          <w:rFonts w:eastAsia="Calibri" w:cs="Arial"/>
        </w:rPr>
      </w:pPr>
      <w:r w:rsidRPr="007378F8">
        <w:rPr>
          <w:rFonts w:eastAsia="Calibri" w:cs="Arial"/>
        </w:rPr>
        <w:t>Three analytical methods</w:t>
      </w:r>
      <w:r w:rsidR="004B1F1C" w:rsidRPr="007378F8">
        <w:rPr>
          <w:rFonts w:eastAsia="Calibri" w:cs="Arial"/>
          <w:vertAlign w:val="superscript"/>
        </w:rPr>
        <w:t>1</w:t>
      </w:r>
      <w:r w:rsidRPr="007378F8">
        <w:rPr>
          <w:rFonts w:eastAsia="Calibri" w:cs="Arial"/>
        </w:rPr>
        <w:t xml:space="preserve"> were undertaken: </w:t>
      </w:r>
    </w:p>
    <w:p w14:paraId="2147B717" w14:textId="77777777" w:rsidR="00552F6F" w:rsidRPr="007378F8" w:rsidRDefault="00552F6F" w:rsidP="00552F6F">
      <w:pPr>
        <w:numPr>
          <w:ilvl w:val="0"/>
          <w:numId w:val="26"/>
        </w:numPr>
        <w:spacing w:after="240" w:line="259" w:lineRule="auto"/>
        <w:rPr>
          <w:rFonts w:eastAsia="Calibri" w:cs="Arial"/>
        </w:rPr>
      </w:pPr>
      <w:r w:rsidRPr="007378F8">
        <w:rPr>
          <w:rFonts w:eastAsia="Calibri" w:cs="Arial"/>
          <w:b/>
        </w:rPr>
        <w:t>Descriptive box plot analysis</w:t>
      </w:r>
      <w:r w:rsidRPr="007378F8">
        <w:rPr>
          <w:rFonts w:eastAsia="Calibri" w:cs="Arial"/>
          <w:vertAlign w:val="superscript"/>
        </w:rPr>
        <w:footnoteReference w:id="2"/>
      </w:r>
      <w:r w:rsidRPr="007378F8">
        <w:rPr>
          <w:rFonts w:eastAsia="Calibri" w:cs="Arial"/>
          <w:b/>
        </w:rPr>
        <w:t xml:space="preserve"> </w:t>
      </w:r>
      <w:r w:rsidRPr="007378F8">
        <w:rPr>
          <w:rFonts w:eastAsia="Calibri" w:cs="Arial"/>
        </w:rPr>
        <w:t xml:space="preserve">examines the distribution of overall scale scores on CAASPP ELA for ELs by each performance level on ELPAC, for each applicable grade level. This analysis also includes the distribution of overall scale scores on CAASPP ELA for reclassified fluent English proficient (RFEP), initially fluent English proficient (IFEP), and monolingual English (English only, or EO) students for comparison. The purpose of the analysis is to identify an ELPAC performance level where a) at least half the EL students score at or above the CAASPP ELA Level 3 threshold (Standard Met); or b) </w:t>
      </w:r>
      <w:r w:rsidR="00A64A17" w:rsidRPr="007378F8">
        <w:rPr>
          <w:rFonts w:eastAsia="Calibri" w:cs="Arial"/>
        </w:rPr>
        <w:t xml:space="preserve">the distribution of </w:t>
      </w:r>
      <w:r w:rsidRPr="007378F8">
        <w:rPr>
          <w:rFonts w:eastAsia="Calibri" w:cs="Arial"/>
        </w:rPr>
        <w:t xml:space="preserve">EL students’ </w:t>
      </w:r>
      <w:r w:rsidR="00A64A17" w:rsidRPr="007378F8">
        <w:rPr>
          <w:rFonts w:eastAsia="Calibri" w:cs="Arial"/>
        </w:rPr>
        <w:t xml:space="preserve">overall scale </w:t>
      </w:r>
      <w:r w:rsidRPr="007378F8">
        <w:rPr>
          <w:rFonts w:eastAsia="Calibri" w:cs="Arial"/>
        </w:rPr>
        <w:t>score</w:t>
      </w:r>
      <w:r w:rsidR="00A64A17" w:rsidRPr="007378F8">
        <w:rPr>
          <w:rFonts w:eastAsia="Calibri" w:cs="Arial"/>
        </w:rPr>
        <w:t>s</w:t>
      </w:r>
      <w:r w:rsidRPr="007378F8">
        <w:rPr>
          <w:rFonts w:eastAsia="Calibri" w:cs="Arial"/>
        </w:rPr>
        <w:t xml:space="preserve"> on CAASPP </w:t>
      </w:r>
      <w:r w:rsidR="00A64A17" w:rsidRPr="007378F8">
        <w:rPr>
          <w:rFonts w:eastAsia="Calibri" w:cs="Arial"/>
        </w:rPr>
        <w:t xml:space="preserve">ELA </w:t>
      </w:r>
      <w:r w:rsidRPr="007378F8">
        <w:rPr>
          <w:rFonts w:eastAsia="Calibri" w:cs="Arial"/>
        </w:rPr>
        <w:t>is very similar to that of EO students statewide.</w:t>
      </w:r>
    </w:p>
    <w:p w14:paraId="5747B0B7" w14:textId="77777777" w:rsidR="00552F6F" w:rsidRPr="007378F8" w:rsidRDefault="00552F6F" w:rsidP="00552F6F">
      <w:pPr>
        <w:numPr>
          <w:ilvl w:val="0"/>
          <w:numId w:val="26"/>
        </w:numPr>
        <w:spacing w:after="240" w:line="259" w:lineRule="auto"/>
        <w:rPr>
          <w:rFonts w:eastAsia="Calibri" w:cs="Arial"/>
        </w:rPr>
      </w:pPr>
      <w:r w:rsidRPr="007378F8">
        <w:rPr>
          <w:rFonts w:eastAsia="Calibri" w:cs="Arial"/>
          <w:b/>
        </w:rPr>
        <w:t xml:space="preserve">Logistic regression analysis </w:t>
      </w:r>
      <w:r w:rsidRPr="007378F8">
        <w:rPr>
          <w:rFonts w:eastAsia="Calibri" w:cs="Arial"/>
        </w:rPr>
        <w:t xml:space="preserve">estimates the probability of reaching Level 3 (Standard Met) on CAASPP ELA for each ELPAC overall scale score. This approach helps to identify the ELPAC overall scale score range in which EL students have a probability equal to or greater than 50 percent (0.5) of attaining that standard on the CAASPP ELA. </w:t>
      </w:r>
    </w:p>
    <w:p w14:paraId="745341A1" w14:textId="77777777" w:rsidR="00552F6F" w:rsidRPr="007378F8" w:rsidRDefault="00552F6F" w:rsidP="00EF1A10">
      <w:pPr>
        <w:numPr>
          <w:ilvl w:val="0"/>
          <w:numId w:val="26"/>
        </w:numPr>
        <w:spacing w:after="240" w:line="259" w:lineRule="auto"/>
        <w:rPr>
          <w:rFonts w:eastAsia="Calibri" w:cs="Arial"/>
        </w:rPr>
      </w:pPr>
      <w:r w:rsidRPr="007378F8">
        <w:rPr>
          <w:rFonts w:eastAsia="Calibri" w:cs="Arial"/>
          <w:b/>
        </w:rPr>
        <w:t>Decision consistency analysis</w:t>
      </w:r>
      <w:r w:rsidRPr="007378F8">
        <w:rPr>
          <w:rFonts w:eastAsia="Calibri" w:cs="Arial"/>
        </w:rPr>
        <w:t xml:space="preserve"> analyzes ELPAC and CAASPP proficient-level categorizations and optimizes consistent categorization of EL students at or above the current CAASPP ELA threshold score for Level 3 (Standard Met). The analysis determines the ELPAC overall score range that maximizes the amount of agreement between achieving ELPAC proficiency and CAASPP ELA proficiency.</w:t>
      </w:r>
      <w:r w:rsidRPr="007378F8">
        <w:rPr>
          <w:rFonts w:eastAsia="Calibri" w:cs="Arial"/>
          <w:vertAlign w:val="superscript"/>
        </w:rPr>
        <w:footnoteReference w:id="3"/>
      </w:r>
      <w:r w:rsidRPr="007378F8">
        <w:rPr>
          <w:rFonts w:eastAsia="Calibri" w:cs="Arial"/>
        </w:rPr>
        <w:t xml:space="preserve"> </w:t>
      </w:r>
    </w:p>
    <w:p w14:paraId="3909C5EF" w14:textId="77777777" w:rsidR="00552F6F" w:rsidRPr="007378F8" w:rsidRDefault="00552F6F" w:rsidP="002E675B">
      <w:pPr>
        <w:pStyle w:val="Heading2"/>
        <w:spacing w:before="240" w:after="240"/>
        <w:rPr>
          <w:rFonts w:eastAsia="Calibri"/>
          <w:sz w:val="36"/>
          <w:szCs w:val="36"/>
        </w:rPr>
      </w:pPr>
      <w:r w:rsidRPr="007378F8">
        <w:rPr>
          <w:rFonts w:eastAsia="Calibri"/>
          <w:sz w:val="36"/>
          <w:szCs w:val="36"/>
        </w:rPr>
        <w:lastRenderedPageBreak/>
        <w:t>Findings and Next Steps</w:t>
      </w:r>
    </w:p>
    <w:p w14:paraId="46FB32D2" w14:textId="6FCA4485" w:rsidR="00552F6F" w:rsidRPr="007378F8" w:rsidRDefault="00552F6F" w:rsidP="00AB6FFB">
      <w:pPr>
        <w:spacing w:after="240" w:line="259" w:lineRule="auto"/>
        <w:rPr>
          <w:rFonts w:eastAsia="Calibri" w:cs="Arial"/>
        </w:rPr>
      </w:pPr>
      <w:r w:rsidRPr="007378F8">
        <w:rPr>
          <w:rFonts w:eastAsia="Calibri" w:cs="Arial"/>
        </w:rPr>
        <w:t xml:space="preserve">For grades </w:t>
      </w:r>
      <w:r w:rsidR="00093E4E" w:rsidRPr="007378F8">
        <w:rPr>
          <w:rFonts w:eastAsia="Calibri" w:cs="Arial"/>
        </w:rPr>
        <w:t>three through eight and eleven</w:t>
      </w:r>
      <w:r w:rsidRPr="007378F8">
        <w:rPr>
          <w:rFonts w:eastAsia="Calibri" w:cs="Arial"/>
        </w:rPr>
        <w:t xml:space="preserve">, 24 percent of ELPAC examinees attained the 2018 ELPAC </w:t>
      </w:r>
      <w:r w:rsidR="00A64A17" w:rsidRPr="007378F8">
        <w:rPr>
          <w:rFonts w:eastAsia="Calibri" w:cs="Arial"/>
        </w:rPr>
        <w:t>O</w:t>
      </w:r>
      <w:r w:rsidRPr="007378F8">
        <w:rPr>
          <w:rFonts w:eastAsia="Calibri" w:cs="Arial"/>
        </w:rPr>
        <w:t xml:space="preserve">verall performance level (PL) 4, which is currently the ELPAC threshold level performance for the English-proficient criterion based on the </w:t>
      </w:r>
      <w:r w:rsidR="00277536" w:rsidRPr="007378F8">
        <w:rPr>
          <w:rFonts w:eastAsia="Calibri" w:cs="Arial"/>
        </w:rPr>
        <w:t>2017–18</w:t>
      </w:r>
      <w:r w:rsidRPr="007378F8">
        <w:rPr>
          <w:rFonts w:eastAsia="Calibri" w:cs="Arial"/>
        </w:rPr>
        <w:t xml:space="preserve"> threshold scores approved by the State Board in 2017.</w:t>
      </w:r>
    </w:p>
    <w:p w14:paraId="2DD989B1" w14:textId="77777777" w:rsidR="00552F6F" w:rsidRPr="007378F8" w:rsidRDefault="00552F6F" w:rsidP="00EF1A10">
      <w:pPr>
        <w:spacing w:after="240" w:line="259" w:lineRule="auto"/>
        <w:rPr>
          <w:rFonts w:eastAsia="Calibri" w:cs="Arial"/>
        </w:rPr>
      </w:pPr>
      <w:r w:rsidRPr="007378F8">
        <w:rPr>
          <w:rFonts w:eastAsia="Calibri" w:cs="Arial"/>
        </w:rPr>
        <w:t xml:space="preserve">Grade-level ELPAC-CAASPP empirical analyses largely converged across methods. Analyses suggest that, for grades </w:t>
      </w:r>
      <w:r w:rsidR="00093E4E" w:rsidRPr="007378F8">
        <w:rPr>
          <w:rFonts w:eastAsia="Calibri" w:cs="Arial"/>
        </w:rPr>
        <w:t>four through eight and eleven</w:t>
      </w:r>
      <w:r w:rsidRPr="007378F8">
        <w:rPr>
          <w:rFonts w:eastAsia="Calibri" w:cs="Arial"/>
        </w:rPr>
        <w:t xml:space="preserve">, ELs at ELPAC Overall PL 4 do not approximate the 50 percent level/0.5 probability of attaining Level 3 on CAASPP ELA, nor do they approximate EO student performance. This is particularly so for ELs in grades </w:t>
      </w:r>
      <w:r w:rsidR="00093E4E" w:rsidRPr="007378F8">
        <w:rPr>
          <w:rFonts w:eastAsia="Calibri" w:cs="Arial"/>
        </w:rPr>
        <w:t>seven, eight</w:t>
      </w:r>
      <w:r w:rsidRPr="007378F8">
        <w:rPr>
          <w:rFonts w:eastAsia="Calibri" w:cs="Arial"/>
        </w:rPr>
        <w:t xml:space="preserve">, and </w:t>
      </w:r>
      <w:r w:rsidR="00093E4E" w:rsidRPr="007378F8">
        <w:rPr>
          <w:rFonts w:eastAsia="Calibri" w:cs="Arial"/>
        </w:rPr>
        <w:t>eleven</w:t>
      </w:r>
      <w:r w:rsidRPr="007378F8">
        <w:rPr>
          <w:rFonts w:eastAsia="Calibri" w:cs="Arial"/>
        </w:rPr>
        <w:t xml:space="preserve">. In grade </w:t>
      </w:r>
      <w:r w:rsidR="00093E4E" w:rsidRPr="007378F8">
        <w:rPr>
          <w:rFonts w:eastAsia="Calibri" w:cs="Arial"/>
        </w:rPr>
        <w:t>three</w:t>
      </w:r>
      <w:r w:rsidRPr="007378F8">
        <w:rPr>
          <w:rFonts w:eastAsia="Calibri" w:cs="Arial"/>
        </w:rPr>
        <w:t xml:space="preserve">, ELs at ELPAC Overall PL 4 outperformed EO students and had a greater than 50 percent probability of reaching Level 3 on CAASPP ELA. </w:t>
      </w:r>
    </w:p>
    <w:p w14:paraId="1FA33DFF" w14:textId="731DBCEF" w:rsidR="00193C73" w:rsidRPr="009512B8" w:rsidRDefault="00C477B1" w:rsidP="00EF1A10">
      <w:pPr>
        <w:spacing w:after="240" w:line="259" w:lineRule="auto"/>
        <w:rPr>
          <w:rFonts w:eastAsia="Calibri" w:cs="Arial"/>
        </w:rPr>
      </w:pPr>
      <w:r w:rsidRPr="007378F8">
        <w:rPr>
          <w:rFonts w:eastAsia="Calibri" w:cs="Arial"/>
        </w:rPr>
        <w:t>In light of these initial findings, t</w:t>
      </w:r>
      <w:r w:rsidR="00552F6F" w:rsidRPr="007378F8">
        <w:rPr>
          <w:rFonts w:eastAsia="Calibri" w:cs="Arial"/>
        </w:rPr>
        <w:t xml:space="preserve">he CA CC team </w:t>
      </w:r>
      <w:r w:rsidRPr="007378F8">
        <w:rPr>
          <w:rFonts w:eastAsia="Calibri" w:cs="Arial"/>
        </w:rPr>
        <w:t>examined</w:t>
      </w:r>
      <w:r w:rsidR="00552F6F" w:rsidRPr="007378F8">
        <w:rPr>
          <w:rFonts w:eastAsia="Calibri" w:cs="Arial"/>
        </w:rPr>
        <w:t xml:space="preserve"> the difference in CAASPP </w:t>
      </w:r>
      <w:r w:rsidR="00093E4E" w:rsidRPr="007378F8">
        <w:rPr>
          <w:rFonts w:eastAsia="Calibri" w:cs="Arial"/>
        </w:rPr>
        <w:t xml:space="preserve">ELA </w:t>
      </w:r>
      <w:r w:rsidR="00552F6F" w:rsidRPr="007378F8">
        <w:rPr>
          <w:rFonts w:eastAsia="Calibri" w:cs="Arial"/>
        </w:rPr>
        <w:t xml:space="preserve">performance for ELs at the minimum scale score for ELPAC Overall PL 4 to just below the midpoint of the </w:t>
      </w:r>
      <w:r w:rsidRPr="007378F8">
        <w:rPr>
          <w:rFonts w:eastAsia="Calibri" w:cs="Arial"/>
        </w:rPr>
        <w:t xml:space="preserve">Overall </w:t>
      </w:r>
      <w:r w:rsidR="00552F6F" w:rsidRPr="007378F8">
        <w:rPr>
          <w:rFonts w:eastAsia="Calibri" w:cs="Arial"/>
        </w:rPr>
        <w:t xml:space="preserve">PL 4 scale score range, compared to those at the </w:t>
      </w:r>
      <w:r w:rsidRPr="007378F8">
        <w:rPr>
          <w:rFonts w:eastAsia="Calibri" w:cs="Arial"/>
        </w:rPr>
        <w:t xml:space="preserve">midpoint or higher. The team </w:t>
      </w:r>
      <w:r w:rsidR="00552F6F" w:rsidRPr="007378F8">
        <w:rPr>
          <w:rFonts w:eastAsia="Calibri" w:cs="Arial"/>
        </w:rPr>
        <w:t xml:space="preserve">also </w:t>
      </w:r>
      <w:r w:rsidRPr="007378F8">
        <w:rPr>
          <w:rFonts w:eastAsia="Calibri" w:cs="Arial"/>
        </w:rPr>
        <w:t>analyzed</w:t>
      </w:r>
      <w:r w:rsidR="00552F6F" w:rsidRPr="007378F8">
        <w:rPr>
          <w:rFonts w:eastAsia="Calibri" w:cs="Arial"/>
        </w:rPr>
        <w:t xml:space="preserve"> options for adding conjunctive rules related to the oral and written composite domains for EL students at ELPAC Overall PL 4. </w:t>
      </w:r>
      <w:r w:rsidRPr="007378F8">
        <w:rPr>
          <w:rFonts w:eastAsia="Calibri" w:cs="Arial"/>
        </w:rPr>
        <w:t>These analyses did not substantially change the initial findings, and will be summarized in the final report.</w:t>
      </w:r>
    </w:p>
    <w:sectPr w:rsidR="00193C73" w:rsidRPr="009512B8" w:rsidSect="00010647">
      <w:headerReference w:type="default" r:id="rId11"/>
      <w:pgSz w:w="12240" w:h="15840"/>
      <w:pgMar w:top="72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2C326D" w16cid:durableId="1F6A1748"/>
  <w16cid:commentId w16cid:paraId="7697699E" w16cid:durableId="1F6A1749"/>
  <w16cid:commentId w16cid:paraId="09692143" w16cid:durableId="1F6A174A"/>
  <w16cid:commentId w16cid:paraId="29BBD380" w16cid:durableId="1F6A174B"/>
  <w16cid:commentId w16cid:paraId="40680B83" w16cid:durableId="1F6A174C"/>
  <w16cid:commentId w16cid:paraId="728E71BC" w16cid:durableId="1F6A174D"/>
  <w16cid:commentId w16cid:paraId="12FE7059" w16cid:durableId="1F6A174E"/>
  <w16cid:commentId w16cid:paraId="4628D4EF" w16cid:durableId="1F6A174F"/>
  <w16cid:commentId w16cid:paraId="1C1D1501" w16cid:durableId="1F6A1750"/>
  <w16cid:commentId w16cid:paraId="09A8FE0C" w16cid:durableId="1F6A1751"/>
  <w16cid:commentId w16cid:paraId="3326D545" w16cid:durableId="1F6A1752"/>
  <w16cid:commentId w16cid:paraId="73D099C5" w16cid:durableId="1F6A1753"/>
  <w16cid:commentId w16cid:paraId="24A81560" w16cid:durableId="1F6A1754"/>
  <w16cid:commentId w16cid:paraId="2E177C92" w16cid:durableId="1F6A1755"/>
  <w16cid:commentId w16cid:paraId="372D9A4E" w16cid:durableId="1F6A1756"/>
  <w16cid:commentId w16cid:paraId="09872A2B" w16cid:durableId="1F6A1757"/>
  <w16cid:commentId w16cid:paraId="7C5E07AB" w16cid:durableId="1F6A1758"/>
  <w16cid:commentId w16cid:paraId="21696F7E" w16cid:durableId="1F6A1759"/>
  <w16cid:commentId w16cid:paraId="64E6ED44" w16cid:durableId="1F6A175A"/>
  <w16cid:commentId w16cid:paraId="0474029E" w16cid:durableId="1F6A175B"/>
  <w16cid:commentId w16cid:paraId="0A294843" w16cid:durableId="1F6A175C"/>
  <w16cid:commentId w16cid:paraId="6CC5DDCC" w16cid:durableId="1F6A175D"/>
  <w16cid:commentId w16cid:paraId="54AB6253" w16cid:durableId="1F6A175E"/>
  <w16cid:commentId w16cid:paraId="7DDAC26F" w16cid:durableId="1F6A175F"/>
  <w16cid:commentId w16cid:paraId="4C6208BF" w16cid:durableId="1F6A1760"/>
  <w16cid:commentId w16cid:paraId="6FA8519F" w16cid:durableId="1F6A1761"/>
  <w16cid:commentId w16cid:paraId="1FB620C7" w16cid:durableId="1F6A1762"/>
  <w16cid:commentId w16cid:paraId="1A5BDFC8" w16cid:durableId="1F6A17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2B00A" w14:textId="77777777" w:rsidR="00251082" w:rsidRDefault="00251082" w:rsidP="005C09C2">
      <w:r>
        <w:separator/>
      </w:r>
    </w:p>
  </w:endnote>
  <w:endnote w:type="continuationSeparator" w:id="0">
    <w:p w14:paraId="763DAA58" w14:textId="77777777" w:rsidR="00251082" w:rsidRDefault="00251082" w:rsidP="005C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08754" w14:textId="77777777" w:rsidR="00251082" w:rsidRDefault="00251082" w:rsidP="005C09C2">
      <w:r>
        <w:separator/>
      </w:r>
    </w:p>
  </w:footnote>
  <w:footnote w:type="continuationSeparator" w:id="0">
    <w:p w14:paraId="69AD4929" w14:textId="77777777" w:rsidR="00251082" w:rsidRDefault="00251082" w:rsidP="005C09C2">
      <w:r>
        <w:continuationSeparator/>
      </w:r>
    </w:p>
  </w:footnote>
  <w:footnote w:id="1">
    <w:p w14:paraId="37565570" w14:textId="77777777" w:rsidR="00552F6F" w:rsidRDefault="00552F6F" w:rsidP="00552F6F">
      <w:r>
        <w:rPr>
          <w:rStyle w:val="FootnoteReference"/>
        </w:rPr>
        <w:footnoteRef/>
      </w:r>
      <w:r>
        <w:t xml:space="preserve"> </w:t>
      </w:r>
      <w:proofErr w:type="spellStart"/>
      <w:r w:rsidRPr="00AD06AA">
        <w:rPr>
          <w:bCs/>
        </w:rPr>
        <w:t>Zieky</w:t>
      </w:r>
      <w:proofErr w:type="spellEnd"/>
      <w:r w:rsidRPr="00AD06AA">
        <w:rPr>
          <w:bCs/>
        </w:rPr>
        <w:t xml:space="preserve">, M.J, </w:t>
      </w:r>
      <w:proofErr w:type="spellStart"/>
      <w:r w:rsidRPr="00AD06AA">
        <w:rPr>
          <w:bCs/>
        </w:rPr>
        <w:t>Perie</w:t>
      </w:r>
      <w:proofErr w:type="spellEnd"/>
      <w:r w:rsidRPr="00AD06AA">
        <w:rPr>
          <w:bCs/>
        </w:rPr>
        <w:t xml:space="preserve">, M. &amp; Livingston, S.A. (2008). </w:t>
      </w:r>
      <w:proofErr w:type="spellStart"/>
      <w:r w:rsidRPr="00AD06AA">
        <w:rPr>
          <w:bCs/>
          <w:i/>
        </w:rPr>
        <w:t>Cutscores</w:t>
      </w:r>
      <w:proofErr w:type="spellEnd"/>
      <w:r w:rsidRPr="00AD06AA">
        <w:rPr>
          <w:bCs/>
          <w:i/>
        </w:rPr>
        <w:t>: A Manual for Setting Standards of Performance on Educational and Occupational Tests</w:t>
      </w:r>
      <w:r w:rsidRPr="00AD06AA">
        <w:rPr>
          <w:bCs/>
        </w:rPr>
        <w:t xml:space="preserve">. </w:t>
      </w:r>
      <w:r w:rsidRPr="00AD06AA">
        <w:rPr>
          <w:color w:val="151515"/>
          <w:shd w:val="clear" w:color="auto" w:fill="FFFFFF"/>
        </w:rPr>
        <w:t>Princeton, NJ: Educational Testing Service.</w:t>
      </w:r>
    </w:p>
  </w:footnote>
  <w:footnote w:id="2">
    <w:p w14:paraId="06188900" w14:textId="2A46820C" w:rsidR="004B1F1C" w:rsidRPr="00890F73" w:rsidRDefault="004B1F1C" w:rsidP="00552F6F">
      <w:pPr>
        <w:pStyle w:val="Footnote"/>
        <w:ind w:firstLine="0"/>
        <w:rPr>
          <w:rFonts w:ascii="Arial" w:hAnsi="Arial" w:cs="Arial"/>
          <w:sz w:val="24"/>
        </w:rPr>
      </w:pPr>
      <w:r w:rsidRPr="00890F73">
        <w:rPr>
          <w:rStyle w:val="FootnoteReference"/>
          <w:rFonts w:ascii="Arial" w:hAnsi="Arial" w:cs="Arial"/>
          <w:sz w:val="24"/>
        </w:rPr>
        <w:t>1</w:t>
      </w:r>
      <w:r w:rsidRPr="00890F73">
        <w:rPr>
          <w:rFonts w:ascii="Arial" w:hAnsi="Arial" w:cs="Arial"/>
          <w:sz w:val="24"/>
        </w:rPr>
        <w:t xml:space="preserve"> These methods, described in </w:t>
      </w:r>
      <w:r w:rsidRPr="00913B13">
        <w:rPr>
          <w:rFonts w:ascii="Arial" w:hAnsi="Arial" w:cs="Arial"/>
          <w:sz w:val="24"/>
        </w:rPr>
        <w:t xml:space="preserve">Cook, </w:t>
      </w:r>
      <w:proofErr w:type="spellStart"/>
      <w:r w:rsidRPr="00913B13">
        <w:rPr>
          <w:rFonts w:ascii="Arial" w:hAnsi="Arial" w:cs="Arial"/>
          <w:sz w:val="24"/>
        </w:rPr>
        <w:t>Linquanti</w:t>
      </w:r>
      <w:proofErr w:type="spellEnd"/>
      <w:r w:rsidRPr="00913B13">
        <w:rPr>
          <w:rFonts w:ascii="Arial" w:hAnsi="Arial" w:cs="Arial"/>
          <w:sz w:val="24"/>
        </w:rPr>
        <w:t xml:space="preserve">, </w:t>
      </w:r>
      <w:proofErr w:type="spellStart"/>
      <w:r w:rsidRPr="00913B13">
        <w:rPr>
          <w:rFonts w:ascii="Arial" w:hAnsi="Arial" w:cs="Arial"/>
          <w:sz w:val="24"/>
        </w:rPr>
        <w:t>Chinen</w:t>
      </w:r>
      <w:proofErr w:type="spellEnd"/>
      <w:r w:rsidRPr="00913B13">
        <w:rPr>
          <w:rFonts w:ascii="Arial" w:hAnsi="Arial" w:cs="Arial"/>
          <w:sz w:val="24"/>
        </w:rPr>
        <w:t xml:space="preserve"> &amp; Jung (2012)</w:t>
      </w:r>
      <w:r w:rsidRPr="00890F73">
        <w:rPr>
          <w:rFonts w:ascii="Arial" w:hAnsi="Arial" w:cs="Arial"/>
          <w:sz w:val="24"/>
        </w:rPr>
        <w:t>,</w:t>
      </w:r>
      <w:r w:rsidR="00913B13">
        <w:rPr>
          <w:rFonts w:ascii="Arial" w:hAnsi="Arial" w:cs="Arial"/>
          <w:sz w:val="24"/>
        </w:rPr>
        <w:t xml:space="preserve"> </w:t>
      </w:r>
      <w:hyperlink r:id="rId1" w:tooltip="Link to Cook, Linquanti, Chinen &amp; Jung (2012)" w:history="1">
        <w:r w:rsidR="00913B13" w:rsidRPr="0031656B">
          <w:rPr>
            <w:rStyle w:val="Hyperlink"/>
            <w:rFonts w:ascii="Arial" w:hAnsi="Arial" w:cs="Arial"/>
            <w:sz w:val="24"/>
          </w:rPr>
          <w:t>https://www2.ed.gov/rschstat/eval/title-iii/implementation-supplemental-report.pdf</w:t>
        </w:r>
      </w:hyperlink>
      <w:r w:rsidR="00913B13">
        <w:rPr>
          <w:rFonts w:ascii="Arial" w:hAnsi="Arial" w:cs="Arial"/>
          <w:sz w:val="24"/>
        </w:rPr>
        <w:t>,</w:t>
      </w:r>
      <w:r w:rsidRPr="00890F73">
        <w:rPr>
          <w:rFonts w:ascii="Arial" w:hAnsi="Arial" w:cs="Arial"/>
          <w:sz w:val="24"/>
        </w:rPr>
        <w:t xml:space="preserve"> are used by many states to support decision making on setting an optimal English-proficient performance standard on their state English Language Proficiency (ELP) assessments.</w:t>
      </w:r>
    </w:p>
    <w:p w14:paraId="764C7A45" w14:textId="77777777" w:rsidR="00552F6F" w:rsidRPr="00890F73" w:rsidRDefault="007D5A1E" w:rsidP="00552F6F">
      <w:pPr>
        <w:pStyle w:val="Footnote"/>
        <w:ind w:firstLine="0"/>
        <w:rPr>
          <w:rFonts w:ascii="Arial" w:hAnsi="Arial" w:cs="Arial"/>
          <w:sz w:val="24"/>
        </w:rPr>
      </w:pPr>
      <w:r w:rsidRPr="00890F73">
        <w:rPr>
          <w:rStyle w:val="FootnoteReference"/>
          <w:rFonts w:ascii="Arial" w:hAnsi="Arial" w:cs="Arial"/>
          <w:sz w:val="24"/>
        </w:rPr>
        <w:t>2</w:t>
      </w:r>
      <w:r w:rsidR="00552F6F" w:rsidRPr="00890F73">
        <w:rPr>
          <w:rFonts w:ascii="Arial" w:hAnsi="Arial" w:cs="Arial"/>
          <w:sz w:val="24"/>
        </w:rPr>
        <w:t xml:space="preserve"> A box plot shows graphically five-number summaries—the smallest observation, lower quartile, median, upper quartile, and largest observation—as well as individual outliers, if applicable. </w:t>
      </w:r>
    </w:p>
  </w:footnote>
  <w:footnote w:id="3">
    <w:p w14:paraId="6EFBAEE3" w14:textId="77777777" w:rsidR="00552F6F" w:rsidRPr="003464DF" w:rsidRDefault="007D5A1E" w:rsidP="00552F6F">
      <w:pPr>
        <w:pStyle w:val="FootnoteText"/>
        <w:rPr>
          <w:sz w:val="16"/>
        </w:rPr>
      </w:pPr>
      <w:r w:rsidRPr="00890F73">
        <w:rPr>
          <w:rStyle w:val="FootnoteReference"/>
          <w:sz w:val="24"/>
          <w:szCs w:val="24"/>
        </w:rPr>
        <w:t>3</w:t>
      </w:r>
      <w:r w:rsidR="00552F6F" w:rsidRPr="00890F73">
        <w:rPr>
          <w:sz w:val="24"/>
          <w:szCs w:val="24"/>
        </w:rPr>
        <w:t xml:space="preserve"> The analysis takes the CAASPP </w:t>
      </w:r>
      <w:r w:rsidR="00093E4E">
        <w:rPr>
          <w:sz w:val="24"/>
          <w:szCs w:val="24"/>
        </w:rPr>
        <w:t xml:space="preserve">ELA </w:t>
      </w:r>
      <w:r w:rsidR="00552F6F" w:rsidRPr="00890F73">
        <w:rPr>
          <w:sz w:val="24"/>
          <w:szCs w:val="24"/>
        </w:rPr>
        <w:t>Level 3 as given, and determines the ELPAC overall score range that maximizes the percentage of true positives (proficient on ELPAC and CAASPP</w:t>
      </w:r>
      <w:r w:rsidR="00093E4E">
        <w:rPr>
          <w:sz w:val="24"/>
          <w:szCs w:val="24"/>
        </w:rPr>
        <w:t xml:space="preserve"> ELA 3</w:t>
      </w:r>
      <w:r w:rsidR="00552F6F" w:rsidRPr="00890F73">
        <w:rPr>
          <w:sz w:val="24"/>
          <w:szCs w:val="24"/>
        </w:rPr>
        <w:t>) and true negatives (not proficient on both assessments) and minimizes the percentage of false positives (proficient on ELPAC, not proficient on CAASPP) and false negatives (not proficient on ELPAC, proficient on CAASPP).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E4D68" w14:textId="77777777" w:rsidR="005C09C2" w:rsidRDefault="004D0521" w:rsidP="00922EF1">
    <w:pPr>
      <w:pStyle w:val="Header"/>
      <w:jc w:val="right"/>
    </w:pPr>
    <w:proofErr w:type="gramStart"/>
    <w:r>
      <w:t>memo-pptb-adad-</w:t>
    </w:r>
    <w:r w:rsidR="00597B49">
      <w:t>oct18item02</w:t>
    </w:r>
    <w:proofErr w:type="gramEnd"/>
  </w:p>
  <w:p w14:paraId="3B8C5896" w14:textId="142BCFF0" w:rsidR="00922EF1" w:rsidRPr="00617279" w:rsidRDefault="00922EF1" w:rsidP="00617279">
    <w:pPr>
      <w:pStyle w:val="Header"/>
      <w:spacing w:after="480"/>
      <w:jc w:val="right"/>
      <w:rPr>
        <w:bCs/>
      </w:rPr>
    </w:pPr>
    <w:r w:rsidRPr="00922EF1">
      <w:t xml:space="preserve">Page </w:t>
    </w:r>
    <w:r w:rsidRPr="00922EF1">
      <w:rPr>
        <w:bCs/>
      </w:rPr>
      <w:fldChar w:fldCharType="begin"/>
    </w:r>
    <w:r w:rsidRPr="00922EF1">
      <w:rPr>
        <w:bCs/>
      </w:rPr>
      <w:instrText xml:space="preserve"> PAGE  \* Arabic  \* MERGEFORMAT </w:instrText>
    </w:r>
    <w:r w:rsidRPr="00922EF1">
      <w:rPr>
        <w:bCs/>
      </w:rPr>
      <w:fldChar w:fldCharType="separate"/>
    </w:r>
    <w:r w:rsidR="00913B13">
      <w:rPr>
        <w:bCs/>
        <w:noProof/>
      </w:rPr>
      <w:t>2</w:t>
    </w:r>
    <w:r w:rsidRPr="00922EF1">
      <w:rPr>
        <w:bCs/>
      </w:rPr>
      <w:fldChar w:fldCharType="end"/>
    </w:r>
    <w:r w:rsidRPr="00922EF1">
      <w:t xml:space="preserve"> of </w:t>
    </w:r>
    <w:r w:rsidR="006C7912">
      <w:rPr>
        <w:bCs/>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804343"/>
      <w:docPartObj>
        <w:docPartGallery w:val="Page Numbers (Top of Page)"/>
        <w:docPartUnique/>
      </w:docPartObj>
    </w:sdtPr>
    <w:sdtEndPr/>
    <w:sdtContent>
      <w:p w14:paraId="3B14901D" w14:textId="77777777" w:rsidR="00FF03AE" w:rsidRDefault="00FF03AE">
        <w:pPr>
          <w:pStyle w:val="Header"/>
          <w:jc w:val="right"/>
        </w:pPr>
        <w:proofErr w:type="gramStart"/>
        <w:r>
          <w:t>memo-pptb-adad-oct18item02</w:t>
        </w:r>
        <w:proofErr w:type="gramEnd"/>
      </w:p>
      <w:p w14:paraId="1EE97351" w14:textId="77777777" w:rsidR="00FF03AE" w:rsidRDefault="00864EA9">
        <w:pPr>
          <w:pStyle w:val="Header"/>
          <w:jc w:val="right"/>
        </w:pPr>
        <w:r>
          <w:t>Attachment 1</w:t>
        </w:r>
      </w:p>
      <w:p w14:paraId="7CF9A88A" w14:textId="0819405B" w:rsidR="00FF03AE" w:rsidRPr="00571DA4" w:rsidRDefault="00FF03AE" w:rsidP="00A515F5">
        <w:pPr>
          <w:pStyle w:val="Header"/>
          <w:spacing w:after="480"/>
          <w:jc w:val="right"/>
        </w:pPr>
        <w:r w:rsidRPr="00132118">
          <w:t xml:space="preserve">Page </w:t>
        </w:r>
        <w:r w:rsidRPr="00132118">
          <w:rPr>
            <w:bCs/>
            <w:noProof/>
          </w:rPr>
          <w:fldChar w:fldCharType="begin"/>
        </w:r>
        <w:r w:rsidRPr="00132118">
          <w:rPr>
            <w:bCs/>
            <w:noProof/>
          </w:rPr>
          <w:instrText xml:space="preserve"> PAGE </w:instrText>
        </w:r>
        <w:r w:rsidRPr="00132118">
          <w:rPr>
            <w:bCs/>
            <w:noProof/>
          </w:rPr>
          <w:fldChar w:fldCharType="separate"/>
        </w:r>
        <w:r w:rsidR="00913B13">
          <w:rPr>
            <w:bCs/>
            <w:noProof/>
          </w:rPr>
          <w:t>3</w:t>
        </w:r>
        <w:r w:rsidRPr="00132118">
          <w:rPr>
            <w:bCs/>
            <w:noProof/>
          </w:rPr>
          <w:fldChar w:fldCharType="end"/>
        </w:r>
        <w:r w:rsidRPr="00132118">
          <w:t xml:space="preserve"> of </w:t>
        </w:r>
        <w:r w:rsidR="002E675B">
          <w:rPr>
            <w:bCs/>
            <w:noProof/>
          </w:rPr>
          <w:t>3</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129621"/>
      <w:docPartObj>
        <w:docPartGallery w:val="Page Numbers (Top of Page)"/>
        <w:docPartUnique/>
      </w:docPartObj>
    </w:sdtPr>
    <w:sdtEndPr/>
    <w:sdtContent>
      <w:p w14:paraId="3CCCCEB8" w14:textId="77777777" w:rsidR="00FF03AE" w:rsidRDefault="00FF03AE">
        <w:pPr>
          <w:pStyle w:val="Header"/>
          <w:jc w:val="right"/>
        </w:pPr>
        <w:proofErr w:type="gramStart"/>
        <w:r>
          <w:t>memo-pptb-adad-oct18item02</w:t>
        </w:r>
        <w:proofErr w:type="gramEnd"/>
      </w:p>
      <w:p w14:paraId="182345E8" w14:textId="77777777" w:rsidR="00FF03AE" w:rsidRDefault="00FF03AE">
        <w:pPr>
          <w:pStyle w:val="Header"/>
          <w:jc w:val="right"/>
        </w:pPr>
        <w:r>
          <w:t>Attachment 2</w:t>
        </w:r>
      </w:p>
      <w:p w14:paraId="1C3D9FB0" w14:textId="1678F978" w:rsidR="00FF03AE" w:rsidRPr="00571DA4" w:rsidRDefault="00FF03AE" w:rsidP="00A515F5">
        <w:pPr>
          <w:pStyle w:val="Header"/>
          <w:spacing w:after="480"/>
          <w:jc w:val="right"/>
        </w:pPr>
        <w:r w:rsidRPr="00132118">
          <w:t xml:space="preserve">Page </w:t>
        </w:r>
        <w:r w:rsidRPr="00132118">
          <w:rPr>
            <w:bCs/>
            <w:noProof/>
          </w:rPr>
          <w:fldChar w:fldCharType="begin"/>
        </w:r>
        <w:r w:rsidRPr="00132118">
          <w:rPr>
            <w:bCs/>
            <w:noProof/>
          </w:rPr>
          <w:instrText xml:space="preserve"> PAGE </w:instrText>
        </w:r>
        <w:r w:rsidRPr="00132118">
          <w:rPr>
            <w:bCs/>
            <w:noProof/>
          </w:rPr>
          <w:fldChar w:fldCharType="separate"/>
        </w:r>
        <w:r w:rsidR="00913B13">
          <w:rPr>
            <w:bCs/>
            <w:noProof/>
          </w:rPr>
          <w:t>3</w:t>
        </w:r>
        <w:r w:rsidRPr="00132118">
          <w:rPr>
            <w:bCs/>
            <w:noProof/>
          </w:rPr>
          <w:fldChar w:fldCharType="end"/>
        </w:r>
        <w:r w:rsidRPr="00132118">
          <w:t xml:space="preserve"> of </w:t>
        </w:r>
        <w:r w:rsidR="002E675B">
          <w:rPr>
            <w:bCs/>
            <w:noProof/>
          </w:rPr>
          <w:t>3</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C5E8B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4B08C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424BB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A24CA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29EA1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BA6F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9C09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5407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324B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98B1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3F5EEF"/>
    <w:multiLevelType w:val="hybridMultilevel"/>
    <w:tmpl w:val="8C1C7F10"/>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AB1EE0"/>
    <w:multiLevelType w:val="hybridMultilevel"/>
    <w:tmpl w:val="5F06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167DCA"/>
    <w:multiLevelType w:val="hybridMultilevel"/>
    <w:tmpl w:val="20EC4698"/>
    <w:lvl w:ilvl="0" w:tplc="A8266CEC">
      <w:start w:val="1"/>
      <w:numFmt w:val="bullet"/>
      <w:lvlText w:val=""/>
      <w:lvlJc w:val="left"/>
      <w:pPr>
        <w:tabs>
          <w:tab w:val="num" w:pos="720"/>
        </w:tabs>
        <w:ind w:left="720" w:hanging="360"/>
      </w:pPr>
      <w:rPr>
        <w:rFonts w:ascii="Wingdings" w:hAnsi="Wingdings" w:hint="default"/>
      </w:rPr>
    </w:lvl>
    <w:lvl w:ilvl="1" w:tplc="358E1A8E">
      <w:start w:val="83"/>
      <w:numFmt w:val="bullet"/>
      <w:lvlText w:val="•"/>
      <w:lvlJc w:val="left"/>
      <w:pPr>
        <w:tabs>
          <w:tab w:val="num" w:pos="1440"/>
        </w:tabs>
        <w:ind w:left="1440" w:hanging="360"/>
      </w:pPr>
      <w:rPr>
        <w:rFonts w:ascii="Arial" w:hAnsi="Arial" w:hint="default"/>
      </w:rPr>
    </w:lvl>
    <w:lvl w:ilvl="2" w:tplc="39806446" w:tentative="1">
      <w:start w:val="1"/>
      <w:numFmt w:val="bullet"/>
      <w:lvlText w:val=""/>
      <w:lvlJc w:val="left"/>
      <w:pPr>
        <w:tabs>
          <w:tab w:val="num" w:pos="2160"/>
        </w:tabs>
        <w:ind w:left="2160" w:hanging="360"/>
      </w:pPr>
      <w:rPr>
        <w:rFonts w:ascii="Wingdings" w:hAnsi="Wingdings" w:hint="default"/>
      </w:rPr>
    </w:lvl>
    <w:lvl w:ilvl="3" w:tplc="6F6C022E" w:tentative="1">
      <w:start w:val="1"/>
      <w:numFmt w:val="bullet"/>
      <w:lvlText w:val=""/>
      <w:lvlJc w:val="left"/>
      <w:pPr>
        <w:tabs>
          <w:tab w:val="num" w:pos="2880"/>
        </w:tabs>
        <w:ind w:left="2880" w:hanging="360"/>
      </w:pPr>
      <w:rPr>
        <w:rFonts w:ascii="Wingdings" w:hAnsi="Wingdings" w:hint="default"/>
      </w:rPr>
    </w:lvl>
    <w:lvl w:ilvl="4" w:tplc="D7F4296E" w:tentative="1">
      <w:start w:val="1"/>
      <w:numFmt w:val="bullet"/>
      <w:lvlText w:val=""/>
      <w:lvlJc w:val="left"/>
      <w:pPr>
        <w:tabs>
          <w:tab w:val="num" w:pos="3600"/>
        </w:tabs>
        <w:ind w:left="3600" w:hanging="360"/>
      </w:pPr>
      <w:rPr>
        <w:rFonts w:ascii="Wingdings" w:hAnsi="Wingdings" w:hint="default"/>
      </w:rPr>
    </w:lvl>
    <w:lvl w:ilvl="5" w:tplc="AC2A3318" w:tentative="1">
      <w:start w:val="1"/>
      <w:numFmt w:val="bullet"/>
      <w:lvlText w:val=""/>
      <w:lvlJc w:val="left"/>
      <w:pPr>
        <w:tabs>
          <w:tab w:val="num" w:pos="4320"/>
        </w:tabs>
        <w:ind w:left="4320" w:hanging="360"/>
      </w:pPr>
      <w:rPr>
        <w:rFonts w:ascii="Wingdings" w:hAnsi="Wingdings" w:hint="default"/>
      </w:rPr>
    </w:lvl>
    <w:lvl w:ilvl="6" w:tplc="A1D25BE6" w:tentative="1">
      <w:start w:val="1"/>
      <w:numFmt w:val="bullet"/>
      <w:lvlText w:val=""/>
      <w:lvlJc w:val="left"/>
      <w:pPr>
        <w:tabs>
          <w:tab w:val="num" w:pos="5040"/>
        </w:tabs>
        <w:ind w:left="5040" w:hanging="360"/>
      </w:pPr>
      <w:rPr>
        <w:rFonts w:ascii="Wingdings" w:hAnsi="Wingdings" w:hint="default"/>
      </w:rPr>
    </w:lvl>
    <w:lvl w:ilvl="7" w:tplc="1F8EEB80" w:tentative="1">
      <w:start w:val="1"/>
      <w:numFmt w:val="bullet"/>
      <w:lvlText w:val=""/>
      <w:lvlJc w:val="left"/>
      <w:pPr>
        <w:tabs>
          <w:tab w:val="num" w:pos="5760"/>
        </w:tabs>
        <w:ind w:left="5760" w:hanging="360"/>
      </w:pPr>
      <w:rPr>
        <w:rFonts w:ascii="Wingdings" w:hAnsi="Wingdings" w:hint="default"/>
      </w:rPr>
    </w:lvl>
    <w:lvl w:ilvl="8" w:tplc="256AB65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A362D2"/>
    <w:multiLevelType w:val="hybridMultilevel"/>
    <w:tmpl w:val="816A3FBC"/>
    <w:lvl w:ilvl="0" w:tplc="A2A28AB4">
      <w:start w:val="1"/>
      <w:numFmt w:val="bullet"/>
      <w:lvlText w:val="•"/>
      <w:lvlJc w:val="left"/>
      <w:pPr>
        <w:tabs>
          <w:tab w:val="num" w:pos="720"/>
        </w:tabs>
        <w:ind w:left="720" w:hanging="360"/>
      </w:pPr>
      <w:rPr>
        <w:rFonts w:ascii="Arial" w:hAnsi="Arial" w:hint="default"/>
      </w:rPr>
    </w:lvl>
    <w:lvl w:ilvl="1" w:tplc="7D7A348C" w:tentative="1">
      <w:start w:val="1"/>
      <w:numFmt w:val="bullet"/>
      <w:lvlText w:val="•"/>
      <w:lvlJc w:val="left"/>
      <w:pPr>
        <w:tabs>
          <w:tab w:val="num" w:pos="1440"/>
        </w:tabs>
        <w:ind w:left="1440" w:hanging="360"/>
      </w:pPr>
      <w:rPr>
        <w:rFonts w:ascii="Arial" w:hAnsi="Arial" w:hint="default"/>
      </w:rPr>
    </w:lvl>
    <w:lvl w:ilvl="2" w:tplc="6388D6F8" w:tentative="1">
      <w:start w:val="1"/>
      <w:numFmt w:val="bullet"/>
      <w:lvlText w:val="•"/>
      <w:lvlJc w:val="left"/>
      <w:pPr>
        <w:tabs>
          <w:tab w:val="num" w:pos="2160"/>
        </w:tabs>
        <w:ind w:left="2160" w:hanging="360"/>
      </w:pPr>
      <w:rPr>
        <w:rFonts w:ascii="Arial" w:hAnsi="Arial" w:hint="default"/>
      </w:rPr>
    </w:lvl>
    <w:lvl w:ilvl="3" w:tplc="631245D0" w:tentative="1">
      <w:start w:val="1"/>
      <w:numFmt w:val="bullet"/>
      <w:lvlText w:val="•"/>
      <w:lvlJc w:val="left"/>
      <w:pPr>
        <w:tabs>
          <w:tab w:val="num" w:pos="2880"/>
        </w:tabs>
        <w:ind w:left="2880" w:hanging="360"/>
      </w:pPr>
      <w:rPr>
        <w:rFonts w:ascii="Arial" w:hAnsi="Arial" w:hint="default"/>
      </w:rPr>
    </w:lvl>
    <w:lvl w:ilvl="4" w:tplc="BAC6BAE8" w:tentative="1">
      <w:start w:val="1"/>
      <w:numFmt w:val="bullet"/>
      <w:lvlText w:val="•"/>
      <w:lvlJc w:val="left"/>
      <w:pPr>
        <w:tabs>
          <w:tab w:val="num" w:pos="3600"/>
        </w:tabs>
        <w:ind w:left="3600" w:hanging="360"/>
      </w:pPr>
      <w:rPr>
        <w:rFonts w:ascii="Arial" w:hAnsi="Arial" w:hint="default"/>
      </w:rPr>
    </w:lvl>
    <w:lvl w:ilvl="5" w:tplc="E8F23900" w:tentative="1">
      <w:start w:val="1"/>
      <w:numFmt w:val="bullet"/>
      <w:lvlText w:val="•"/>
      <w:lvlJc w:val="left"/>
      <w:pPr>
        <w:tabs>
          <w:tab w:val="num" w:pos="4320"/>
        </w:tabs>
        <w:ind w:left="4320" w:hanging="360"/>
      </w:pPr>
      <w:rPr>
        <w:rFonts w:ascii="Arial" w:hAnsi="Arial" w:hint="default"/>
      </w:rPr>
    </w:lvl>
    <w:lvl w:ilvl="6" w:tplc="48985372" w:tentative="1">
      <w:start w:val="1"/>
      <w:numFmt w:val="bullet"/>
      <w:lvlText w:val="•"/>
      <w:lvlJc w:val="left"/>
      <w:pPr>
        <w:tabs>
          <w:tab w:val="num" w:pos="5040"/>
        </w:tabs>
        <w:ind w:left="5040" w:hanging="360"/>
      </w:pPr>
      <w:rPr>
        <w:rFonts w:ascii="Arial" w:hAnsi="Arial" w:hint="default"/>
      </w:rPr>
    </w:lvl>
    <w:lvl w:ilvl="7" w:tplc="C6124FFE" w:tentative="1">
      <w:start w:val="1"/>
      <w:numFmt w:val="bullet"/>
      <w:lvlText w:val="•"/>
      <w:lvlJc w:val="left"/>
      <w:pPr>
        <w:tabs>
          <w:tab w:val="num" w:pos="5760"/>
        </w:tabs>
        <w:ind w:left="5760" w:hanging="360"/>
      </w:pPr>
      <w:rPr>
        <w:rFonts w:ascii="Arial" w:hAnsi="Arial" w:hint="default"/>
      </w:rPr>
    </w:lvl>
    <w:lvl w:ilvl="8" w:tplc="28687DA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FBA4E37"/>
    <w:multiLevelType w:val="hybridMultilevel"/>
    <w:tmpl w:val="BEC2CDE2"/>
    <w:lvl w:ilvl="0" w:tplc="D8609D36">
      <w:start w:val="1"/>
      <w:numFmt w:val="bullet"/>
      <w:lvlText w:val=""/>
      <w:lvlJc w:val="left"/>
      <w:pPr>
        <w:tabs>
          <w:tab w:val="num" w:pos="720"/>
        </w:tabs>
        <w:ind w:left="720" w:hanging="360"/>
      </w:pPr>
      <w:rPr>
        <w:rFonts w:ascii="Wingdings" w:hAnsi="Wingdings" w:hint="default"/>
      </w:rPr>
    </w:lvl>
    <w:lvl w:ilvl="1" w:tplc="CE1A42FC">
      <w:numFmt w:val="bullet"/>
      <w:lvlText w:val="•"/>
      <w:lvlJc w:val="left"/>
      <w:pPr>
        <w:tabs>
          <w:tab w:val="num" w:pos="1440"/>
        </w:tabs>
        <w:ind w:left="1440" w:hanging="360"/>
      </w:pPr>
      <w:rPr>
        <w:rFonts w:ascii="Arial" w:hAnsi="Arial" w:hint="default"/>
      </w:rPr>
    </w:lvl>
    <w:lvl w:ilvl="2" w:tplc="47C25286" w:tentative="1">
      <w:start w:val="1"/>
      <w:numFmt w:val="bullet"/>
      <w:lvlText w:val=""/>
      <w:lvlJc w:val="left"/>
      <w:pPr>
        <w:tabs>
          <w:tab w:val="num" w:pos="2160"/>
        </w:tabs>
        <w:ind w:left="2160" w:hanging="360"/>
      </w:pPr>
      <w:rPr>
        <w:rFonts w:ascii="Wingdings" w:hAnsi="Wingdings" w:hint="default"/>
      </w:rPr>
    </w:lvl>
    <w:lvl w:ilvl="3" w:tplc="6B90F1A0" w:tentative="1">
      <w:start w:val="1"/>
      <w:numFmt w:val="bullet"/>
      <w:lvlText w:val=""/>
      <w:lvlJc w:val="left"/>
      <w:pPr>
        <w:tabs>
          <w:tab w:val="num" w:pos="2880"/>
        </w:tabs>
        <w:ind w:left="2880" w:hanging="360"/>
      </w:pPr>
      <w:rPr>
        <w:rFonts w:ascii="Wingdings" w:hAnsi="Wingdings" w:hint="default"/>
      </w:rPr>
    </w:lvl>
    <w:lvl w:ilvl="4" w:tplc="27483CB4" w:tentative="1">
      <w:start w:val="1"/>
      <w:numFmt w:val="bullet"/>
      <w:lvlText w:val=""/>
      <w:lvlJc w:val="left"/>
      <w:pPr>
        <w:tabs>
          <w:tab w:val="num" w:pos="3600"/>
        </w:tabs>
        <w:ind w:left="3600" w:hanging="360"/>
      </w:pPr>
      <w:rPr>
        <w:rFonts w:ascii="Wingdings" w:hAnsi="Wingdings" w:hint="default"/>
      </w:rPr>
    </w:lvl>
    <w:lvl w:ilvl="5" w:tplc="1522339C" w:tentative="1">
      <w:start w:val="1"/>
      <w:numFmt w:val="bullet"/>
      <w:lvlText w:val=""/>
      <w:lvlJc w:val="left"/>
      <w:pPr>
        <w:tabs>
          <w:tab w:val="num" w:pos="4320"/>
        </w:tabs>
        <w:ind w:left="4320" w:hanging="360"/>
      </w:pPr>
      <w:rPr>
        <w:rFonts w:ascii="Wingdings" w:hAnsi="Wingdings" w:hint="default"/>
      </w:rPr>
    </w:lvl>
    <w:lvl w:ilvl="6" w:tplc="699041DC" w:tentative="1">
      <w:start w:val="1"/>
      <w:numFmt w:val="bullet"/>
      <w:lvlText w:val=""/>
      <w:lvlJc w:val="left"/>
      <w:pPr>
        <w:tabs>
          <w:tab w:val="num" w:pos="5040"/>
        </w:tabs>
        <w:ind w:left="5040" w:hanging="360"/>
      </w:pPr>
      <w:rPr>
        <w:rFonts w:ascii="Wingdings" w:hAnsi="Wingdings" w:hint="default"/>
      </w:rPr>
    </w:lvl>
    <w:lvl w:ilvl="7" w:tplc="2B1E7C16" w:tentative="1">
      <w:start w:val="1"/>
      <w:numFmt w:val="bullet"/>
      <w:lvlText w:val=""/>
      <w:lvlJc w:val="left"/>
      <w:pPr>
        <w:tabs>
          <w:tab w:val="num" w:pos="5760"/>
        </w:tabs>
        <w:ind w:left="5760" w:hanging="360"/>
      </w:pPr>
      <w:rPr>
        <w:rFonts w:ascii="Wingdings" w:hAnsi="Wingdings" w:hint="default"/>
      </w:rPr>
    </w:lvl>
    <w:lvl w:ilvl="8" w:tplc="E1FE47E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450726"/>
    <w:multiLevelType w:val="hybridMultilevel"/>
    <w:tmpl w:val="D30CEB02"/>
    <w:lvl w:ilvl="0" w:tplc="2E7EFC50">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3FB43310" w:tentative="1">
      <w:start w:val="1"/>
      <w:numFmt w:val="bullet"/>
      <w:lvlText w:val=""/>
      <w:lvlJc w:val="left"/>
      <w:pPr>
        <w:tabs>
          <w:tab w:val="num" w:pos="2160"/>
        </w:tabs>
        <w:ind w:left="2160" w:hanging="360"/>
      </w:pPr>
      <w:rPr>
        <w:rFonts w:ascii="Wingdings" w:hAnsi="Wingdings" w:hint="default"/>
      </w:rPr>
    </w:lvl>
    <w:lvl w:ilvl="3" w:tplc="64407ED4" w:tentative="1">
      <w:start w:val="1"/>
      <w:numFmt w:val="bullet"/>
      <w:lvlText w:val=""/>
      <w:lvlJc w:val="left"/>
      <w:pPr>
        <w:tabs>
          <w:tab w:val="num" w:pos="2880"/>
        </w:tabs>
        <w:ind w:left="2880" w:hanging="360"/>
      </w:pPr>
      <w:rPr>
        <w:rFonts w:ascii="Wingdings" w:hAnsi="Wingdings" w:hint="default"/>
      </w:rPr>
    </w:lvl>
    <w:lvl w:ilvl="4" w:tplc="2B769248" w:tentative="1">
      <w:start w:val="1"/>
      <w:numFmt w:val="bullet"/>
      <w:lvlText w:val=""/>
      <w:lvlJc w:val="left"/>
      <w:pPr>
        <w:tabs>
          <w:tab w:val="num" w:pos="3600"/>
        </w:tabs>
        <w:ind w:left="3600" w:hanging="360"/>
      </w:pPr>
      <w:rPr>
        <w:rFonts w:ascii="Wingdings" w:hAnsi="Wingdings" w:hint="default"/>
      </w:rPr>
    </w:lvl>
    <w:lvl w:ilvl="5" w:tplc="63D4315E" w:tentative="1">
      <w:start w:val="1"/>
      <w:numFmt w:val="bullet"/>
      <w:lvlText w:val=""/>
      <w:lvlJc w:val="left"/>
      <w:pPr>
        <w:tabs>
          <w:tab w:val="num" w:pos="4320"/>
        </w:tabs>
        <w:ind w:left="4320" w:hanging="360"/>
      </w:pPr>
      <w:rPr>
        <w:rFonts w:ascii="Wingdings" w:hAnsi="Wingdings" w:hint="default"/>
      </w:rPr>
    </w:lvl>
    <w:lvl w:ilvl="6" w:tplc="41CE01E8" w:tentative="1">
      <w:start w:val="1"/>
      <w:numFmt w:val="bullet"/>
      <w:lvlText w:val=""/>
      <w:lvlJc w:val="left"/>
      <w:pPr>
        <w:tabs>
          <w:tab w:val="num" w:pos="5040"/>
        </w:tabs>
        <w:ind w:left="5040" w:hanging="360"/>
      </w:pPr>
      <w:rPr>
        <w:rFonts w:ascii="Wingdings" w:hAnsi="Wingdings" w:hint="default"/>
      </w:rPr>
    </w:lvl>
    <w:lvl w:ilvl="7" w:tplc="948ADDDA" w:tentative="1">
      <w:start w:val="1"/>
      <w:numFmt w:val="bullet"/>
      <w:lvlText w:val=""/>
      <w:lvlJc w:val="left"/>
      <w:pPr>
        <w:tabs>
          <w:tab w:val="num" w:pos="5760"/>
        </w:tabs>
        <w:ind w:left="5760" w:hanging="360"/>
      </w:pPr>
      <w:rPr>
        <w:rFonts w:ascii="Wingdings" w:hAnsi="Wingdings" w:hint="default"/>
      </w:rPr>
    </w:lvl>
    <w:lvl w:ilvl="8" w:tplc="ABF8B78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941D44"/>
    <w:multiLevelType w:val="hybridMultilevel"/>
    <w:tmpl w:val="CFE4D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AF43D5"/>
    <w:multiLevelType w:val="hybridMultilevel"/>
    <w:tmpl w:val="FD3446F8"/>
    <w:lvl w:ilvl="0" w:tplc="04090001">
      <w:start w:val="1"/>
      <w:numFmt w:val="bullet"/>
      <w:lvlText w:val=""/>
      <w:lvlJc w:val="left"/>
      <w:pPr>
        <w:tabs>
          <w:tab w:val="num" w:pos="720"/>
        </w:tabs>
        <w:ind w:left="720" w:hanging="360"/>
      </w:pPr>
      <w:rPr>
        <w:rFonts w:ascii="Symbol" w:hAnsi="Symbol" w:hint="default"/>
      </w:rPr>
    </w:lvl>
    <w:lvl w:ilvl="1" w:tplc="358E1A8E">
      <w:start w:val="83"/>
      <w:numFmt w:val="bullet"/>
      <w:lvlText w:val="•"/>
      <w:lvlJc w:val="left"/>
      <w:pPr>
        <w:tabs>
          <w:tab w:val="num" w:pos="1440"/>
        </w:tabs>
        <w:ind w:left="1440" w:hanging="360"/>
      </w:pPr>
      <w:rPr>
        <w:rFonts w:ascii="Arial" w:hAnsi="Arial" w:hint="default"/>
      </w:rPr>
    </w:lvl>
    <w:lvl w:ilvl="2" w:tplc="39806446" w:tentative="1">
      <w:start w:val="1"/>
      <w:numFmt w:val="bullet"/>
      <w:lvlText w:val=""/>
      <w:lvlJc w:val="left"/>
      <w:pPr>
        <w:tabs>
          <w:tab w:val="num" w:pos="2160"/>
        </w:tabs>
        <w:ind w:left="2160" w:hanging="360"/>
      </w:pPr>
      <w:rPr>
        <w:rFonts w:ascii="Wingdings" w:hAnsi="Wingdings" w:hint="default"/>
      </w:rPr>
    </w:lvl>
    <w:lvl w:ilvl="3" w:tplc="6F6C022E" w:tentative="1">
      <w:start w:val="1"/>
      <w:numFmt w:val="bullet"/>
      <w:lvlText w:val=""/>
      <w:lvlJc w:val="left"/>
      <w:pPr>
        <w:tabs>
          <w:tab w:val="num" w:pos="2880"/>
        </w:tabs>
        <w:ind w:left="2880" w:hanging="360"/>
      </w:pPr>
      <w:rPr>
        <w:rFonts w:ascii="Wingdings" w:hAnsi="Wingdings" w:hint="default"/>
      </w:rPr>
    </w:lvl>
    <w:lvl w:ilvl="4" w:tplc="D7F4296E" w:tentative="1">
      <w:start w:val="1"/>
      <w:numFmt w:val="bullet"/>
      <w:lvlText w:val=""/>
      <w:lvlJc w:val="left"/>
      <w:pPr>
        <w:tabs>
          <w:tab w:val="num" w:pos="3600"/>
        </w:tabs>
        <w:ind w:left="3600" w:hanging="360"/>
      </w:pPr>
      <w:rPr>
        <w:rFonts w:ascii="Wingdings" w:hAnsi="Wingdings" w:hint="default"/>
      </w:rPr>
    </w:lvl>
    <w:lvl w:ilvl="5" w:tplc="AC2A3318" w:tentative="1">
      <w:start w:val="1"/>
      <w:numFmt w:val="bullet"/>
      <w:lvlText w:val=""/>
      <w:lvlJc w:val="left"/>
      <w:pPr>
        <w:tabs>
          <w:tab w:val="num" w:pos="4320"/>
        </w:tabs>
        <w:ind w:left="4320" w:hanging="360"/>
      </w:pPr>
      <w:rPr>
        <w:rFonts w:ascii="Wingdings" w:hAnsi="Wingdings" w:hint="default"/>
      </w:rPr>
    </w:lvl>
    <w:lvl w:ilvl="6" w:tplc="A1D25BE6" w:tentative="1">
      <w:start w:val="1"/>
      <w:numFmt w:val="bullet"/>
      <w:lvlText w:val=""/>
      <w:lvlJc w:val="left"/>
      <w:pPr>
        <w:tabs>
          <w:tab w:val="num" w:pos="5040"/>
        </w:tabs>
        <w:ind w:left="5040" w:hanging="360"/>
      </w:pPr>
      <w:rPr>
        <w:rFonts w:ascii="Wingdings" w:hAnsi="Wingdings" w:hint="default"/>
      </w:rPr>
    </w:lvl>
    <w:lvl w:ilvl="7" w:tplc="1F8EEB80" w:tentative="1">
      <w:start w:val="1"/>
      <w:numFmt w:val="bullet"/>
      <w:lvlText w:val=""/>
      <w:lvlJc w:val="left"/>
      <w:pPr>
        <w:tabs>
          <w:tab w:val="num" w:pos="5760"/>
        </w:tabs>
        <w:ind w:left="5760" w:hanging="360"/>
      </w:pPr>
      <w:rPr>
        <w:rFonts w:ascii="Wingdings" w:hAnsi="Wingdings" w:hint="default"/>
      </w:rPr>
    </w:lvl>
    <w:lvl w:ilvl="8" w:tplc="256AB65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E41E15"/>
    <w:multiLevelType w:val="multilevel"/>
    <w:tmpl w:val="C07C0E0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2DE2B23"/>
    <w:multiLevelType w:val="hybridMultilevel"/>
    <w:tmpl w:val="7040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9D0254"/>
    <w:multiLevelType w:val="hybridMultilevel"/>
    <w:tmpl w:val="0422F94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17C76C1"/>
    <w:multiLevelType w:val="hybridMultilevel"/>
    <w:tmpl w:val="5FC6A064"/>
    <w:lvl w:ilvl="0" w:tplc="AEBE65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982B41"/>
    <w:multiLevelType w:val="hybridMultilevel"/>
    <w:tmpl w:val="0AB8778E"/>
    <w:lvl w:ilvl="0" w:tplc="07328CCC">
      <w:start w:val="1"/>
      <w:numFmt w:val="decimal"/>
      <w:lvlText w:val="%1."/>
      <w:lvlJc w:val="right"/>
      <w:pPr>
        <w:ind w:left="720" w:hanging="360"/>
      </w:pPr>
      <w:rPr>
        <w:rFonts w:ascii="Arial" w:hAnsi="Arial" w:cs="Times New Roman" w:hint="default"/>
        <w:color w:val="000000" w:themeColor="text1"/>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6795411"/>
    <w:multiLevelType w:val="hybridMultilevel"/>
    <w:tmpl w:val="650A9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EB1126"/>
    <w:multiLevelType w:val="hybridMultilevel"/>
    <w:tmpl w:val="1C5EC050"/>
    <w:lvl w:ilvl="0" w:tplc="0409000F">
      <w:start w:val="1"/>
      <w:numFmt w:val="decimal"/>
      <w:lvlText w:val="%1."/>
      <w:lvlJc w:val="left"/>
      <w:pPr>
        <w:tabs>
          <w:tab w:val="num" w:pos="720"/>
        </w:tabs>
        <w:ind w:left="720" w:hanging="360"/>
      </w:pPr>
      <w:rPr>
        <w:rFonts w:hint="default"/>
      </w:rPr>
    </w:lvl>
    <w:lvl w:ilvl="1" w:tplc="358E1A8E">
      <w:start w:val="83"/>
      <w:numFmt w:val="bullet"/>
      <w:lvlText w:val="•"/>
      <w:lvlJc w:val="left"/>
      <w:pPr>
        <w:tabs>
          <w:tab w:val="num" w:pos="1440"/>
        </w:tabs>
        <w:ind w:left="1440" w:hanging="360"/>
      </w:pPr>
      <w:rPr>
        <w:rFonts w:ascii="Arial" w:hAnsi="Arial" w:hint="default"/>
      </w:rPr>
    </w:lvl>
    <w:lvl w:ilvl="2" w:tplc="39806446" w:tentative="1">
      <w:start w:val="1"/>
      <w:numFmt w:val="bullet"/>
      <w:lvlText w:val=""/>
      <w:lvlJc w:val="left"/>
      <w:pPr>
        <w:tabs>
          <w:tab w:val="num" w:pos="2160"/>
        </w:tabs>
        <w:ind w:left="2160" w:hanging="360"/>
      </w:pPr>
      <w:rPr>
        <w:rFonts w:ascii="Wingdings" w:hAnsi="Wingdings" w:hint="default"/>
      </w:rPr>
    </w:lvl>
    <w:lvl w:ilvl="3" w:tplc="6F6C022E" w:tentative="1">
      <w:start w:val="1"/>
      <w:numFmt w:val="bullet"/>
      <w:lvlText w:val=""/>
      <w:lvlJc w:val="left"/>
      <w:pPr>
        <w:tabs>
          <w:tab w:val="num" w:pos="2880"/>
        </w:tabs>
        <w:ind w:left="2880" w:hanging="360"/>
      </w:pPr>
      <w:rPr>
        <w:rFonts w:ascii="Wingdings" w:hAnsi="Wingdings" w:hint="default"/>
      </w:rPr>
    </w:lvl>
    <w:lvl w:ilvl="4" w:tplc="D7F4296E" w:tentative="1">
      <w:start w:val="1"/>
      <w:numFmt w:val="bullet"/>
      <w:lvlText w:val=""/>
      <w:lvlJc w:val="left"/>
      <w:pPr>
        <w:tabs>
          <w:tab w:val="num" w:pos="3600"/>
        </w:tabs>
        <w:ind w:left="3600" w:hanging="360"/>
      </w:pPr>
      <w:rPr>
        <w:rFonts w:ascii="Wingdings" w:hAnsi="Wingdings" w:hint="default"/>
      </w:rPr>
    </w:lvl>
    <w:lvl w:ilvl="5" w:tplc="AC2A3318" w:tentative="1">
      <w:start w:val="1"/>
      <w:numFmt w:val="bullet"/>
      <w:lvlText w:val=""/>
      <w:lvlJc w:val="left"/>
      <w:pPr>
        <w:tabs>
          <w:tab w:val="num" w:pos="4320"/>
        </w:tabs>
        <w:ind w:left="4320" w:hanging="360"/>
      </w:pPr>
      <w:rPr>
        <w:rFonts w:ascii="Wingdings" w:hAnsi="Wingdings" w:hint="default"/>
      </w:rPr>
    </w:lvl>
    <w:lvl w:ilvl="6" w:tplc="A1D25BE6" w:tentative="1">
      <w:start w:val="1"/>
      <w:numFmt w:val="bullet"/>
      <w:lvlText w:val=""/>
      <w:lvlJc w:val="left"/>
      <w:pPr>
        <w:tabs>
          <w:tab w:val="num" w:pos="5040"/>
        </w:tabs>
        <w:ind w:left="5040" w:hanging="360"/>
      </w:pPr>
      <w:rPr>
        <w:rFonts w:ascii="Wingdings" w:hAnsi="Wingdings" w:hint="default"/>
      </w:rPr>
    </w:lvl>
    <w:lvl w:ilvl="7" w:tplc="1F8EEB80" w:tentative="1">
      <w:start w:val="1"/>
      <w:numFmt w:val="bullet"/>
      <w:lvlText w:val=""/>
      <w:lvlJc w:val="left"/>
      <w:pPr>
        <w:tabs>
          <w:tab w:val="num" w:pos="5760"/>
        </w:tabs>
        <w:ind w:left="5760" w:hanging="360"/>
      </w:pPr>
      <w:rPr>
        <w:rFonts w:ascii="Wingdings" w:hAnsi="Wingdings" w:hint="default"/>
      </w:rPr>
    </w:lvl>
    <w:lvl w:ilvl="8" w:tplc="256AB65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8B0A9D"/>
    <w:multiLevelType w:val="hybridMultilevel"/>
    <w:tmpl w:val="9E8E5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824FCD"/>
    <w:multiLevelType w:val="hybridMultilevel"/>
    <w:tmpl w:val="850CB024"/>
    <w:lvl w:ilvl="0" w:tplc="D8609D36">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47C25286" w:tentative="1">
      <w:start w:val="1"/>
      <w:numFmt w:val="bullet"/>
      <w:lvlText w:val=""/>
      <w:lvlJc w:val="left"/>
      <w:pPr>
        <w:tabs>
          <w:tab w:val="num" w:pos="2160"/>
        </w:tabs>
        <w:ind w:left="2160" w:hanging="360"/>
      </w:pPr>
      <w:rPr>
        <w:rFonts w:ascii="Wingdings" w:hAnsi="Wingdings" w:hint="default"/>
      </w:rPr>
    </w:lvl>
    <w:lvl w:ilvl="3" w:tplc="6B90F1A0" w:tentative="1">
      <w:start w:val="1"/>
      <w:numFmt w:val="bullet"/>
      <w:lvlText w:val=""/>
      <w:lvlJc w:val="left"/>
      <w:pPr>
        <w:tabs>
          <w:tab w:val="num" w:pos="2880"/>
        </w:tabs>
        <w:ind w:left="2880" w:hanging="360"/>
      </w:pPr>
      <w:rPr>
        <w:rFonts w:ascii="Wingdings" w:hAnsi="Wingdings" w:hint="default"/>
      </w:rPr>
    </w:lvl>
    <w:lvl w:ilvl="4" w:tplc="27483CB4" w:tentative="1">
      <w:start w:val="1"/>
      <w:numFmt w:val="bullet"/>
      <w:lvlText w:val=""/>
      <w:lvlJc w:val="left"/>
      <w:pPr>
        <w:tabs>
          <w:tab w:val="num" w:pos="3600"/>
        </w:tabs>
        <w:ind w:left="3600" w:hanging="360"/>
      </w:pPr>
      <w:rPr>
        <w:rFonts w:ascii="Wingdings" w:hAnsi="Wingdings" w:hint="default"/>
      </w:rPr>
    </w:lvl>
    <w:lvl w:ilvl="5" w:tplc="1522339C" w:tentative="1">
      <w:start w:val="1"/>
      <w:numFmt w:val="bullet"/>
      <w:lvlText w:val=""/>
      <w:lvlJc w:val="left"/>
      <w:pPr>
        <w:tabs>
          <w:tab w:val="num" w:pos="4320"/>
        </w:tabs>
        <w:ind w:left="4320" w:hanging="360"/>
      </w:pPr>
      <w:rPr>
        <w:rFonts w:ascii="Wingdings" w:hAnsi="Wingdings" w:hint="default"/>
      </w:rPr>
    </w:lvl>
    <w:lvl w:ilvl="6" w:tplc="699041DC" w:tentative="1">
      <w:start w:val="1"/>
      <w:numFmt w:val="bullet"/>
      <w:lvlText w:val=""/>
      <w:lvlJc w:val="left"/>
      <w:pPr>
        <w:tabs>
          <w:tab w:val="num" w:pos="5040"/>
        </w:tabs>
        <w:ind w:left="5040" w:hanging="360"/>
      </w:pPr>
      <w:rPr>
        <w:rFonts w:ascii="Wingdings" w:hAnsi="Wingdings" w:hint="default"/>
      </w:rPr>
    </w:lvl>
    <w:lvl w:ilvl="7" w:tplc="2B1E7C16" w:tentative="1">
      <w:start w:val="1"/>
      <w:numFmt w:val="bullet"/>
      <w:lvlText w:val=""/>
      <w:lvlJc w:val="left"/>
      <w:pPr>
        <w:tabs>
          <w:tab w:val="num" w:pos="5760"/>
        </w:tabs>
        <w:ind w:left="5760" w:hanging="360"/>
      </w:pPr>
      <w:rPr>
        <w:rFonts w:ascii="Wingdings" w:hAnsi="Wingdings" w:hint="default"/>
      </w:rPr>
    </w:lvl>
    <w:lvl w:ilvl="8" w:tplc="E1FE47E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7712F5"/>
    <w:multiLevelType w:val="hybridMultilevel"/>
    <w:tmpl w:val="840C5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9D5DBA"/>
    <w:multiLevelType w:val="hybridMultilevel"/>
    <w:tmpl w:val="6B7E3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9328A4"/>
    <w:multiLevelType w:val="hybridMultilevel"/>
    <w:tmpl w:val="8DFA3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3D1381"/>
    <w:multiLevelType w:val="hybridMultilevel"/>
    <w:tmpl w:val="E7B24B68"/>
    <w:lvl w:ilvl="0" w:tplc="2E7EFC50">
      <w:start w:val="1"/>
      <w:numFmt w:val="bullet"/>
      <w:lvlText w:val=""/>
      <w:lvlJc w:val="left"/>
      <w:pPr>
        <w:tabs>
          <w:tab w:val="num" w:pos="720"/>
        </w:tabs>
        <w:ind w:left="720" w:hanging="360"/>
      </w:pPr>
      <w:rPr>
        <w:rFonts w:ascii="Wingdings" w:hAnsi="Wingdings" w:hint="default"/>
      </w:rPr>
    </w:lvl>
    <w:lvl w:ilvl="1" w:tplc="1DA47C98">
      <w:numFmt w:val="bullet"/>
      <w:lvlText w:val="•"/>
      <w:lvlJc w:val="left"/>
      <w:pPr>
        <w:tabs>
          <w:tab w:val="num" w:pos="1440"/>
        </w:tabs>
        <w:ind w:left="1440" w:hanging="360"/>
      </w:pPr>
      <w:rPr>
        <w:rFonts w:ascii="Arial" w:hAnsi="Arial" w:hint="default"/>
      </w:rPr>
    </w:lvl>
    <w:lvl w:ilvl="2" w:tplc="3FB43310" w:tentative="1">
      <w:start w:val="1"/>
      <w:numFmt w:val="bullet"/>
      <w:lvlText w:val=""/>
      <w:lvlJc w:val="left"/>
      <w:pPr>
        <w:tabs>
          <w:tab w:val="num" w:pos="2160"/>
        </w:tabs>
        <w:ind w:left="2160" w:hanging="360"/>
      </w:pPr>
      <w:rPr>
        <w:rFonts w:ascii="Wingdings" w:hAnsi="Wingdings" w:hint="default"/>
      </w:rPr>
    </w:lvl>
    <w:lvl w:ilvl="3" w:tplc="64407ED4" w:tentative="1">
      <w:start w:val="1"/>
      <w:numFmt w:val="bullet"/>
      <w:lvlText w:val=""/>
      <w:lvlJc w:val="left"/>
      <w:pPr>
        <w:tabs>
          <w:tab w:val="num" w:pos="2880"/>
        </w:tabs>
        <w:ind w:left="2880" w:hanging="360"/>
      </w:pPr>
      <w:rPr>
        <w:rFonts w:ascii="Wingdings" w:hAnsi="Wingdings" w:hint="default"/>
      </w:rPr>
    </w:lvl>
    <w:lvl w:ilvl="4" w:tplc="2B769248" w:tentative="1">
      <w:start w:val="1"/>
      <w:numFmt w:val="bullet"/>
      <w:lvlText w:val=""/>
      <w:lvlJc w:val="left"/>
      <w:pPr>
        <w:tabs>
          <w:tab w:val="num" w:pos="3600"/>
        </w:tabs>
        <w:ind w:left="3600" w:hanging="360"/>
      </w:pPr>
      <w:rPr>
        <w:rFonts w:ascii="Wingdings" w:hAnsi="Wingdings" w:hint="default"/>
      </w:rPr>
    </w:lvl>
    <w:lvl w:ilvl="5" w:tplc="63D4315E" w:tentative="1">
      <w:start w:val="1"/>
      <w:numFmt w:val="bullet"/>
      <w:lvlText w:val=""/>
      <w:lvlJc w:val="left"/>
      <w:pPr>
        <w:tabs>
          <w:tab w:val="num" w:pos="4320"/>
        </w:tabs>
        <w:ind w:left="4320" w:hanging="360"/>
      </w:pPr>
      <w:rPr>
        <w:rFonts w:ascii="Wingdings" w:hAnsi="Wingdings" w:hint="default"/>
      </w:rPr>
    </w:lvl>
    <w:lvl w:ilvl="6" w:tplc="41CE01E8" w:tentative="1">
      <w:start w:val="1"/>
      <w:numFmt w:val="bullet"/>
      <w:lvlText w:val=""/>
      <w:lvlJc w:val="left"/>
      <w:pPr>
        <w:tabs>
          <w:tab w:val="num" w:pos="5040"/>
        </w:tabs>
        <w:ind w:left="5040" w:hanging="360"/>
      </w:pPr>
      <w:rPr>
        <w:rFonts w:ascii="Wingdings" w:hAnsi="Wingdings" w:hint="default"/>
      </w:rPr>
    </w:lvl>
    <w:lvl w:ilvl="7" w:tplc="948ADDDA" w:tentative="1">
      <w:start w:val="1"/>
      <w:numFmt w:val="bullet"/>
      <w:lvlText w:val=""/>
      <w:lvlJc w:val="left"/>
      <w:pPr>
        <w:tabs>
          <w:tab w:val="num" w:pos="5760"/>
        </w:tabs>
        <w:ind w:left="5760" w:hanging="360"/>
      </w:pPr>
      <w:rPr>
        <w:rFonts w:ascii="Wingdings" w:hAnsi="Wingdings" w:hint="default"/>
      </w:rPr>
    </w:lvl>
    <w:lvl w:ilvl="8" w:tplc="ABF8B78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553FF4"/>
    <w:multiLevelType w:val="hybridMultilevel"/>
    <w:tmpl w:val="ED96400A"/>
    <w:lvl w:ilvl="0" w:tplc="FCEEE6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3EC15C1"/>
    <w:multiLevelType w:val="hybridMultilevel"/>
    <w:tmpl w:val="77346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7F73A1B"/>
    <w:multiLevelType w:val="hybridMultilevel"/>
    <w:tmpl w:val="9E2696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F437E2"/>
    <w:multiLevelType w:val="multilevel"/>
    <w:tmpl w:val="C07C0E0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7B9F629B"/>
    <w:multiLevelType w:val="hybridMultilevel"/>
    <w:tmpl w:val="41EE9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D27056"/>
    <w:multiLevelType w:val="hybridMultilevel"/>
    <w:tmpl w:val="A16A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33"/>
  </w:num>
  <w:num w:numId="4">
    <w:abstractNumId w:val="23"/>
  </w:num>
  <w:num w:numId="5">
    <w:abstractNumId w:val="20"/>
  </w:num>
  <w:num w:numId="6">
    <w:abstractNumId w:val="36"/>
  </w:num>
  <w:num w:numId="7">
    <w:abstractNumId w:val="25"/>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2"/>
  </w:num>
  <w:num w:numId="11">
    <w:abstractNumId w:val="17"/>
  </w:num>
  <w:num w:numId="12">
    <w:abstractNumId w:val="24"/>
  </w:num>
  <w:num w:numId="13">
    <w:abstractNumId w:val="19"/>
  </w:num>
  <w:num w:numId="14">
    <w:abstractNumId w:val="30"/>
  </w:num>
  <w:num w:numId="15">
    <w:abstractNumId w:val="14"/>
  </w:num>
  <w:num w:numId="16">
    <w:abstractNumId w:val="29"/>
  </w:num>
  <w:num w:numId="17">
    <w:abstractNumId w:val="35"/>
  </w:num>
  <w:num w:numId="18">
    <w:abstractNumId w:val="26"/>
  </w:num>
  <w:num w:numId="19">
    <w:abstractNumId w:val="15"/>
  </w:num>
  <w:num w:numId="20">
    <w:abstractNumId w:val="13"/>
  </w:num>
  <w:num w:numId="21">
    <w:abstractNumId w:val="10"/>
  </w:num>
  <w:num w:numId="22">
    <w:abstractNumId w:val="18"/>
  </w:num>
  <w:num w:numId="23">
    <w:abstractNumId w:val="21"/>
  </w:num>
  <w:num w:numId="24">
    <w:abstractNumId w:val="34"/>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6"/>
  </w:num>
  <w:num w:numId="28">
    <w:abstractNumId w:val="1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A4C977B-F35C-457A-ACAF-52E09B1148F6}"/>
    <w:docVar w:name="dgnword-eventsink" w:val="457346456"/>
    <w:docVar w:name="dgnword-lastRevisionsView" w:val="0"/>
  </w:docVars>
  <w:rsids>
    <w:rsidRoot w:val="00057A96"/>
    <w:rsid w:val="00003F7F"/>
    <w:rsid w:val="00004957"/>
    <w:rsid w:val="000106C7"/>
    <w:rsid w:val="00020090"/>
    <w:rsid w:val="0002038E"/>
    <w:rsid w:val="00022E03"/>
    <w:rsid w:val="00023700"/>
    <w:rsid w:val="0002688E"/>
    <w:rsid w:val="00034822"/>
    <w:rsid w:val="00035C1D"/>
    <w:rsid w:val="000362E1"/>
    <w:rsid w:val="0004743E"/>
    <w:rsid w:val="0005001E"/>
    <w:rsid w:val="000504FF"/>
    <w:rsid w:val="00052D96"/>
    <w:rsid w:val="00053B2A"/>
    <w:rsid w:val="000556A2"/>
    <w:rsid w:val="00057A96"/>
    <w:rsid w:val="0006150C"/>
    <w:rsid w:val="000765C5"/>
    <w:rsid w:val="00077927"/>
    <w:rsid w:val="00084575"/>
    <w:rsid w:val="000852AB"/>
    <w:rsid w:val="000920D0"/>
    <w:rsid w:val="000930A6"/>
    <w:rsid w:val="00093587"/>
    <w:rsid w:val="00093E4E"/>
    <w:rsid w:val="000A547B"/>
    <w:rsid w:val="000A5C5C"/>
    <w:rsid w:val="000A6D72"/>
    <w:rsid w:val="000A7835"/>
    <w:rsid w:val="000A7C48"/>
    <w:rsid w:val="000C139F"/>
    <w:rsid w:val="000C6EAF"/>
    <w:rsid w:val="000D1221"/>
    <w:rsid w:val="000D2171"/>
    <w:rsid w:val="000D669F"/>
    <w:rsid w:val="000D746B"/>
    <w:rsid w:val="000E5A47"/>
    <w:rsid w:val="000E6420"/>
    <w:rsid w:val="000E75AE"/>
    <w:rsid w:val="000F0A11"/>
    <w:rsid w:val="001016A2"/>
    <w:rsid w:val="00111FE0"/>
    <w:rsid w:val="00117244"/>
    <w:rsid w:val="00123566"/>
    <w:rsid w:val="00125C1F"/>
    <w:rsid w:val="00134F13"/>
    <w:rsid w:val="00156214"/>
    <w:rsid w:val="001578FE"/>
    <w:rsid w:val="00160244"/>
    <w:rsid w:val="0016173B"/>
    <w:rsid w:val="001618A3"/>
    <w:rsid w:val="001648E9"/>
    <w:rsid w:val="00165DEE"/>
    <w:rsid w:val="00171ED5"/>
    <w:rsid w:val="00184DEF"/>
    <w:rsid w:val="00193C73"/>
    <w:rsid w:val="00195907"/>
    <w:rsid w:val="001A2532"/>
    <w:rsid w:val="001A259D"/>
    <w:rsid w:val="001A670E"/>
    <w:rsid w:val="001B0F3E"/>
    <w:rsid w:val="001B1D7C"/>
    <w:rsid w:val="001C6DD7"/>
    <w:rsid w:val="001D58B7"/>
    <w:rsid w:val="001D7E65"/>
    <w:rsid w:val="001E11B3"/>
    <w:rsid w:val="001E39E1"/>
    <w:rsid w:val="001F236C"/>
    <w:rsid w:val="00200416"/>
    <w:rsid w:val="00214949"/>
    <w:rsid w:val="00214AB0"/>
    <w:rsid w:val="00215008"/>
    <w:rsid w:val="00221A41"/>
    <w:rsid w:val="00222477"/>
    <w:rsid w:val="00225A35"/>
    <w:rsid w:val="00235267"/>
    <w:rsid w:val="00235411"/>
    <w:rsid w:val="002354DD"/>
    <w:rsid w:val="00237595"/>
    <w:rsid w:val="002408E4"/>
    <w:rsid w:val="002444EA"/>
    <w:rsid w:val="002453F0"/>
    <w:rsid w:val="00251082"/>
    <w:rsid w:val="00251E53"/>
    <w:rsid w:val="00253D92"/>
    <w:rsid w:val="002635D5"/>
    <w:rsid w:val="00264E39"/>
    <w:rsid w:val="00270292"/>
    <w:rsid w:val="00270B8D"/>
    <w:rsid w:val="002733F5"/>
    <w:rsid w:val="00273F2E"/>
    <w:rsid w:val="002751A1"/>
    <w:rsid w:val="00277536"/>
    <w:rsid w:val="002830C8"/>
    <w:rsid w:val="00287EF6"/>
    <w:rsid w:val="002902C8"/>
    <w:rsid w:val="002903AC"/>
    <w:rsid w:val="0029286A"/>
    <w:rsid w:val="002A3F6B"/>
    <w:rsid w:val="002A6238"/>
    <w:rsid w:val="002A6527"/>
    <w:rsid w:val="002B02E2"/>
    <w:rsid w:val="002B20E4"/>
    <w:rsid w:val="002B3F08"/>
    <w:rsid w:val="002B3F8E"/>
    <w:rsid w:val="002B5A1A"/>
    <w:rsid w:val="002C13F3"/>
    <w:rsid w:val="002D25C7"/>
    <w:rsid w:val="002D2D6B"/>
    <w:rsid w:val="002E1965"/>
    <w:rsid w:val="002E5E61"/>
    <w:rsid w:val="002E675B"/>
    <w:rsid w:val="002F01D7"/>
    <w:rsid w:val="002F15BC"/>
    <w:rsid w:val="002F2919"/>
    <w:rsid w:val="00303FE1"/>
    <w:rsid w:val="00304700"/>
    <w:rsid w:val="00315DC8"/>
    <w:rsid w:val="003166BE"/>
    <w:rsid w:val="003207FE"/>
    <w:rsid w:val="00321D49"/>
    <w:rsid w:val="00322C00"/>
    <w:rsid w:val="0032374C"/>
    <w:rsid w:val="00325EAA"/>
    <w:rsid w:val="003263CB"/>
    <w:rsid w:val="0033375A"/>
    <w:rsid w:val="003353BC"/>
    <w:rsid w:val="0033616F"/>
    <w:rsid w:val="00337E51"/>
    <w:rsid w:val="00337F92"/>
    <w:rsid w:val="00344377"/>
    <w:rsid w:val="00347062"/>
    <w:rsid w:val="00356E59"/>
    <w:rsid w:val="00360CEA"/>
    <w:rsid w:val="00361784"/>
    <w:rsid w:val="00364C1F"/>
    <w:rsid w:val="0036789B"/>
    <w:rsid w:val="003706E4"/>
    <w:rsid w:val="00371A4B"/>
    <w:rsid w:val="003726BC"/>
    <w:rsid w:val="003910E3"/>
    <w:rsid w:val="00394C43"/>
    <w:rsid w:val="00394D19"/>
    <w:rsid w:val="0039685A"/>
    <w:rsid w:val="00397189"/>
    <w:rsid w:val="003A0570"/>
    <w:rsid w:val="003A0659"/>
    <w:rsid w:val="003A4A44"/>
    <w:rsid w:val="003A4E0D"/>
    <w:rsid w:val="003B2CE2"/>
    <w:rsid w:val="003B5274"/>
    <w:rsid w:val="003B5E29"/>
    <w:rsid w:val="003C1EC1"/>
    <w:rsid w:val="003C2119"/>
    <w:rsid w:val="003C52D6"/>
    <w:rsid w:val="003D0D4B"/>
    <w:rsid w:val="003D53C4"/>
    <w:rsid w:val="003D5607"/>
    <w:rsid w:val="003D6E5D"/>
    <w:rsid w:val="003D703E"/>
    <w:rsid w:val="003E1178"/>
    <w:rsid w:val="003E18E4"/>
    <w:rsid w:val="003E3B94"/>
    <w:rsid w:val="003E6014"/>
    <w:rsid w:val="003F717E"/>
    <w:rsid w:val="004013E9"/>
    <w:rsid w:val="00402431"/>
    <w:rsid w:val="00420465"/>
    <w:rsid w:val="004213D2"/>
    <w:rsid w:val="00430261"/>
    <w:rsid w:val="00430CD2"/>
    <w:rsid w:val="0043391F"/>
    <w:rsid w:val="00434F35"/>
    <w:rsid w:val="0043716A"/>
    <w:rsid w:val="00441B5E"/>
    <w:rsid w:val="0045445E"/>
    <w:rsid w:val="004608A6"/>
    <w:rsid w:val="004671E4"/>
    <w:rsid w:val="00474A2F"/>
    <w:rsid w:val="00477355"/>
    <w:rsid w:val="004906B6"/>
    <w:rsid w:val="00493786"/>
    <w:rsid w:val="00494BB1"/>
    <w:rsid w:val="0049602B"/>
    <w:rsid w:val="004960CB"/>
    <w:rsid w:val="004A1822"/>
    <w:rsid w:val="004A5800"/>
    <w:rsid w:val="004A5C9C"/>
    <w:rsid w:val="004A7B1E"/>
    <w:rsid w:val="004B03DD"/>
    <w:rsid w:val="004B15ED"/>
    <w:rsid w:val="004B1F1C"/>
    <w:rsid w:val="004B46C8"/>
    <w:rsid w:val="004C4C52"/>
    <w:rsid w:val="004D0521"/>
    <w:rsid w:val="004D3C1C"/>
    <w:rsid w:val="004D7325"/>
    <w:rsid w:val="004E0E93"/>
    <w:rsid w:val="004E121C"/>
    <w:rsid w:val="004E79B6"/>
    <w:rsid w:val="00505258"/>
    <w:rsid w:val="005102A8"/>
    <w:rsid w:val="0051479B"/>
    <w:rsid w:val="0052196D"/>
    <w:rsid w:val="00531860"/>
    <w:rsid w:val="00532A9F"/>
    <w:rsid w:val="005333BF"/>
    <w:rsid w:val="00535F58"/>
    <w:rsid w:val="00536FE3"/>
    <w:rsid w:val="00537793"/>
    <w:rsid w:val="0054334A"/>
    <w:rsid w:val="00543811"/>
    <w:rsid w:val="00552D7D"/>
    <w:rsid w:val="00552F6F"/>
    <w:rsid w:val="005600B9"/>
    <w:rsid w:val="00561DAF"/>
    <w:rsid w:val="00571FCB"/>
    <w:rsid w:val="005733D5"/>
    <w:rsid w:val="0057494A"/>
    <w:rsid w:val="005760FB"/>
    <w:rsid w:val="005774E6"/>
    <w:rsid w:val="0058225D"/>
    <w:rsid w:val="00582F2B"/>
    <w:rsid w:val="00585E10"/>
    <w:rsid w:val="00590DF6"/>
    <w:rsid w:val="00597B49"/>
    <w:rsid w:val="005A0FDA"/>
    <w:rsid w:val="005A3A5E"/>
    <w:rsid w:val="005A7777"/>
    <w:rsid w:val="005B1325"/>
    <w:rsid w:val="005B54A6"/>
    <w:rsid w:val="005C09C2"/>
    <w:rsid w:val="005C0B2A"/>
    <w:rsid w:val="005C64AE"/>
    <w:rsid w:val="005C765F"/>
    <w:rsid w:val="005D0BF6"/>
    <w:rsid w:val="005D1289"/>
    <w:rsid w:val="005D363A"/>
    <w:rsid w:val="005D600A"/>
    <w:rsid w:val="005D7BC0"/>
    <w:rsid w:val="005E223B"/>
    <w:rsid w:val="005E2EB0"/>
    <w:rsid w:val="005E464C"/>
    <w:rsid w:val="005F0869"/>
    <w:rsid w:val="005F243E"/>
    <w:rsid w:val="006123FF"/>
    <w:rsid w:val="00617279"/>
    <w:rsid w:val="006303A1"/>
    <w:rsid w:val="006303F5"/>
    <w:rsid w:val="00632473"/>
    <w:rsid w:val="006332BB"/>
    <w:rsid w:val="006356F8"/>
    <w:rsid w:val="0064013F"/>
    <w:rsid w:val="00642C25"/>
    <w:rsid w:val="006464D4"/>
    <w:rsid w:val="00655C68"/>
    <w:rsid w:val="006563EF"/>
    <w:rsid w:val="00657BB5"/>
    <w:rsid w:val="00671651"/>
    <w:rsid w:val="00673780"/>
    <w:rsid w:val="00677E58"/>
    <w:rsid w:val="00681207"/>
    <w:rsid w:val="00681B89"/>
    <w:rsid w:val="00686CC3"/>
    <w:rsid w:val="006954B9"/>
    <w:rsid w:val="006A0D6B"/>
    <w:rsid w:val="006A3721"/>
    <w:rsid w:val="006B3A2D"/>
    <w:rsid w:val="006B5982"/>
    <w:rsid w:val="006B7023"/>
    <w:rsid w:val="006C1B31"/>
    <w:rsid w:val="006C2022"/>
    <w:rsid w:val="006C7912"/>
    <w:rsid w:val="006D4C7B"/>
    <w:rsid w:val="006E3FE1"/>
    <w:rsid w:val="006E50CB"/>
    <w:rsid w:val="006E5BB7"/>
    <w:rsid w:val="006F1055"/>
    <w:rsid w:val="006F5CB0"/>
    <w:rsid w:val="00706C50"/>
    <w:rsid w:val="00710123"/>
    <w:rsid w:val="00712F0B"/>
    <w:rsid w:val="007140C1"/>
    <w:rsid w:val="00731A4B"/>
    <w:rsid w:val="0073688B"/>
    <w:rsid w:val="007378F8"/>
    <w:rsid w:val="007409DC"/>
    <w:rsid w:val="0075411B"/>
    <w:rsid w:val="0076556C"/>
    <w:rsid w:val="00774DBA"/>
    <w:rsid w:val="00785677"/>
    <w:rsid w:val="00785E03"/>
    <w:rsid w:val="0079246E"/>
    <w:rsid w:val="007A025B"/>
    <w:rsid w:val="007A1902"/>
    <w:rsid w:val="007A2653"/>
    <w:rsid w:val="007A4F6D"/>
    <w:rsid w:val="007B062A"/>
    <w:rsid w:val="007B3C38"/>
    <w:rsid w:val="007B5ADA"/>
    <w:rsid w:val="007C3CDC"/>
    <w:rsid w:val="007C464C"/>
    <w:rsid w:val="007C48F4"/>
    <w:rsid w:val="007D02A9"/>
    <w:rsid w:val="007D0F5C"/>
    <w:rsid w:val="007D5A1E"/>
    <w:rsid w:val="007D6918"/>
    <w:rsid w:val="007D7656"/>
    <w:rsid w:val="007E5DCE"/>
    <w:rsid w:val="007E7CB6"/>
    <w:rsid w:val="007F1BBB"/>
    <w:rsid w:val="00800656"/>
    <w:rsid w:val="0080204F"/>
    <w:rsid w:val="00806C1C"/>
    <w:rsid w:val="00810B87"/>
    <w:rsid w:val="00811D53"/>
    <w:rsid w:val="008162D5"/>
    <w:rsid w:val="0081776B"/>
    <w:rsid w:val="008213F2"/>
    <w:rsid w:val="00823020"/>
    <w:rsid w:val="00825076"/>
    <w:rsid w:val="008317DD"/>
    <w:rsid w:val="00834CD3"/>
    <w:rsid w:val="008361CE"/>
    <w:rsid w:val="008422A1"/>
    <w:rsid w:val="0084316E"/>
    <w:rsid w:val="0084685E"/>
    <w:rsid w:val="0084757F"/>
    <w:rsid w:val="00850778"/>
    <w:rsid w:val="00850DA8"/>
    <w:rsid w:val="008510FD"/>
    <w:rsid w:val="00864EA9"/>
    <w:rsid w:val="00864EE4"/>
    <w:rsid w:val="00877578"/>
    <w:rsid w:val="00890F73"/>
    <w:rsid w:val="00891AD3"/>
    <w:rsid w:val="008927BC"/>
    <w:rsid w:val="00894B77"/>
    <w:rsid w:val="008A01EB"/>
    <w:rsid w:val="008A1907"/>
    <w:rsid w:val="008B1135"/>
    <w:rsid w:val="008B7F81"/>
    <w:rsid w:val="008C46AA"/>
    <w:rsid w:val="008C63B9"/>
    <w:rsid w:val="008D0122"/>
    <w:rsid w:val="008D2B05"/>
    <w:rsid w:val="008D4D4F"/>
    <w:rsid w:val="008E1F40"/>
    <w:rsid w:val="008E200F"/>
    <w:rsid w:val="008E3780"/>
    <w:rsid w:val="008F08BC"/>
    <w:rsid w:val="008F196D"/>
    <w:rsid w:val="008F1E40"/>
    <w:rsid w:val="008F6CA0"/>
    <w:rsid w:val="00902142"/>
    <w:rsid w:val="00910DC6"/>
    <w:rsid w:val="00913B13"/>
    <w:rsid w:val="00922EF1"/>
    <w:rsid w:val="00923A96"/>
    <w:rsid w:val="00925705"/>
    <w:rsid w:val="00933FBD"/>
    <w:rsid w:val="00940BB7"/>
    <w:rsid w:val="009414AD"/>
    <w:rsid w:val="00947EEA"/>
    <w:rsid w:val="00951091"/>
    <w:rsid w:val="009512B8"/>
    <w:rsid w:val="00954C5F"/>
    <w:rsid w:val="00955D32"/>
    <w:rsid w:val="009574B7"/>
    <w:rsid w:val="00963290"/>
    <w:rsid w:val="00970C4E"/>
    <w:rsid w:val="00975034"/>
    <w:rsid w:val="009757EA"/>
    <w:rsid w:val="00975C7D"/>
    <w:rsid w:val="00981F90"/>
    <w:rsid w:val="00982A10"/>
    <w:rsid w:val="00983AED"/>
    <w:rsid w:val="00985B4C"/>
    <w:rsid w:val="0098707D"/>
    <w:rsid w:val="00991E47"/>
    <w:rsid w:val="00995744"/>
    <w:rsid w:val="009A0BA6"/>
    <w:rsid w:val="009A4E78"/>
    <w:rsid w:val="009A70C7"/>
    <w:rsid w:val="009A7F74"/>
    <w:rsid w:val="009B4364"/>
    <w:rsid w:val="009C4513"/>
    <w:rsid w:val="009C59ED"/>
    <w:rsid w:val="009C6EC9"/>
    <w:rsid w:val="009D09B6"/>
    <w:rsid w:val="009D43F3"/>
    <w:rsid w:val="009D5F2A"/>
    <w:rsid w:val="009E0724"/>
    <w:rsid w:val="009E1A74"/>
    <w:rsid w:val="009E3A33"/>
    <w:rsid w:val="009E4ED7"/>
    <w:rsid w:val="009F4BF2"/>
    <w:rsid w:val="00A01440"/>
    <w:rsid w:val="00A0257E"/>
    <w:rsid w:val="00A11875"/>
    <w:rsid w:val="00A1593B"/>
    <w:rsid w:val="00A216B2"/>
    <w:rsid w:val="00A231B7"/>
    <w:rsid w:val="00A247E4"/>
    <w:rsid w:val="00A2705A"/>
    <w:rsid w:val="00A3507B"/>
    <w:rsid w:val="00A35C73"/>
    <w:rsid w:val="00A50448"/>
    <w:rsid w:val="00A60F50"/>
    <w:rsid w:val="00A63CE8"/>
    <w:rsid w:val="00A64A17"/>
    <w:rsid w:val="00A65B14"/>
    <w:rsid w:val="00A76FFC"/>
    <w:rsid w:val="00A91F12"/>
    <w:rsid w:val="00A95829"/>
    <w:rsid w:val="00AA0B95"/>
    <w:rsid w:val="00AA2436"/>
    <w:rsid w:val="00AA5E32"/>
    <w:rsid w:val="00AB0301"/>
    <w:rsid w:val="00AB3231"/>
    <w:rsid w:val="00AB4BCB"/>
    <w:rsid w:val="00AB4C92"/>
    <w:rsid w:val="00AB6FAA"/>
    <w:rsid w:val="00AB6FFB"/>
    <w:rsid w:val="00AC1C2C"/>
    <w:rsid w:val="00AC7309"/>
    <w:rsid w:val="00AC7C62"/>
    <w:rsid w:val="00AD78BE"/>
    <w:rsid w:val="00AE2600"/>
    <w:rsid w:val="00AE33AF"/>
    <w:rsid w:val="00B006B9"/>
    <w:rsid w:val="00B076DB"/>
    <w:rsid w:val="00B1066A"/>
    <w:rsid w:val="00B14EE4"/>
    <w:rsid w:val="00B222AB"/>
    <w:rsid w:val="00B266B8"/>
    <w:rsid w:val="00B30BD5"/>
    <w:rsid w:val="00B37F66"/>
    <w:rsid w:val="00B40620"/>
    <w:rsid w:val="00B411BD"/>
    <w:rsid w:val="00B43120"/>
    <w:rsid w:val="00B44427"/>
    <w:rsid w:val="00B45EFA"/>
    <w:rsid w:val="00B50325"/>
    <w:rsid w:val="00B5103B"/>
    <w:rsid w:val="00B55124"/>
    <w:rsid w:val="00B60F59"/>
    <w:rsid w:val="00B6150C"/>
    <w:rsid w:val="00B64C7F"/>
    <w:rsid w:val="00B66809"/>
    <w:rsid w:val="00B714CE"/>
    <w:rsid w:val="00B92B6B"/>
    <w:rsid w:val="00B9306A"/>
    <w:rsid w:val="00B95060"/>
    <w:rsid w:val="00BB4770"/>
    <w:rsid w:val="00BC030F"/>
    <w:rsid w:val="00BC3667"/>
    <w:rsid w:val="00BC376B"/>
    <w:rsid w:val="00BC553F"/>
    <w:rsid w:val="00BE1026"/>
    <w:rsid w:val="00BE4418"/>
    <w:rsid w:val="00BE7FD6"/>
    <w:rsid w:val="00BF1F57"/>
    <w:rsid w:val="00BF7F32"/>
    <w:rsid w:val="00C00BD8"/>
    <w:rsid w:val="00C01651"/>
    <w:rsid w:val="00C06414"/>
    <w:rsid w:val="00C06524"/>
    <w:rsid w:val="00C121D4"/>
    <w:rsid w:val="00C1341B"/>
    <w:rsid w:val="00C13CD5"/>
    <w:rsid w:val="00C16EA5"/>
    <w:rsid w:val="00C21C9A"/>
    <w:rsid w:val="00C223B2"/>
    <w:rsid w:val="00C2486C"/>
    <w:rsid w:val="00C30A28"/>
    <w:rsid w:val="00C334CA"/>
    <w:rsid w:val="00C335B2"/>
    <w:rsid w:val="00C337E9"/>
    <w:rsid w:val="00C3562B"/>
    <w:rsid w:val="00C41C62"/>
    <w:rsid w:val="00C420BB"/>
    <w:rsid w:val="00C4317B"/>
    <w:rsid w:val="00C477B1"/>
    <w:rsid w:val="00C47BAC"/>
    <w:rsid w:val="00C5569F"/>
    <w:rsid w:val="00C61F78"/>
    <w:rsid w:val="00C62169"/>
    <w:rsid w:val="00C6375F"/>
    <w:rsid w:val="00C6714D"/>
    <w:rsid w:val="00C74B98"/>
    <w:rsid w:val="00C766DA"/>
    <w:rsid w:val="00C8007B"/>
    <w:rsid w:val="00C8034B"/>
    <w:rsid w:val="00C91A56"/>
    <w:rsid w:val="00C9612B"/>
    <w:rsid w:val="00CA65EE"/>
    <w:rsid w:val="00CA6D77"/>
    <w:rsid w:val="00CA6DC2"/>
    <w:rsid w:val="00CB309A"/>
    <w:rsid w:val="00CB3EC7"/>
    <w:rsid w:val="00CB77C0"/>
    <w:rsid w:val="00CC0F7B"/>
    <w:rsid w:val="00CC5474"/>
    <w:rsid w:val="00CE1EE8"/>
    <w:rsid w:val="00CE4FE2"/>
    <w:rsid w:val="00CF284B"/>
    <w:rsid w:val="00CF3939"/>
    <w:rsid w:val="00CF3D66"/>
    <w:rsid w:val="00D0092B"/>
    <w:rsid w:val="00D07392"/>
    <w:rsid w:val="00D139E5"/>
    <w:rsid w:val="00D149EA"/>
    <w:rsid w:val="00D26A25"/>
    <w:rsid w:val="00D30D8C"/>
    <w:rsid w:val="00D310E2"/>
    <w:rsid w:val="00D35853"/>
    <w:rsid w:val="00D44F74"/>
    <w:rsid w:val="00D569B3"/>
    <w:rsid w:val="00D603ED"/>
    <w:rsid w:val="00D66A95"/>
    <w:rsid w:val="00D7344B"/>
    <w:rsid w:val="00D7394F"/>
    <w:rsid w:val="00D74435"/>
    <w:rsid w:val="00D74E8C"/>
    <w:rsid w:val="00D81E7D"/>
    <w:rsid w:val="00D91F0D"/>
    <w:rsid w:val="00DA1E82"/>
    <w:rsid w:val="00DA2608"/>
    <w:rsid w:val="00DB494F"/>
    <w:rsid w:val="00DC15EB"/>
    <w:rsid w:val="00DC557A"/>
    <w:rsid w:val="00DC5FAA"/>
    <w:rsid w:val="00DD17DF"/>
    <w:rsid w:val="00DD1935"/>
    <w:rsid w:val="00DD4141"/>
    <w:rsid w:val="00DE12C1"/>
    <w:rsid w:val="00DE3E35"/>
    <w:rsid w:val="00DF2054"/>
    <w:rsid w:val="00DF2AE3"/>
    <w:rsid w:val="00DF539E"/>
    <w:rsid w:val="00DF5485"/>
    <w:rsid w:val="00DF7C3C"/>
    <w:rsid w:val="00E05108"/>
    <w:rsid w:val="00E05FDB"/>
    <w:rsid w:val="00E112F0"/>
    <w:rsid w:val="00E143C8"/>
    <w:rsid w:val="00E178E0"/>
    <w:rsid w:val="00E26F5A"/>
    <w:rsid w:val="00E30F80"/>
    <w:rsid w:val="00E32FDC"/>
    <w:rsid w:val="00E35878"/>
    <w:rsid w:val="00E52F4C"/>
    <w:rsid w:val="00E56127"/>
    <w:rsid w:val="00E61986"/>
    <w:rsid w:val="00E6359D"/>
    <w:rsid w:val="00E655DF"/>
    <w:rsid w:val="00E73A35"/>
    <w:rsid w:val="00E85CEE"/>
    <w:rsid w:val="00E9057D"/>
    <w:rsid w:val="00E97122"/>
    <w:rsid w:val="00EA2317"/>
    <w:rsid w:val="00EA4810"/>
    <w:rsid w:val="00EB0875"/>
    <w:rsid w:val="00EB1F48"/>
    <w:rsid w:val="00EC3FF1"/>
    <w:rsid w:val="00ED074C"/>
    <w:rsid w:val="00ED46FC"/>
    <w:rsid w:val="00ED6058"/>
    <w:rsid w:val="00EE2BFB"/>
    <w:rsid w:val="00EE49C7"/>
    <w:rsid w:val="00EE54AD"/>
    <w:rsid w:val="00EE5869"/>
    <w:rsid w:val="00EE7485"/>
    <w:rsid w:val="00EF1A10"/>
    <w:rsid w:val="00EF4DC8"/>
    <w:rsid w:val="00EF4DE7"/>
    <w:rsid w:val="00F04A7C"/>
    <w:rsid w:val="00F06887"/>
    <w:rsid w:val="00F06B83"/>
    <w:rsid w:val="00F30E39"/>
    <w:rsid w:val="00F37CA7"/>
    <w:rsid w:val="00F43D59"/>
    <w:rsid w:val="00F471C9"/>
    <w:rsid w:val="00F50F6B"/>
    <w:rsid w:val="00F529F8"/>
    <w:rsid w:val="00F627C5"/>
    <w:rsid w:val="00F6396C"/>
    <w:rsid w:val="00F63ABB"/>
    <w:rsid w:val="00F63F6B"/>
    <w:rsid w:val="00F645E9"/>
    <w:rsid w:val="00F65122"/>
    <w:rsid w:val="00F654F1"/>
    <w:rsid w:val="00F81727"/>
    <w:rsid w:val="00F827FE"/>
    <w:rsid w:val="00F85A2F"/>
    <w:rsid w:val="00F86E3F"/>
    <w:rsid w:val="00F93FDD"/>
    <w:rsid w:val="00FA4C94"/>
    <w:rsid w:val="00FA63D7"/>
    <w:rsid w:val="00FA6A6B"/>
    <w:rsid w:val="00FA7074"/>
    <w:rsid w:val="00FB1B8A"/>
    <w:rsid w:val="00FB40E2"/>
    <w:rsid w:val="00FB6420"/>
    <w:rsid w:val="00FC0311"/>
    <w:rsid w:val="00FC6052"/>
    <w:rsid w:val="00FE0754"/>
    <w:rsid w:val="00FE3F76"/>
    <w:rsid w:val="00FE510B"/>
    <w:rsid w:val="00FF03AE"/>
    <w:rsid w:val="00FF4177"/>
    <w:rsid w:val="00FF5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61D74"/>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B1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913B13"/>
    <w:pPr>
      <w:keepNext/>
      <w:keepLines/>
      <w:spacing w:before="240" w:after="240"/>
      <w:outlineLvl w:val="2"/>
    </w:pPr>
    <w:rPr>
      <w:rFonts w:eastAsiaTheme="majorEastAsia" w:cstheme="majorBidi"/>
      <w:b/>
      <w:color w:val="000000" w:themeColor="text1"/>
      <w:sz w:val="32"/>
      <w:szCs w:val="32"/>
    </w:rPr>
  </w:style>
  <w:style w:type="paragraph" w:styleId="Heading4">
    <w:name w:val="heading 4"/>
    <w:basedOn w:val="Normal"/>
    <w:next w:val="Normal"/>
    <w:link w:val="Heading4Char"/>
    <w:autoRedefine/>
    <w:uiPriority w:val="9"/>
    <w:unhideWhenUsed/>
    <w:qFormat/>
    <w:rsid w:val="00850DA8"/>
    <w:pPr>
      <w:keepNext/>
      <w:keepLines/>
      <w:spacing w:before="240" w:after="240"/>
      <w:outlineLvl w:val="3"/>
    </w:pPr>
    <w:rPr>
      <w:rFonts w:eastAsiaTheme="majorEastAsia" w:cstheme="majorBidi"/>
      <w:b/>
      <w:iCs/>
      <w:color w:val="000000" w:themeColor="text1"/>
      <w:sz w:val="28"/>
      <w:szCs w:val="28"/>
    </w:rPr>
  </w:style>
  <w:style w:type="paragraph" w:styleId="Heading5">
    <w:name w:val="heading 5"/>
    <w:basedOn w:val="Normal"/>
    <w:next w:val="Normal"/>
    <w:link w:val="Heading5Char"/>
    <w:uiPriority w:val="9"/>
    <w:unhideWhenUsed/>
    <w:qFormat/>
    <w:rsid w:val="00287EF6"/>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87EF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B6FAA"/>
    <w:pPr>
      <w:ind w:left="720"/>
    </w:pPr>
  </w:style>
  <w:style w:type="paragraph" w:styleId="Header">
    <w:name w:val="header"/>
    <w:basedOn w:val="Normal"/>
    <w:link w:val="HeaderChar"/>
    <w:uiPriority w:val="99"/>
    <w:unhideWhenUsed/>
    <w:rsid w:val="005C09C2"/>
    <w:pPr>
      <w:tabs>
        <w:tab w:val="center" w:pos="4680"/>
        <w:tab w:val="right" w:pos="9360"/>
      </w:tabs>
    </w:pPr>
  </w:style>
  <w:style w:type="character" w:customStyle="1" w:styleId="HeaderChar">
    <w:name w:val="Header Char"/>
    <w:basedOn w:val="DefaultParagraphFont"/>
    <w:link w:val="Header"/>
    <w:uiPriority w:val="99"/>
    <w:rsid w:val="005C09C2"/>
    <w:rPr>
      <w:rFonts w:ascii="Arial" w:eastAsia="Times New Roman" w:hAnsi="Arial" w:cs="Times New Roman"/>
      <w:sz w:val="24"/>
      <w:szCs w:val="24"/>
    </w:rPr>
  </w:style>
  <w:style w:type="paragraph" w:styleId="Footer">
    <w:name w:val="footer"/>
    <w:basedOn w:val="Normal"/>
    <w:link w:val="FooterChar"/>
    <w:uiPriority w:val="99"/>
    <w:unhideWhenUsed/>
    <w:rsid w:val="005C09C2"/>
    <w:pPr>
      <w:tabs>
        <w:tab w:val="center" w:pos="4680"/>
        <w:tab w:val="right" w:pos="9360"/>
      </w:tabs>
    </w:pPr>
  </w:style>
  <w:style w:type="character" w:customStyle="1" w:styleId="FooterChar">
    <w:name w:val="Footer Char"/>
    <w:basedOn w:val="DefaultParagraphFont"/>
    <w:link w:val="Footer"/>
    <w:uiPriority w:val="99"/>
    <w:rsid w:val="005C09C2"/>
    <w:rPr>
      <w:rFonts w:ascii="Arial" w:eastAsia="Times New Roman" w:hAnsi="Arial" w:cs="Times New Roman"/>
      <w:sz w:val="24"/>
      <w:szCs w:val="24"/>
    </w:rPr>
  </w:style>
  <w:style w:type="character" w:customStyle="1" w:styleId="Heading3Char">
    <w:name w:val="Heading 3 Char"/>
    <w:basedOn w:val="DefaultParagraphFont"/>
    <w:link w:val="Heading3"/>
    <w:uiPriority w:val="9"/>
    <w:rsid w:val="00913B13"/>
    <w:rPr>
      <w:rFonts w:ascii="Arial" w:eastAsiaTheme="majorEastAsia" w:hAnsi="Arial" w:cstheme="majorBidi"/>
      <w:b/>
      <w:color w:val="000000" w:themeColor="text1"/>
      <w:sz w:val="32"/>
      <w:szCs w:val="32"/>
    </w:rPr>
  </w:style>
  <w:style w:type="character" w:styleId="Hyperlink">
    <w:name w:val="Hyperlink"/>
    <w:basedOn w:val="DefaultParagraphFont"/>
    <w:uiPriority w:val="99"/>
    <w:unhideWhenUsed/>
    <w:rsid w:val="000A6D72"/>
    <w:rPr>
      <w:color w:val="0000FF"/>
      <w:u w:val="single"/>
    </w:rPr>
  </w:style>
  <w:style w:type="paragraph" w:styleId="FootnoteText">
    <w:name w:val="footnote text"/>
    <w:basedOn w:val="Normal"/>
    <w:link w:val="FootnoteTextChar"/>
    <w:uiPriority w:val="99"/>
    <w:semiHidden/>
    <w:unhideWhenUsed/>
    <w:rsid w:val="000A6D72"/>
    <w:rPr>
      <w:rFonts w:eastAsiaTheme="minorHAnsi" w:cs="Arial"/>
      <w:sz w:val="20"/>
      <w:szCs w:val="20"/>
    </w:rPr>
  </w:style>
  <w:style w:type="character" w:customStyle="1" w:styleId="FootnoteTextChar">
    <w:name w:val="Footnote Text Char"/>
    <w:basedOn w:val="DefaultParagraphFont"/>
    <w:link w:val="FootnoteText"/>
    <w:uiPriority w:val="99"/>
    <w:semiHidden/>
    <w:rsid w:val="000A6D72"/>
    <w:rPr>
      <w:rFonts w:ascii="Arial" w:hAnsi="Arial" w:cs="Arial"/>
      <w:sz w:val="20"/>
      <w:szCs w:val="20"/>
    </w:rPr>
  </w:style>
  <w:style w:type="character" w:styleId="FootnoteReference">
    <w:name w:val="footnote reference"/>
    <w:basedOn w:val="DefaultParagraphFont"/>
    <w:uiPriority w:val="99"/>
    <w:semiHidden/>
    <w:unhideWhenUsed/>
    <w:rsid w:val="000A6D72"/>
    <w:rPr>
      <w:vertAlign w:val="superscript"/>
    </w:rPr>
  </w:style>
  <w:style w:type="character" w:customStyle="1" w:styleId="nlmstring-name">
    <w:name w:val="nlm_string-name"/>
    <w:basedOn w:val="DefaultParagraphFont"/>
    <w:rsid w:val="000A6D72"/>
  </w:style>
  <w:style w:type="character" w:customStyle="1" w:styleId="nlmyear">
    <w:name w:val="nlm_year"/>
    <w:basedOn w:val="DefaultParagraphFont"/>
    <w:rsid w:val="000A6D72"/>
  </w:style>
  <w:style w:type="character" w:customStyle="1" w:styleId="nlmpublisher-loc">
    <w:name w:val="nlm_publisher-loc"/>
    <w:basedOn w:val="DefaultParagraphFont"/>
    <w:rsid w:val="000A6D72"/>
  </w:style>
  <w:style w:type="character" w:customStyle="1" w:styleId="nlmpublisher-name">
    <w:name w:val="nlm_publisher-name"/>
    <w:basedOn w:val="DefaultParagraphFont"/>
    <w:rsid w:val="000A6D72"/>
  </w:style>
  <w:style w:type="character" w:styleId="CommentReference">
    <w:name w:val="annotation reference"/>
    <w:basedOn w:val="DefaultParagraphFont"/>
    <w:uiPriority w:val="99"/>
    <w:semiHidden/>
    <w:unhideWhenUsed/>
    <w:rsid w:val="005C765F"/>
    <w:rPr>
      <w:sz w:val="16"/>
      <w:szCs w:val="16"/>
    </w:rPr>
  </w:style>
  <w:style w:type="paragraph" w:styleId="CommentText">
    <w:name w:val="annotation text"/>
    <w:basedOn w:val="Normal"/>
    <w:link w:val="CommentTextChar"/>
    <w:uiPriority w:val="99"/>
    <w:unhideWhenUsed/>
    <w:rsid w:val="005C765F"/>
    <w:rPr>
      <w:sz w:val="20"/>
      <w:szCs w:val="20"/>
    </w:rPr>
  </w:style>
  <w:style w:type="character" w:customStyle="1" w:styleId="CommentTextChar">
    <w:name w:val="Comment Text Char"/>
    <w:basedOn w:val="DefaultParagraphFont"/>
    <w:link w:val="CommentText"/>
    <w:uiPriority w:val="99"/>
    <w:rsid w:val="005C765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C765F"/>
    <w:rPr>
      <w:b/>
      <w:bCs/>
    </w:rPr>
  </w:style>
  <w:style w:type="character" w:customStyle="1" w:styleId="CommentSubjectChar">
    <w:name w:val="Comment Subject Char"/>
    <w:basedOn w:val="CommentTextChar"/>
    <w:link w:val="CommentSubject"/>
    <w:uiPriority w:val="99"/>
    <w:semiHidden/>
    <w:rsid w:val="005C765F"/>
    <w:rPr>
      <w:rFonts w:ascii="Arial" w:eastAsia="Times New Roman" w:hAnsi="Arial" w:cs="Times New Roman"/>
      <w:b/>
      <w:bCs/>
      <w:sz w:val="20"/>
      <w:szCs w:val="20"/>
    </w:rPr>
  </w:style>
  <w:style w:type="character" w:customStyle="1" w:styleId="Heading4Char">
    <w:name w:val="Heading 4 Char"/>
    <w:basedOn w:val="DefaultParagraphFont"/>
    <w:link w:val="Heading4"/>
    <w:uiPriority w:val="9"/>
    <w:rsid w:val="00850DA8"/>
    <w:rPr>
      <w:rFonts w:ascii="Arial" w:eastAsiaTheme="majorEastAsia" w:hAnsi="Arial" w:cstheme="majorBidi"/>
      <w:b/>
      <w:iCs/>
      <w:color w:val="000000" w:themeColor="text1"/>
      <w:sz w:val="28"/>
      <w:szCs w:val="28"/>
    </w:rPr>
  </w:style>
  <w:style w:type="table" w:styleId="TableGrid">
    <w:name w:val="Table Grid"/>
    <w:basedOn w:val="TableNormal"/>
    <w:uiPriority w:val="39"/>
    <w:rsid w:val="007409D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A247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247E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4">
    <w:name w:val="Grid Table 4"/>
    <w:basedOn w:val="TableNormal"/>
    <w:uiPriority w:val="49"/>
    <w:rsid w:val="00A247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3">
    <w:name w:val="Grid Table 5 Dark Accent 3"/>
    <w:basedOn w:val="TableNormal"/>
    <w:uiPriority w:val="50"/>
    <w:rsid w:val="00A247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6Colorful">
    <w:name w:val="Grid Table 6 Colorful"/>
    <w:basedOn w:val="TableNormal"/>
    <w:uiPriority w:val="51"/>
    <w:rsid w:val="00A247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247E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1">
    <w:name w:val="List Table 4 Accent 1"/>
    <w:basedOn w:val="TableNormal"/>
    <w:uiPriority w:val="49"/>
    <w:rsid w:val="00A247E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5Char">
    <w:name w:val="Heading 5 Char"/>
    <w:basedOn w:val="DefaultParagraphFont"/>
    <w:link w:val="Heading5"/>
    <w:uiPriority w:val="9"/>
    <w:rsid w:val="00287EF6"/>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287EF6"/>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954C5F"/>
    <w:rPr>
      <w:rFonts w:ascii="Times New Roman" w:eastAsia="Calibri" w:hAnsi="Times New Roman"/>
    </w:rPr>
  </w:style>
  <w:style w:type="paragraph" w:styleId="NoSpacing">
    <w:name w:val="No Spacing"/>
    <w:uiPriority w:val="1"/>
    <w:qFormat/>
    <w:rsid w:val="004671E4"/>
    <w:pPr>
      <w:spacing w:after="0" w:line="240" w:lineRule="auto"/>
    </w:pPr>
    <w:rPr>
      <w:rFonts w:ascii="Calibri" w:eastAsia="Calibri" w:hAnsi="Calibri" w:cs="Times New Roman"/>
    </w:rPr>
  </w:style>
  <w:style w:type="table" w:customStyle="1" w:styleId="TableGrid1">
    <w:name w:val="Table Grid1"/>
    <w:basedOn w:val="TableNormal"/>
    <w:next w:val="TableGrid"/>
    <w:uiPriority w:val="39"/>
    <w:rsid w:val="00316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F4DC8"/>
    <w:rPr>
      <w:color w:val="954F72" w:themeColor="followedHyperlink"/>
      <w:u w:val="single"/>
    </w:rPr>
  </w:style>
  <w:style w:type="paragraph" w:styleId="Revision">
    <w:name w:val="Revision"/>
    <w:hidden/>
    <w:uiPriority w:val="99"/>
    <w:semiHidden/>
    <w:rsid w:val="007E7CB6"/>
    <w:pPr>
      <w:spacing w:after="0" w:line="240" w:lineRule="auto"/>
    </w:pPr>
    <w:rPr>
      <w:rFonts w:ascii="Arial" w:eastAsia="Times New Roman" w:hAnsi="Arial" w:cs="Times New Roman"/>
      <w:sz w:val="24"/>
      <w:szCs w:val="24"/>
    </w:rPr>
  </w:style>
  <w:style w:type="paragraph" w:customStyle="1" w:styleId="Footnote">
    <w:name w:val="Footnote"/>
    <w:link w:val="FootnoteChar1"/>
    <w:rsid w:val="007E5DCE"/>
    <w:pPr>
      <w:spacing w:after="0" w:line="240" w:lineRule="auto"/>
      <w:ind w:firstLine="360"/>
    </w:pPr>
    <w:rPr>
      <w:rFonts w:ascii="Garamond" w:eastAsia="Calibri" w:hAnsi="Garamond" w:cs="Times New Roman"/>
      <w:sz w:val="20"/>
      <w:szCs w:val="24"/>
    </w:rPr>
  </w:style>
  <w:style w:type="character" w:customStyle="1" w:styleId="FootnoteChar1">
    <w:name w:val="Footnote Char1"/>
    <w:basedOn w:val="DefaultParagraphFont"/>
    <w:link w:val="Footnote"/>
    <w:rsid w:val="007E5DCE"/>
    <w:rPr>
      <w:rFonts w:ascii="Garamond" w:eastAsia="Calibri" w:hAnsi="Garamond" w:cs="Times New Roman"/>
      <w:sz w:val="20"/>
      <w:szCs w:val="24"/>
    </w:rPr>
  </w:style>
  <w:style w:type="paragraph" w:styleId="MessageHeader">
    <w:name w:val="Message Header"/>
    <w:basedOn w:val="Normal"/>
    <w:link w:val="MessageHeaderChar"/>
    <w:uiPriority w:val="99"/>
    <w:unhideWhenUsed/>
    <w:rsid w:val="00913B13"/>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913B13"/>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603949">
      <w:bodyDiv w:val="1"/>
      <w:marLeft w:val="0"/>
      <w:marRight w:val="0"/>
      <w:marTop w:val="0"/>
      <w:marBottom w:val="0"/>
      <w:divBdr>
        <w:top w:val="none" w:sz="0" w:space="0" w:color="auto"/>
        <w:left w:val="none" w:sz="0" w:space="0" w:color="auto"/>
        <w:bottom w:val="none" w:sz="0" w:space="0" w:color="auto"/>
        <w:right w:val="none" w:sz="0" w:space="0" w:color="auto"/>
      </w:divBdr>
    </w:div>
    <w:div w:id="359547411">
      <w:bodyDiv w:val="1"/>
      <w:marLeft w:val="0"/>
      <w:marRight w:val="0"/>
      <w:marTop w:val="0"/>
      <w:marBottom w:val="0"/>
      <w:divBdr>
        <w:top w:val="none" w:sz="0" w:space="0" w:color="auto"/>
        <w:left w:val="none" w:sz="0" w:space="0" w:color="auto"/>
        <w:bottom w:val="none" w:sz="0" w:space="0" w:color="auto"/>
        <w:right w:val="none" w:sz="0" w:space="0" w:color="auto"/>
      </w:divBdr>
    </w:div>
    <w:div w:id="552815949">
      <w:bodyDiv w:val="1"/>
      <w:marLeft w:val="0"/>
      <w:marRight w:val="0"/>
      <w:marTop w:val="0"/>
      <w:marBottom w:val="0"/>
      <w:divBdr>
        <w:top w:val="none" w:sz="0" w:space="0" w:color="auto"/>
        <w:left w:val="none" w:sz="0" w:space="0" w:color="auto"/>
        <w:bottom w:val="none" w:sz="0" w:space="0" w:color="auto"/>
        <w:right w:val="none" w:sz="0" w:space="0" w:color="auto"/>
      </w:divBdr>
    </w:div>
    <w:div w:id="1067608797">
      <w:bodyDiv w:val="1"/>
      <w:marLeft w:val="0"/>
      <w:marRight w:val="0"/>
      <w:marTop w:val="0"/>
      <w:marBottom w:val="0"/>
      <w:divBdr>
        <w:top w:val="none" w:sz="0" w:space="0" w:color="auto"/>
        <w:left w:val="none" w:sz="0" w:space="0" w:color="auto"/>
        <w:bottom w:val="none" w:sz="0" w:space="0" w:color="auto"/>
        <w:right w:val="none" w:sz="0" w:space="0" w:color="auto"/>
      </w:divBdr>
    </w:div>
    <w:div w:id="1400901836">
      <w:bodyDiv w:val="1"/>
      <w:marLeft w:val="0"/>
      <w:marRight w:val="0"/>
      <w:marTop w:val="0"/>
      <w:marBottom w:val="0"/>
      <w:divBdr>
        <w:top w:val="none" w:sz="0" w:space="0" w:color="auto"/>
        <w:left w:val="none" w:sz="0" w:space="0" w:color="auto"/>
        <w:bottom w:val="none" w:sz="0" w:space="0" w:color="auto"/>
        <w:right w:val="none" w:sz="0" w:space="0" w:color="auto"/>
      </w:divBdr>
    </w:div>
    <w:div w:id="1470635565">
      <w:bodyDiv w:val="1"/>
      <w:marLeft w:val="0"/>
      <w:marRight w:val="0"/>
      <w:marTop w:val="0"/>
      <w:marBottom w:val="0"/>
      <w:divBdr>
        <w:top w:val="none" w:sz="0" w:space="0" w:color="auto"/>
        <w:left w:val="none" w:sz="0" w:space="0" w:color="auto"/>
        <w:bottom w:val="none" w:sz="0" w:space="0" w:color="auto"/>
        <w:right w:val="none" w:sz="0" w:space="0" w:color="auto"/>
      </w:divBdr>
      <w:divsChild>
        <w:div w:id="1017996944">
          <w:marLeft w:val="360"/>
          <w:marRight w:val="0"/>
          <w:marTop w:val="200"/>
          <w:marBottom w:val="0"/>
          <w:divBdr>
            <w:top w:val="none" w:sz="0" w:space="0" w:color="auto"/>
            <w:left w:val="none" w:sz="0" w:space="0" w:color="auto"/>
            <w:bottom w:val="none" w:sz="0" w:space="0" w:color="auto"/>
            <w:right w:val="none" w:sz="0" w:space="0" w:color="auto"/>
          </w:divBdr>
        </w:div>
        <w:div w:id="116990482">
          <w:marLeft w:val="360"/>
          <w:marRight w:val="0"/>
          <w:marTop w:val="200"/>
          <w:marBottom w:val="0"/>
          <w:divBdr>
            <w:top w:val="none" w:sz="0" w:space="0" w:color="auto"/>
            <w:left w:val="none" w:sz="0" w:space="0" w:color="auto"/>
            <w:bottom w:val="none" w:sz="0" w:space="0" w:color="auto"/>
            <w:right w:val="none" w:sz="0" w:space="0" w:color="auto"/>
          </w:divBdr>
        </w:div>
        <w:div w:id="1342664085">
          <w:marLeft w:val="1080"/>
          <w:marRight w:val="0"/>
          <w:marTop w:val="100"/>
          <w:marBottom w:val="0"/>
          <w:divBdr>
            <w:top w:val="none" w:sz="0" w:space="0" w:color="auto"/>
            <w:left w:val="none" w:sz="0" w:space="0" w:color="auto"/>
            <w:bottom w:val="none" w:sz="0" w:space="0" w:color="auto"/>
            <w:right w:val="none" w:sz="0" w:space="0" w:color="auto"/>
          </w:divBdr>
        </w:div>
        <w:div w:id="766315903">
          <w:marLeft w:val="1080"/>
          <w:marRight w:val="0"/>
          <w:marTop w:val="100"/>
          <w:marBottom w:val="0"/>
          <w:divBdr>
            <w:top w:val="none" w:sz="0" w:space="0" w:color="auto"/>
            <w:left w:val="none" w:sz="0" w:space="0" w:color="auto"/>
            <w:bottom w:val="none" w:sz="0" w:space="0" w:color="auto"/>
            <w:right w:val="none" w:sz="0" w:space="0" w:color="auto"/>
          </w:divBdr>
        </w:div>
        <w:div w:id="1118135048">
          <w:marLeft w:val="1080"/>
          <w:marRight w:val="0"/>
          <w:marTop w:val="100"/>
          <w:marBottom w:val="0"/>
          <w:divBdr>
            <w:top w:val="none" w:sz="0" w:space="0" w:color="auto"/>
            <w:left w:val="none" w:sz="0" w:space="0" w:color="auto"/>
            <w:bottom w:val="none" w:sz="0" w:space="0" w:color="auto"/>
            <w:right w:val="none" w:sz="0" w:space="0" w:color="auto"/>
          </w:divBdr>
        </w:div>
      </w:divsChild>
    </w:div>
    <w:div w:id="1515874362">
      <w:bodyDiv w:val="1"/>
      <w:marLeft w:val="0"/>
      <w:marRight w:val="0"/>
      <w:marTop w:val="0"/>
      <w:marBottom w:val="0"/>
      <w:divBdr>
        <w:top w:val="none" w:sz="0" w:space="0" w:color="auto"/>
        <w:left w:val="none" w:sz="0" w:space="0" w:color="auto"/>
        <w:bottom w:val="none" w:sz="0" w:space="0" w:color="auto"/>
        <w:right w:val="none" w:sz="0" w:space="0" w:color="auto"/>
      </w:divBdr>
    </w:div>
    <w:div w:id="1521356775">
      <w:bodyDiv w:val="1"/>
      <w:marLeft w:val="0"/>
      <w:marRight w:val="0"/>
      <w:marTop w:val="0"/>
      <w:marBottom w:val="0"/>
      <w:divBdr>
        <w:top w:val="none" w:sz="0" w:space="0" w:color="auto"/>
        <w:left w:val="none" w:sz="0" w:space="0" w:color="auto"/>
        <w:bottom w:val="none" w:sz="0" w:space="0" w:color="auto"/>
        <w:right w:val="none" w:sz="0" w:space="0" w:color="auto"/>
      </w:divBdr>
    </w:div>
    <w:div w:id="1574855495">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74503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be/pn/im/documents/memo-pptb-adad-dec17item03.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2.ed.gov/rschstat/eval/title-iii/implementation-supplementa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90543-AD53-407E-9C5C-73F032A37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2181</Words>
  <Characters>12436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October 2018 Memo PPTB ADAD Item 02 - Information Memorandum (CA State Board of Education)</vt:lpstr>
    </vt:vector>
  </TitlesOfParts>
  <Company>California State Board of Education</Company>
  <LinksUpToDate>false</LinksUpToDate>
  <CharactersWithSpaces>14588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2018 Memo PPTB ADAD Item 02 - Information Memorandum (CA State Board of Education)</dc:title>
  <dc:subject>Summative English Language Proficiency Assessments for California: Update on the Threshold Score Validation Study and Supplemental Empirical Analyses.</dc:subject>
  <dc:creator>Kathleen Souza</dc:creator>
  <cp:keywords/>
  <dc:description/>
  <cp:revision>5</cp:revision>
  <cp:lastPrinted>2018-10-15T21:24:00Z</cp:lastPrinted>
  <dcterms:created xsi:type="dcterms:W3CDTF">2018-10-18T18:09:00Z</dcterms:created>
  <dcterms:modified xsi:type="dcterms:W3CDTF">2018-10-18T23:49:00Z</dcterms:modified>
  <cp:category/>
</cp:coreProperties>
</file>