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C8C60" w14:textId="77777777" w:rsidR="00057A96" w:rsidRPr="00F802D6" w:rsidRDefault="00057A96" w:rsidP="00057A96">
      <w:bookmarkStart w:id="0" w:name="_GoBack"/>
      <w:bookmarkEnd w:id="0"/>
      <w:r w:rsidRPr="00F802D6">
        <w:t>California Department of Education</w:t>
      </w:r>
    </w:p>
    <w:p w14:paraId="74321471" w14:textId="77777777" w:rsidR="00057A96" w:rsidRPr="00F802D6" w:rsidRDefault="00057A96" w:rsidP="00057A96">
      <w:r w:rsidRPr="00F802D6">
        <w:t>Executive Office</w:t>
      </w:r>
    </w:p>
    <w:p w14:paraId="40471D86" w14:textId="77777777" w:rsidR="00982A10" w:rsidRPr="00F802D6" w:rsidRDefault="00057A96" w:rsidP="00982A10">
      <w:r w:rsidRPr="00F802D6">
        <w:t>SBE-00</w:t>
      </w:r>
      <w:r w:rsidR="00BC376B" w:rsidRPr="00F802D6">
        <w:t>2</w:t>
      </w:r>
      <w:r w:rsidRPr="00F802D6">
        <w:t xml:space="preserve"> (REV. 1</w:t>
      </w:r>
      <w:r w:rsidR="000C139F" w:rsidRPr="00F802D6">
        <w:t>1</w:t>
      </w:r>
      <w:r w:rsidRPr="00F802D6">
        <w:t>/2017)</w:t>
      </w:r>
    </w:p>
    <w:p w14:paraId="03447BDE" w14:textId="77777777" w:rsidR="00982A10" w:rsidRPr="00F802D6" w:rsidRDefault="00982A10" w:rsidP="00982A10">
      <w:r w:rsidRPr="00F802D6">
        <w:br w:type="column"/>
      </w:r>
      <w:proofErr w:type="gramStart"/>
      <w:r w:rsidR="00267259" w:rsidRPr="00F802D6">
        <w:rPr>
          <w:rFonts w:cs="Arial"/>
          <w:color w:val="000000"/>
        </w:rPr>
        <w:t>memo-pptb-amard-</w:t>
      </w:r>
      <w:r w:rsidR="006C24A9" w:rsidRPr="00F802D6">
        <w:rPr>
          <w:rFonts w:cs="Arial"/>
          <w:color w:val="000000"/>
        </w:rPr>
        <w:t>aug</w:t>
      </w:r>
      <w:r w:rsidR="00267259" w:rsidRPr="00F802D6">
        <w:rPr>
          <w:rFonts w:cs="Arial"/>
          <w:color w:val="000000"/>
        </w:rPr>
        <w:t>18</w:t>
      </w:r>
      <w:r w:rsidR="000C0DD8" w:rsidRPr="00F802D6">
        <w:rPr>
          <w:rFonts w:cs="Arial"/>
          <w:color w:val="000000"/>
        </w:rPr>
        <w:t>item0</w:t>
      </w:r>
      <w:r w:rsidR="00233264" w:rsidRPr="00F802D6">
        <w:rPr>
          <w:rFonts w:cs="Arial"/>
          <w:color w:val="000000"/>
        </w:rPr>
        <w:t>1</w:t>
      </w:r>
      <w:proofErr w:type="gramEnd"/>
    </w:p>
    <w:p w14:paraId="7550B37C" w14:textId="77777777" w:rsidR="00982A10" w:rsidRPr="00F802D6" w:rsidRDefault="00982A10" w:rsidP="0033616F">
      <w:pPr>
        <w:pStyle w:val="Heading1"/>
        <w:spacing w:line="360" w:lineRule="auto"/>
        <w:rPr>
          <w:rFonts w:ascii="Arial" w:hAnsi="Arial" w:cs="Arial"/>
          <w:b/>
          <w:color w:val="auto"/>
          <w:sz w:val="40"/>
          <w:szCs w:val="52"/>
        </w:rPr>
        <w:sectPr w:rsidR="00982A10" w:rsidRPr="00F802D6" w:rsidSect="00A26FD8">
          <w:headerReference w:type="default" r:id="rId11"/>
          <w:type w:val="continuous"/>
          <w:pgSz w:w="12240" w:h="15840"/>
          <w:pgMar w:top="720" w:right="1440" w:bottom="1440" w:left="1440" w:header="720" w:footer="720" w:gutter="0"/>
          <w:cols w:num="2" w:space="144" w:equalWidth="0">
            <w:col w:w="5760" w:space="144"/>
            <w:col w:w="3456"/>
          </w:cols>
          <w:titlePg/>
          <w:docGrid w:linePitch="326"/>
        </w:sectPr>
      </w:pPr>
    </w:p>
    <w:p w14:paraId="340292F6" w14:textId="77777777" w:rsidR="00057A96" w:rsidRPr="00F802D6" w:rsidRDefault="00BC376B" w:rsidP="0033616F">
      <w:pPr>
        <w:pStyle w:val="Heading1"/>
        <w:spacing w:line="360" w:lineRule="auto"/>
        <w:rPr>
          <w:rFonts w:ascii="Arial" w:hAnsi="Arial" w:cs="Arial"/>
          <w:b/>
          <w:color w:val="auto"/>
          <w:sz w:val="40"/>
          <w:szCs w:val="52"/>
        </w:rPr>
      </w:pPr>
      <w:r w:rsidRPr="00F802D6">
        <w:rPr>
          <w:rFonts w:ascii="Arial" w:hAnsi="Arial" w:cs="Arial"/>
          <w:b/>
          <w:color w:val="auto"/>
          <w:sz w:val="40"/>
          <w:szCs w:val="52"/>
        </w:rPr>
        <w:t>MEMORANDUM</w:t>
      </w:r>
    </w:p>
    <w:p w14:paraId="61CCBBF6" w14:textId="77777777" w:rsidR="00057A96" w:rsidRPr="00F802D6" w:rsidRDefault="008F6CA0" w:rsidP="00356F3F">
      <w:pPr>
        <w:pStyle w:val="MessageHeader"/>
      </w:pPr>
      <w:r w:rsidRPr="00F802D6">
        <w:rPr>
          <w:b/>
        </w:rPr>
        <w:t>DATE:</w:t>
      </w:r>
      <w:r w:rsidRPr="00F802D6">
        <w:tab/>
      </w:r>
      <w:r w:rsidR="00E65EFC" w:rsidRPr="00F802D6">
        <w:t>August 14</w:t>
      </w:r>
      <w:r w:rsidR="00233264" w:rsidRPr="00F802D6">
        <w:t xml:space="preserve">, </w:t>
      </w:r>
      <w:r w:rsidR="000C0DD8" w:rsidRPr="00F802D6">
        <w:t>2018</w:t>
      </w:r>
      <w:r w:rsidR="00057A96" w:rsidRPr="00F802D6">
        <w:t xml:space="preserve"> </w:t>
      </w:r>
    </w:p>
    <w:p w14:paraId="0653A8FB" w14:textId="20B1B483" w:rsidR="00057A96" w:rsidRPr="00F802D6" w:rsidRDefault="00057A96" w:rsidP="00356F3F">
      <w:pPr>
        <w:pStyle w:val="MessageHeader"/>
      </w:pPr>
      <w:r w:rsidRPr="00F802D6">
        <w:rPr>
          <w:b/>
        </w:rPr>
        <w:t>TO:</w:t>
      </w:r>
      <w:r w:rsidRPr="00F802D6">
        <w:rPr>
          <w:b/>
        </w:rPr>
        <w:tab/>
      </w:r>
      <w:r w:rsidRPr="00F802D6">
        <w:t>ME</w:t>
      </w:r>
      <w:r w:rsidR="007620BA" w:rsidRPr="00F802D6">
        <w:t>MBERS, State Board of Education</w:t>
      </w:r>
    </w:p>
    <w:p w14:paraId="52866C24" w14:textId="77777777" w:rsidR="00057A96" w:rsidRPr="00F802D6" w:rsidRDefault="00057A96" w:rsidP="00356F3F">
      <w:pPr>
        <w:pStyle w:val="MessageHeader"/>
      </w:pPr>
      <w:r w:rsidRPr="00F802D6">
        <w:rPr>
          <w:b/>
        </w:rPr>
        <w:t>FROM:</w:t>
      </w:r>
      <w:r w:rsidR="00C61F78" w:rsidRPr="00F802D6">
        <w:tab/>
        <w:t xml:space="preserve">TOM TORLAKSON, </w:t>
      </w:r>
      <w:r w:rsidRPr="00F802D6">
        <w:t>State Superintendent of Public Instruction</w:t>
      </w:r>
    </w:p>
    <w:p w14:paraId="09EF7B72" w14:textId="77777777" w:rsidR="00057A96" w:rsidRPr="00F802D6" w:rsidRDefault="00057A96" w:rsidP="00356F3F">
      <w:pPr>
        <w:pStyle w:val="MessageHeader"/>
      </w:pPr>
      <w:r w:rsidRPr="00F802D6">
        <w:rPr>
          <w:b/>
        </w:rPr>
        <w:t>SUBJECT:</w:t>
      </w:r>
      <w:r w:rsidRPr="00F802D6">
        <w:rPr>
          <w:b/>
        </w:rPr>
        <w:tab/>
      </w:r>
      <w:r w:rsidR="003D6D59" w:rsidRPr="00F802D6">
        <w:rPr>
          <w:color w:val="000000"/>
        </w:rPr>
        <w:t xml:space="preserve">Ongoing Development of California’s New Accountability System: </w:t>
      </w:r>
      <w:r w:rsidR="00C70493" w:rsidRPr="00F802D6">
        <w:rPr>
          <w:color w:val="000000"/>
        </w:rPr>
        <w:t xml:space="preserve">Overview of the State Indicator Development Process for the California School Dashboard, </w:t>
      </w:r>
      <w:r w:rsidR="0042545B" w:rsidRPr="00F802D6">
        <w:rPr>
          <w:color w:val="000000"/>
        </w:rPr>
        <w:t>Topics</w:t>
      </w:r>
      <w:r w:rsidR="00C70493" w:rsidRPr="00F802D6">
        <w:rPr>
          <w:color w:val="000000"/>
        </w:rPr>
        <w:t xml:space="preserve"> </w:t>
      </w:r>
      <w:r w:rsidR="0042545B" w:rsidRPr="00F802D6">
        <w:rPr>
          <w:color w:val="000000"/>
        </w:rPr>
        <w:t xml:space="preserve">for </w:t>
      </w:r>
      <w:r w:rsidR="00A3521E" w:rsidRPr="00F802D6">
        <w:rPr>
          <w:color w:val="000000"/>
        </w:rPr>
        <w:t xml:space="preserve">Consideration at </w:t>
      </w:r>
      <w:r w:rsidR="0042545B" w:rsidRPr="00F802D6">
        <w:rPr>
          <w:color w:val="000000"/>
        </w:rPr>
        <w:t xml:space="preserve">the </w:t>
      </w:r>
      <w:r w:rsidR="00C70493" w:rsidRPr="00F802D6">
        <w:rPr>
          <w:color w:val="000000"/>
        </w:rPr>
        <w:t>September and November 2018</w:t>
      </w:r>
      <w:r w:rsidR="000525C8" w:rsidRPr="00F802D6">
        <w:rPr>
          <w:color w:val="000000"/>
        </w:rPr>
        <w:t xml:space="preserve"> </w:t>
      </w:r>
      <w:r w:rsidR="0042545B" w:rsidRPr="00F802D6">
        <w:rPr>
          <w:color w:val="000000"/>
        </w:rPr>
        <w:t xml:space="preserve">State Board of Education </w:t>
      </w:r>
      <w:r w:rsidR="000525C8" w:rsidRPr="00F802D6">
        <w:rPr>
          <w:color w:val="000000"/>
        </w:rPr>
        <w:t>Meetings</w:t>
      </w:r>
      <w:r w:rsidR="00C70493" w:rsidRPr="00F802D6">
        <w:rPr>
          <w:color w:val="000000"/>
        </w:rPr>
        <w:t xml:space="preserve">, and </w:t>
      </w:r>
      <w:r w:rsidR="000525C8" w:rsidRPr="00F802D6">
        <w:rPr>
          <w:color w:val="000000"/>
        </w:rPr>
        <w:t xml:space="preserve">Remaining </w:t>
      </w:r>
      <w:r w:rsidR="00C70493" w:rsidRPr="00F802D6">
        <w:rPr>
          <w:color w:val="000000"/>
        </w:rPr>
        <w:t>Development Work for the California School Dashboard</w:t>
      </w:r>
      <w:r w:rsidR="003D6D59" w:rsidRPr="00F802D6">
        <w:rPr>
          <w:color w:val="000000"/>
        </w:rPr>
        <w:t>.</w:t>
      </w:r>
    </w:p>
    <w:p w14:paraId="435F7A23" w14:textId="77777777" w:rsidR="00057A96" w:rsidRPr="00F802D6" w:rsidRDefault="00474A2F" w:rsidP="000030E0">
      <w:pPr>
        <w:pStyle w:val="Heading2"/>
        <w:spacing w:before="0" w:after="240"/>
        <w:rPr>
          <w:sz w:val="36"/>
        </w:rPr>
      </w:pPr>
      <w:r w:rsidRPr="00F802D6">
        <w:rPr>
          <w:sz w:val="36"/>
        </w:rPr>
        <w:t>Summary o</w:t>
      </w:r>
      <w:r w:rsidR="00057A96" w:rsidRPr="00F802D6">
        <w:rPr>
          <w:sz w:val="36"/>
        </w:rPr>
        <w:t>f Key Issues</w:t>
      </w:r>
    </w:p>
    <w:p w14:paraId="40DD739F" w14:textId="77777777" w:rsidR="005E7444" w:rsidRPr="00F802D6" w:rsidRDefault="0007407C" w:rsidP="000030E0">
      <w:pPr>
        <w:spacing w:after="240"/>
        <w:rPr>
          <w:rFonts w:cs="Arial"/>
        </w:rPr>
      </w:pPr>
      <w:r w:rsidRPr="00F802D6">
        <w:rPr>
          <w:rFonts w:cs="Arial"/>
        </w:rPr>
        <w:t>This Information Memorandum</w:t>
      </w:r>
      <w:r w:rsidR="006C24A9" w:rsidRPr="00F802D6">
        <w:rPr>
          <w:rFonts w:cs="Arial"/>
        </w:rPr>
        <w:t xml:space="preserve"> </w:t>
      </w:r>
      <w:r w:rsidR="00571219" w:rsidRPr="00F802D6">
        <w:rPr>
          <w:rFonts w:cs="Arial"/>
        </w:rPr>
        <w:t xml:space="preserve">details the </w:t>
      </w:r>
      <w:r w:rsidR="00260E65" w:rsidRPr="00F802D6">
        <w:rPr>
          <w:rFonts w:cs="Arial"/>
        </w:rPr>
        <w:t xml:space="preserve">California School Dashboard indicator development process that is undertaken </w:t>
      </w:r>
      <w:r w:rsidR="00571219" w:rsidRPr="00F802D6">
        <w:rPr>
          <w:rFonts w:cs="Arial"/>
        </w:rPr>
        <w:t>prior to the California Department of Education’s (CDE’s) submission of recommendations to the State Board of Education (SBE)</w:t>
      </w:r>
      <w:r w:rsidR="00260E65" w:rsidRPr="00F802D6">
        <w:rPr>
          <w:rFonts w:cs="Arial"/>
        </w:rPr>
        <w:t>, including both technical work and stakeholder input gathering</w:t>
      </w:r>
      <w:r w:rsidR="00571219" w:rsidRPr="00F802D6">
        <w:rPr>
          <w:rFonts w:cs="Arial"/>
        </w:rPr>
        <w:t xml:space="preserve">; </w:t>
      </w:r>
      <w:r w:rsidR="003F0A4C" w:rsidRPr="00F802D6">
        <w:rPr>
          <w:rFonts w:cs="Arial"/>
        </w:rPr>
        <w:t xml:space="preserve">provides an update </w:t>
      </w:r>
      <w:r w:rsidR="00571219" w:rsidRPr="00F802D6">
        <w:rPr>
          <w:rFonts w:cs="Arial"/>
        </w:rPr>
        <w:t xml:space="preserve">of Dashboard-related agenda items scheduled for September and November 2018; and identifies </w:t>
      </w:r>
      <w:r w:rsidR="005E7444" w:rsidRPr="00F802D6">
        <w:rPr>
          <w:rFonts w:cs="Arial"/>
        </w:rPr>
        <w:t xml:space="preserve">key </w:t>
      </w:r>
      <w:r w:rsidR="000525C8" w:rsidRPr="00F802D6">
        <w:rPr>
          <w:rFonts w:cs="Arial"/>
        </w:rPr>
        <w:t xml:space="preserve">remaining </w:t>
      </w:r>
      <w:r w:rsidR="005E7444" w:rsidRPr="00F802D6">
        <w:rPr>
          <w:rFonts w:cs="Arial"/>
        </w:rPr>
        <w:t xml:space="preserve">Dashboard </w:t>
      </w:r>
      <w:r w:rsidR="00571219" w:rsidRPr="00F802D6">
        <w:rPr>
          <w:rFonts w:cs="Arial"/>
        </w:rPr>
        <w:t>development work</w:t>
      </w:r>
      <w:r w:rsidR="005E7444" w:rsidRPr="00F802D6">
        <w:rPr>
          <w:rFonts w:cs="Arial"/>
        </w:rPr>
        <w:t xml:space="preserve">. </w:t>
      </w:r>
    </w:p>
    <w:p w14:paraId="0AA96B9D" w14:textId="77777777" w:rsidR="006E0228" w:rsidRPr="00F802D6" w:rsidRDefault="006E0228" w:rsidP="000030E0">
      <w:pPr>
        <w:spacing w:after="240"/>
      </w:pPr>
      <w:r w:rsidRPr="00F802D6">
        <w:t>At the July 2018 SBE meeting, several SBE members requested an update to the future work on the ongoing development of the Dashboard, including a general overview of when future recommendations on new indicators and any changes to existing indicators will be made available. Other SBE members also inquired about the CDE’s process for conducting the technical review and data runs, soliciting technical review from outside experts, and consulting with a broad range of stakeholders. This memorandum addresses these questions.</w:t>
      </w:r>
    </w:p>
    <w:p w14:paraId="20921923" w14:textId="77777777" w:rsidR="006E0228" w:rsidRPr="00F802D6" w:rsidRDefault="00260E65" w:rsidP="00351855">
      <w:pPr>
        <w:pStyle w:val="Heading3"/>
        <w:spacing w:before="240" w:after="240"/>
      </w:pPr>
      <w:r w:rsidRPr="00F802D6">
        <w:t>Summary of the Process to Develop and Vet New Dashboard Indicators</w:t>
      </w:r>
    </w:p>
    <w:p w14:paraId="1FDB28E9" w14:textId="77777777" w:rsidR="00A531BC" w:rsidRPr="00F802D6" w:rsidRDefault="005E7444" w:rsidP="000030E0">
      <w:pPr>
        <w:spacing w:after="240"/>
        <w:rPr>
          <w:rFonts w:cs="Arial"/>
        </w:rPr>
      </w:pPr>
      <w:r w:rsidRPr="00F802D6">
        <w:rPr>
          <w:rFonts w:cs="Arial"/>
        </w:rPr>
        <w:t>Prior to submitting any recommendations to the SBE on the Dashboard indicators (including methodology, Status and Change cut points,</w:t>
      </w:r>
      <w:r w:rsidR="000030E0" w:rsidRPr="00F802D6">
        <w:rPr>
          <w:rFonts w:cs="Arial"/>
        </w:rPr>
        <w:t xml:space="preserve"> and</w:t>
      </w:r>
      <w:r w:rsidRPr="00F802D6">
        <w:rPr>
          <w:rFonts w:cs="Arial"/>
        </w:rPr>
        <w:t xml:space="preserve"> performance levels), the CDE engages in </w:t>
      </w:r>
      <w:r w:rsidR="002364FF" w:rsidRPr="00F802D6">
        <w:rPr>
          <w:rFonts w:cs="Arial"/>
        </w:rPr>
        <w:t xml:space="preserve">an extensive review process that encompasses multiple data simulations, vetting by key </w:t>
      </w:r>
      <w:r w:rsidR="000525C8" w:rsidRPr="00F802D6">
        <w:rPr>
          <w:rFonts w:cs="Arial"/>
        </w:rPr>
        <w:t xml:space="preserve">policy </w:t>
      </w:r>
      <w:r w:rsidR="002364FF" w:rsidRPr="00F802D6">
        <w:rPr>
          <w:rFonts w:cs="Arial"/>
        </w:rPr>
        <w:t xml:space="preserve">advisory groups for technical soundness, and broad stakeholder engagement. </w:t>
      </w:r>
    </w:p>
    <w:p w14:paraId="35BD3A47" w14:textId="77777777" w:rsidR="005E7444" w:rsidRPr="00F802D6" w:rsidRDefault="00A531BC" w:rsidP="000030E0">
      <w:pPr>
        <w:spacing w:after="240"/>
        <w:rPr>
          <w:rFonts w:cs="Arial"/>
        </w:rPr>
      </w:pPr>
      <w:r w:rsidRPr="00F802D6">
        <w:rPr>
          <w:rFonts w:cs="Arial"/>
        </w:rPr>
        <w:t>To illustrate the details of this process, this memorandum reviews t</w:t>
      </w:r>
      <w:r w:rsidR="002364FF" w:rsidRPr="00F802D6">
        <w:rPr>
          <w:rFonts w:cs="Arial"/>
        </w:rPr>
        <w:t>he development of the one-year graduation rate</w:t>
      </w:r>
      <w:r w:rsidR="00026BFB" w:rsidRPr="00F802D6">
        <w:rPr>
          <w:rFonts w:cs="Arial"/>
        </w:rPr>
        <w:t xml:space="preserve"> for schools with Dashboard Alternative School Status </w:t>
      </w:r>
      <w:r w:rsidR="00026BFB" w:rsidRPr="00F802D6">
        <w:rPr>
          <w:rFonts w:cs="Arial"/>
        </w:rPr>
        <w:lastRenderedPageBreak/>
        <w:t>(DASS)</w:t>
      </w:r>
      <w:r w:rsidR="002364FF" w:rsidRPr="00F802D6">
        <w:rPr>
          <w:rFonts w:cs="Arial"/>
        </w:rPr>
        <w:t xml:space="preserve">, which was approved by the SBE in </w:t>
      </w:r>
      <w:r w:rsidR="00AA7748" w:rsidRPr="00F802D6">
        <w:rPr>
          <w:rFonts w:cs="Arial"/>
        </w:rPr>
        <w:t>May 2018 (</w:t>
      </w:r>
      <w:hyperlink r:id="rId12" w:tooltip="May 2018 SBE Agenda Item 02" w:history="1">
        <w:r w:rsidR="00AA7748" w:rsidRPr="00F802D6">
          <w:rPr>
            <w:rStyle w:val="Hyperlink"/>
            <w:rFonts w:cs="Arial"/>
          </w:rPr>
          <w:t>https://www.cde.ca.gov/be/ag/ag/yr18/documents/may18item02.docx</w:t>
        </w:r>
      </w:hyperlink>
      <w:r w:rsidR="00AA7748" w:rsidRPr="00F802D6">
        <w:rPr>
          <w:rFonts w:cs="Arial"/>
        </w:rPr>
        <w:t>)</w:t>
      </w:r>
      <w:r w:rsidRPr="00F802D6">
        <w:rPr>
          <w:rFonts w:cs="Arial"/>
        </w:rPr>
        <w:t>.</w:t>
      </w:r>
      <w:r w:rsidR="00C45EAA" w:rsidRPr="00F802D6">
        <w:rPr>
          <w:rFonts w:cs="Arial"/>
        </w:rPr>
        <w:t xml:space="preserve">The SBE approval </w:t>
      </w:r>
      <w:r w:rsidR="00A107EC" w:rsidRPr="00F802D6">
        <w:rPr>
          <w:rFonts w:cs="Arial"/>
        </w:rPr>
        <w:t xml:space="preserve">of the one-year graduation rate </w:t>
      </w:r>
      <w:r w:rsidR="00C45EAA" w:rsidRPr="00F802D6">
        <w:rPr>
          <w:rFonts w:cs="Arial"/>
        </w:rPr>
        <w:t xml:space="preserve">represents the culmination of </w:t>
      </w:r>
      <w:r w:rsidR="00E82B45" w:rsidRPr="00F802D6">
        <w:rPr>
          <w:rFonts w:cs="Arial"/>
        </w:rPr>
        <w:t xml:space="preserve">technical and stakeholder engagement that began in </w:t>
      </w:r>
      <w:r w:rsidR="00A0044D" w:rsidRPr="00F802D6">
        <w:rPr>
          <w:rFonts w:cs="Arial"/>
        </w:rPr>
        <w:t xml:space="preserve">May 2017 </w:t>
      </w:r>
      <w:r w:rsidR="00E82B45" w:rsidRPr="00F802D6">
        <w:rPr>
          <w:rFonts w:cs="Arial"/>
        </w:rPr>
        <w:t xml:space="preserve">and concluded in </w:t>
      </w:r>
      <w:r w:rsidR="00A0044D" w:rsidRPr="00F802D6">
        <w:rPr>
          <w:rFonts w:cs="Arial"/>
        </w:rPr>
        <w:t>May 2018</w:t>
      </w:r>
      <w:r w:rsidR="00C45EAA" w:rsidRPr="00F802D6">
        <w:rPr>
          <w:rFonts w:cs="Arial"/>
        </w:rPr>
        <w:t>, as detailed below.</w:t>
      </w:r>
      <w:r w:rsidR="00026BFB" w:rsidRPr="00F802D6">
        <w:rPr>
          <w:rFonts w:cs="Arial"/>
        </w:rPr>
        <w:t xml:space="preserve"> The work is divided into two phases: (1) the development of eligibility criteria for DASS schools, and (2) the development of the one-year graduation rate as a modified method for DASS schools.</w:t>
      </w:r>
    </w:p>
    <w:p w14:paraId="37718225" w14:textId="77777777" w:rsidR="00026BFB" w:rsidRPr="00F802D6" w:rsidRDefault="00E82B45" w:rsidP="000030E0">
      <w:pPr>
        <w:pStyle w:val="Heading4"/>
        <w:spacing w:before="0" w:after="240"/>
        <w:rPr>
          <w:szCs w:val="26"/>
        </w:rPr>
      </w:pPr>
      <w:r w:rsidRPr="00F802D6">
        <w:rPr>
          <w:szCs w:val="26"/>
        </w:rPr>
        <w:t xml:space="preserve">Phase 1: </w:t>
      </w:r>
      <w:r w:rsidR="00026BFB" w:rsidRPr="00F802D6">
        <w:rPr>
          <w:szCs w:val="26"/>
        </w:rPr>
        <w:t>Development of Eligibility Criteria for DASS Schools</w:t>
      </w:r>
    </w:p>
    <w:p w14:paraId="189AA2CE" w14:textId="77777777" w:rsidR="005111DC" w:rsidRPr="00F802D6" w:rsidRDefault="00A107EC" w:rsidP="000030E0">
      <w:pPr>
        <w:spacing w:after="240"/>
        <w:rPr>
          <w:rFonts w:cs="Arial"/>
        </w:rPr>
      </w:pPr>
      <w:r w:rsidRPr="00F802D6">
        <w:rPr>
          <w:rFonts w:cs="Arial"/>
        </w:rPr>
        <w:t xml:space="preserve">The one-year graduation rate </w:t>
      </w:r>
      <w:r w:rsidR="00C1679E" w:rsidRPr="00F802D6">
        <w:rPr>
          <w:rFonts w:cs="Arial"/>
        </w:rPr>
        <w:t xml:space="preserve">is a modified method </w:t>
      </w:r>
      <w:r w:rsidR="005111DC" w:rsidRPr="00F802D6">
        <w:rPr>
          <w:rFonts w:cs="Arial"/>
        </w:rPr>
        <w:t xml:space="preserve">available only to </w:t>
      </w:r>
      <w:r w:rsidR="00C1679E" w:rsidRPr="00F802D6">
        <w:rPr>
          <w:rFonts w:cs="Arial"/>
        </w:rPr>
        <w:t xml:space="preserve">schools with </w:t>
      </w:r>
      <w:r w:rsidR="007D6899" w:rsidRPr="00F802D6">
        <w:rPr>
          <w:rFonts w:cs="Arial"/>
        </w:rPr>
        <w:t>DASS</w:t>
      </w:r>
      <w:r w:rsidR="00C1679E" w:rsidRPr="00F802D6">
        <w:rPr>
          <w:rFonts w:cs="Arial"/>
        </w:rPr>
        <w:t xml:space="preserve">. </w:t>
      </w:r>
      <w:r w:rsidR="005111DC" w:rsidRPr="00F802D6">
        <w:rPr>
          <w:rFonts w:cs="Arial"/>
        </w:rPr>
        <w:t>The identification of eligibility criteria for DASS schools began in May 2017</w:t>
      </w:r>
      <w:r w:rsidR="00C1679E" w:rsidRPr="00F802D6">
        <w:rPr>
          <w:rFonts w:cs="Arial"/>
        </w:rPr>
        <w:t xml:space="preserve">, when the </w:t>
      </w:r>
      <w:r w:rsidRPr="00F802D6">
        <w:rPr>
          <w:rFonts w:cs="Arial"/>
        </w:rPr>
        <w:t>California Advisory Task Force on Alternative Schools (Task Force) first met</w:t>
      </w:r>
      <w:r w:rsidR="00C1679E" w:rsidRPr="00F802D6">
        <w:rPr>
          <w:rFonts w:cs="Arial"/>
        </w:rPr>
        <w:t xml:space="preserve">. </w:t>
      </w:r>
      <w:r w:rsidR="005111DC" w:rsidRPr="00F802D6">
        <w:rPr>
          <w:rFonts w:cs="Arial"/>
        </w:rPr>
        <w:t>The Task Force is a project of the John W</w:t>
      </w:r>
      <w:r w:rsidR="007D6899" w:rsidRPr="00F802D6">
        <w:rPr>
          <w:rFonts w:cs="Arial"/>
        </w:rPr>
        <w:t>. Gardner Center for Youth and t</w:t>
      </w:r>
      <w:r w:rsidR="005111DC" w:rsidRPr="00F802D6">
        <w:rPr>
          <w:rFonts w:cs="Arial"/>
        </w:rPr>
        <w:t xml:space="preserve">heir Communities at Stanford University. </w:t>
      </w:r>
      <w:r w:rsidR="000525C8" w:rsidRPr="00F802D6">
        <w:rPr>
          <w:rFonts w:cs="Arial"/>
        </w:rPr>
        <w:t xml:space="preserve">The Task Force </w:t>
      </w:r>
      <w:r w:rsidR="005111DC" w:rsidRPr="00F802D6">
        <w:rPr>
          <w:rFonts w:cs="Arial"/>
        </w:rPr>
        <w:t xml:space="preserve">members include staff </w:t>
      </w:r>
      <w:r w:rsidR="007D6899" w:rsidRPr="00F802D6">
        <w:rPr>
          <w:rFonts w:cs="Arial"/>
        </w:rPr>
        <w:t>of</w:t>
      </w:r>
      <w:r w:rsidR="005111DC" w:rsidRPr="00F802D6">
        <w:rPr>
          <w:rFonts w:cs="Arial"/>
        </w:rPr>
        <w:t xml:space="preserve"> the CDE, the California Legislature, school administrators and educators drawn from a cross section of county offices of education, school districts, and charter school leaders, including current and former principals and teachers. To facilitate the work of the Task Force, three subcommittees were formed: (1) Modified Academic Indicators, (2) Local Indicators of Student Progress, and (3) Emerging Best Practices. The Modified Academic Indicators subcommittee was tasked with developing </w:t>
      </w:r>
      <w:r w:rsidR="00941F17" w:rsidRPr="00F802D6">
        <w:rPr>
          <w:rFonts w:cs="Arial"/>
        </w:rPr>
        <w:t xml:space="preserve">recommendations for </w:t>
      </w:r>
      <w:r w:rsidR="005111DC" w:rsidRPr="00F802D6">
        <w:rPr>
          <w:rFonts w:cs="Arial"/>
        </w:rPr>
        <w:t xml:space="preserve">modified measures for DASS schools, including a one-year graduation rate for the Graduation Rate Indicator. </w:t>
      </w:r>
    </w:p>
    <w:p w14:paraId="7F6478BF" w14:textId="77777777" w:rsidR="00512890" w:rsidRPr="00F802D6" w:rsidRDefault="00473ADD" w:rsidP="000030E0">
      <w:pPr>
        <w:spacing w:after="240"/>
      </w:pPr>
      <w:r w:rsidRPr="00F802D6">
        <w:t>Following the May 2017 Task Force review of the proposed DASS eligibility criteria, the CDE actively sought feedback from a broad array of stakeholder groups, including</w:t>
      </w:r>
      <w:r w:rsidR="00512890" w:rsidRPr="00F802D6">
        <w:t>:</w:t>
      </w:r>
    </w:p>
    <w:p w14:paraId="4C793544" w14:textId="77777777" w:rsidR="00512890" w:rsidRPr="00F802D6" w:rsidRDefault="00512890" w:rsidP="000030E0">
      <w:pPr>
        <w:pStyle w:val="ListParagraph"/>
        <w:numPr>
          <w:ilvl w:val="0"/>
          <w:numId w:val="18"/>
        </w:numPr>
        <w:spacing w:after="240"/>
        <w:ind w:left="778"/>
        <w:contextualSpacing w:val="0"/>
        <w:rPr>
          <w:rFonts w:cs="Arial"/>
        </w:rPr>
      </w:pPr>
      <w:r w:rsidRPr="00F802D6">
        <w:t>T</w:t>
      </w:r>
      <w:r w:rsidR="00473ADD" w:rsidRPr="00F802D6">
        <w:t>echnical Design Group (TDG)</w:t>
      </w:r>
    </w:p>
    <w:p w14:paraId="60FD5189" w14:textId="77777777" w:rsidR="00512890" w:rsidRPr="00F802D6" w:rsidRDefault="00473ADD" w:rsidP="000030E0">
      <w:pPr>
        <w:pStyle w:val="ListParagraph"/>
        <w:numPr>
          <w:ilvl w:val="0"/>
          <w:numId w:val="18"/>
        </w:numPr>
        <w:spacing w:after="240"/>
        <w:ind w:left="778"/>
        <w:contextualSpacing w:val="0"/>
        <w:rPr>
          <w:rFonts w:cs="Arial"/>
        </w:rPr>
      </w:pPr>
      <w:r w:rsidRPr="00F802D6">
        <w:t>Regional Assessment Network (RAN)</w:t>
      </w:r>
    </w:p>
    <w:p w14:paraId="712DDAD2" w14:textId="77777777" w:rsidR="00200F3B" w:rsidRPr="00F802D6" w:rsidRDefault="00473ADD" w:rsidP="000030E0">
      <w:pPr>
        <w:pStyle w:val="ListParagraph"/>
        <w:numPr>
          <w:ilvl w:val="0"/>
          <w:numId w:val="18"/>
        </w:numPr>
        <w:spacing w:after="240"/>
        <w:ind w:left="778"/>
        <w:contextualSpacing w:val="0"/>
        <w:rPr>
          <w:rFonts w:cs="Arial"/>
        </w:rPr>
      </w:pPr>
      <w:r w:rsidRPr="00F802D6">
        <w:t>Advisory Commission on Special Education (ACSE)</w:t>
      </w:r>
    </w:p>
    <w:p w14:paraId="07309344" w14:textId="77777777" w:rsidR="00512890" w:rsidRPr="00F802D6" w:rsidRDefault="00200F3B" w:rsidP="000030E0">
      <w:pPr>
        <w:pStyle w:val="ListParagraph"/>
        <w:numPr>
          <w:ilvl w:val="0"/>
          <w:numId w:val="18"/>
        </w:numPr>
        <w:spacing w:after="240"/>
        <w:ind w:left="778"/>
        <w:contextualSpacing w:val="0"/>
      </w:pPr>
      <w:r w:rsidRPr="00F802D6">
        <w:t>Local Control Funding Formula (LCFF) Stakeholder Group</w:t>
      </w:r>
    </w:p>
    <w:p w14:paraId="6D8E5D9C" w14:textId="77777777" w:rsidR="00026BFB" w:rsidRPr="00F802D6" w:rsidRDefault="000525C8" w:rsidP="000030E0">
      <w:pPr>
        <w:spacing w:after="240"/>
        <w:rPr>
          <w:rFonts w:cs="Arial"/>
        </w:rPr>
      </w:pPr>
      <w:r w:rsidRPr="00F802D6">
        <w:t xml:space="preserve">Following </w:t>
      </w:r>
      <w:r w:rsidR="00473ADD" w:rsidRPr="00F802D6">
        <w:t>this comprehensive review and feedback process</w:t>
      </w:r>
      <w:r w:rsidRPr="00F802D6">
        <w:t>,</w:t>
      </w:r>
      <w:r w:rsidR="00473ADD" w:rsidRPr="00F802D6">
        <w:t xml:space="preserve"> the CDE </w:t>
      </w:r>
      <w:r w:rsidRPr="00F802D6">
        <w:t>then recommended</w:t>
      </w:r>
      <w:r w:rsidR="00473ADD" w:rsidRPr="00F802D6">
        <w:t xml:space="preserve"> </w:t>
      </w:r>
      <w:r w:rsidRPr="00F802D6">
        <w:t xml:space="preserve">a set of </w:t>
      </w:r>
      <w:r w:rsidR="00473ADD" w:rsidRPr="00F802D6">
        <w:t>eligibility criteria to the SBE. In July 2017, t</w:t>
      </w:r>
      <w:r w:rsidR="00473ADD" w:rsidRPr="00F802D6">
        <w:rPr>
          <w:rFonts w:cs="Arial"/>
        </w:rPr>
        <w:t xml:space="preserve">he SBE approved the eligibility criteria </w:t>
      </w:r>
      <w:r w:rsidR="00AA7748" w:rsidRPr="00F802D6">
        <w:rPr>
          <w:rFonts w:cs="Arial"/>
        </w:rPr>
        <w:t>(</w:t>
      </w:r>
      <w:hyperlink r:id="rId13" w:tooltip="July 2017 SBE Agenda Item 01" w:history="1">
        <w:r w:rsidR="00AA7748" w:rsidRPr="00F802D6">
          <w:rPr>
            <w:rStyle w:val="Hyperlink"/>
            <w:rFonts w:cs="Arial"/>
          </w:rPr>
          <w:t>https://www.cde.ca.gov/be/ag/ag/yr17/documents/jul17item01.doc</w:t>
        </w:r>
      </w:hyperlink>
      <w:r w:rsidR="00AA7748" w:rsidRPr="00F802D6">
        <w:rPr>
          <w:rFonts w:cs="Arial"/>
        </w:rPr>
        <w:t xml:space="preserve">). </w:t>
      </w:r>
      <w:r w:rsidR="00473ADD" w:rsidRPr="00F802D6">
        <w:rPr>
          <w:rFonts w:cs="Arial"/>
        </w:rPr>
        <w:t>One month later, in August 2</w:t>
      </w:r>
      <w:r w:rsidRPr="00F802D6">
        <w:rPr>
          <w:rFonts w:cs="Arial"/>
        </w:rPr>
        <w:t>0</w:t>
      </w:r>
      <w:r w:rsidR="00473ADD" w:rsidRPr="00F802D6">
        <w:rPr>
          <w:rFonts w:cs="Arial"/>
        </w:rPr>
        <w:t xml:space="preserve">17, the CDE released a DASS application process </w:t>
      </w:r>
      <w:r w:rsidR="00BE6D02" w:rsidRPr="00F802D6">
        <w:rPr>
          <w:rFonts w:cs="Arial"/>
        </w:rPr>
        <w:t>for schools that were not automatically qualified to participate in DASS based on</w:t>
      </w:r>
      <w:r w:rsidR="002513D7" w:rsidRPr="00F802D6">
        <w:rPr>
          <w:rFonts w:cs="Arial"/>
        </w:rPr>
        <w:t xml:space="preserve"> California</w:t>
      </w:r>
      <w:r w:rsidR="00BE6D02" w:rsidRPr="00F802D6">
        <w:rPr>
          <w:rFonts w:cs="Arial"/>
        </w:rPr>
        <w:t xml:space="preserve"> </w:t>
      </w:r>
      <w:r w:rsidR="00BE6D02" w:rsidRPr="00F802D6">
        <w:rPr>
          <w:rFonts w:cs="Arial"/>
          <w:i/>
        </w:rPr>
        <w:t>Education Code</w:t>
      </w:r>
      <w:r w:rsidR="00BE6D02" w:rsidRPr="00F802D6">
        <w:rPr>
          <w:rFonts w:cs="Arial"/>
        </w:rPr>
        <w:t xml:space="preserve"> </w:t>
      </w:r>
      <w:r w:rsidR="002513D7" w:rsidRPr="00F802D6">
        <w:rPr>
          <w:rFonts w:cs="Arial"/>
          <w:i/>
        </w:rPr>
        <w:t>(EC)</w:t>
      </w:r>
      <w:r w:rsidR="002513D7" w:rsidRPr="00F802D6">
        <w:rPr>
          <w:rFonts w:cs="Arial"/>
        </w:rPr>
        <w:t xml:space="preserve"> </w:t>
      </w:r>
      <w:r w:rsidR="00BE6D02" w:rsidRPr="00F802D6">
        <w:rPr>
          <w:rFonts w:cs="Arial"/>
        </w:rPr>
        <w:t xml:space="preserve">Section 52052(g). </w:t>
      </w:r>
      <w:r w:rsidR="00CE2C8E" w:rsidRPr="00F802D6">
        <w:rPr>
          <w:rFonts w:cs="Arial"/>
        </w:rPr>
        <w:t>The a</w:t>
      </w:r>
      <w:r w:rsidR="00BE6D02" w:rsidRPr="00F802D6">
        <w:rPr>
          <w:rFonts w:cs="Arial"/>
        </w:rPr>
        <w:t xml:space="preserve">pplication </w:t>
      </w:r>
      <w:r w:rsidR="00CE2C8E" w:rsidRPr="00F802D6">
        <w:rPr>
          <w:rFonts w:cs="Arial"/>
        </w:rPr>
        <w:t xml:space="preserve">approval </w:t>
      </w:r>
      <w:r w:rsidR="00BE6D02" w:rsidRPr="00F802D6">
        <w:rPr>
          <w:rFonts w:cs="Arial"/>
        </w:rPr>
        <w:t>process a</w:t>
      </w:r>
      <w:r w:rsidR="007D6899" w:rsidRPr="00F802D6">
        <w:rPr>
          <w:rFonts w:cs="Arial"/>
        </w:rPr>
        <w:t>llowed schools that met the SBE-</w:t>
      </w:r>
      <w:r w:rsidR="00BE6D02" w:rsidRPr="00F802D6">
        <w:rPr>
          <w:rFonts w:cs="Arial"/>
        </w:rPr>
        <w:t xml:space="preserve">approved criteria to be </w:t>
      </w:r>
      <w:r w:rsidR="00026BFB" w:rsidRPr="00F802D6">
        <w:rPr>
          <w:rFonts w:cs="Arial"/>
        </w:rPr>
        <w:t xml:space="preserve">exempted from receiving a Dashboard in </w:t>
      </w:r>
      <w:r w:rsidR="00E82B45" w:rsidRPr="00F802D6">
        <w:rPr>
          <w:rFonts w:cs="Arial"/>
        </w:rPr>
        <w:t>f</w:t>
      </w:r>
      <w:r w:rsidR="000030E0" w:rsidRPr="00F802D6">
        <w:rPr>
          <w:rFonts w:cs="Arial"/>
        </w:rPr>
        <w:t>all 2017</w:t>
      </w:r>
      <w:r w:rsidR="00941F17" w:rsidRPr="00F802D6">
        <w:rPr>
          <w:rFonts w:cs="Arial"/>
        </w:rPr>
        <w:t xml:space="preserve"> while the work to consider incorporation of modified methods for the 2018 Dashboard was being completed</w:t>
      </w:r>
      <w:r w:rsidR="000030E0" w:rsidRPr="00F802D6">
        <w:rPr>
          <w:rFonts w:cs="Arial"/>
        </w:rPr>
        <w:t>.</w:t>
      </w:r>
    </w:p>
    <w:p w14:paraId="09AA1592" w14:textId="77777777" w:rsidR="00026BFB" w:rsidRPr="00F802D6" w:rsidRDefault="00E82B45" w:rsidP="000030E0">
      <w:pPr>
        <w:pStyle w:val="Heading4"/>
        <w:spacing w:before="0" w:after="240"/>
        <w:rPr>
          <w:szCs w:val="26"/>
        </w:rPr>
      </w:pPr>
      <w:r w:rsidRPr="00F802D6">
        <w:rPr>
          <w:szCs w:val="26"/>
        </w:rPr>
        <w:lastRenderedPageBreak/>
        <w:t xml:space="preserve">Phase 2: </w:t>
      </w:r>
      <w:r w:rsidR="00026BFB" w:rsidRPr="00F802D6">
        <w:rPr>
          <w:szCs w:val="26"/>
        </w:rPr>
        <w:t xml:space="preserve">Development of </w:t>
      </w:r>
      <w:r w:rsidRPr="00F802D6">
        <w:rPr>
          <w:szCs w:val="26"/>
        </w:rPr>
        <w:t xml:space="preserve">the </w:t>
      </w:r>
      <w:r w:rsidR="00026BFB" w:rsidRPr="00F802D6">
        <w:rPr>
          <w:szCs w:val="26"/>
        </w:rPr>
        <w:t xml:space="preserve">One-Year Graduation Rate as </w:t>
      </w:r>
      <w:r w:rsidRPr="00F802D6">
        <w:rPr>
          <w:szCs w:val="26"/>
        </w:rPr>
        <w:t xml:space="preserve">a </w:t>
      </w:r>
      <w:r w:rsidR="00026BFB" w:rsidRPr="00F802D6">
        <w:rPr>
          <w:szCs w:val="26"/>
        </w:rPr>
        <w:t>Modified Method for DASS Schools</w:t>
      </w:r>
    </w:p>
    <w:p w14:paraId="5D0A4B18" w14:textId="77777777" w:rsidR="00335328" w:rsidRPr="00F802D6" w:rsidRDefault="00026BFB" w:rsidP="000030E0">
      <w:pPr>
        <w:spacing w:after="240"/>
        <w:rPr>
          <w:rFonts w:cs="Arial"/>
        </w:rPr>
      </w:pPr>
      <w:r w:rsidRPr="00F802D6">
        <w:rPr>
          <w:rFonts w:cs="Arial"/>
        </w:rPr>
        <w:t xml:space="preserve">Once the eligibility criteria were approved and the application process for DASS schools was underway, the next step was to develop modified methods for DASS schools, including a one-year graduation rate. </w:t>
      </w:r>
      <w:r w:rsidR="002E0D75" w:rsidRPr="00F802D6">
        <w:rPr>
          <w:rFonts w:cs="Arial"/>
        </w:rPr>
        <w:t>Ov</w:t>
      </w:r>
      <w:r w:rsidR="00335328" w:rsidRPr="00F802D6">
        <w:rPr>
          <w:rFonts w:cs="Arial"/>
        </w:rPr>
        <w:t xml:space="preserve">er the course of </w:t>
      </w:r>
      <w:r w:rsidR="00A0044D" w:rsidRPr="00F802D6">
        <w:rPr>
          <w:rFonts w:cs="Arial"/>
        </w:rPr>
        <w:t>one year</w:t>
      </w:r>
      <w:r w:rsidR="00335328" w:rsidRPr="00F802D6">
        <w:rPr>
          <w:rFonts w:cs="Arial"/>
        </w:rPr>
        <w:t xml:space="preserve">, and in response to feedback and requests from the Modified Academic Indicators subcommittee, </w:t>
      </w:r>
      <w:r w:rsidR="002E0D75" w:rsidRPr="00F802D6">
        <w:rPr>
          <w:rFonts w:cs="Arial"/>
        </w:rPr>
        <w:t xml:space="preserve">CDE staff conducted </w:t>
      </w:r>
      <w:r w:rsidR="00A0044D" w:rsidRPr="00F802D6">
        <w:rPr>
          <w:rFonts w:cs="Arial"/>
        </w:rPr>
        <w:t>seven</w:t>
      </w:r>
      <w:r w:rsidR="002E0D75" w:rsidRPr="00F802D6">
        <w:rPr>
          <w:rFonts w:cs="Arial"/>
        </w:rPr>
        <w:t xml:space="preserve"> simulations</w:t>
      </w:r>
      <w:r w:rsidR="0007742B" w:rsidRPr="00F802D6">
        <w:rPr>
          <w:rFonts w:cs="Arial"/>
        </w:rPr>
        <w:t xml:space="preserve"> on the one-year graduation rate</w:t>
      </w:r>
      <w:r w:rsidR="00335328" w:rsidRPr="00F802D6">
        <w:rPr>
          <w:rFonts w:cs="Arial"/>
        </w:rPr>
        <w:t>, e</w:t>
      </w:r>
      <w:r w:rsidR="002E0D75" w:rsidRPr="00F802D6">
        <w:rPr>
          <w:rFonts w:cs="Arial"/>
        </w:rPr>
        <w:t xml:space="preserve">ach time examining the data by school size, charter/non-charter school status, and age of students served. </w:t>
      </w:r>
      <w:r w:rsidR="00335328" w:rsidRPr="00F802D6">
        <w:rPr>
          <w:rFonts w:cs="Arial"/>
        </w:rPr>
        <w:t>This required that the CDE draw from multiple California Longitudinal Pupil Achievement Data System (CALPADS) files, including the 2016–18 DASS and Charter School List,</w:t>
      </w:r>
      <w:r w:rsidR="00CE2C8E" w:rsidRPr="00F802D6">
        <w:rPr>
          <w:rFonts w:cs="Arial"/>
        </w:rPr>
        <w:t xml:space="preserve"> and multiple CALPADS data files, including</w:t>
      </w:r>
      <w:r w:rsidR="00335328" w:rsidRPr="00F802D6">
        <w:rPr>
          <w:rFonts w:cs="Arial"/>
        </w:rPr>
        <w:t xml:space="preserve"> three end-of-year cumulative enrollment files</w:t>
      </w:r>
      <w:r w:rsidR="00CE2C8E" w:rsidRPr="00F802D6">
        <w:rPr>
          <w:rFonts w:cs="Arial"/>
        </w:rPr>
        <w:t xml:space="preserve">. </w:t>
      </w:r>
      <w:r w:rsidR="00712F36" w:rsidRPr="00F802D6">
        <w:rPr>
          <w:rFonts w:cs="Arial"/>
        </w:rPr>
        <w:t xml:space="preserve">All seven simulations were parallel processed, </w:t>
      </w:r>
      <w:r w:rsidR="007D6899" w:rsidRPr="00F802D6">
        <w:rPr>
          <w:rFonts w:cs="Arial"/>
        </w:rPr>
        <w:t>meaning that</w:t>
      </w:r>
      <w:r w:rsidR="00712F36" w:rsidRPr="00F802D6">
        <w:rPr>
          <w:rFonts w:cs="Arial"/>
        </w:rPr>
        <w:t xml:space="preserve"> two staff members independently wrote their own programs, based on the established business rules, and ran the simulations. The files produced by each staff member are compared to ensure that each field in both data files match. </w:t>
      </w:r>
      <w:r w:rsidR="002513D7" w:rsidRPr="00F802D6">
        <w:rPr>
          <w:rFonts w:cs="Arial"/>
        </w:rPr>
        <w:t>Inconsistency</w:t>
      </w:r>
      <w:r w:rsidR="00712F36" w:rsidRPr="00F802D6">
        <w:rPr>
          <w:rFonts w:cs="Arial"/>
        </w:rPr>
        <w:t xml:space="preserve"> in results usually occurs due to differences in the interpretation of business rules, which leads to the refinement and in-depth documentation of those rules.</w:t>
      </w:r>
    </w:p>
    <w:p w14:paraId="6EEFB560" w14:textId="090E8695" w:rsidR="008D7733" w:rsidRPr="00F802D6" w:rsidRDefault="0014387B" w:rsidP="000030E0">
      <w:pPr>
        <w:spacing w:after="240"/>
        <w:rPr>
          <w:rFonts w:eastAsiaTheme="minorHAnsi" w:cs="Arial"/>
        </w:rPr>
      </w:pPr>
      <w:r w:rsidRPr="00F802D6">
        <w:rPr>
          <w:rFonts w:cs="Arial"/>
        </w:rPr>
        <w:t xml:space="preserve">During this 12-month </w:t>
      </w:r>
      <w:r w:rsidR="00A3521E" w:rsidRPr="00F802D6">
        <w:rPr>
          <w:rFonts w:cs="Arial"/>
        </w:rPr>
        <w:t>period</w:t>
      </w:r>
      <w:r w:rsidRPr="00F802D6">
        <w:rPr>
          <w:rFonts w:cs="Arial"/>
        </w:rPr>
        <w:t>, t</w:t>
      </w:r>
      <w:r w:rsidR="00335328" w:rsidRPr="00F802D6">
        <w:rPr>
          <w:rFonts w:cs="Arial"/>
        </w:rPr>
        <w:t xml:space="preserve">he CDE held </w:t>
      </w:r>
      <w:r w:rsidR="00712F36" w:rsidRPr="00F802D6">
        <w:rPr>
          <w:rFonts w:cs="Arial"/>
        </w:rPr>
        <w:t xml:space="preserve">four full-day </w:t>
      </w:r>
      <w:r w:rsidRPr="00F802D6">
        <w:rPr>
          <w:rFonts w:cs="Arial"/>
        </w:rPr>
        <w:t xml:space="preserve">in-person </w:t>
      </w:r>
      <w:r w:rsidR="00335328" w:rsidRPr="00F802D6">
        <w:rPr>
          <w:rFonts w:cs="Arial"/>
        </w:rPr>
        <w:t xml:space="preserve">meetings with the </w:t>
      </w:r>
      <w:r w:rsidR="00E82B45" w:rsidRPr="00F802D6">
        <w:rPr>
          <w:rFonts w:cs="Arial"/>
        </w:rPr>
        <w:t xml:space="preserve">Task Force </w:t>
      </w:r>
      <w:r w:rsidR="00335328" w:rsidRPr="00F802D6">
        <w:rPr>
          <w:rFonts w:cs="Arial"/>
        </w:rPr>
        <w:t xml:space="preserve">subcommittee </w:t>
      </w:r>
      <w:r w:rsidR="002513D7" w:rsidRPr="00F802D6">
        <w:rPr>
          <w:rFonts w:cs="Arial"/>
        </w:rPr>
        <w:t>and one w</w:t>
      </w:r>
      <w:r w:rsidR="00712F36" w:rsidRPr="00F802D6">
        <w:rPr>
          <w:rFonts w:cs="Arial"/>
        </w:rPr>
        <w:t xml:space="preserve">ebinar </w:t>
      </w:r>
      <w:r w:rsidR="00335328" w:rsidRPr="00F802D6">
        <w:rPr>
          <w:rFonts w:cs="Arial"/>
        </w:rPr>
        <w:t xml:space="preserve">to review the </w:t>
      </w:r>
      <w:r w:rsidRPr="00F802D6">
        <w:rPr>
          <w:rFonts w:cs="Arial"/>
        </w:rPr>
        <w:t xml:space="preserve">data </w:t>
      </w:r>
      <w:r w:rsidR="00335328" w:rsidRPr="00F802D6">
        <w:rPr>
          <w:rFonts w:cs="Arial"/>
        </w:rPr>
        <w:t>simulation</w:t>
      </w:r>
      <w:r w:rsidRPr="00F802D6">
        <w:rPr>
          <w:rFonts w:cs="Arial"/>
        </w:rPr>
        <w:t>s</w:t>
      </w:r>
      <w:r w:rsidR="00335328" w:rsidRPr="00F802D6">
        <w:rPr>
          <w:rFonts w:cs="Arial"/>
        </w:rPr>
        <w:t>. Once t</w:t>
      </w:r>
      <w:r w:rsidR="004A1162" w:rsidRPr="00F802D6">
        <w:rPr>
          <w:rFonts w:cs="Arial"/>
        </w:rPr>
        <w:t>he group agreed upon a recommended methodology,</w:t>
      </w:r>
      <w:r w:rsidR="00335328" w:rsidRPr="00F802D6">
        <w:rPr>
          <w:rFonts w:cs="Arial"/>
        </w:rPr>
        <w:t xml:space="preserve"> the </w:t>
      </w:r>
      <w:r w:rsidR="00351855" w:rsidRPr="00F802D6">
        <w:rPr>
          <w:rFonts w:cs="Arial"/>
        </w:rPr>
        <w:t xml:space="preserve">CDE met with </w:t>
      </w:r>
      <w:r w:rsidR="00335328" w:rsidRPr="00F802D6">
        <w:rPr>
          <w:rFonts w:cs="Arial"/>
        </w:rPr>
        <w:t xml:space="preserve">the </w:t>
      </w:r>
      <w:r w:rsidR="004A1162" w:rsidRPr="00F802D6">
        <w:rPr>
          <w:rFonts w:cs="Arial"/>
        </w:rPr>
        <w:t>TDG</w:t>
      </w:r>
      <w:r w:rsidR="00335328" w:rsidRPr="00F802D6">
        <w:rPr>
          <w:rFonts w:cs="Arial"/>
        </w:rPr>
        <w:t xml:space="preserve"> to ensure that the proposed </w:t>
      </w:r>
      <w:r w:rsidR="008233A0" w:rsidRPr="00F802D6">
        <w:rPr>
          <w:rFonts w:cs="Arial"/>
        </w:rPr>
        <w:t>calculation of</w:t>
      </w:r>
      <w:r w:rsidR="00AA7748" w:rsidRPr="00F802D6">
        <w:rPr>
          <w:rFonts w:cs="Arial"/>
        </w:rPr>
        <w:t xml:space="preserve"> the one-year graduation rate was stati</w:t>
      </w:r>
      <w:r w:rsidR="002513D7" w:rsidRPr="00F802D6">
        <w:rPr>
          <w:rFonts w:cs="Arial"/>
        </w:rPr>
        <w:t>sti</w:t>
      </w:r>
      <w:r w:rsidR="00AA7748" w:rsidRPr="00F802D6">
        <w:rPr>
          <w:rFonts w:cs="Arial"/>
        </w:rPr>
        <w:t xml:space="preserve">cally sound. </w:t>
      </w:r>
      <w:r w:rsidR="008233A0" w:rsidRPr="00F802D6">
        <w:rPr>
          <w:rFonts w:cs="Arial"/>
        </w:rPr>
        <w:t xml:space="preserve">At various steps of the process, </w:t>
      </w:r>
      <w:r w:rsidR="00171DA6" w:rsidRPr="00F802D6">
        <w:rPr>
          <w:rFonts w:cs="Arial"/>
        </w:rPr>
        <w:t xml:space="preserve">the CDE also met with </w:t>
      </w:r>
      <w:r w:rsidR="00171DA6" w:rsidRPr="00F802D6">
        <w:rPr>
          <w:rFonts w:eastAsiaTheme="minorHAnsi" w:cs="Arial"/>
        </w:rPr>
        <w:t>a broad, diverse, and geographically representative group of stakeholders to: (1) present the</w:t>
      </w:r>
      <w:r w:rsidR="00351855" w:rsidRPr="00F802D6">
        <w:rPr>
          <w:rFonts w:cs="Arial"/>
        </w:rPr>
        <w:t xml:space="preserve"> recommended methodology, along with an o</w:t>
      </w:r>
      <w:r w:rsidR="006E6BF2" w:rsidRPr="00F802D6">
        <w:rPr>
          <w:rFonts w:cs="Arial"/>
        </w:rPr>
        <w:t>verview</w:t>
      </w:r>
      <w:r w:rsidR="008233A0" w:rsidRPr="00F802D6">
        <w:rPr>
          <w:rFonts w:cs="Arial"/>
        </w:rPr>
        <w:t xml:space="preserve"> of the various simulations, </w:t>
      </w:r>
      <w:r w:rsidR="00171DA6" w:rsidRPr="00F802D6">
        <w:rPr>
          <w:rFonts w:cs="Arial"/>
        </w:rPr>
        <w:t xml:space="preserve">and (2) receive input </w:t>
      </w:r>
      <w:r w:rsidR="00171DA6" w:rsidRPr="00F802D6">
        <w:rPr>
          <w:rFonts w:eastAsiaTheme="minorHAnsi" w:cs="Arial"/>
        </w:rPr>
        <w:t xml:space="preserve">on the </w:t>
      </w:r>
      <w:r w:rsidR="00171DA6" w:rsidRPr="00F802D6">
        <w:rPr>
          <w:rFonts w:cs="Arial"/>
        </w:rPr>
        <w:t xml:space="preserve">approaches to communicating this information to LEAs, schools, and parents. The stakeholder groups included: </w:t>
      </w:r>
    </w:p>
    <w:p w14:paraId="7D0E2606" w14:textId="77777777" w:rsidR="00AA7748" w:rsidRPr="00F802D6" w:rsidRDefault="00512890" w:rsidP="000030E0">
      <w:pPr>
        <w:pStyle w:val="ListParagraph"/>
        <w:numPr>
          <w:ilvl w:val="0"/>
          <w:numId w:val="16"/>
        </w:numPr>
        <w:spacing w:after="240"/>
        <w:contextualSpacing w:val="0"/>
        <w:rPr>
          <w:rFonts w:cs="Arial"/>
        </w:rPr>
      </w:pPr>
      <w:r w:rsidRPr="00F802D6">
        <w:rPr>
          <w:rFonts w:cs="Arial"/>
        </w:rPr>
        <w:t>ACSE</w:t>
      </w:r>
      <w:r w:rsidR="00AA7748" w:rsidRPr="00F802D6">
        <w:rPr>
          <w:rFonts w:cs="Arial"/>
        </w:rPr>
        <w:t xml:space="preserve"> </w:t>
      </w:r>
    </w:p>
    <w:p w14:paraId="22D5A1A7" w14:textId="77777777" w:rsidR="00AA7748" w:rsidRPr="00F802D6" w:rsidRDefault="00200F3B" w:rsidP="000030E0">
      <w:pPr>
        <w:pStyle w:val="ListParagraph"/>
        <w:numPr>
          <w:ilvl w:val="0"/>
          <w:numId w:val="16"/>
        </w:numPr>
        <w:spacing w:after="240"/>
        <w:contextualSpacing w:val="0"/>
        <w:rPr>
          <w:rFonts w:cs="Arial"/>
        </w:rPr>
      </w:pPr>
      <w:r w:rsidRPr="00F802D6">
        <w:rPr>
          <w:rFonts w:cs="Arial"/>
        </w:rPr>
        <w:t>LCFF</w:t>
      </w:r>
      <w:r w:rsidR="00AA7748" w:rsidRPr="00F802D6">
        <w:rPr>
          <w:rFonts w:cs="Arial"/>
        </w:rPr>
        <w:t xml:space="preserve"> Stakeholder Group </w:t>
      </w:r>
    </w:p>
    <w:p w14:paraId="78A745AD" w14:textId="77777777" w:rsidR="00AA7748" w:rsidRPr="00F802D6" w:rsidRDefault="00512890" w:rsidP="000030E0">
      <w:pPr>
        <w:pStyle w:val="ListParagraph"/>
        <w:numPr>
          <w:ilvl w:val="0"/>
          <w:numId w:val="16"/>
        </w:numPr>
        <w:spacing w:after="240"/>
        <w:contextualSpacing w:val="0"/>
        <w:rPr>
          <w:rFonts w:cs="Arial"/>
        </w:rPr>
      </w:pPr>
      <w:r w:rsidRPr="00F802D6">
        <w:rPr>
          <w:rFonts w:cs="Arial"/>
        </w:rPr>
        <w:t>C</w:t>
      </w:r>
      <w:r w:rsidR="00AA7748" w:rsidRPr="00F802D6">
        <w:rPr>
          <w:rFonts w:cs="Arial"/>
        </w:rPr>
        <w:t>alifornia Practitioners Advisory Group</w:t>
      </w:r>
    </w:p>
    <w:p w14:paraId="4428FF06" w14:textId="77777777" w:rsidR="00A3207C" w:rsidRPr="00F802D6" w:rsidRDefault="00AA7748" w:rsidP="000030E0">
      <w:pPr>
        <w:pStyle w:val="ListParagraph"/>
        <w:numPr>
          <w:ilvl w:val="0"/>
          <w:numId w:val="16"/>
        </w:numPr>
        <w:spacing w:after="240"/>
        <w:contextualSpacing w:val="0"/>
        <w:rPr>
          <w:rFonts w:cs="Arial"/>
        </w:rPr>
      </w:pPr>
      <w:r w:rsidRPr="00F802D6">
        <w:rPr>
          <w:rFonts w:cs="Arial"/>
        </w:rPr>
        <w:t>Capital Regional Assessment Network</w:t>
      </w:r>
    </w:p>
    <w:p w14:paraId="73CC68B6" w14:textId="77777777" w:rsidR="00E54C53" w:rsidRPr="00F802D6" w:rsidRDefault="00512890" w:rsidP="000030E0">
      <w:pPr>
        <w:pStyle w:val="ListParagraph"/>
        <w:numPr>
          <w:ilvl w:val="0"/>
          <w:numId w:val="16"/>
        </w:numPr>
        <w:spacing w:after="240"/>
        <w:contextualSpacing w:val="0"/>
        <w:rPr>
          <w:rFonts w:cs="Arial"/>
        </w:rPr>
      </w:pPr>
      <w:r w:rsidRPr="00F802D6">
        <w:rPr>
          <w:rFonts w:cs="Arial"/>
        </w:rPr>
        <w:t>RAN</w:t>
      </w:r>
      <w:r w:rsidR="00A3207C" w:rsidRPr="00F802D6">
        <w:rPr>
          <w:rFonts w:cs="Arial"/>
        </w:rPr>
        <w:t xml:space="preserve"> </w:t>
      </w:r>
    </w:p>
    <w:p w14:paraId="03D9FEAA" w14:textId="77777777" w:rsidR="00AA7748" w:rsidRPr="00F802D6" w:rsidRDefault="00E54C53" w:rsidP="000030E0">
      <w:pPr>
        <w:pStyle w:val="ListParagraph"/>
        <w:numPr>
          <w:ilvl w:val="0"/>
          <w:numId w:val="16"/>
        </w:numPr>
        <w:spacing w:after="240"/>
        <w:contextualSpacing w:val="0"/>
        <w:rPr>
          <w:rFonts w:cs="Arial"/>
        </w:rPr>
      </w:pPr>
      <w:r w:rsidRPr="00F802D6">
        <w:rPr>
          <w:rFonts w:cs="Arial"/>
        </w:rPr>
        <w:t xml:space="preserve">Special Education Local Plan Area </w:t>
      </w:r>
      <w:r w:rsidR="00E82B45" w:rsidRPr="00F802D6">
        <w:rPr>
          <w:rFonts w:cs="Arial"/>
        </w:rPr>
        <w:t>Directors</w:t>
      </w:r>
    </w:p>
    <w:p w14:paraId="5D0B6CA3" w14:textId="77777777" w:rsidR="00AA7748" w:rsidRPr="00F802D6" w:rsidRDefault="00AA7748" w:rsidP="000030E0">
      <w:pPr>
        <w:pStyle w:val="ListParagraph"/>
        <w:numPr>
          <w:ilvl w:val="0"/>
          <w:numId w:val="16"/>
        </w:numPr>
        <w:spacing w:after="240"/>
        <w:contextualSpacing w:val="0"/>
        <w:rPr>
          <w:rFonts w:cs="Arial"/>
        </w:rPr>
      </w:pPr>
      <w:r w:rsidRPr="00F802D6">
        <w:rPr>
          <w:rFonts w:cs="Arial"/>
        </w:rPr>
        <w:t>Reaching A</w:t>
      </w:r>
      <w:r w:rsidR="002513D7" w:rsidRPr="00F802D6">
        <w:rPr>
          <w:rFonts w:cs="Arial"/>
        </w:rPr>
        <w:t>t-Promise Students Association w</w:t>
      </w:r>
      <w:r w:rsidRPr="00F802D6">
        <w:rPr>
          <w:rFonts w:cs="Arial"/>
        </w:rPr>
        <w:t xml:space="preserve">ebinar, which included the participation of accountability coordinators </w:t>
      </w:r>
    </w:p>
    <w:p w14:paraId="1A53A1DA" w14:textId="77777777" w:rsidR="006E6BF2" w:rsidRPr="00F802D6" w:rsidRDefault="00E82B45" w:rsidP="000030E0">
      <w:pPr>
        <w:spacing w:after="240"/>
        <w:rPr>
          <w:rFonts w:cs="Arial"/>
        </w:rPr>
        <w:sectPr w:rsidR="006E6BF2" w:rsidRPr="00F802D6" w:rsidSect="004A01D4">
          <w:headerReference w:type="default" r:id="rId14"/>
          <w:type w:val="continuous"/>
          <w:pgSz w:w="12240" w:h="15840"/>
          <w:pgMar w:top="720" w:right="1440" w:bottom="1440" w:left="1440" w:header="720" w:footer="720" w:gutter="0"/>
          <w:cols w:space="720"/>
        </w:sectPr>
      </w:pPr>
      <w:r w:rsidRPr="00F802D6">
        <w:rPr>
          <w:rFonts w:eastAsiaTheme="minorHAnsi" w:cs="Arial"/>
        </w:rPr>
        <w:t>T</w:t>
      </w:r>
      <w:r w:rsidR="008D7733" w:rsidRPr="00F802D6">
        <w:rPr>
          <w:rFonts w:eastAsiaTheme="minorHAnsi" w:cs="Arial"/>
        </w:rPr>
        <w:t xml:space="preserve">he CDE </w:t>
      </w:r>
      <w:r w:rsidRPr="00F802D6">
        <w:rPr>
          <w:rFonts w:eastAsiaTheme="minorHAnsi" w:cs="Arial"/>
        </w:rPr>
        <w:t>inc</w:t>
      </w:r>
      <w:r w:rsidR="00A531BC" w:rsidRPr="00F802D6">
        <w:rPr>
          <w:rFonts w:eastAsiaTheme="minorHAnsi" w:cs="Arial"/>
        </w:rPr>
        <w:t>orporated</w:t>
      </w:r>
      <w:r w:rsidR="008D7733" w:rsidRPr="00F802D6">
        <w:rPr>
          <w:rFonts w:eastAsiaTheme="minorHAnsi" w:cs="Arial"/>
        </w:rPr>
        <w:t xml:space="preserve"> feedback and recommendations</w:t>
      </w:r>
      <w:r w:rsidRPr="00F802D6">
        <w:rPr>
          <w:rFonts w:eastAsiaTheme="minorHAnsi" w:cs="Arial"/>
        </w:rPr>
        <w:t xml:space="preserve"> from the respective stakeholder groups </w:t>
      </w:r>
      <w:r w:rsidR="008D7733" w:rsidRPr="00F802D6">
        <w:rPr>
          <w:rFonts w:eastAsiaTheme="minorHAnsi" w:cs="Arial"/>
        </w:rPr>
        <w:t>into the final set of recommendations brought to the SBE.</w:t>
      </w:r>
    </w:p>
    <w:p w14:paraId="5867CE46" w14:textId="2F48ACAF" w:rsidR="0018520E" w:rsidRPr="00F802D6" w:rsidRDefault="0018520E" w:rsidP="0018520E">
      <w:r w:rsidRPr="00F802D6">
        <w:lastRenderedPageBreak/>
        <w:t>Table 1 reflects topics scheduled to be presented to the SBE at the September and November 2018 meetings, based on feedback from SBE members at the March 2018 SBE meeting (</w:t>
      </w:r>
      <w:hyperlink r:id="rId15" w:tooltip="March 2018 SBE Item 01" w:history="1">
        <w:r w:rsidRPr="00F802D6">
          <w:rPr>
            <w:rStyle w:val="Hyperlink"/>
          </w:rPr>
          <w:t>https://www.cde.ca.gov/be/ag/ag/yr18/documents/mar18item01.docx</w:t>
        </w:r>
      </w:hyperlink>
      <w:r w:rsidRPr="00F802D6">
        <w:t>) as part of the annual review process of state and local indicators, and subsequent feedback at the May 2018 and July 2018 SBE meetings (</w:t>
      </w:r>
      <w:hyperlink r:id="rId16" w:tooltip="May 2018 SBE Item 02" w:history="1">
        <w:r w:rsidRPr="00F802D6">
          <w:rPr>
            <w:rStyle w:val="Hyperlink"/>
          </w:rPr>
          <w:t>https://www.cde.ca.gov/be/ag/ag/yr18/documents/may18item02.docx</w:t>
        </w:r>
      </w:hyperlink>
      <w:r w:rsidRPr="00F802D6">
        <w:rPr>
          <w:rStyle w:val="Hyperlink"/>
        </w:rPr>
        <w:t xml:space="preserve"> </w:t>
      </w:r>
      <w:r w:rsidRPr="00F802D6">
        <w:rPr>
          <w:rStyle w:val="Hyperlink"/>
          <w:color w:val="auto"/>
          <w:u w:val="none"/>
        </w:rPr>
        <w:t>and</w:t>
      </w:r>
      <w:r w:rsidRPr="00F802D6">
        <w:t xml:space="preserve"> </w:t>
      </w:r>
      <w:hyperlink r:id="rId17" w:tooltip="July 2018 SBE Item 01" w:history="1">
        <w:r w:rsidRPr="00F802D6">
          <w:rPr>
            <w:rStyle w:val="Hyperlink"/>
          </w:rPr>
          <w:t>https://www.cde.ca.gov/be/ag/ag/yr18/documents/jul18item01.docx</w:t>
        </w:r>
      </w:hyperlink>
      <w:r w:rsidRPr="00F802D6">
        <w:t xml:space="preserve">). </w:t>
      </w:r>
    </w:p>
    <w:p w14:paraId="1574EC9C" w14:textId="216136A3" w:rsidR="008D7733" w:rsidRPr="00F802D6" w:rsidRDefault="0018520E" w:rsidP="00033581">
      <w:pPr>
        <w:pStyle w:val="Heading3"/>
        <w:spacing w:before="360" w:after="240"/>
      </w:pPr>
      <w:r w:rsidRPr="00F802D6">
        <w:t xml:space="preserve">Table 1: </w:t>
      </w:r>
      <w:r w:rsidR="008D7733" w:rsidRPr="00F802D6">
        <w:t>September and November 2018 SBE Meeting</w:t>
      </w:r>
      <w:r w:rsidR="00A3521E" w:rsidRPr="00F802D6">
        <w:t xml:space="preserve"> Topic</w:t>
      </w:r>
      <w:r w:rsidR="008D7733" w:rsidRPr="00F802D6">
        <w:t>s</w:t>
      </w:r>
    </w:p>
    <w:tbl>
      <w:tblPr>
        <w:tblStyle w:val="TableGrid"/>
        <w:tblW w:w="5000" w:type="pct"/>
        <w:tblLook w:val="04A0" w:firstRow="1" w:lastRow="0" w:firstColumn="1" w:lastColumn="0" w:noHBand="0" w:noVBand="1"/>
        <w:tblDescription w:val="Table with the CCI Results for 2010 Students in the Graduation Cohort for Olympic High School."/>
      </w:tblPr>
      <w:tblGrid>
        <w:gridCol w:w="1543"/>
        <w:gridCol w:w="7807"/>
      </w:tblGrid>
      <w:tr w:rsidR="007D6899" w:rsidRPr="00F802D6" w14:paraId="1536B3CA" w14:textId="77777777" w:rsidTr="00EF7A5D">
        <w:trPr>
          <w:cantSplit/>
          <w:trHeight w:val="288"/>
          <w:tblHeader/>
        </w:trPr>
        <w:tc>
          <w:tcPr>
            <w:tcW w:w="825" w:type="pct"/>
            <w:shd w:val="clear" w:color="auto" w:fill="D9D9D9" w:themeFill="background1" w:themeFillShade="D9"/>
            <w:vAlign w:val="center"/>
          </w:tcPr>
          <w:p w14:paraId="41A5C9EE" w14:textId="77777777" w:rsidR="007D6899" w:rsidRPr="00F802D6" w:rsidRDefault="007D6899" w:rsidP="007D6899">
            <w:pPr>
              <w:spacing w:line="259" w:lineRule="auto"/>
              <w:jc w:val="center"/>
            </w:pPr>
            <w:r w:rsidRPr="00F802D6">
              <w:t>Meeting Date</w:t>
            </w:r>
          </w:p>
        </w:tc>
        <w:tc>
          <w:tcPr>
            <w:tcW w:w="4175" w:type="pct"/>
            <w:shd w:val="clear" w:color="auto" w:fill="D9D9D9" w:themeFill="background1" w:themeFillShade="D9"/>
            <w:vAlign w:val="center"/>
          </w:tcPr>
          <w:p w14:paraId="10407E37" w14:textId="77777777" w:rsidR="007D6899" w:rsidRPr="00F802D6" w:rsidRDefault="007D6899" w:rsidP="007D6899">
            <w:pPr>
              <w:spacing w:line="259" w:lineRule="auto"/>
              <w:jc w:val="center"/>
            </w:pPr>
            <w:r w:rsidRPr="00F802D6">
              <w:t>Topics of Discussion</w:t>
            </w:r>
          </w:p>
        </w:tc>
      </w:tr>
      <w:tr w:rsidR="00216138" w:rsidRPr="00F802D6" w14:paraId="16D68BFA" w14:textId="77777777" w:rsidTr="00EF7A5D">
        <w:trPr>
          <w:cantSplit/>
          <w:trHeight w:val="3068"/>
        </w:trPr>
        <w:tc>
          <w:tcPr>
            <w:tcW w:w="825" w:type="pct"/>
            <w:shd w:val="clear" w:color="auto" w:fill="FFFFFF" w:themeFill="background1"/>
            <w:vAlign w:val="center"/>
          </w:tcPr>
          <w:p w14:paraId="6E9BFB83" w14:textId="77777777" w:rsidR="00216138" w:rsidRPr="00F802D6" w:rsidRDefault="00216138" w:rsidP="000030E0">
            <w:pPr>
              <w:spacing w:after="240" w:line="259" w:lineRule="auto"/>
              <w:jc w:val="center"/>
            </w:pPr>
            <w:r w:rsidRPr="00F802D6">
              <w:t>September 2018</w:t>
            </w:r>
          </w:p>
        </w:tc>
        <w:tc>
          <w:tcPr>
            <w:tcW w:w="4175" w:type="pct"/>
            <w:shd w:val="clear" w:color="auto" w:fill="FFFFFF" w:themeFill="background1"/>
            <w:vAlign w:val="center"/>
          </w:tcPr>
          <w:p w14:paraId="710CB418" w14:textId="77777777" w:rsidR="00216138" w:rsidRPr="00F802D6" w:rsidRDefault="00216138" w:rsidP="000030E0">
            <w:pPr>
              <w:pStyle w:val="ListParagraph"/>
              <w:numPr>
                <w:ilvl w:val="0"/>
                <w:numId w:val="11"/>
              </w:numPr>
              <w:spacing w:after="240" w:line="259" w:lineRule="auto"/>
            </w:pPr>
            <w:r w:rsidRPr="00F802D6">
              <w:t>Chronic Absenteeism: Approval of proposed methodology</w:t>
            </w:r>
          </w:p>
          <w:p w14:paraId="0F65DEF4" w14:textId="77777777" w:rsidR="00216138" w:rsidRPr="00F802D6" w:rsidRDefault="00216138" w:rsidP="000030E0">
            <w:pPr>
              <w:pStyle w:val="ListParagraph"/>
              <w:numPr>
                <w:ilvl w:val="0"/>
                <w:numId w:val="11"/>
              </w:numPr>
              <w:spacing w:after="240" w:line="259" w:lineRule="auto"/>
            </w:pPr>
            <w:r w:rsidRPr="00F802D6">
              <w:t>Five-Year Graduation Rate: Approval of proposed methodology and Status and Change cut scores</w:t>
            </w:r>
          </w:p>
          <w:p w14:paraId="5226EF36" w14:textId="77777777" w:rsidR="00216138" w:rsidRPr="00F802D6" w:rsidRDefault="00216138" w:rsidP="000030E0">
            <w:pPr>
              <w:pStyle w:val="ListParagraph"/>
              <w:numPr>
                <w:ilvl w:val="0"/>
                <w:numId w:val="11"/>
              </w:numPr>
              <w:spacing w:after="240" w:line="259" w:lineRule="auto"/>
            </w:pPr>
            <w:r w:rsidRPr="00F802D6">
              <w:t xml:space="preserve">College/Career Indicator (CCI): Approval of three new career measures (State Seal of </w:t>
            </w:r>
            <w:proofErr w:type="spellStart"/>
            <w:r w:rsidRPr="00F802D6">
              <w:t>Biliteracy</w:t>
            </w:r>
            <w:proofErr w:type="spellEnd"/>
            <w:r w:rsidRPr="00F802D6">
              <w:t xml:space="preserve">, Golden State Merit Diploma, and Leadership/Military Service) and </w:t>
            </w:r>
            <w:r w:rsidR="002513D7" w:rsidRPr="00F802D6">
              <w:t>the</w:t>
            </w:r>
            <w:r w:rsidRPr="00F802D6">
              <w:t xml:space="preserve"> method t</w:t>
            </w:r>
            <w:r w:rsidR="007D6899" w:rsidRPr="00F802D6">
              <w:t>o incorporate these measures</w:t>
            </w:r>
          </w:p>
          <w:p w14:paraId="3AB3C9C7" w14:textId="77777777" w:rsidR="00216138" w:rsidRPr="00F802D6" w:rsidRDefault="00216138" w:rsidP="000030E0">
            <w:pPr>
              <w:pStyle w:val="ListParagraph"/>
              <w:numPr>
                <w:ilvl w:val="0"/>
                <w:numId w:val="11"/>
              </w:numPr>
              <w:spacing w:after="240" w:line="259" w:lineRule="auto"/>
            </w:pPr>
            <w:r w:rsidRPr="00F802D6">
              <w:t>Impact analyses of the inclusion of DASS data in district performance determinations, which may require revisions to cut scores for select indicators. If applicable, new proposed cut scores will</w:t>
            </w:r>
            <w:r w:rsidR="007D6899" w:rsidRPr="00F802D6">
              <w:t xml:space="preserve"> be included for consideration</w:t>
            </w:r>
          </w:p>
          <w:p w14:paraId="1E50A4FF" w14:textId="77777777" w:rsidR="00216138" w:rsidRPr="00F802D6" w:rsidRDefault="00216138" w:rsidP="000030E0">
            <w:pPr>
              <w:pStyle w:val="ListParagraph"/>
              <w:numPr>
                <w:ilvl w:val="0"/>
                <w:numId w:val="11"/>
              </w:numPr>
              <w:spacing w:line="259" w:lineRule="auto"/>
            </w:pPr>
            <w:r w:rsidRPr="00F802D6">
              <w:t>U</w:t>
            </w:r>
            <w:r w:rsidR="000030E0" w:rsidRPr="00F802D6">
              <w:t>pdate on the Dashboard redesign</w:t>
            </w:r>
          </w:p>
        </w:tc>
      </w:tr>
      <w:tr w:rsidR="00216138" w:rsidRPr="00F802D6" w14:paraId="5F93BFD6" w14:textId="77777777" w:rsidTr="00EF7A5D">
        <w:trPr>
          <w:cantSplit/>
        </w:trPr>
        <w:tc>
          <w:tcPr>
            <w:tcW w:w="825" w:type="pct"/>
            <w:shd w:val="clear" w:color="auto" w:fill="FFFFFF" w:themeFill="background1"/>
            <w:vAlign w:val="center"/>
          </w:tcPr>
          <w:p w14:paraId="3FC4B848" w14:textId="77777777" w:rsidR="00216138" w:rsidRPr="00F802D6" w:rsidRDefault="00216138" w:rsidP="000030E0">
            <w:pPr>
              <w:spacing w:after="240" w:line="259" w:lineRule="auto"/>
              <w:jc w:val="center"/>
            </w:pPr>
            <w:r w:rsidRPr="00F802D6">
              <w:t>November 2018</w:t>
            </w:r>
          </w:p>
        </w:tc>
        <w:tc>
          <w:tcPr>
            <w:tcW w:w="4175" w:type="pct"/>
            <w:shd w:val="clear" w:color="auto" w:fill="FFFFFF" w:themeFill="background1"/>
            <w:vAlign w:val="center"/>
          </w:tcPr>
          <w:p w14:paraId="78DE806A" w14:textId="77777777" w:rsidR="00216138" w:rsidRPr="00F802D6" w:rsidRDefault="00216138" w:rsidP="000030E0">
            <w:pPr>
              <w:pStyle w:val="ListParagraph"/>
              <w:numPr>
                <w:ilvl w:val="0"/>
                <w:numId w:val="14"/>
              </w:numPr>
              <w:spacing w:after="240" w:line="259" w:lineRule="auto"/>
            </w:pPr>
            <w:r w:rsidRPr="00F802D6">
              <w:t>CCI: Approval of proposed cut scores for Change</w:t>
            </w:r>
          </w:p>
          <w:p w14:paraId="0AF14FAF" w14:textId="77777777" w:rsidR="00216138" w:rsidRPr="00F802D6" w:rsidRDefault="00216138" w:rsidP="000030E0">
            <w:pPr>
              <w:pStyle w:val="ListParagraph"/>
              <w:numPr>
                <w:ilvl w:val="0"/>
                <w:numId w:val="14"/>
              </w:numPr>
              <w:spacing w:after="240" w:line="259" w:lineRule="auto"/>
            </w:pPr>
            <w:r w:rsidRPr="00F802D6">
              <w:t>Chronic Absenteeism Indicator: Approval of proposed Status and Change cut scores</w:t>
            </w:r>
          </w:p>
          <w:p w14:paraId="668A92B6" w14:textId="77777777" w:rsidR="00216138" w:rsidRPr="00F802D6" w:rsidRDefault="00216138" w:rsidP="000030E0">
            <w:pPr>
              <w:pStyle w:val="ListParagraph"/>
              <w:numPr>
                <w:ilvl w:val="0"/>
                <w:numId w:val="14"/>
              </w:numPr>
              <w:spacing w:after="240" w:line="259" w:lineRule="auto"/>
            </w:pPr>
            <w:r w:rsidRPr="00F802D6">
              <w:t xml:space="preserve">Grade 11 Academic Indicator: Approval of proposed Status and Change cut scores </w:t>
            </w:r>
          </w:p>
          <w:p w14:paraId="6D2B3B69" w14:textId="77777777" w:rsidR="00216138" w:rsidRPr="00F802D6" w:rsidRDefault="00216138" w:rsidP="000030E0">
            <w:pPr>
              <w:pStyle w:val="ListParagraph"/>
              <w:numPr>
                <w:ilvl w:val="0"/>
                <w:numId w:val="14"/>
              </w:numPr>
              <w:spacing w:after="240" w:line="259" w:lineRule="auto"/>
            </w:pPr>
            <w:r w:rsidRPr="00F802D6">
              <w:t>Update on the Dashboard redesign</w:t>
            </w:r>
            <w:r w:rsidR="00A531BC" w:rsidRPr="00F802D6">
              <w:t xml:space="preserve"> and 2018 release</w:t>
            </w:r>
          </w:p>
          <w:p w14:paraId="2E932F8B" w14:textId="77777777" w:rsidR="0014387B" w:rsidRPr="00F802D6" w:rsidRDefault="0014387B" w:rsidP="007D6899">
            <w:pPr>
              <w:pStyle w:val="ListParagraph"/>
              <w:numPr>
                <w:ilvl w:val="0"/>
                <w:numId w:val="14"/>
              </w:numPr>
              <w:spacing w:line="259" w:lineRule="auto"/>
            </w:pPr>
            <w:r w:rsidRPr="00F802D6">
              <w:t>Direct staff to submit five-by-five grids for the College/Career Indicator and the Chronic Absenteeism Indicator to the U.S. Department of Education for inclusion in the California Every Student Succeeds Act State Plan</w:t>
            </w:r>
          </w:p>
        </w:tc>
      </w:tr>
    </w:tbl>
    <w:p w14:paraId="42335480" w14:textId="77777777" w:rsidR="00216138" w:rsidRPr="00F802D6" w:rsidRDefault="0014387B" w:rsidP="000030E0">
      <w:pPr>
        <w:pStyle w:val="Heading3"/>
        <w:spacing w:before="240" w:after="240"/>
      </w:pPr>
      <w:r w:rsidRPr="00F802D6">
        <w:t xml:space="preserve">Remaining </w:t>
      </w:r>
      <w:r w:rsidR="00216138" w:rsidRPr="00F802D6">
        <w:t>Developmental Work on the Dashboard</w:t>
      </w:r>
    </w:p>
    <w:p w14:paraId="463D9195" w14:textId="77777777" w:rsidR="000030E0" w:rsidRPr="00F802D6" w:rsidRDefault="008248F2" w:rsidP="000030E0">
      <w:pPr>
        <w:spacing w:after="240"/>
      </w:pPr>
      <w:r w:rsidRPr="00F802D6">
        <w:t xml:space="preserve">Following the release of the 2018 Dashboard, the </w:t>
      </w:r>
      <w:r w:rsidR="00216138" w:rsidRPr="00F802D6">
        <w:t xml:space="preserve">CDE </w:t>
      </w:r>
      <w:r w:rsidRPr="00F802D6">
        <w:t xml:space="preserve">is committed to </w:t>
      </w:r>
      <w:r w:rsidR="0037104D" w:rsidRPr="00F802D6">
        <w:t xml:space="preserve">the </w:t>
      </w:r>
      <w:r w:rsidR="002513D7" w:rsidRPr="00F802D6">
        <w:t>following developmental</w:t>
      </w:r>
      <w:r w:rsidRPr="00F802D6">
        <w:t xml:space="preserve"> work</w:t>
      </w:r>
      <w:r w:rsidR="0037104D" w:rsidRPr="00F802D6">
        <w:t>:</w:t>
      </w:r>
    </w:p>
    <w:p w14:paraId="4306EE3A" w14:textId="77777777" w:rsidR="008248F2" w:rsidRPr="00F802D6" w:rsidRDefault="008248F2" w:rsidP="000030E0">
      <w:pPr>
        <w:pStyle w:val="ListParagraph"/>
        <w:numPr>
          <w:ilvl w:val="0"/>
          <w:numId w:val="14"/>
        </w:numPr>
        <w:spacing w:after="240"/>
        <w:ind w:left="720"/>
        <w:contextualSpacing w:val="0"/>
        <w:rPr>
          <w:rFonts w:cs="Arial"/>
        </w:rPr>
      </w:pPr>
      <w:r w:rsidRPr="00F802D6">
        <w:rPr>
          <w:rFonts w:cs="Arial"/>
        </w:rPr>
        <w:t xml:space="preserve">Inclusion of the English Learner Progress Indicator based on the new </w:t>
      </w:r>
      <w:r w:rsidRPr="00F802D6">
        <w:rPr>
          <w:rFonts w:cs="Arial"/>
          <w:color w:val="000000"/>
          <w:lang w:val="en"/>
        </w:rPr>
        <w:t>English Language Proficiency Assessments for California</w:t>
      </w:r>
    </w:p>
    <w:p w14:paraId="7BEDEC87" w14:textId="5681E23E" w:rsidR="002513D7" w:rsidRPr="00F802D6" w:rsidRDefault="002513D7" w:rsidP="002513D7">
      <w:pPr>
        <w:pStyle w:val="ListParagraph"/>
        <w:numPr>
          <w:ilvl w:val="0"/>
          <w:numId w:val="14"/>
        </w:numPr>
        <w:spacing w:after="240"/>
        <w:ind w:left="720"/>
        <w:contextualSpacing w:val="0"/>
        <w:rPr>
          <w:rFonts w:cs="Arial"/>
        </w:rPr>
      </w:pPr>
      <w:r w:rsidRPr="00F802D6">
        <w:rPr>
          <w:rFonts w:cs="Arial"/>
        </w:rPr>
        <w:lastRenderedPageBreak/>
        <w:t>Development of the Student Growth Model</w:t>
      </w:r>
      <w:r w:rsidR="005F6DB0" w:rsidRPr="00F802D6">
        <w:rPr>
          <w:rFonts w:cs="Arial"/>
        </w:rPr>
        <w:t>/Closure Gap Model</w:t>
      </w:r>
    </w:p>
    <w:p w14:paraId="7197DF7E" w14:textId="77777777" w:rsidR="0037104D" w:rsidRPr="00F802D6" w:rsidRDefault="002513D7" w:rsidP="000030E0">
      <w:pPr>
        <w:pStyle w:val="ListParagraph"/>
        <w:numPr>
          <w:ilvl w:val="0"/>
          <w:numId w:val="14"/>
        </w:numPr>
        <w:spacing w:after="240"/>
        <w:ind w:left="720"/>
        <w:contextualSpacing w:val="0"/>
      </w:pPr>
      <w:r w:rsidRPr="00F802D6">
        <w:t>Development</w:t>
      </w:r>
      <w:r w:rsidR="0037104D" w:rsidRPr="00F802D6">
        <w:t xml:space="preserve"> of additional modified methods for</w:t>
      </w:r>
      <w:r w:rsidR="007F031C" w:rsidRPr="00F802D6">
        <w:t xml:space="preserve"> DASS schools, including for</w:t>
      </w:r>
      <w:r w:rsidR="0037104D" w:rsidRPr="00F802D6">
        <w:t xml:space="preserve"> the CCI</w:t>
      </w:r>
      <w:r w:rsidR="00A0044D" w:rsidRPr="00F802D6">
        <w:t xml:space="preserve"> and other select indicators</w:t>
      </w:r>
    </w:p>
    <w:p w14:paraId="6A65C6B4" w14:textId="51418228" w:rsidR="008248F2" w:rsidRPr="00F802D6" w:rsidRDefault="002513D7" w:rsidP="000030E0">
      <w:pPr>
        <w:pStyle w:val="ListParagraph"/>
        <w:numPr>
          <w:ilvl w:val="0"/>
          <w:numId w:val="14"/>
        </w:numPr>
        <w:spacing w:after="240"/>
        <w:ind w:left="720"/>
        <w:contextualSpacing w:val="0"/>
        <w:rPr>
          <w:rFonts w:cs="Arial"/>
        </w:rPr>
      </w:pPr>
      <w:r w:rsidRPr="00F802D6">
        <w:t>Development</w:t>
      </w:r>
      <w:r w:rsidR="008248F2" w:rsidRPr="00F802D6">
        <w:t xml:space="preserve"> of </w:t>
      </w:r>
      <w:r w:rsidRPr="00F802D6">
        <w:t>a proposed</w:t>
      </w:r>
      <w:r w:rsidR="008248F2" w:rsidRPr="00F802D6">
        <w:t xml:space="preserve"> </w:t>
      </w:r>
      <w:r w:rsidR="00E85A7B" w:rsidRPr="00F802D6">
        <w:t>Science</w:t>
      </w:r>
      <w:r w:rsidR="008248F2" w:rsidRPr="00F802D6">
        <w:t xml:space="preserve"> Indicator</w:t>
      </w:r>
      <w:r w:rsidR="00E85A7B" w:rsidRPr="00F802D6">
        <w:t xml:space="preserve"> on the Dashboard, which will be based on the California Science Test results </w:t>
      </w:r>
    </w:p>
    <w:p w14:paraId="5D84D0D0" w14:textId="77777777" w:rsidR="00395A69" w:rsidRPr="008658AD" w:rsidRDefault="0037104D" w:rsidP="000030E0">
      <w:pPr>
        <w:pStyle w:val="ListParagraph"/>
        <w:numPr>
          <w:ilvl w:val="0"/>
          <w:numId w:val="14"/>
        </w:numPr>
        <w:spacing w:after="240"/>
        <w:ind w:left="720"/>
        <w:contextualSpacing w:val="0"/>
      </w:pPr>
      <w:r w:rsidRPr="00F802D6">
        <w:rPr>
          <w:rFonts w:cs="Arial"/>
        </w:rPr>
        <w:t xml:space="preserve">Development of </w:t>
      </w:r>
      <w:r w:rsidR="002513D7" w:rsidRPr="00F802D6">
        <w:rPr>
          <w:rFonts w:cs="Arial"/>
        </w:rPr>
        <w:t>a proposed</w:t>
      </w:r>
      <w:r w:rsidRPr="00F802D6">
        <w:rPr>
          <w:rFonts w:cs="Arial"/>
        </w:rPr>
        <w:t xml:space="preserve"> High School Readiness Indicator</w:t>
      </w:r>
    </w:p>
    <w:p w14:paraId="5991EDA5" w14:textId="77777777" w:rsidR="008658AD" w:rsidRPr="009258E5" w:rsidRDefault="008658AD" w:rsidP="008658AD">
      <w:pPr>
        <w:pStyle w:val="Heading2"/>
        <w:spacing w:before="240" w:after="240"/>
        <w:rPr>
          <w:sz w:val="36"/>
          <w:szCs w:val="36"/>
        </w:rPr>
      </w:pPr>
      <w:r w:rsidRPr="009258E5">
        <w:rPr>
          <w:sz w:val="36"/>
          <w:szCs w:val="36"/>
        </w:rPr>
        <w:t>Attachment(s)</w:t>
      </w:r>
    </w:p>
    <w:p w14:paraId="2093C2C2" w14:textId="6F2F1AD1" w:rsidR="008658AD" w:rsidRPr="00F802D6" w:rsidRDefault="008658AD" w:rsidP="008658AD">
      <w:r w:rsidRPr="009258E5">
        <w:t>None.</w:t>
      </w:r>
    </w:p>
    <w:sectPr w:rsidR="008658AD" w:rsidRPr="00F802D6" w:rsidSect="006E6BF2">
      <w:pgSz w:w="12240" w:h="15840"/>
      <w:pgMar w:top="72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1BEBF" w16cid:durableId="1F1CDB02"/>
  <w16cid:commentId w16cid:paraId="029D36B4" w16cid:durableId="1F1CDD7B"/>
  <w16cid:commentId w16cid:paraId="2A15C3EE" w16cid:durableId="1F1CDDB0"/>
  <w16cid:commentId w16cid:paraId="1F1684F1" w16cid:durableId="1F1CDB03"/>
  <w16cid:commentId w16cid:paraId="2D3BADCA" w16cid:durableId="1F1CDB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A1DFD" w14:textId="77777777" w:rsidR="008F500F" w:rsidRDefault="008F500F" w:rsidP="00A26FD8">
      <w:r>
        <w:separator/>
      </w:r>
    </w:p>
  </w:endnote>
  <w:endnote w:type="continuationSeparator" w:id="0">
    <w:p w14:paraId="3196B5F4" w14:textId="77777777" w:rsidR="008F500F" w:rsidRDefault="008F500F" w:rsidP="00A2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96E47" w14:textId="77777777" w:rsidR="008F500F" w:rsidRDefault="008F500F" w:rsidP="00A26FD8">
      <w:r>
        <w:separator/>
      </w:r>
    </w:p>
  </w:footnote>
  <w:footnote w:type="continuationSeparator" w:id="0">
    <w:p w14:paraId="6C027E0B" w14:textId="77777777" w:rsidR="008F500F" w:rsidRDefault="008F500F" w:rsidP="00A2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6252" w14:textId="77777777" w:rsidR="00D26B8B" w:rsidRDefault="00D26B8B" w:rsidP="00A26FD8">
    <w:pPr>
      <w:pStyle w:val="Header"/>
      <w:jc w:val="right"/>
      <w:rPr>
        <w:rFonts w:cs="Arial"/>
        <w:color w:val="000000"/>
      </w:rPr>
    </w:pPr>
    <w:proofErr w:type="gramStart"/>
    <w:r>
      <w:rPr>
        <w:rFonts w:cs="Arial"/>
        <w:color w:val="000000"/>
      </w:rPr>
      <w:t>memo-pptb-amard-feb18item02</w:t>
    </w:r>
    <w:proofErr w:type="gramEnd"/>
  </w:p>
  <w:p w14:paraId="0818C92C" w14:textId="77777777" w:rsidR="00D26B8B" w:rsidRDefault="00D26B8B" w:rsidP="00500458">
    <w:pPr>
      <w:pStyle w:val="Header"/>
      <w:spacing w:after="480"/>
      <w:jc w:val="right"/>
    </w:pPr>
    <w:r>
      <w:rPr>
        <w:rFonts w:cs="Arial"/>
      </w:rPr>
      <w:t xml:space="preserve">Page </w:t>
    </w:r>
    <w:r w:rsidRPr="00F2790E">
      <w:rPr>
        <w:rFonts w:cs="Arial"/>
      </w:rPr>
      <w:fldChar w:fldCharType="begin"/>
    </w:r>
    <w:r w:rsidRPr="00F2790E">
      <w:rPr>
        <w:rFonts w:cs="Arial"/>
      </w:rPr>
      <w:instrText xml:space="preserve"> PAGE   \* MERGEFORMAT </w:instrText>
    </w:r>
    <w:r w:rsidRPr="00F2790E">
      <w:rPr>
        <w:rFonts w:cs="Arial"/>
      </w:rPr>
      <w:fldChar w:fldCharType="separate"/>
    </w:r>
    <w:r>
      <w:rPr>
        <w:rFonts w:cs="Arial"/>
        <w:noProof/>
      </w:rPr>
      <w:t>5</w:t>
    </w:r>
    <w:r w:rsidRPr="00F2790E">
      <w:rPr>
        <w:rFonts w:cs="Arial"/>
        <w:noProof/>
      </w:rPr>
      <w:fldChar w:fldCharType="end"/>
    </w:r>
    <w:r>
      <w:rPr>
        <w:rFonts w:cs="Arial"/>
      </w:rPr>
      <w:t xml:space="preserve"> of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0072" w14:textId="77777777" w:rsidR="00D26B8B" w:rsidRDefault="00D26B8B" w:rsidP="00A26FD8">
    <w:pPr>
      <w:pStyle w:val="Header"/>
      <w:jc w:val="right"/>
      <w:rPr>
        <w:rFonts w:cs="Arial"/>
        <w:color w:val="000000"/>
      </w:rPr>
    </w:pPr>
    <w:proofErr w:type="gramStart"/>
    <w:r>
      <w:rPr>
        <w:rFonts w:cs="Arial"/>
        <w:color w:val="000000"/>
      </w:rPr>
      <w:t>memo-pptb-amard-aug18item01</w:t>
    </w:r>
    <w:proofErr w:type="gramEnd"/>
  </w:p>
  <w:p w14:paraId="2669F6F9" w14:textId="77777777" w:rsidR="00D26B8B" w:rsidRPr="00E25D78" w:rsidRDefault="00E25D78" w:rsidP="00500458">
    <w:pPr>
      <w:pStyle w:val="Header"/>
      <w:spacing w:after="240"/>
      <w:jc w:val="right"/>
    </w:pPr>
    <w:r w:rsidRPr="00E25D78">
      <w:rPr>
        <w:rFonts w:cs="Arial"/>
      </w:rPr>
      <w:t xml:space="preserve">Page </w:t>
    </w:r>
    <w:r w:rsidRPr="00A3207C">
      <w:rPr>
        <w:rFonts w:cs="Arial"/>
        <w:bCs/>
      </w:rPr>
      <w:fldChar w:fldCharType="begin"/>
    </w:r>
    <w:r w:rsidRPr="00A3207C">
      <w:rPr>
        <w:rFonts w:cs="Arial"/>
        <w:bCs/>
      </w:rPr>
      <w:instrText xml:space="preserve"> PAGE  \* Arabic  \* MERGEFORMAT </w:instrText>
    </w:r>
    <w:r w:rsidRPr="00A3207C">
      <w:rPr>
        <w:rFonts w:cs="Arial"/>
        <w:bCs/>
      </w:rPr>
      <w:fldChar w:fldCharType="separate"/>
    </w:r>
    <w:r w:rsidR="00356F3F">
      <w:rPr>
        <w:rFonts w:cs="Arial"/>
        <w:bCs/>
        <w:noProof/>
      </w:rPr>
      <w:t>5</w:t>
    </w:r>
    <w:r w:rsidRPr="00A3207C">
      <w:rPr>
        <w:rFonts w:cs="Arial"/>
        <w:bCs/>
      </w:rPr>
      <w:fldChar w:fldCharType="end"/>
    </w:r>
    <w:r w:rsidRPr="00E25D78">
      <w:rPr>
        <w:rFonts w:cs="Arial"/>
      </w:rPr>
      <w:t xml:space="preserve"> of </w:t>
    </w:r>
    <w:r w:rsidRPr="00A3207C">
      <w:rPr>
        <w:rFonts w:cs="Arial"/>
        <w:bCs/>
      </w:rPr>
      <w:fldChar w:fldCharType="begin"/>
    </w:r>
    <w:r w:rsidRPr="00A3207C">
      <w:rPr>
        <w:rFonts w:cs="Arial"/>
        <w:bCs/>
      </w:rPr>
      <w:instrText xml:space="preserve"> NUMPAGES  \* Arabic  \* MERGEFORMAT </w:instrText>
    </w:r>
    <w:r w:rsidRPr="00A3207C">
      <w:rPr>
        <w:rFonts w:cs="Arial"/>
        <w:bCs/>
      </w:rPr>
      <w:fldChar w:fldCharType="separate"/>
    </w:r>
    <w:r w:rsidR="00356F3F">
      <w:rPr>
        <w:rFonts w:cs="Arial"/>
        <w:bCs/>
        <w:noProof/>
      </w:rPr>
      <w:t>5</w:t>
    </w:r>
    <w:r w:rsidRPr="00A3207C">
      <w:rPr>
        <w:rFonts w:cs="Arial"/>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DA4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20F3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04FC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940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EEED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FEF3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3ABA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D08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0E6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2A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E5FF3"/>
    <w:multiLevelType w:val="hybridMultilevel"/>
    <w:tmpl w:val="5264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F2368"/>
    <w:multiLevelType w:val="hybridMultilevel"/>
    <w:tmpl w:val="FC12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6743D"/>
    <w:multiLevelType w:val="hybridMultilevel"/>
    <w:tmpl w:val="551A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058B"/>
    <w:multiLevelType w:val="hybridMultilevel"/>
    <w:tmpl w:val="57EA13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2E129A"/>
    <w:multiLevelType w:val="hybridMultilevel"/>
    <w:tmpl w:val="C490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B182B"/>
    <w:multiLevelType w:val="hybridMultilevel"/>
    <w:tmpl w:val="C60AE9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BA17E2"/>
    <w:multiLevelType w:val="hybridMultilevel"/>
    <w:tmpl w:val="EADE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A0BEC"/>
    <w:multiLevelType w:val="hybridMultilevel"/>
    <w:tmpl w:val="5F8CD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7E5582"/>
    <w:multiLevelType w:val="hybridMultilevel"/>
    <w:tmpl w:val="493E59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023DD0"/>
    <w:multiLevelType w:val="hybridMultilevel"/>
    <w:tmpl w:val="348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86EB9"/>
    <w:multiLevelType w:val="hybridMultilevel"/>
    <w:tmpl w:val="06C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E6522"/>
    <w:multiLevelType w:val="hybridMultilevel"/>
    <w:tmpl w:val="0A42E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E5CEB"/>
    <w:multiLevelType w:val="hybridMultilevel"/>
    <w:tmpl w:val="F5625F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37D70A6"/>
    <w:multiLevelType w:val="hybridMultilevel"/>
    <w:tmpl w:val="0D10A2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9751B9"/>
    <w:multiLevelType w:val="hybridMultilevel"/>
    <w:tmpl w:val="9346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52A70"/>
    <w:multiLevelType w:val="hybridMultilevel"/>
    <w:tmpl w:val="C6B4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43FCF"/>
    <w:multiLevelType w:val="hybridMultilevel"/>
    <w:tmpl w:val="691484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72509A6"/>
    <w:multiLevelType w:val="hybridMultilevel"/>
    <w:tmpl w:val="A63A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83B7F"/>
    <w:multiLevelType w:val="hybridMultilevel"/>
    <w:tmpl w:val="64F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21"/>
  </w:num>
  <w:num w:numId="5">
    <w:abstractNumId w:val="15"/>
  </w:num>
  <w:num w:numId="6">
    <w:abstractNumId w:val="25"/>
  </w:num>
  <w:num w:numId="7">
    <w:abstractNumId w:val="14"/>
  </w:num>
  <w:num w:numId="8">
    <w:abstractNumId w:val="19"/>
  </w:num>
  <w:num w:numId="9">
    <w:abstractNumId w:val="10"/>
  </w:num>
  <w:num w:numId="10">
    <w:abstractNumId w:val="16"/>
  </w:num>
  <w:num w:numId="11">
    <w:abstractNumId w:val="17"/>
  </w:num>
  <w:num w:numId="12">
    <w:abstractNumId w:val="24"/>
  </w:num>
  <w:num w:numId="13">
    <w:abstractNumId w:val="28"/>
  </w:num>
  <w:num w:numId="14">
    <w:abstractNumId w:val="11"/>
  </w:num>
  <w:num w:numId="15">
    <w:abstractNumId w:val="27"/>
  </w:num>
  <w:num w:numId="16">
    <w:abstractNumId w:val="20"/>
  </w:num>
  <w:num w:numId="17">
    <w:abstractNumId w:val="22"/>
  </w:num>
  <w:num w:numId="18">
    <w:abstractNumId w:val="26"/>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30E0"/>
    <w:rsid w:val="000102F4"/>
    <w:rsid w:val="00013E3B"/>
    <w:rsid w:val="000269EA"/>
    <w:rsid w:val="00026BFB"/>
    <w:rsid w:val="00033581"/>
    <w:rsid w:val="0003429A"/>
    <w:rsid w:val="00034DC1"/>
    <w:rsid w:val="000444C5"/>
    <w:rsid w:val="0004566B"/>
    <w:rsid w:val="000525C8"/>
    <w:rsid w:val="00053B2A"/>
    <w:rsid w:val="00055CCC"/>
    <w:rsid w:val="00057A96"/>
    <w:rsid w:val="00070010"/>
    <w:rsid w:val="00070096"/>
    <w:rsid w:val="00073D25"/>
    <w:rsid w:val="0007407C"/>
    <w:rsid w:val="0007463C"/>
    <w:rsid w:val="0007742B"/>
    <w:rsid w:val="00077927"/>
    <w:rsid w:val="00081BA5"/>
    <w:rsid w:val="00082814"/>
    <w:rsid w:val="00086115"/>
    <w:rsid w:val="00096BA6"/>
    <w:rsid w:val="000A2750"/>
    <w:rsid w:val="000B4355"/>
    <w:rsid w:val="000C0DD8"/>
    <w:rsid w:val="000C139F"/>
    <w:rsid w:val="000E0A6A"/>
    <w:rsid w:val="000E43F3"/>
    <w:rsid w:val="00102474"/>
    <w:rsid w:val="00104D88"/>
    <w:rsid w:val="00106EBA"/>
    <w:rsid w:val="00107651"/>
    <w:rsid w:val="00113071"/>
    <w:rsid w:val="001147C7"/>
    <w:rsid w:val="00133659"/>
    <w:rsid w:val="00134BFB"/>
    <w:rsid w:val="00135492"/>
    <w:rsid w:val="0014387B"/>
    <w:rsid w:val="001440BC"/>
    <w:rsid w:val="001600F9"/>
    <w:rsid w:val="0016173B"/>
    <w:rsid w:val="00163B5E"/>
    <w:rsid w:val="001648E9"/>
    <w:rsid w:val="00165B63"/>
    <w:rsid w:val="00171DA6"/>
    <w:rsid w:val="00177AA7"/>
    <w:rsid w:val="001830F5"/>
    <w:rsid w:val="00184DEF"/>
    <w:rsid w:val="0018520E"/>
    <w:rsid w:val="00186AA8"/>
    <w:rsid w:val="00186C28"/>
    <w:rsid w:val="00187387"/>
    <w:rsid w:val="001918DE"/>
    <w:rsid w:val="001946D5"/>
    <w:rsid w:val="00194F5C"/>
    <w:rsid w:val="001A2510"/>
    <w:rsid w:val="001B454D"/>
    <w:rsid w:val="001B64EA"/>
    <w:rsid w:val="001C0A83"/>
    <w:rsid w:val="001C108F"/>
    <w:rsid w:val="001C3CF0"/>
    <w:rsid w:val="001D5144"/>
    <w:rsid w:val="001E1898"/>
    <w:rsid w:val="001E2492"/>
    <w:rsid w:val="001E2634"/>
    <w:rsid w:val="001E5E27"/>
    <w:rsid w:val="001F1BB0"/>
    <w:rsid w:val="001F55EB"/>
    <w:rsid w:val="00200F3B"/>
    <w:rsid w:val="0020372A"/>
    <w:rsid w:val="00210C87"/>
    <w:rsid w:val="00214735"/>
    <w:rsid w:val="00216138"/>
    <w:rsid w:val="00217DEB"/>
    <w:rsid w:val="00220977"/>
    <w:rsid w:val="00224D39"/>
    <w:rsid w:val="002271C7"/>
    <w:rsid w:val="002275AB"/>
    <w:rsid w:val="00232192"/>
    <w:rsid w:val="00233264"/>
    <w:rsid w:val="002364FF"/>
    <w:rsid w:val="00237F43"/>
    <w:rsid w:val="002408E4"/>
    <w:rsid w:val="002422DB"/>
    <w:rsid w:val="002452D2"/>
    <w:rsid w:val="002513D7"/>
    <w:rsid w:val="00254059"/>
    <w:rsid w:val="00260E65"/>
    <w:rsid w:val="00267259"/>
    <w:rsid w:val="002811F1"/>
    <w:rsid w:val="00281E35"/>
    <w:rsid w:val="00285998"/>
    <w:rsid w:val="0029286A"/>
    <w:rsid w:val="002A2FA9"/>
    <w:rsid w:val="002A552B"/>
    <w:rsid w:val="002B5059"/>
    <w:rsid w:val="002B544E"/>
    <w:rsid w:val="002C0474"/>
    <w:rsid w:val="002C60BC"/>
    <w:rsid w:val="002D59DD"/>
    <w:rsid w:val="002D5FB7"/>
    <w:rsid w:val="002D6195"/>
    <w:rsid w:val="002E0D75"/>
    <w:rsid w:val="002E0E6A"/>
    <w:rsid w:val="002E270B"/>
    <w:rsid w:val="002F38D3"/>
    <w:rsid w:val="00301DC1"/>
    <w:rsid w:val="003056FA"/>
    <w:rsid w:val="00313B0D"/>
    <w:rsid w:val="00314336"/>
    <w:rsid w:val="003216AB"/>
    <w:rsid w:val="00321D49"/>
    <w:rsid w:val="00322C00"/>
    <w:rsid w:val="00325EAA"/>
    <w:rsid w:val="00327A88"/>
    <w:rsid w:val="00335328"/>
    <w:rsid w:val="0033616F"/>
    <w:rsid w:val="00343BEB"/>
    <w:rsid w:val="00351855"/>
    <w:rsid w:val="00356F3F"/>
    <w:rsid w:val="00364C1F"/>
    <w:rsid w:val="0037104D"/>
    <w:rsid w:val="00373FBD"/>
    <w:rsid w:val="00386937"/>
    <w:rsid w:val="00387A9E"/>
    <w:rsid w:val="00395A69"/>
    <w:rsid w:val="003A0019"/>
    <w:rsid w:val="003A40A8"/>
    <w:rsid w:val="003A50A2"/>
    <w:rsid w:val="003B7ADC"/>
    <w:rsid w:val="003D2374"/>
    <w:rsid w:val="003D34CB"/>
    <w:rsid w:val="003D6D59"/>
    <w:rsid w:val="003E0307"/>
    <w:rsid w:val="003E3B94"/>
    <w:rsid w:val="003F0A4C"/>
    <w:rsid w:val="003F0FC1"/>
    <w:rsid w:val="003F3185"/>
    <w:rsid w:val="003F7997"/>
    <w:rsid w:val="00401E17"/>
    <w:rsid w:val="004033D1"/>
    <w:rsid w:val="00404320"/>
    <w:rsid w:val="00410AF3"/>
    <w:rsid w:val="00421DE3"/>
    <w:rsid w:val="0042545B"/>
    <w:rsid w:val="00431172"/>
    <w:rsid w:val="00431787"/>
    <w:rsid w:val="004320F4"/>
    <w:rsid w:val="00432E3C"/>
    <w:rsid w:val="004340FE"/>
    <w:rsid w:val="004369EC"/>
    <w:rsid w:val="00453E7B"/>
    <w:rsid w:val="00455CA7"/>
    <w:rsid w:val="004727C9"/>
    <w:rsid w:val="00473ADD"/>
    <w:rsid w:val="00474A2F"/>
    <w:rsid w:val="00476146"/>
    <w:rsid w:val="00481AE3"/>
    <w:rsid w:val="00481B93"/>
    <w:rsid w:val="0048227A"/>
    <w:rsid w:val="0048305F"/>
    <w:rsid w:val="00484B9C"/>
    <w:rsid w:val="00486911"/>
    <w:rsid w:val="0049606D"/>
    <w:rsid w:val="004A01D4"/>
    <w:rsid w:val="004A1162"/>
    <w:rsid w:val="004A21AF"/>
    <w:rsid w:val="004A3F0A"/>
    <w:rsid w:val="004B2006"/>
    <w:rsid w:val="004B6BDA"/>
    <w:rsid w:val="004C5E04"/>
    <w:rsid w:val="004D68A4"/>
    <w:rsid w:val="004E1144"/>
    <w:rsid w:val="004E121C"/>
    <w:rsid w:val="004E3142"/>
    <w:rsid w:val="004E61E1"/>
    <w:rsid w:val="004E70D6"/>
    <w:rsid w:val="004F2DE1"/>
    <w:rsid w:val="004F59E4"/>
    <w:rsid w:val="00500458"/>
    <w:rsid w:val="005058D4"/>
    <w:rsid w:val="00507DC0"/>
    <w:rsid w:val="005111DC"/>
    <w:rsid w:val="00512890"/>
    <w:rsid w:val="0051479B"/>
    <w:rsid w:val="00516D57"/>
    <w:rsid w:val="005229B8"/>
    <w:rsid w:val="005246E4"/>
    <w:rsid w:val="0054334A"/>
    <w:rsid w:val="00546321"/>
    <w:rsid w:val="005464C1"/>
    <w:rsid w:val="005537B7"/>
    <w:rsid w:val="00554D78"/>
    <w:rsid w:val="00571219"/>
    <w:rsid w:val="005729B8"/>
    <w:rsid w:val="00576272"/>
    <w:rsid w:val="00580B18"/>
    <w:rsid w:val="0058240A"/>
    <w:rsid w:val="00582FBC"/>
    <w:rsid w:val="00591A8A"/>
    <w:rsid w:val="00593B50"/>
    <w:rsid w:val="00596B98"/>
    <w:rsid w:val="005A12D4"/>
    <w:rsid w:val="005B1325"/>
    <w:rsid w:val="005B1B0D"/>
    <w:rsid w:val="005B56DD"/>
    <w:rsid w:val="005B6A20"/>
    <w:rsid w:val="005C127C"/>
    <w:rsid w:val="005C5A02"/>
    <w:rsid w:val="005D0FE1"/>
    <w:rsid w:val="005D600A"/>
    <w:rsid w:val="005E0955"/>
    <w:rsid w:val="005E7444"/>
    <w:rsid w:val="005F6DB0"/>
    <w:rsid w:val="00605B4C"/>
    <w:rsid w:val="00605DB3"/>
    <w:rsid w:val="00606DFF"/>
    <w:rsid w:val="00611EC4"/>
    <w:rsid w:val="006332BB"/>
    <w:rsid w:val="0063627F"/>
    <w:rsid w:val="00637D41"/>
    <w:rsid w:val="00640612"/>
    <w:rsid w:val="006457CC"/>
    <w:rsid w:val="00652660"/>
    <w:rsid w:val="00652AE5"/>
    <w:rsid w:val="0065388D"/>
    <w:rsid w:val="00654A8C"/>
    <w:rsid w:val="006612E9"/>
    <w:rsid w:val="00661901"/>
    <w:rsid w:val="006717EF"/>
    <w:rsid w:val="006725F3"/>
    <w:rsid w:val="00673862"/>
    <w:rsid w:val="006764AC"/>
    <w:rsid w:val="00677CE2"/>
    <w:rsid w:val="0068105F"/>
    <w:rsid w:val="00681207"/>
    <w:rsid w:val="00686465"/>
    <w:rsid w:val="006978AC"/>
    <w:rsid w:val="006A75ED"/>
    <w:rsid w:val="006B1EBA"/>
    <w:rsid w:val="006B617B"/>
    <w:rsid w:val="006C24A9"/>
    <w:rsid w:val="006E0228"/>
    <w:rsid w:val="006E063A"/>
    <w:rsid w:val="006E1CD1"/>
    <w:rsid w:val="006E41E2"/>
    <w:rsid w:val="006E5A67"/>
    <w:rsid w:val="006E6BF2"/>
    <w:rsid w:val="006F0AE5"/>
    <w:rsid w:val="006F21EF"/>
    <w:rsid w:val="007024D8"/>
    <w:rsid w:val="0071243D"/>
    <w:rsid w:val="00712F36"/>
    <w:rsid w:val="00717C7B"/>
    <w:rsid w:val="00724310"/>
    <w:rsid w:val="00726E76"/>
    <w:rsid w:val="00731B8A"/>
    <w:rsid w:val="00744B93"/>
    <w:rsid w:val="00746C56"/>
    <w:rsid w:val="00752D02"/>
    <w:rsid w:val="00757667"/>
    <w:rsid w:val="007620BA"/>
    <w:rsid w:val="007667C4"/>
    <w:rsid w:val="00767175"/>
    <w:rsid w:val="00772B22"/>
    <w:rsid w:val="007773D6"/>
    <w:rsid w:val="00777710"/>
    <w:rsid w:val="007811ED"/>
    <w:rsid w:val="0078126A"/>
    <w:rsid w:val="007A0CC6"/>
    <w:rsid w:val="007A2653"/>
    <w:rsid w:val="007A4291"/>
    <w:rsid w:val="007B2D72"/>
    <w:rsid w:val="007B3256"/>
    <w:rsid w:val="007B33B5"/>
    <w:rsid w:val="007B7CE7"/>
    <w:rsid w:val="007C4482"/>
    <w:rsid w:val="007C5D75"/>
    <w:rsid w:val="007D3B30"/>
    <w:rsid w:val="007D4B18"/>
    <w:rsid w:val="007D5325"/>
    <w:rsid w:val="007D6899"/>
    <w:rsid w:val="007F031C"/>
    <w:rsid w:val="0080060E"/>
    <w:rsid w:val="00804FD5"/>
    <w:rsid w:val="008053F1"/>
    <w:rsid w:val="00805F98"/>
    <w:rsid w:val="0081140E"/>
    <w:rsid w:val="008166D6"/>
    <w:rsid w:val="0082039A"/>
    <w:rsid w:val="0082049C"/>
    <w:rsid w:val="008213F2"/>
    <w:rsid w:val="00822AEC"/>
    <w:rsid w:val="008233A0"/>
    <w:rsid w:val="008248F2"/>
    <w:rsid w:val="00826544"/>
    <w:rsid w:val="00827F68"/>
    <w:rsid w:val="00830DFA"/>
    <w:rsid w:val="0083165C"/>
    <w:rsid w:val="00831A88"/>
    <w:rsid w:val="00840391"/>
    <w:rsid w:val="00841035"/>
    <w:rsid w:val="00841620"/>
    <w:rsid w:val="00852F7D"/>
    <w:rsid w:val="00853E9D"/>
    <w:rsid w:val="008658AD"/>
    <w:rsid w:val="00872993"/>
    <w:rsid w:val="00880293"/>
    <w:rsid w:val="00881C27"/>
    <w:rsid w:val="00887865"/>
    <w:rsid w:val="00892150"/>
    <w:rsid w:val="00894DB5"/>
    <w:rsid w:val="008A2EA7"/>
    <w:rsid w:val="008B1135"/>
    <w:rsid w:val="008B2494"/>
    <w:rsid w:val="008B752B"/>
    <w:rsid w:val="008C0AC9"/>
    <w:rsid w:val="008C0D53"/>
    <w:rsid w:val="008C7B60"/>
    <w:rsid w:val="008D0FE2"/>
    <w:rsid w:val="008D2B05"/>
    <w:rsid w:val="008D7733"/>
    <w:rsid w:val="008E4AC7"/>
    <w:rsid w:val="008E548A"/>
    <w:rsid w:val="008F4F2B"/>
    <w:rsid w:val="008F500F"/>
    <w:rsid w:val="008F6CA0"/>
    <w:rsid w:val="00900BC1"/>
    <w:rsid w:val="00912A32"/>
    <w:rsid w:val="009209CC"/>
    <w:rsid w:val="0092648C"/>
    <w:rsid w:val="00934086"/>
    <w:rsid w:val="009342CE"/>
    <w:rsid w:val="00941F17"/>
    <w:rsid w:val="0094625D"/>
    <w:rsid w:val="009471FA"/>
    <w:rsid w:val="00957417"/>
    <w:rsid w:val="00961C20"/>
    <w:rsid w:val="00963290"/>
    <w:rsid w:val="00980A68"/>
    <w:rsid w:val="00982A10"/>
    <w:rsid w:val="00983414"/>
    <w:rsid w:val="00983D0E"/>
    <w:rsid w:val="00987995"/>
    <w:rsid w:val="009A1635"/>
    <w:rsid w:val="009B130F"/>
    <w:rsid w:val="009B3DE4"/>
    <w:rsid w:val="009C0C23"/>
    <w:rsid w:val="009C4FD3"/>
    <w:rsid w:val="009C7F50"/>
    <w:rsid w:val="009D54C8"/>
    <w:rsid w:val="009E2596"/>
    <w:rsid w:val="009E4318"/>
    <w:rsid w:val="009F02FD"/>
    <w:rsid w:val="009F040F"/>
    <w:rsid w:val="00A0044D"/>
    <w:rsid w:val="00A05D80"/>
    <w:rsid w:val="00A10497"/>
    <w:rsid w:val="00A107EC"/>
    <w:rsid w:val="00A11875"/>
    <w:rsid w:val="00A144D1"/>
    <w:rsid w:val="00A24661"/>
    <w:rsid w:val="00A26FD8"/>
    <w:rsid w:val="00A2756E"/>
    <w:rsid w:val="00A27E37"/>
    <w:rsid w:val="00A3207C"/>
    <w:rsid w:val="00A3521E"/>
    <w:rsid w:val="00A35C73"/>
    <w:rsid w:val="00A368FB"/>
    <w:rsid w:val="00A428FB"/>
    <w:rsid w:val="00A4451E"/>
    <w:rsid w:val="00A5087C"/>
    <w:rsid w:val="00A50C3F"/>
    <w:rsid w:val="00A531BC"/>
    <w:rsid w:val="00A63443"/>
    <w:rsid w:val="00A77B13"/>
    <w:rsid w:val="00A81516"/>
    <w:rsid w:val="00A82CC5"/>
    <w:rsid w:val="00A932D9"/>
    <w:rsid w:val="00A94E7F"/>
    <w:rsid w:val="00A9573E"/>
    <w:rsid w:val="00A97E13"/>
    <w:rsid w:val="00AA135A"/>
    <w:rsid w:val="00AA7748"/>
    <w:rsid w:val="00AB4C92"/>
    <w:rsid w:val="00AB6ACE"/>
    <w:rsid w:val="00AC122A"/>
    <w:rsid w:val="00AC4726"/>
    <w:rsid w:val="00AC531A"/>
    <w:rsid w:val="00AC5E4E"/>
    <w:rsid w:val="00AC5F22"/>
    <w:rsid w:val="00AD2039"/>
    <w:rsid w:val="00AD3474"/>
    <w:rsid w:val="00AE1294"/>
    <w:rsid w:val="00AE2758"/>
    <w:rsid w:val="00B0502F"/>
    <w:rsid w:val="00B10D11"/>
    <w:rsid w:val="00B214B6"/>
    <w:rsid w:val="00B22694"/>
    <w:rsid w:val="00B246AB"/>
    <w:rsid w:val="00B33D2D"/>
    <w:rsid w:val="00B372FA"/>
    <w:rsid w:val="00B41563"/>
    <w:rsid w:val="00B45D62"/>
    <w:rsid w:val="00B47344"/>
    <w:rsid w:val="00B53BC6"/>
    <w:rsid w:val="00B62752"/>
    <w:rsid w:val="00B65197"/>
    <w:rsid w:val="00B70D31"/>
    <w:rsid w:val="00B71083"/>
    <w:rsid w:val="00B7362F"/>
    <w:rsid w:val="00B739B1"/>
    <w:rsid w:val="00B8400C"/>
    <w:rsid w:val="00B90342"/>
    <w:rsid w:val="00B912B8"/>
    <w:rsid w:val="00B94FC8"/>
    <w:rsid w:val="00B95A4D"/>
    <w:rsid w:val="00B95D0E"/>
    <w:rsid w:val="00B96A2E"/>
    <w:rsid w:val="00BB18A0"/>
    <w:rsid w:val="00BB36E5"/>
    <w:rsid w:val="00BB7E76"/>
    <w:rsid w:val="00BC16D0"/>
    <w:rsid w:val="00BC3667"/>
    <w:rsid w:val="00BC376B"/>
    <w:rsid w:val="00BD5E71"/>
    <w:rsid w:val="00BE2A9E"/>
    <w:rsid w:val="00BE6D02"/>
    <w:rsid w:val="00BF5656"/>
    <w:rsid w:val="00BF7F32"/>
    <w:rsid w:val="00C14354"/>
    <w:rsid w:val="00C1679E"/>
    <w:rsid w:val="00C23D6E"/>
    <w:rsid w:val="00C25A0D"/>
    <w:rsid w:val="00C34C60"/>
    <w:rsid w:val="00C34DA1"/>
    <w:rsid w:val="00C368A4"/>
    <w:rsid w:val="00C37EFB"/>
    <w:rsid w:val="00C40F0C"/>
    <w:rsid w:val="00C420BB"/>
    <w:rsid w:val="00C43613"/>
    <w:rsid w:val="00C45EAA"/>
    <w:rsid w:val="00C464F1"/>
    <w:rsid w:val="00C553E1"/>
    <w:rsid w:val="00C60A8B"/>
    <w:rsid w:val="00C61052"/>
    <w:rsid w:val="00C61F78"/>
    <w:rsid w:val="00C6264A"/>
    <w:rsid w:val="00C6518B"/>
    <w:rsid w:val="00C70493"/>
    <w:rsid w:val="00C77AFD"/>
    <w:rsid w:val="00C863BE"/>
    <w:rsid w:val="00C9158F"/>
    <w:rsid w:val="00C93596"/>
    <w:rsid w:val="00CA0065"/>
    <w:rsid w:val="00CA0B0D"/>
    <w:rsid w:val="00CB3505"/>
    <w:rsid w:val="00CC042D"/>
    <w:rsid w:val="00CC5474"/>
    <w:rsid w:val="00CD0893"/>
    <w:rsid w:val="00CD0E1D"/>
    <w:rsid w:val="00CD2D58"/>
    <w:rsid w:val="00CD2FB8"/>
    <w:rsid w:val="00CD4998"/>
    <w:rsid w:val="00CE1317"/>
    <w:rsid w:val="00CE2C8E"/>
    <w:rsid w:val="00CF0AC0"/>
    <w:rsid w:val="00CF3066"/>
    <w:rsid w:val="00CF370D"/>
    <w:rsid w:val="00CF5BCF"/>
    <w:rsid w:val="00D048C7"/>
    <w:rsid w:val="00D059F3"/>
    <w:rsid w:val="00D05E83"/>
    <w:rsid w:val="00D11F3A"/>
    <w:rsid w:val="00D13049"/>
    <w:rsid w:val="00D2368F"/>
    <w:rsid w:val="00D26B8B"/>
    <w:rsid w:val="00D33E47"/>
    <w:rsid w:val="00D40DE5"/>
    <w:rsid w:val="00D42168"/>
    <w:rsid w:val="00D453B9"/>
    <w:rsid w:val="00D52C80"/>
    <w:rsid w:val="00D569B3"/>
    <w:rsid w:val="00D56A05"/>
    <w:rsid w:val="00D6093A"/>
    <w:rsid w:val="00D81E7D"/>
    <w:rsid w:val="00D85DFE"/>
    <w:rsid w:val="00D86998"/>
    <w:rsid w:val="00D900E3"/>
    <w:rsid w:val="00D979EA"/>
    <w:rsid w:val="00DA4E95"/>
    <w:rsid w:val="00DB54F7"/>
    <w:rsid w:val="00DC4496"/>
    <w:rsid w:val="00DC4600"/>
    <w:rsid w:val="00DC5FAA"/>
    <w:rsid w:val="00DD0838"/>
    <w:rsid w:val="00DE1739"/>
    <w:rsid w:val="00DF5762"/>
    <w:rsid w:val="00DF6044"/>
    <w:rsid w:val="00E01BDC"/>
    <w:rsid w:val="00E051AD"/>
    <w:rsid w:val="00E07F2A"/>
    <w:rsid w:val="00E131CC"/>
    <w:rsid w:val="00E13C54"/>
    <w:rsid w:val="00E165D2"/>
    <w:rsid w:val="00E172B1"/>
    <w:rsid w:val="00E25BAB"/>
    <w:rsid w:val="00E25D78"/>
    <w:rsid w:val="00E31BFE"/>
    <w:rsid w:val="00E3257A"/>
    <w:rsid w:val="00E32FDC"/>
    <w:rsid w:val="00E36304"/>
    <w:rsid w:val="00E37564"/>
    <w:rsid w:val="00E47C44"/>
    <w:rsid w:val="00E51F4F"/>
    <w:rsid w:val="00E54C53"/>
    <w:rsid w:val="00E65EFC"/>
    <w:rsid w:val="00E8165E"/>
    <w:rsid w:val="00E82B45"/>
    <w:rsid w:val="00E82E68"/>
    <w:rsid w:val="00E84706"/>
    <w:rsid w:val="00E85A7B"/>
    <w:rsid w:val="00E86E8A"/>
    <w:rsid w:val="00E879A6"/>
    <w:rsid w:val="00E87D3C"/>
    <w:rsid w:val="00E922D1"/>
    <w:rsid w:val="00E933CA"/>
    <w:rsid w:val="00E94269"/>
    <w:rsid w:val="00E97474"/>
    <w:rsid w:val="00EA66B0"/>
    <w:rsid w:val="00EB3339"/>
    <w:rsid w:val="00EB749A"/>
    <w:rsid w:val="00EC3FF1"/>
    <w:rsid w:val="00EC5240"/>
    <w:rsid w:val="00EC6CF2"/>
    <w:rsid w:val="00ED65B8"/>
    <w:rsid w:val="00ED7B22"/>
    <w:rsid w:val="00EE31E9"/>
    <w:rsid w:val="00EE5204"/>
    <w:rsid w:val="00EF1C82"/>
    <w:rsid w:val="00EF4C29"/>
    <w:rsid w:val="00EF7A5D"/>
    <w:rsid w:val="00F01BD1"/>
    <w:rsid w:val="00F06887"/>
    <w:rsid w:val="00F13659"/>
    <w:rsid w:val="00F2790E"/>
    <w:rsid w:val="00F36D3E"/>
    <w:rsid w:val="00F379E2"/>
    <w:rsid w:val="00F37CA7"/>
    <w:rsid w:val="00F44F12"/>
    <w:rsid w:val="00F535B9"/>
    <w:rsid w:val="00F5585F"/>
    <w:rsid w:val="00F55C9E"/>
    <w:rsid w:val="00F567D9"/>
    <w:rsid w:val="00F569F5"/>
    <w:rsid w:val="00F651C1"/>
    <w:rsid w:val="00F67433"/>
    <w:rsid w:val="00F8016E"/>
    <w:rsid w:val="00F802D6"/>
    <w:rsid w:val="00F82E35"/>
    <w:rsid w:val="00F960DB"/>
    <w:rsid w:val="00FA14F5"/>
    <w:rsid w:val="00FA288C"/>
    <w:rsid w:val="00FC0827"/>
    <w:rsid w:val="00FC25EA"/>
    <w:rsid w:val="00FC336A"/>
    <w:rsid w:val="00FC5BC0"/>
    <w:rsid w:val="00FD7CC2"/>
    <w:rsid w:val="00FD7CCC"/>
    <w:rsid w:val="00FE164A"/>
    <w:rsid w:val="00FE25FC"/>
    <w:rsid w:val="00FE4EC9"/>
    <w:rsid w:val="00FE644E"/>
    <w:rsid w:val="00FF44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53760"/>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3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7463C"/>
    <w:pPr>
      <w:keepNext/>
      <w:keepLines/>
      <w:spacing w:before="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07463C"/>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rsid w:val="00217DEB"/>
    <w:rPr>
      <w:color w:val="0000FF"/>
      <w:u w:val="single"/>
    </w:rPr>
  </w:style>
  <w:style w:type="paragraph" w:styleId="ListParagraph">
    <w:name w:val="List Paragraph"/>
    <w:aliases w:val="list"/>
    <w:basedOn w:val="Normal"/>
    <w:link w:val="ListParagraphChar"/>
    <w:uiPriority w:val="34"/>
    <w:qFormat/>
    <w:rsid w:val="0092648C"/>
    <w:pPr>
      <w:ind w:left="720"/>
      <w:contextualSpacing/>
    </w:pPr>
  </w:style>
  <w:style w:type="paragraph" w:styleId="Header">
    <w:name w:val="header"/>
    <w:basedOn w:val="Normal"/>
    <w:link w:val="HeaderChar"/>
    <w:uiPriority w:val="99"/>
    <w:unhideWhenUsed/>
    <w:rsid w:val="00A26FD8"/>
    <w:pPr>
      <w:tabs>
        <w:tab w:val="center" w:pos="4680"/>
        <w:tab w:val="right" w:pos="9360"/>
      </w:tabs>
    </w:pPr>
  </w:style>
  <w:style w:type="character" w:customStyle="1" w:styleId="HeaderChar">
    <w:name w:val="Header Char"/>
    <w:basedOn w:val="DefaultParagraphFont"/>
    <w:link w:val="Header"/>
    <w:uiPriority w:val="99"/>
    <w:rsid w:val="00A26FD8"/>
    <w:rPr>
      <w:rFonts w:ascii="Arial" w:eastAsia="Times New Roman" w:hAnsi="Arial" w:cs="Times New Roman"/>
      <w:sz w:val="24"/>
      <w:szCs w:val="24"/>
    </w:rPr>
  </w:style>
  <w:style w:type="paragraph" w:styleId="Footer">
    <w:name w:val="footer"/>
    <w:basedOn w:val="Normal"/>
    <w:link w:val="FooterChar"/>
    <w:uiPriority w:val="99"/>
    <w:unhideWhenUsed/>
    <w:rsid w:val="00A26FD8"/>
    <w:pPr>
      <w:tabs>
        <w:tab w:val="center" w:pos="4680"/>
        <w:tab w:val="right" w:pos="9360"/>
      </w:tabs>
    </w:pPr>
  </w:style>
  <w:style w:type="character" w:customStyle="1" w:styleId="FooterChar">
    <w:name w:val="Footer Char"/>
    <w:basedOn w:val="DefaultParagraphFont"/>
    <w:link w:val="Footer"/>
    <w:uiPriority w:val="99"/>
    <w:rsid w:val="00A26FD8"/>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07463C"/>
    <w:rPr>
      <w:rFonts w:ascii="Arial" w:eastAsiaTheme="majorEastAsia" w:hAnsi="Arial" w:cstheme="majorBidi"/>
      <w:b/>
      <w:sz w:val="28"/>
      <w:szCs w:val="24"/>
    </w:rPr>
  </w:style>
  <w:style w:type="table" w:styleId="TableGrid">
    <w:name w:val="Table Grid"/>
    <w:basedOn w:val="TableNormal"/>
    <w:uiPriority w:val="39"/>
    <w:rsid w:val="00731B8A"/>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5325"/>
    <w:rPr>
      <w:color w:val="954F72" w:themeColor="followedHyperlink"/>
      <w:u w:val="single"/>
    </w:rPr>
  </w:style>
  <w:style w:type="character" w:styleId="Emphasis">
    <w:name w:val="Emphasis"/>
    <w:basedOn w:val="DefaultParagraphFont"/>
    <w:uiPriority w:val="20"/>
    <w:qFormat/>
    <w:rsid w:val="0007407C"/>
    <w:rPr>
      <w:b/>
      <w:bCs/>
      <w:i w:val="0"/>
      <w:iCs w:val="0"/>
    </w:rPr>
  </w:style>
  <w:style w:type="character" w:customStyle="1" w:styleId="st1">
    <w:name w:val="st1"/>
    <w:basedOn w:val="DefaultParagraphFont"/>
    <w:rsid w:val="0007407C"/>
  </w:style>
  <w:style w:type="paragraph" w:styleId="NormalWeb">
    <w:name w:val="Normal (Web)"/>
    <w:basedOn w:val="Normal"/>
    <w:uiPriority w:val="99"/>
    <w:unhideWhenUsed/>
    <w:rsid w:val="009D54C8"/>
    <w:pPr>
      <w:ind w:firstLine="200"/>
    </w:pPr>
    <w:rPr>
      <w:rFonts w:ascii="Times New Roman" w:hAnsi="Times New Roman"/>
    </w:rPr>
  </w:style>
  <w:style w:type="paragraph" w:customStyle="1" w:styleId="Default">
    <w:name w:val="Default"/>
    <w:rsid w:val="00F82E35"/>
    <w:pPr>
      <w:autoSpaceDE w:val="0"/>
      <w:autoSpaceDN w:val="0"/>
      <w:adjustRightInd w:val="0"/>
      <w:spacing w:after="0" w:line="240" w:lineRule="auto"/>
    </w:pPr>
    <w:rPr>
      <w:rFonts w:ascii="Arial Narrow" w:hAnsi="Arial Narrow" w:cs="Arial Narrow"/>
      <w:color w:val="000000"/>
      <w:sz w:val="24"/>
      <w:szCs w:val="24"/>
    </w:rPr>
  </w:style>
  <w:style w:type="paragraph" w:styleId="BodyText">
    <w:name w:val="Body Text"/>
    <w:basedOn w:val="Normal"/>
    <w:link w:val="BodyTextChar"/>
    <w:rsid w:val="004320F4"/>
    <w:pPr>
      <w:spacing w:after="120"/>
    </w:pPr>
  </w:style>
  <w:style w:type="character" w:customStyle="1" w:styleId="BodyTextChar">
    <w:name w:val="Body Text Char"/>
    <w:basedOn w:val="DefaultParagraphFont"/>
    <w:link w:val="BodyText"/>
    <w:rsid w:val="004320F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12A32"/>
    <w:rPr>
      <w:sz w:val="16"/>
      <w:szCs w:val="16"/>
    </w:rPr>
  </w:style>
  <w:style w:type="paragraph" w:styleId="CommentText">
    <w:name w:val="annotation text"/>
    <w:basedOn w:val="Normal"/>
    <w:link w:val="CommentTextChar"/>
    <w:uiPriority w:val="99"/>
    <w:semiHidden/>
    <w:unhideWhenUsed/>
    <w:rsid w:val="00912A32"/>
    <w:rPr>
      <w:sz w:val="20"/>
      <w:szCs w:val="20"/>
    </w:rPr>
  </w:style>
  <w:style w:type="character" w:customStyle="1" w:styleId="CommentTextChar">
    <w:name w:val="Comment Text Char"/>
    <w:basedOn w:val="DefaultParagraphFont"/>
    <w:link w:val="CommentText"/>
    <w:uiPriority w:val="99"/>
    <w:semiHidden/>
    <w:rsid w:val="00912A3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12A32"/>
    <w:rPr>
      <w:b/>
      <w:bCs/>
    </w:rPr>
  </w:style>
  <w:style w:type="character" w:customStyle="1" w:styleId="CommentSubjectChar">
    <w:name w:val="Comment Subject Char"/>
    <w:basedOn w:val="CommentTextChar"/>
    <w:link w:val="CommentSubject"/>
    <w:uiPriority w:val="99"/>
    <w:semiHidden/>
    <w:rsid w:val="00912A32"/>
    <w:rPr>
      <w:rFonts w:ascii="Arial" w:eastAsia="Times New Roman" w:hAnsi="Arial" w:cs="Times New Roman"/>
      <w:b/>
      <w:bCs/>
      <w:sz w:val="20"/>
      <w:szCs w:val="20"/>
    </w:rPr>
  </w:style>
  <w:style w:type="character" w:customStyle="1" w:styleId="normalchar1">
    <w:name w:val="normal__char1"/>
    <w:rsid w:val="00726E76"/>
    <w:rPr>
      <w:rFonts w:ascii="Arial" w:hAnsi="Arial" w:cs="Arial" w:hint="default"/>
      <w:strike w:val="0"/>
      <w:dstrike w:val="0"/>
      <w:sz w:val="20"/>
      <w:szCs w:val="20"/>
      <w:u w:val="none"/>
      <w:effect w:val="none"/>
    </w:rPr>
  </w:style>
  <w:style w:type="character" w:customStyle="1" w:styleId="Heading4Char">
    <w:name w:val="Heading 4 Char"/>
    <w:basedOn w:val="DefaultParagraphFont"/>
    <w:link w:val="Heading4"/>
    <w:uiPriority w:val="9"/>
    <w:rsid w:val="0007463C"/>
    <w:rPr>
      <w:rFonts w:ascii="Arial" w:eastAsiaTheme="majorEastAsia" w:hAnsi="Arial" w:cstheme="majorBidi"/>
      <w:b/>
      <w:iCs/>
      <w:sz w:val="24"/>
      <w:szCs w:val="24"/>
    </w:rPr>
  </w:style>
  <w:style w:type="paragraph" w:styleId="NoSpacing">
    <w:name w:val="No Spacing"/>
    <w:uiPriority w:val="1"/>
    <w:qFormat/>
    <w:rsid w:val="00453E7B"/>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E063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749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095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D7B2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D7B2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
    <w:basedOn w:val="DefaultParagraphFont"/>
    <w:link w:val="ListParagraph"/>
    <w:uiPriority w:val="34"/>
    <w:locked/>
    <w:rsid w:val="00677CE2"/>
    <w:rPr>
      <w:rFonts w:ascii="Arial" w:eastAsia="Times New Roman" w:hAnsi="Arial" w:cs="Times New Roman"/>
      <w:sz w:val="24"/>
      <w:szCs w:val="24"/>
    </w:rPr>
  </w:style>
  <w:style w:type="paragraph" w:styleId="Revision">
    <w:name w:val="Revision"/>
    <w:hidden/>
    <w:uiPriority w:val="99"/>
    <w:semiHidden/>
    <w:rsid w:val="003F0A4C"/>
    <w:pPr>
      <w:spacing w:after="0" w:line="240" w:lineRule="auto"/>
    </w:pPr>
    <w:rPr>
      <w:rFonts w:ascii="Arial" w:eastAsia="Times New Roman" w:hAnsi="Arial" w:cs="Times New Roman"/>
      <w:sz w:val="24"/>
      <w:szCs w:val="24"/>
    </w:rPr>
  </w:style>
  <w:style w:type="table" w:customStyle="1" w:styleId="TableGrid6">
    <w:name w:val="Table Grid6"/>
    <w:basedOn w:val="TableNormal"/>
    <w:next w:val="TableGrid"/>
    <w:uiPriority w:val="39"/>
    <w:rsid w:val="00AA774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356F3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356F3F"/>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2006">
      <w:bodyDiv w:val="1"/>
      <w:marLeft w:val="0"/>
      <w:marRight w:val="0"/>
      <w:marTop w:val="0"/>
      <w:marBottom w:val="0"/>
      <w:divBdr>
        <w:top w:val="none" w:sz="0" w:space="0" w:color="auto"/>
        <w:left w:val="none" w:sz="0" w:space="0" w:color="auto"/>
        <w:bottom w:val="none" w:sz="0" w:space="0" w:color="auto"/>
        <w:right w:val="none" w:sz="0" w:space="0" w:color="auto"/>
      </w:divBdr>
    </w:div>
    <w:div w:id="242417780">
      <w:bodyDiv w:val="1"/>
      <w:marLeft w:val="0"/>
      <w:marRight w:val="0"/>
      <w:marTop w:val="0"/>
      <w:marBottom w:val="0"/>
      <w:divBdr>
        <w:top w:val="none" w:sz="0" w:space="0" w:color="auto"/>
        <w:left w:val="none" w:sz="0" w:space="0" w:color="auto"/>
        <w:bottom w:val="none" w:sz="0" w:space="0" w:color="auto"/>
        <w:right w:val="none" w:sz="0" w:space="0" w:color="auto"/>
      </w:divBdr>
    </w:div>
    <w:div w:id="325596518">
      <w:bodyDiv w:val="1"/>
      <w:marLeft w:val="0"/>
      <w:marRight w:val="0"/>
      <w:marTop w:val="0"/>
      <w:marBottom w:val="0"/>
      <w:divBdr>
        <w:top w:val="none" w:sz="0" w:space="0" w:color="auto"/>
        <w:left w:val="none" w:sz="0" w:space="0" w:color="auto"/>
        <w:bottom w:val="none" w:sz="0" w:space="0" w:color="auto"/>
        <w:right w:val="none" w:sz="0" w:space="0" w:color="auto"/>
      </w:divBdr>
      <w:divsChild>
        <w:div w:id="74866256">
          <w:marLeft w:val="720"/>
          <w:marRight w:val="0"/>
          <w:marTop w:val="0"/>
          <w:marBottom w:val="0"/>
          <w:divBdr>
            <w:top w:val="none" w:sz="0" w:space="0" w:color="auto"/>
            <w:left w:val="none" w:sz="0" w:space="0" w:color="auto"/>
            <w:bottom w:val="none" w:sz="0" w:space="0" w:color="auto"/>
            <w:right w:val="none" w:sz="0" w:space="0" w:color="auto"/>
          </w:divBdr>
        </w:div>
        <w:div w:id="1711690013">
          <w:marLeft w:val="720"/>
          <w:marRight w:val="0"/>
          <w:marTop w:val="0"/>
          <w:marBottom w:val="0"/>
          <w:divBdr>
            <w:top w:val="none" w:sz="0" w:space="0" w:color="auto"/>
            <w:left w:val="none" w:sz="0" w:space="0" w:color="auto"/>
            <w:bottom w:val="none" w:sz="0" w:space="0" w:color="auto"/>
            <w:right w:val="none" w:sz="0" w:space="0" w:color="auto"/>
          </w:divBdr>
        </w:div>
        <w:div w:id="902563911">
          <w:marLeft w:val="720"/>
          <w:marRight w:val="0"/>
          <w:marTop w:val="0"/>
          <w:marBottom w:val="0"/>
          <w:divBdr>
            <w:top w:val="none" w:sz="0" w:space="0" w:color="auto"/>
            <w:left w:val="none" w:sz="0" w:space="0" w:color="auto"/>
            <w:bottom w:val="none" w:sz="0" w:space="0" w:color="auto"/>
            <w:right w:val="none" w:sz="0" w:space="0" w:color="auto"/>
          </w:divBdr>
        </w:div>
        <w:div w:id="1471482874">
          <w:marLeft w:val="720"/>
          <w:marRight w:val="0"/>
          <w:marTop w:val="0"/>
          <w:marBottom w:val="0"/>
          <w:divBdr>
            <w:top w:val="none" w:sz="0" w:space="0" w:color="auto"/>
            <w:left w:val="none" w:sz="0" w:space="0" w:color="auto"/>
            <w:bottom w:val="none" w:sz="0" w:space="0" w:color="auto"/>
            <w:right w:val="none" w:sz="0" w:space="0" w:color="auto"/>
          </w:divBdr>
        </w:div>
      </w:divsChild>
    </w:div>
    <w:div w:id="362244239">
      <w:bodyDiv w:val="1"/>
      <w:marLeft w:val="0"/>
      <w:marRight w:val="0"/>
      <w:marTop w:val="0"/>
      <w:marBottom w:val="0"/>
      <w:divBdr>
        <w:top w:val="none" w:sz="0" w:space="0" w:color="auto"/>
        <w:left w:val="none" w:sz="0" w:space="0" w:color="auto"/>
        <w:bottom w:val="none" w:sz="0" w:space="0" w:color="auto"/>
        <w:right w:val="none" w:sz="0" w:space="0" w:color="auto"/>
      </w:divBdr>
    </w:div>
    <w:div w:id="488864945">
      <w:bodyDiv w:val="1"/>
      <w:marLeft w:val="0"/>
      <w:marRight w:val="0"/>
      <w:marTop w:val="0"/>
      <w:marBottom w:val="0"/>
      <w:divBdr>
        <w:top w:val="none" w:sz="0" w:space="0" w:color="auto"/>
        <w:left w:val="none" w:sz="0" w:space="0" w:color="auto"/>
        <w:bottom w:val="none" w:sz="0" w:space="0" w:color="auto"/>
        <w:right w:val="none" w:sz="0" w:space="0" w:color="auto"/>
      </w:divBdr>
    </w:div>
    <w:div w:id="499858721">
      <w:bodyDiv w:val="1"/>
      <w:marLeft w:val="0"/>
      <w:marRight w:val="0"/>
      <w:marTop w:val="0"/>
      <w:marBottom w:val="0"/>
      <w:divBdr>
        <w:top w:val="none" w:sz="0" w:space="0" w:color="auto"/>
        <w:left w:val="none" w:sz="0" w:space="0" w:color="auto"/>
        <w:bottom w:val="none" w:sz="0" w:space="0" w:color="auto"/>
        <w:right w:val="none" w:sz="0" w:space="0" w:color="auto"/>
      </w:divBdr>
    </w:div>
    <w:div w:id="530070497">
      <w:bodyDiv w:val="1"/>
      <w:marLeft w:val="0"/>
      <w:marRight w:val="0"/>
      <w:marTop w:val="0"/>
      <w:marBottom w:val="0"/>
      <w:divBdr>
        <w:top w:val="none" w:sz="0" w:space="0" w:color="auto"/>
        <w:left w:val="none" w:sz="0" w:space="0" w:color="auto"/>
        <w:bottom w:val="none" w:sz="0" w:space="0" w:color="auto"/>
        <w:right w:val="none" w:sz="0" w:space="0" w:color="auto"/>
      </w:divBdr>
    </w:div>
    <w:div w:id="613175581">
      <w:bodyDiv w:val="1"/>
      <w:marLeft w:val="0"/>
      <w:marRight w:val="0"/>
      <w:marTop w:val="0"/>
      <w:marBottom w:val="0"/>
      <w:divBdr>
        <w:top w:val="none" w:sz="0" w:space="0" w:color="auto"/>
        <w:left w:val="none" w:sz="0" w:space="0" w:color="auto"/>
        <w:bottom w:val="none" w:sz="0" w:space="0" w:color="auto"/>
        <w:right w:val="none" w:sz="0" w:space="0" w:color="auto"/>
      </w:divBdr>
    </w:div>
    <w:div w:id="654644003">
      <w:bodyDiv w:val="1"/>
      <w:marLeft w:val="0"/>
      <w:marRight w:val="0"/>
      <w:marTop w:val="0"/>
      <w:marBottom w:val="0"/>
      <w:divBdr>
        <w:top w:val="none" w:sz="0" w:space="0" w:color="auto"/>
        <w:left w:val="none" w:sz="0" w:space="0" w:color="auto"/>
        <w:bottom w:val="none" w:sz="0" w:space="0" w:color="auto"/>
        <w:right w:val="none" w:sz="0" w:space="0" w:color="auto"/>
      </w:divBdr>
    </w:div>
    <w:div w:id="808086153">
      <w:bodyDiv w:val="1"/>
      <w:marLeft w:val="0"/>
      <w:marRight w:val="0"/>
      <w:marTop w:val="0"/>
      <w:marBottom w:val="0"/>
      <w:divBdr>
        <w:top w:val="none" w:sz="0" w:space="0" w:color="auto"/>
        <w:left w:val="none" w:sz="0" w:space="0" w:color="auto"/>
        <w:bottom w:val="none" w:sz="0" w:space="0" w:color="auto"/>
        <w:right w:val="none" w:sz="0" w:space="0" w:color="auto"/>
      </w:divBdr>
    </w:div>
    <w:div w:id="857042819">
      <w:bodyDiv w:val="1"/>
      <w:marLeft w:val="0"/>
      <w:marRight w:val="0"/>
      <w:marTop w:val="0"/>
      <w:marBottom w:val="0"/>
      <w:divBdr>
        <w:top w:val="none" w:sz="0" w:space="0" w:color="auto"/>
        <w:left w:val="none" w:sz="0" w:space="0" w:color="auto"/>
        <w:bottom w:val="none" w:sz="0" w:space="0" w:color="auto"/>
        <w:right w:val="none" w:sz="0" w:space="0" w:color="auto"/>
      </w:divBdr>
    </w:div>
    <w:div w:id="1066997816">
      <w:bodyDiv w:val="1"/>
      <w:marLeft w:val="0"/>
      <w:marRight w:val="0"/>
      <w:marTop w:val="0"/>
      <w:marBottom w:val="0"/>
      <w:divBdr>
        <w:top w:val="none" w:sz="0" w:space="0" w:color="auto"/>
        <w:left w:val="none" w:sz="0" w:space="0" w:color="auto"/>
        <w:bottom w:val="none" w:sz="0" w:space="0" w:color="auto"/>
        <w:right w:val="none" w:sz="0" w:space="0" w:color="auto"/>
      </w:divBdr>
    </w:div>
    <w:div w:id="1495871509">
      <w:bodyDiv w:val="1"/>
      <w:marLeft w:val="0"/>
      <w:marRight w:val="0"/>
      <w:marTop w:val="0"/>
      <w:marBottom w:val="0"/>
      <w:divBdr>
        <w:top w:val="none" w:sz="0" w:space="0" w:color="auto"/>
        <w:left w:val="none" w:sz="0" w:space="0" w:color="auto"/>
        <w:bottom w:val="none" w:sz="0" w:space="0" w:color="auto"/>
        <w:right w:val="none" w:sz="0" w:space="0" w:color="auto"/>
      </w:divBdr>
    </w:div>
    <w:div w:id="1496724130">
      <w:bodyDiv w:val="1"/>
      <w:marLeft w:val="0"/>
      <w:marRight w:val="0"/>
      <w:marTop w:val="0"/>
      <w:marBottom w:val="0"/>
      <w:divBdr>
        <w:top w:val="none" w:sz="0" w:space="0" w:color="auto"/>
        <w:left w:val="none" w:sz="0" w:space="0" w:color="auto"/>
        <w:bottom w:val="none" w:sz="0" w:space="0" w:color="auto"/>
        <w:right w:val="none" w:sz="0" w:space="0" w:color="auto"/>
      </w:divBdr>
    </w:div>
    <w:div w:id="158999583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0732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7/documents/jul17item01.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be/ag/ag/yr18/documents/may18item02.docx" TargetMode="External"/><Relationship Id="rId17" Type="http://schemas.openxmlformats.org/officeDocument/2006/relationships/hyperlink" Target="https://www.cde.ca.gov/be/ag/ag/yr18/documents/jul18item01.docx" TargetMode="External"/><Relationship Id="rId2" Type="http://schemas.openxmlformats.org/officeDocument/2006/relationships/customXml" Target="../customXml/item2.xml"/><Relationship Id="rId16" Type="http://schemas.openxmlformats.org/officeDocument/2006/relationships/hyperlink" Target="https://www.cde.ca.gov/be/ag/ag/yr18/documents/may18item0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e.ca.gov/be/ag/ag/yr18/documents/mar18item01.docx"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5888-CE37-47BD-8788-98760C097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5A520F-E558-4220-95FA-F89B682D3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58B742-B43A-47A1-B9F9-F24BC36009BE}">
  <ds:schemaRefs>
    <ds:schemaRef ds:uri="http://schemas.microsoft.com/sharepoint/v3/contenttype/forms"/>
  </ds:schemaRefs>
</ds:datastoreItem>
</file>

<file path=customXml/itemProps4.xml><?xml version="1.0" encoding="utf-8"?>
<ds:datastoreItem xmlns:ds="http://schemas.openxmlformats.org/officeDocument/2006/customXml" ds:itemID="{C788E684-D847-4BA5-B853-D9A2C28B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August 2018 Memo PPTB AMARD Item 01 - Information Memorandum (CA State Board of Education)</vt:lpstr>
    </vt:vector>
  </TitlesOfParts>
  <Company>California State Board of Education</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PPTB AMARD Item 01 - Information Memorandum (CA State Board of Education)</dc:title>
  <dc:subject>Ongoing Development of California’s New Accountability System: Overview of the State Indicator Development Process for the California School Dashboard.</dc:subject>
  <dc:creator>Kathleen Souza</dc:creator>
  <cp:keywords/>
  <dc:description/>
  <cp:revision>6</cp:revision>
  <cp:lastPrinted>2018-08-14T18:58:00Z</cp:lastPrinted>
  <dcterms:created xsi:type="dcterms:W3CDTF">2018-08-15T16:18:00Z</dcterms:created>
  <dcterms:modified xsi:type="dcterms:W3CDTF">2018-08-22T20:16:00Z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