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DA1BE" w14:textId="77777777" w:rsidR="00057A96" w:rsidRDefault="00057A96" w:rsidP="00057A96">
      <w:r>
        <w:t>California Department of Education</w:t>
      </w:r>
    </w:p>
    <w:p w14:paraId="25A2D183" w14:textId="77777777" w:rsidR="00057A96" w:rsidRDefault="00057A96" w:rsidP="00057A96">
      <w:r>
        <w:t>Executive Office</w:t>
      </w:r>
    </w:p>
    <w:p w14:paraId="724C601C" w14:textId="77777777" w:rsidR="00982A10" w:rsidRDefault="00057A96" w:rsidP="00982A10">
      <w:r>
        <w:t>SBE-00</w:t>
      </w:r>
      <w:r w:rsidR="00BC376B">
        <w:t>2</w:t>
      </w:r>
      <w:r>
        <w:t xml:space="preserve"> (REV. 1</w:t>
      </w:r>
      <w:r w:rsidR="000C139F">
        <w:t>1</w:t>
      </w:r>
      <w:r>
        <w:t>/2017)</w:t>
      </w:r>
    </w:p>
    <w:p w14:paraId="771003FC" w14:textId="12C0F10F" w:rsidR="00982A10" w:rsidRDefault="00982A10" w:rsidP="00982A10">
      <w:r>
        <w:br w:type="column"/>
      </w:r>
      <w:proofErr w:type="gramStart"/>
      <w:r w:rsidR="0001526C">
        <w:t>memo-pptb-amard-</w:t>
      </w:r>
      <w:r w:rsidR="00AA2D3D">
        <w:t>a</w:t>
      </w:r>
      <w:r w:rsidR="00277CD4">
        <w:t>ug</w:t>
      </w:r>
      <w:r w:rsidR="0001526C">
        <w:t>18item0</w:t>
      </w:r>
      <w:r w:rsidR="009E16EB">
        <w:t>2</w:t>
      </w:r>
      <w:proofErr w:type="gramEnd"/>
    </w:p>
    <w:p w14:paraId="3C75D774" w14:textId="77777777" w:rsidR="00982A10" w:rsidRDefault="00982A10" w:rsidP="0033616F">
      <w:pPr>
        <w:pStyle w:val="Heading1"/>
        <w:spacing w:line="360" w:lineRule="auto"/>
        <w:rPr>
          <w:rFonts w:ascii="Arial" w:hAnsi="Arial" w:cs="Arial"/>
          <w:b/>
          <w:color w:val="auto"/>
          <w:sz w:val="40"/>
          <w:szCs w:val="52"/>
        </w:rPr>
        <w:sectPr w:rsidR="00982A10" w:rsidSect="0046414C">
          <w:headerReference w:type="default" r:id="rId11"/>
          <w:type w:val="continuous"/>
          <w:pgSz w:w="12240" w:h="15840"/>
          <w:pgMar w:top="720" w:right="1440" w:bottom="1440" w:left="1440" w:header="720" w:footer="720" w:gutter="0"/>
          <w:cols w:num="2" w:space="144" w:equalWidth="0">
            <w:col w:w="5760" w:space="144"/>
            <w:col w:w="3456"/>
          </w:cols>
          <w:titlePg/>
          <w:docGrid w:linePitch="326"/>
        </w:sectPr>
      </w:pPr>
    </w:p>
    <w:p w14:paraId="7D4A581D" w14:textId="77777777" w:rsidR="00AA2D3D" w:rsidRPr="00AC5E4E" w:rsidRDefault="00AA2D3D" w:rsidP="00AA2D3D">
      <w:pPr>
        <w:pStyle w:val="Heading1"/>
        <w:spacing w:line="360" w:lineRule="auto"/>
        <w:rPr>
          <w:rFonts w:ascii="Arial" w:hAnsi="Arial" w:cs="Arial"/>
          <w:b/>
          <w:color w:val="auto"/>
          <w:sz w:val="40"/>
          <w:szCs w:val="52"/>
        </w:rPr>
      </w:pPr>
      <w:r w:rsidRPr="00AC5E4E">
        <w:rPr>
          <w:rFonts w:ascii="Arial" w:hAnsi="Arial" w:cs="Arial"/>
          <w:b/>
          <w:color w:val="auto"/>
          <w:sz w:val="40"/>
          <w:szCs w:val="52"/>
        </w:rPr>
        <w:t>MEMORANDUM</w:t>
      </w:r>
    </w:p>
    <w:p w14:paraId="7ED4E85F" w14:textId="4A3F7AE6" w:rsidR="00205CFB" w:rsidRDefault="00AA2D3D" w:rsidP="004C4B35">
      <w:pPr>
        <w:pStyle w:val="MessageHeader"/>
      </w:pPr>
      <w:r w:rsidRPr="00AC5E4E">
        <w:rPr>
          <w:b/>
        </w:rPr>
        <w:t>DATE:</w:t>
      </w:r>
      <w:r w:rsidRPr="00AC5E4E">
        <w:tab/>
      </w:r>
      <w:r w:rsidR="00205CFB">
        <w:t>August</w:t>
      </w:r>
      <w:r w:rsidRPr="00AC5E4E">
        <w:t xml:space="preserve"> </w:t>
      </w:r>
      <w:r w:rsidR="00FD2521">
        <w:t>2</w:t>
      </w:r>
      <w:r w:rsidR="00453B80">
        <w:t>2</w:t>
      </w:r>
      <w:r w:rsidR="00FD2521">
        <w:t xml:space="preserve">, </w:t>
      </w:r>
      <w:r w:rsidRPr="00AC5E4E">
        <w:t xml:space="preserve">2018 </w:t>
      </w:r>
    </w:p>
    <w:p w14:paraId="6BA846C7" w14:textId="583493DB" w:rsidR="00AA2D3D" w:rsidRPr="00AC5E4E" w:rsidRDefault="00AA2D3D" w:rsidP="004C4B35">
      <w:pPr>
        <w:pStyle w:val="MessageHeader"/>
      </w:pPr>
      <w:r w:rsidRPr="00AC5E4E">
        <w:rPr>
          <w:b/>
        </w:rPr>
        <w:t>TO:</w:t>
      </w:r>
      <w:r w:rsidRPr="00AC5E4E">
        <w:rPr>
          <w:b/>
        </w:rPr>
        <w:tab/>
      </w:r>
      <w:r w:rsidRPr="00AC5E4E">
        <w:t>MEMBERS, State Board of Education</w:t>
      </w:r>
    </w:p>
    <w:p w14:paraId="31B02A65" w14:textId="77777777" w:rsidR="00AA2D3D" w:rsidRPr="00AC5E4E" w:rsidRDefault="00AA2D3D" w:rsidP="004C4B35">
      <w:pPr>
        <w:pStyle w:val="MessageHeader"/>
      </w:pPr>
      <w:r w:rsidRPr="00AC5E4E">
        <w:rPr>
          <w:b/>
        </w:rPr>
        <w:t>FROM:</w:t>
      </w:r>
      <w:r w:rsidRPr="00AC5E4E">
        <w:tab/>
        <w:t>TOM TORLAKSON, State Superintendent of Public Instruction</w:t>
      </w:r>
    </w:p>
    <w:p w14:paraId="4E571FF6" w14:textId="2E00FEC2" w:rsidR="00AA2D3D" w:rsidRPr="00AC5E4E" w:rsidRDefault="00AA2D3D" w:rsidP="004C4B35">
      <w:pPr>
        <w:pStyle w:val="MessageHeader"/>
      </w:pPr>
      <w:r w:rsidRPr="00AC5E4E">
        <w:rPr>
          <w:b/>
        </w:rPr>
        <w:t>SUBJECT:</w:t>
      </w:r>
      <w:r w:rsidRPr="00AC5E4E">
        <w:rPr>
          <w:b/>
        </w:rPr>
        <w:tab/>
      </w:r>
      <w:r w:rsidR="00277CD4" w:rsidRPr="00277CD4">
        <w:rPr>
          <w:rFonts w:cs="Arial"/>
          <w:color w:val="000000"/>
        </w:rPr>
        <w:t>Developing a New State Accountability System: Update on the Inclusion of the Five-Year Graduation Rate</w:t>
      </w:r>
      <w:r w:rsidR="008A320B">
        <w:rPr>
          <w:rFonts w:cs="Arial"/>
          <w:color w:val="000000"/>
        </w:rPr>
        <w:t>,</w:t>
      </w:r>
      <w:r w:rsidR="00277CD4" w:rsidRPr="00277CD4">
        <w:rPr>
          <w:rFonts w:cs="Arial"/>
          <w:color w:val="000000"/>
        </w:rPr>
        <w:t xml:space="preserve"> the Chronic Absenteeism Indicator</w:t>
      </w:r>
      <w:r w:rsidR="004F7322">
        <w:rPr>
          <w:rFonts w:cs="Arial"/>
          <w:color w:val="000000"/>
        </w:rPr>
        <w:t>,</w:t>
      </w:r>
      <w:r w:rsidR="008A320B">
        <w:rPr>
          <w:rFonts w:cs="Arial"/>
          <w:color w:val="000000"/>
        </w:rPr>
        <w:t xml:space="preserve"> New Measures for the College/Career Indicator</w:t>
      </w:r>
      <w:r w:rsidR="004F7322">
        <w:rPr>
          <w:rFonts w:cs="Arial"/>
          <w:color w:val="000000"/>
        </w:rPr>
        <w:t xml:space="preserve">, and </w:t>
      </w:r>
      <w:r w:rsidR="0027487F">
        <w:rPr>
          <w:rFonts w:cs="Arial"/>
          <w:color w:val="000000"/>
        </w:rPr>
        <w:t>P</w:t>
      </w:r>
      <w:r w:rsidR="004F7322">
        <w:rPr>
          <w:rFonts w:cs="Arial"/>
          <w:color w:val="000000"/>
        </w:rPr>
        <w:t xml:space="preserve">roposed </w:t>
      </w:r>
      <w:r w:rsidR="0027487F">
        <w:rPr>
          <w:rFonts w:cs="Arial"/>
          <w:color w:val="000000"/>
        </w:rPr>
        <w:t>C</w:t>
      </w:r>
      <w:r w:rsidR="004F7322">
        <w:rPr>
          <w:rFonts w:cs="Arial"/>
          <w:color w:val="000000"/>
        </w:rPr>
        <w:t xml:space="preserve">ut </w:t>
      </w:r>
      <w:r w:rsidR="0027487F">
        <w:rPr>
          <w:rFonts w:cs="Arial"/>
          <w:color w:val="000000"/>
        </w:rPr>
        <w:t>Sc</w:t>
      </w:r>
      <w:r w:rsidR="004F7322">
        <w:rPr>
          <w:rFonts w:cs="Arial"/>
          <w:color w:val="000000"/>
        </w:rPr>
        <w:t>ores for the Dashboard Alternative School Status One-Year Graduation Rate</w:t>
      </w:r>
      <w:r w:rsidRPr="00277CD4">
        <w:rPr>
          <w:rFonts w:cs="Arial"/>
          <w:color w:val="000000"/>
        </w:rPr>
        <w:t>.</w:t>
      </w:r>
      <w:r>
        <w:rPr>
          <w:rFonts w:cs="Arial"/>
          <w:color w:val="000000"/>
        </w:rPr>
        <w:t xml:space="preserve"> </w:t>
      </w:r>
    </w:p>
    <w:p w14:paraId="7F71EDD7" w14:textId="77777777" w:rsidR="00AA2D3D" w:rsidRPr="00AC5E4E" w:rsidRDefault="00AA2D3D" w:rsidP="00AA2D3D">
      <w:pPr>
        <w:pStyle w:val="Heading2"/>
        <w:spacing w:before="240" w:after="240"/>
        <w:rPr>
          <w:sz w:val="36"/>
        </w:rPr>
      </w:pPr>
      <w:r w:rsidRPr="00AC5E4E">
        <w:rPr>
          <w:sz w:val="36"/>
        </w:rPr>
        <w:t>Summary of Key Issues</w:t>
      </w:r>
    </w:p>
    <w:p w14:paraId="50BE4A44" w14:textId="51D3627F" w:rsidR="00AA2D3D" w:rsidRDefault="00AA2D3D" w:rsidP="00AA2D3D">
      <w:pPr>
        <w:spacing w:after="240"/>
        <w:rPr>
          <w:rFonts w:cs="Arial"/>
        </w:rPr>
      </w:pPr>
      <w:r>
        <w:rPr>
          <w:rFonts w:cs="Arial"/>
        </w:rPr>
        <w:t xml:space="preserve">In </w:t>
      </w:r>
      <w:r w:rsidR="004908B3">
        <w:rPr>
          <w:rFonts w:cs="Arial"/>
        </w:rPr>
        <w:t>preparation for the release of the 2018 California School Dashboard (Dashboard)</w:t>
      </w:r>
      <w:r>
        <w:rPr>
          <w:rFonts w:cs="Arial"/>
        </w:rPr>
        <w:t>, the C</w:t>
      </w:r>
      <w:r w:rsidR="004908B3">
        <w:rPr>
          <w:rFonts w:cs="Arial"/>
        </w:rPr>
        <w:t>alifornia</w:t>
      </w:r>
      <w:r w:rsidR="00D2596B">
        <w:rPr>
          <w:rFonts w:cs="Arial"/>
        </w:rPr>
        <w:t xml:space="preserve"> Department</w:t>
      </w:r>
      <w:r w:rsidR="004908B3">
        <w:rPr>
          <w:rFonts w:cs="Arial"/>
        </w:rPr>
        <w:t xml:space="preserve"> of Education (C</w:t>
      </w:r>
      <w:r>
        <w:rPr>
          <w:rFonts w:cs="Arial"/>
        </w:rPr>
        <w:t>DE</w:t>
      </w:r>
      <w:r w:rsidR="004908B3">
        <w:rPr>
          <w:rFonts w:cs="Arial"/>
        </w:rPr>
        <w:t>)</w:t>
      </w:r>
      <w:r>
        <w:rPr>
          <w:rFonts w:cs="Arial"/>
        </w:rPr>
        <w:t xml:space="preserve"> </w:t>
      </w:r>
      <w:r w:rsidR="004908B3">
        <w:rPr>
          <w:rFonts w:cs="Arial"/>
        </w:rPr>
        <w:t xml:space="preserve">is </w:t>
      </w:r>
      <w:r>
        <w:rPr>
          <w:rFonts w:cs="Arial"/>
        </w:rPr>
        <w:t>provid</w:t>
      </w:r>
      <w:r w:rsidR="004908B3">
        <w:rPr>
          <w:rFonts w:cs="Arial"/>
        </w:rPr>
        <w:t>ing the State Board of Education</w:t>
      </w:r>
      <w:r w:rsidR="00D2596B">
        <w:rPr>
          <w:rFonts w:cs="Arial"/>
        </w:rPr>
        <w:t xml:space="preserve"> (SBE)</w:t>
      </w:r>
      <w:r>
        <w:rPr>
          <w:rFonts w:cs="Arial"/>
        </w:rPr>
        <w:t xml:space="preserve"> a</w:t>
      </w:r>
      <w:r w:rsidR="00277CD4">
        <w:rPr>
          <w:rFonts w:cs="Arial"/>
        </w:rPr>
        <w:t xml:space="preserve">n update on the </w:t>
      </w:r>
      <w:r w:rsidR="00745E27">
        <w:rPr>
          <w:rFonts w:cs="Arial"/>
        </w:rPr>
        <w:t>ongoing development of</w:t>
      </w:r>
      <w:r w:rsidR="00E53BC6">
        <w:rPr>
          <w:rFonts w:cs="Arial"/>
        </w:rPr>
        <w:t xml:space="preserve"> the Dashboard</w:t>
      </w:r>
      <w:r w:rsidR="00D2596B">
        <w:rPr>
          <w:rFonts w:cs="Arial"/>
        </w:rPr>
        <w:t>,</w:t>
      </w:r>
      <w:r w:rsidR="008445B6">
        <w:rPr>
          <w:rFonts w:cs="Arial"/>
        </w:rPr>
        <w:t xml:space="preserve"> </w:t>
      </w:r>
      <w:r w:rsidR="004908B3">
        <w:rPr>
          <w:rFonts w:cs="Arial"/>
        </w:rPr>
        <w:t>including</w:t>
      </w:r>
      <w:r w:rsidR="00D2596B">
        <w:rPr>
          <w:rFonts w:cs="Arial"/>
        </w:rPr>
        <w:t>: (1)</w:t>
      </w:r>
      <w:r w:rsidR="004908B3">
        <w:rPr>
          <w:rFonts w:cs="Arial"/>
        </w:rPr>
        <w:t xml:space="preserve"> </w:t>
      </w:r>
      <w:r w:rsidR="008445B6">
        <w:rPr>
          <w:rFonts w:cs="Arial"/>
        </w:rPr>
        <w:t>options for incorporating the f</w:t>
      </w:r>
      <w:r w:rsidR="00277CD4">
        <w:rPr>
          <w:rFonts w:cs="Arial"/>
        </w:rPr>
        <w:t>ive-</w:t>
      </w:r>
      <w:r w:rsidR="008445B6">
        <w:rPr>
          <w:rFonts w:cs="Arial"/>
        </w:rPr>
        <w:t>y</w:t>
      </w:r>
      <w:r w:rsidR="00277CD4">
        <w:rPr>
          <w:rFonts w:cs="Arial"/>
        </w:rPr>
        <w:t xml:space="preserve">ear </w:t>
      </w:r>
      <w:r w:rsidR="008445B6">
        <w:rPr>
          <w:rFonts w:cs="Arial"/>
        </w:rPr>
        <w:t>g</w:t>
      </w:r>
      <w:r w:rsidR="00277CD4">
        <w:rPr>
          <w:rFonts w:cs="Arial"/>
        </w:rPr>
        <w:t xml:space="preserve">raduation </w:t>
      </w:r>
      <w:r w:rsidR="008445B6">
        <w:rPr>
          <w:rFonts w:cs="Arial"/>
        </w:rPr>
        <w:t>r</w:t>
      </w:r>
      <w:r w:rsidR="00277CD4">
        <w:rPr>
          <w:rFonts w:cs="Arial"/>
        </w:rPr>
        <w:t xml:space="preserve">ate </w:t>
      </w:r>
      <w:r w:rsidR="008445B6">
        <w:rPr>
          <w:rFonts w:cs="Arial"/>
        </w:rPr>
        <w:t>in</w:t>
      </w:r>
      <w:r w:rsidR="0027487F">
        <w:rPr>
          <w:rFonts w:cs="Arial"/>
        </w:rPr>
        <w:t>to</w:t>
      </w:r>
      <w:r w:rsidR="008445B6">
        <w:rPr>
          <w:rFonts w:cs="Arial"/>
        </w:rPr>
        <w:t xml:space="preserve"> the </w:t>
      </w:r>
      <w:r w:rsidR="0027487F">
        <w:rPr>
          <w:rFonts w:cs="Arial"/>
        </w:rPr>
        <w:t>Dashboard</w:t>
      </w:r>
      <w:r w:rsidR="008445B6">
        <w:rPr>
          <w:rFonts w:cs="Arial"/>
        </w:rPr>
        <w:t>,</w:t>
      </w:r>
      <w:r w:rsidR="00D2596B">
        <w:rPr>
          <w:rFonts w:cs="Arial"/>
        </w:rPr>
        <w:t xml:space="preserve"> (2)</w:t>
      </w:r>
      <w:r w:rsidR="008445B6">
        <w:rPr>
          <w:rFonts w:cs="Arial"/>
        </w:rPr>
        <w:t xml:space="preserve"> a</w:t>
      </w:r>
      <w:r w:rsidR="00277CD4">
        <w:rPr>
          <w:rFonts w:cs="Arial"/>
        </w:rPr>
        <w:t xml:space="preserve"> proposed methodology for the Chronic Absenteeism Indicator</w:t>
      </w:r>
      <w:r w:rsidR="008445B6">
        <w:rPr>
          <w:rFonts w:cs="Arial"/>
        </w:rPr>
        <w:t>,</w:t>
      </w:r>
      <w:r w:rsidR="00D2596B">
        <w:rPr>
          <w:rFonts w:cs="Arial"/>
        </w:rPr>
        <w:t xml:space="preserve"> (3)</w:t>
      </w:r>
      <w:r w:rsidR="008445B6">
        <w:rPr>
          <w:rFonts w:cs="Arial"/>
        </w:rPr>
        <w:t xml:space="preserve"> the inclusion of </w:t>
      </w:r>
      <w:r w:rsidR="004908B3">
        <w:rPr>
          <w:rFonts w:cs="Arial"/>
        </w:rPr>
        <w:t xml:space="preserve">new </w:t>
      </w:r>
      <w:r w:rsidR="008445B6">
        <w:rPr>
          <w:rFonts w:cs="Arial"/>
        </w:rPr>
        <w:t xml:space="preserve">career </w:t>
      </w:r>
      <w:r w:rsidR="00F33084">
        <w:rPr>
          <w:rFonts w:cs="Arial"/>
        </w:rPr>
        <w:t xml:space="preserve">and college </w:t>
      </w:r>
      <w:r w:rsidR="008445B6">
        <w:rPr>
          <w:rFonts w:cs="Arial"/>
        </w:rPr>
        <w:t>measures in the College/Career Indicator</w:t>
      </w:r>
      <w:r w:rsidR="0027487F">
        <w:rPr>
          <w:rFonts w:cs="Arial"/>
        </w:rPr>
        <w:t xml:space="preserve"> (CCI), and</w:t>
      </w:r>
      <w:r w:rsidR="00D2596B">
        <w:rPr>
          <w:rFonts w:cs="Arial"/>
        </w:rPr>
        <w:t xml:space="preserve"> (4)</w:t>
      </w:r>
      <w:r w:rsidR="0027487F">
        <w:rPr>
          <w:rFonts w:cs="Arial"/>
        </w:rPr>
        <w:t xml:space="preserve"> proposed cut scores for the one-year graduation rate for schools with Dashboard Alternative School Status (DASS)</w:t>
      </w:r>
      <w:r w:rsidR="00277CD4">
        <w:rPr>
          <w:rFonts w:cs="Arial"/>
        </w:rPr>
        <w:t xml:space="preserve">. </w:t>
      </w:r>
    </w:p>
    <w:p w14:paraId="1DE64FEF" w14:textId="3C1FB947" w:rsidR="00DF0CC5" w:rsidRPr="00AD5AA4" w:rsidRDefault="00DF0CC5" w:rsidP="00DF0CC5">
      <w:pPr>
        <w:pStyle w:val="Heading3"/>
        <w:spacing w:before="0" w:after="240"/>
        <w:contextualSpacing/>
        <w:rPr>
          <w:rFonts w:ascii="Arial" w:hAnsi="Arial" w:cs="Arial"/>
          <w:b/>
          <w:color w:val="auto"/>
        </w:rPr>
      </w:pPr>
      <w:r w:rsidRPr="00AD5AA4">
        <w:rPr>
          <w:rFonts w:ascii="Arial" w:hAnsi="Arial" w:cs="Arial"/>
          <w:b/>
          <w:color w:val="auto"/>
          <w:sz w:val="28"/>
          <w:szCs w:val="28"/>
        </w:rPr>
        <w:t>Five-Year Graduation Rate</w:t>
      </w:r>
    </w:p>
    <w:p w14:paraId="27954B15" w14:textId="48A4CDDD" w:rsidR="00DF0CC5" w:rsidRPr="00F7633C" w:rsidRDefault="00DF0CC5" w:rsidP="00DF0CC5">
      <w:pPr>
        <w:spacing w:after="240"/>
        <w:rPr>
          <w:rFonts w:cs="Arial"/>
        </w:rPr>
      </w:pPr>
      <w:r w:rsidRPr="00F7633C">
        <w:rPr>
          <w:rFonts w:cs="Arial"/>
        </w:rPr>
        <w:t>Currently, the Graduation Rate Indicator only includes the four-year cohort graduation rate</w:t>
      </w:r>
      <w:r w:rsidR="004908B3">
        <w:rPr>
          <w:rFonts w:cs="Arial"/>
        </w:rPr>
        <w:t xml:space="preserve"> and </w:t>
      </w:r>
      <w:r w:rsidRPr="00F7633C">
        <w:rPr>
          <w:rFonts w:cs="Arial"/>
        </w:rPr>
        <w:t>does not capture the progress of students who take five years to</w:t>
      </w:r>
      <w:r>
        <w:rPr>
          <w:rFonts w:cs="Arial"/>
        </w:rPr>
        <w:t xml:space="preserve"> graduate from high school. The addition of a five-year graduation rate allow</w:t>
      </w:r>
      <w:r w:rsidR="004908B3">
        <w:rPr>
          <w:rFonts w:cs="Arial"/>
        </w:rPr>
        <w:t>s</w:t>
      </w:r>
      <w:r>
        <w:rPr>
          <w:rFonts w:cs="Arial"/>
        </w:rPr>
        <w:t xml:space="preserve"> schools to </w:t>
      </w:r>
      <w:r w:rsidRPr="00F7633C">
        <w:rPr>
          <w:rFonts w:cs="Arial"/>
        </w:rPr>
        <w:t xml:space="preserve">demonstrate </w:t>
      </w:r>
      <w:r>
        <w:rPr>
          <w:rFonts w:cs="Arial"/>
        </w:rPr>
        <w:t xml:space="preserve">its </w:t>
      </w:r>
      <w:r w:rsidRPr="00F7633C">
        <w:rPr>
          <w:rFonts w:cs="Arial"/>
        </w:rPr>
        <w:t>success with students who may need additional time to earn a regular high school diploma (e.g., students with disabilities and English learners [ELs]).</w:t>
      </w:r>
    </w:p>
    <w:p w14:paraId="256E3481" w14:textId="70B13F1F" w:rsidR="00DF0CC5" w:rsidRDefault="004908B3" w:rsidP="00DF0CC5">
      <w:pPr>
        <w:spacing w:after="240"/>
        <w:rPr>
          <w:rFonts w:cs="Arial"/>
        </w:rPr>
      </w:pPr>
      <w:r>
        <w:rPr>
          <w:rFonts w:cs="Arial"/>
        </w:rPr>
        <w:t>T</w:t>
      </w:r>
      <w:r w:rsidR="00DF0CC5" w:rsidRPr="00F7633C">
        <w:rPr>
          <w:rFonts w:cs="Arial"/>
        </w:rPr>
        <w:t xml:space="preserve">he Every Student Succeeds Act (ESSA) </w:t>
      </w:r>
      <w:r>
        <w:rPr>
          <w:rFonts w:cs="Arial"/>
        </w:rPr>
        <w:t xml:space="preserve">provides </w:t>
      </w:r>
      <w:r w:rsidR="00DF0CC5" w:rsidRPr="00F7633C">
        <w:rPr>
          <w:rFonts w:cs="Arial"/>
        </w:rPr>
        <w:t xml:space="preserve">states </w:t>
      </w:r>
      <w:r>
        <w:rPr>
          <w:rFonts w:cs="Arial"/>
        </w:rPr>
        <w:t xml:space="preserve">the option </w:t>
      </w:r>
      <w:r w:rsidR="00DF0CC5" w:rsidRPr="00F7633C">
        <w:rPr>
          <w:rFonts w:cs="Arial"/>
        </w:rPr>
        <w:t>to include a five-year graduation rate in the accountability system</w:t>
      </w:r>
      <w:r>
        <w:rPr>
          <w:rFonts w:cs="Arial"/>
        </w:rPr>
        <w:t>; however,</w:t>
      </w:r>
      <w:r w:rsidR="00DF0CC5" w:rsidRPr="00F7633C">
        <w:rPr>
          <w:rFonts w:cs="Arial"/>
        </w:rPr>
        <w:t xml:space="preserve"> states are required to set a more rigorous long-term goal for an extended-year adjusted cohort graduation rate (or five-year rate), as compared to the long-term goal set for the four-year cohort graduation rate. </w:t>
      </w:r>
    </w:p>
    <w:p w14:paraId="24620F0D" w14:textId="07A64497" w:rsidR="00DF0CC5" w:rsidRPr="00F7633C" w:rsidRDefault="00DF0CC5" w:rsidP="00DF0CC5">
      <w:pPr>
        <w:spacing w:after="240"/>
        <w:rPr>
          <w:rFonts w:cs="Arial"/>
        </w:rPr>
      </w:pPr>
      <w:r>
        <w:rPr>
          <w:rFonts w:cs="Arial"/>
        </w:rPr>
        <w:t xml:space="preserve">The CDE has </w:t>
      </w:r>
      <w:r w:rsidR="004F1D0D">
        <w:rPr>
          <w:rFonts w:cs="Arial"/>
        </w:rPr>
        <w:t xml:space="preserve">explored </w:t>
      </w:r>
      <w:r w:rsidR="0023081B">
        <w:rPr>
          <w:rFonts w:cs="Arial"/>
        </w:rPr>
        <w:t xml:space="preserve">possible methodologies </w:t>
      </w:r>
      <w:r w:rsidR="004F1D0D">
        <w:rPr>
          <w:rFonts w:cs="Arial"/>
        </w:rPr>
        <w:t xml:space="preserve">for incorporating the five-year cohort rate in the Dashboard. </w:t>
      </w:r>
      <w:r w:rsidR="00A13B81" w:rsidRPr="00A13B81">
        <w:rPr>
          <w:rFonts w:cs="Arial"/>
        </w:rPr>
        <w:t>Th</w:t>
      </w:r>
      <w:r w:rsidR="00CD238E">
        <w:rPr>
          <w:rFonts w:cs="Arial"/>
        </w:rPr>
        <w:t>is information</w:t>
      </w:r>
      <w:r w:rsidRPr="00A13B81">
        <w:rPr>
          <w:rFonts w:cs="Arial"/>
        </w:rPr>
        <w:t xml:space="preserve">, along with data on the five-year graduation rate produced under California’s former accountability system, are provided in </w:t>
      </w:r>
      <w:r w:rsidR="00CA64F8" w:rsidRPr="00A13B81">
        <w:rPr>
          <w:rFonts w:cs="Arial"/>
        </w:rPr>
        <w:t>Attachment 1</w:t>
      </w:r>
      <w:r w:rsidR="005A0201" w:rsidRPr="00A13B81">
        <w:rPr>
          <w:rFonts w:cs="Arial"/>
        </w:rPr>
        <w:t>.</w:t>
      </w:r>
    </w:p>
    <w:p w14:paraId="011FFB46" w14:textId="77777777" w:rsidR="00127349" w:rsidRPr="00AD5AA4" w:rsidRDefault="00127349" w:rsidP="00127349">
      <w:pPr>
        <w:pStyle w:val="Heading3"/>
        <w:spacing w:after="240"/>
        <w:rPr>
          <w:rFonts w:ascii="Arial" w:hAnsi="Arial" w:cs="Arial"/>
          <w:b/>
          <w:color w:val="auto"/>
          <w:sz w:val="28"/>
          <w:szCs w:val="28"/>
        </w:rPr>
      </w:pPr>
      <w:r w:rsidRPr="00AD5AA4">
        <w:rPr>
          <w:rFonts w:ascii="Arial" w:hAnsi="Arial" w:cs="Arial"/>
          <w:b/>
          <w:color w:val="auto"/>
          <w:sz w:val="28"/>
          <w:szCs w:val="28"/>
        </w:rPr>
        <w:lastRenderedPageBreak/>
        <w:t>Chronic Absenteeism Indicator</w:t>
      </w:r>
    </w:p>
    <w:p w14:paraId="6A59B511" w14:textId="0C63AA8B" w:rsidR="00BF2CE1" w:rsidRDefault="00BF2CE1" w:rsidP="00BF2CE1">
      <w:pPr>
        <w:spacing w:after="240"/>
        <w:rPr>
          <w:rFonts w:cs="Arial"/>
        </w:rPr>
      </w:pPr>
      <w:r w:rsidRPr="006A23F5">
        <w:rPr>
          <w:rFonts w:cs="Arial"/>
        </w:rPr>
        <w:t xml:space="preserve">California’s new multiple measures accountability and continuous improvement system was developed to align with the priorities of the Local Control Funding Formula </w:t>
      </w:r>
      <w:r w:rsidR="004908B3">
        <w:rPr>
          <w:rFonts w:cs="Arial"/>
        </w:rPr>
        <w:t xml:space="preserve">(LCFF) </w:t>
      </w:r>
      <w:r w:rsidRPr="006A23F5">
        <w:rPr>
          <w:rFonts w:cs="Arial"/>
        </w:rPr>
        <w:t>and to meet the ESSA</w:t>
      </w:r>
      <w:r w:rsidR="004908B3">
        <w:rPr>
          <w:rFonts w:cs="Arial"/>
        </w:rPr>
        <w:t xml:space="preserve"> </w:t>
      </w:r>
      <w:r w:rsidR="004908B3" w:rsidRPr="006A23F5">
        <w:rPr>
          <w:rFonts w:cs="Arial"/>
        </w:rPr>
        <w:t>requirements</w:t>
      </w:r>
      <w:r w:rsidRPr="006A23F5">
        <w:rPr>
          <w:rFonts w:cs="Arial"/>
        </w:rPr>
        <w:t xml:space="preserve">. Chronic absenteeism is a metric identified as part of </w:t>
      </w:r>
      <w:r w:rsidR="004908B3">
        <w:rPr>
          <w:rFonts w:cs="Arial"/>
        </w:rPr>
        <w:t xml:space="preserve">LCFF </w:t>
      </w:r>
      <w:r w:rsidR="00D2596B">
        <w:rPr>
          <w:rFonts w:cs="Arial"/>
        </w:rPr>
        <w:t>Priority 5 (Pupil Engagement)</w:t>
      </w:r>
      <w:r w:rsidRPr="006A23F5">
        <w:rPr>
          <w:rFonts w:cs="Arial"/>
        </w:rPr>
        <w:t xml:space="preserve"> and</w:t>
      </w:r>
      <w:r w:rsidR="00D2596B">
        <w:rPr>
          <w:rFonts w:cs="Arial"/>
        </w:rPr>
        <w:t>,</w:t>
      </w:r>
      <w:r w:rsidRPr="006A23F5">
        <w:rPr>
          <w:rFonts w:cs="Arial"/>
        </w:rPr>
        <w:t xml:space="preserve"> under the ESSA, states are required to collect data to identify students who are chronically absent and</w:t>
      </w:r>
      <w:r w:rsidR="00D2596B">
        <w:rPr>
          <w:rFonts w:cs="Arial"/>
        </w:rPr>
        <w:t xml:space="preserve"> to</w:t>
      </w:r>
      <w:r w:rsidRPr="006A23F5">
        <w:rPr>
          <w:rFonts w:cs="Arial"/>
        </w:rPr>
        <w:t xml:space="preserve"> report chronic absenteeism rates for schools in the</w:t>
      </w:r>
      <w:r w:rsidR="00207C1D">
        <w:rPr>
          <w:rFonts w:cs="Arial"/>
        </w:rPr>
        <w:t xml:space="preserve"> ESSA</w:t>
      </w:r>
      <w:r w:rsidRPr="006A23F5">
        <w:rPr>
          <w:rFonts w:cs="Arial"/>
        </w:rPr>
        <w:t xml:space="preserve"> State Report Card. </w:t>
      </w:r>
      <w:r>
        <w:rPr>
          <w:rFonts w:cs="Arial"/>
        </w:rPr>
        <w:t>The Chronic Absenteeism Indicator will be reported for the first time in the 2018 Dashboard.</w:t>
      </w:r>
      <w:r w:rsidR="009C6096">
        <w:rPr>
          <w:rFonts w:cs="Arial"/>
        </w:rPr>
        <w:t xml:space="preserve"> A proposed methodology for calculating this indicator is included in Attachment 2.</w:t>
      </w:r>
    </w:p>
    <w:p w14:paraId="0B9A5D93" w14:textId="107B4EED" w:rsidR="00A13B81" w:rsidRPr="00AD5AA4" w:rsidRDefault="00A13B81" w:rsidP="00D2596B">
      <w:pPr>
        <w:pStyle w:val="Heading3"/>
        <w:spacing w:before="0" w:after="240"/>
        <w:rPr>
          <w:rFonts w:ascii="Arial" w:hAnsi="Arial" w:cs="Arial"/>
          <w:b/>
          <w:color w:val="auto"/>
          <w:sz w:val="28"/>
          <w:szCs w:val="28"/>
        </w:rPr>
      </w:pPr>
      <w:r w:rsidRPr="00AD5AA4">
        <w:rPr>
          <w:rFonts w:ascii="Arial" w:hAnsi="Arial" w:cs="Arial"/>
          <w:b/>
          <w:color w:val="auto"/>
          <w:sz w:val="28"/>
          <w:szCs w:val="28"/>
        </w:rPr>
        <w:t>C</w:t>
      </w:r>
      <w:r w:rsidR="004908B3" w:rsidRPr="00AD5AA4">
        <w:rPr>
          <w:rFonts w:ascii="Arial" w:hAnsi="Arial" w:cs="Arial"/>
          <w:b/>
          <w:color w:val="auto"/>
          <w:sz w:val="28"/>
          <w:szCs w:val="28"/>
        </w:rPr>
        <w:t>ollege/</w:t>
      </w:r>
      <w:r w:rsidRPr="00AD5AA4">
        <w:rPr>
          <w:rFonts w:ascii="Arial" w:hAnsi="Arial" w:cs="Arial"/>
          <w:b/>
          <w:color w:val="auto"/>
          <w:sz w:val="28"/>
          <w:szCs w:val="28"/>
        </w:rPr>
        <w:t>C</w:t>
      </w:r>
      <w:r w:rsidR="004908B3" w:rsidRPr="00AD5AA4">
        <w:rPr>
          <w:rFonts w:ascii="Arial" w:hAnsi="Arial" w:cs="Arial"/>
          <w:b/>
          <w:color w:val="auto"/>
          <w:sz w:val="28"/>
          <w:szCs w:val="28"/>
        </w:rPr>
        <w:t xml:space="preserve">areer </w:t>
      </w:r>
      <w:r w:rsidRPr="00AD5AA4">
        <w:rPr>
          <w:rFonts w:ascii="Arial" w:hAnsi="Arial" w:cs="Arial"/>
          <w:b/>
          <w:color w:val="auto"/>
          <w:sz w:val="28"/>
          <w:szCs w:val="28"/>
        </w:rPr>
        <w:t>I</w:t>
      </w:r>
      <w:r w:rsidR="004908B3" w:rsidRPr="00AD5AA4">
        <w:rPr>
          <w:rFonts w:ascii="Arial" w:hAnsi="Arial" w:cs="Arial"/>
          <w:b/>
          <w:color w:val="auto"/>
          <w:sz w:val="28"/>
          <w:szCs w:val="28"/>
        </w:rPr>
        <w:t>ndicator</w:t>
      </w:r>
    </w:p>
    <w:p w14:paraId="191EFA1F" w14:textId="11102AB4" w:rsidR="007704A6" w:rsidRDefault="007704A6" w:rsidP="00264FA0">
      <w:pPr>
        <w:spacing w:after="240"/>
        <w:rPr>
          <w:rFonts w:cs="Arial"/>
        </w:rPr>
      </w:pPr>
      <w:r w:rsidRPr="00BF2CE1">
        <w:rPr>
          <w:rFonts w:cs="Arial"/>
        </w:rPr>
        <w:t xml:space="preserve">The goal of the CCI is to emphasize that a high school diploma represents the completion of a broad and rigorous course of study that prepares students for success after high school. </w:t>
      </w:r>
      <w:r w:rsidR="00BF2CE1" w:rsidRPr="00BF2CE1">
        <w:rPr>
          <w:rFonts w:cs="Arial"/>
        </w:rPr>
        <w:t xml:space="preserve">The CCI takes into consideration the diverse resources and needs of student populations across the state by including multiple pathways for schools to demonstrate student preparedness for college and career. </w:t>
      </w:r>
      <w:r w:rsidRPr="00BF2CE1">
        <w:rPr>
          <w:rFonts w:cs="Arial"/>
        </w:rPr>
        <w:t xml:space="preserve">The CCI will display performance levels for </w:t>
      </w:r>
      <w:r w:rsidR="00D2596B">
        <w:rPr>
          <w:rFonts w:cs="Arial"/>
        </w:rPr>
        <w:t>local educational agencies (</w:t>
      </w:r>
      <w:r w:rsidRPr="00BF2CE1">
        <w:rPr>
          <w:rFonts w:cs="Arial"/>
        </w:rPr>
        <w:t>LEAs</w:t>
      </w:r>
      <w:r w:rsidR="00D2596B">
        <w:rPr>
          <w:rFonts w:cs="Arial"/>
        </w:rPr>
        <w:t>)</w:t>
      </w:r>
      <w:r w:rsidRPr="00BF2CE1">
        <w:rPr>
          <w:rFonts w:cs="Arial"/>
        </w:rPr>
        <w:t xml:space="preserve"> and schools </w:t>
      </w:r>
      <w:r w:rsidR="004908B3">
        <w:rPr>
          <w:rFonts w:cs="Arial"/>
        </w:rPr>
        <w:t xml:space="preserve">for the first time </w:t>
      </w:r>
      <w:r w:rsidRPr="00BF2CE1">
        <w:rPr>
          <w:rFonts w:cs="Arial"/>
        </w:rPr>
        <w:t xml:space="preserve">on the </w:t>
      </w:r>
      <w:r w:rsidR="00BF2CE1" w:rsidRPr="00BF2CE1">
        <w:rPr>
          <w:rFonts w:cs="Arial"/>
        </w:rPr>
        <w:t xml:space="preserve">2018 </w:t>
      </w:r>
      <w:r w:rsidRPr="00BF2CE1">
        <w:rPr>
          <w:rFonts w:cs="Arial"/>
        </w:rPr>
        <w:t xml:space="preserve">Dashboard. The CCI is not a student level indicator and, as such, students will not receive their own individual college/career status. </w:t>
      </w:r>
      <w:r w:rsidR="00BF2CE1" w:rsidRPr="00BF2CE1">
        <w:rPr>
          <w:rFonts w:cs="Arial"/>
        </w:rPr>
        <w:t>T</w:t>
      </w:r>
      <w:r w:rsidRPr="00BF2CE1">
        <w:rPr>
          <w:rFonts w:cs="Arial"/>
        </w:rPr>
        <w:t>he model allows for additional new measures and for the removal of measures as they become obsolete.</w:t>
      </w:r>
      <w:r w:rsidR="00BF2CE1" w:rsidRPr="00BF2CE1">
        <w:rPr>
          <w:rFonts w:cs="Arial"/>
        </w:rPr>
        <w:t xml:space="preserve"> </w:t>
      </w:r>
      <w:r w:rsidR="00BF2CE1" w:rsidRPr="0023081B">
        <w:rPr>
          <w:rFonts w:cs="Arial"/>
        </w:rPr>
        <w:t>Three new measures are being proposed for inclusion in the 2018 Dashboard, as detailed in Attachment 3.</w:t>
      </w:r>
    </w:p>
    <w:p w14:paraId="2A484218" w14:textId="3442E43A" w:rsidR="00D55368" w:rsidRDefault="00A13B81" w:rsidP="00264FA0">
      <w:pPr>
        <w:pStyle w:val="Heading3"/>
        <w:spacing w:before="0" w:after="240"/>
      </w:pPr>
      <w:r w:rsidRPr="00AD5AA4">
        <w:rPr>
          <w:rFonts w:ascii="Arial" w:hAnsi="Arial" w:cs="Arial"/>
          <w:b/>
          <w:color w:val="auto"/>
          <w:sz w:val="28"/>
          <w:szCs w:val="28"/>
        </w:rPr>
        <w:t>One-Year Graduation Rate</w:t>
      </w:r>
    </w:p>
    <w:p w14:paraId="3DD74355" w14:textId="534D6922" w:rsidR="00D55368" w:rsidRDefault="004908B3" w:rsidP="00EE18F8">
      <w:pPr>
        <w:spacing w:after="240"/>
      </w:pPr>
      <w:r>
        <w:t>T</w:t>
      </w:r>
      <w:r w:rsidR="00D55368" w:rsidRPr="00533BD4">
        <w:t xml:space="preserve">he one-year graduation rate </w:t>
      </w:r>
      <w:r>
        <w:t xml:space="preserve">is designed </w:t>
      </w:r>
      <w:r w:rsidRPr="00533BD4">
        <w:t>to more fairly evaluate the success and progress of alternative schools that serve high-risk students.</w:t>
      </w:r>
      <w:r>
        <w:t xml:space="preserve"> </w:t>
      </w:r>
      <w:r w:rsidR="00D55368">
        <w:rPr>
          <w:rFonts w:cs="Arial"/>
        </w:rPr>
        <w:t xml:space="preserve">Beginning with the 2018 Dashboard, </w:t>
      </w:r>
      <w:r w:rsidR="00D55368" w:rsidRPr="009502D9">
        <w:rPr>
          <w:rFonts w:cs="Arial"/>
        </w:rPr>
        <w:t xml:space="preserve">DASS schools </w:t>
      </w:r>
      <w:r w:rsidR="00D55368">
        <w:rPr>
          <w:rFonts w:cs="Arial"/>
        </w:rPr>
        <w:t xml:space="preserve">will receive </w:t>
      </w:r>
      <w:r w:rsidR="00D55368" w:rsidRPr="009502D9">
        <w:rPr>
          <w:rFonts w:cs="Arial"/>
        </w:rPr>
        <w:t xml:space="preserve">performance levels </w:t>
      </w:r>
      <w:r w:rsidR="00D55368">
        <w:rPr>
          <w:rFonts w:cs="Arial"/>
        </w:rPr>
        <w:t>for the first time</w:t>
      </w:r>
      <w:r>
        <w:rPr>
          <w:rFonts w:cs="Arial"/>
        </w:rPr>
        <w:t xml:space="preserve"> for all applicable indicators</w:t>
      </w:r>
      <w:r w:rsidR="00D55368">
        <w:rPr>
          <w:rFonts w:cs="Arial"/>
        </w:rPr>
        <w:t xml:space="preserve">. </w:t>
      </w:r>
      <w:r>
        <w:rPr>
          <w:rFonts w:cs="Arial"/>
        </w:rPr>
        <w:t>The p</w:t>
      </w:r>
      <w:r w:rsidR="00EE18F8">
        <w:rPr>
          <w:rFonts w:cs="Arial"/>
        </w:rPr>
        <w:t xml:space="preserve">roposed Status and Change cut scores for the one-year graduation rate </w:t>
      </w:r>
      <w:r>
        <w:rPr>
          <w:rFonts w:cs="Arial"/>
        </w:rPr>
        <w:t xml:space="preserve">are detailed </w:t>
      </w:r>
      <w:r w:rsidR="00EE18F8">
        <w:rPr>
          <w:rFonts w:cs="Arial"/>
        </w:rPr>
        <w:t xml:space="preserve">in Attachment 4. </w:t>
      </w:r>
    </w:p>
    <w:p w14:paraId="1B1FE1F0" w14:textId="77777777" w:rsidR="00EF13E6" w:rsidRPr="00127349" w:rsidRDefault="00EF13E6" w:rsidP="00127349">
      <w:pPr>
        <w:pStyle w:val="Heading2"/>
        <w:spacing w:after="240"/>
        <w:rPr>
          <w:sz w:val="36"/>
          <w:szCs w:val="36"/>
        </w:rPr>
      </w:pPr>
      <w:r w:rsidRPr="00127349">
        <w:rPr>
          <w:sz w:val="36"/>
          <w:szCs w:val="36"/>
        </w:rPr>
        <w:t>Prior State Board of Education Action and Discussion</w:t>
      </w:r>
    </w:p>
    <w:p w14:paraId="53B0BB80" w14:textId="77777777" w:rsidR="00DF0CC5" w:rsidRPr="00665172" w:rsidRDefault="00DF0CC5" w:rsidP="00DF0CC5">
      <w:pPr>
        <w:pStyle w:val="Heading3"/>
        <w:spacing w:after="240"/>
        <w:rPr>
          <w:rFonts w:ascii="Arial" w:hAnsi="Arial" w:cs="Arial"/>
          <w:b/>
          <w:color w:val="auto"/>
          <w:sz w:val="28"/>
          <w:szCs w:val="28"/>
        </w:rPr>
      </w:pPr>
      <w:r w:rsidRPr="00665172">
        <w:rPr>
          <w:rFonts w:ascii="Arial" w:hAnsi="Arial" w:cs="Arial"/>
          <w:b/>
          <w:color w:val="auto"/>
          <w:sz w:val="28"/>
          <w:szCs w:val="28"/>
        </w:rPr>
        <w:t>Five-Year Graduation Rate</w:t>
      </w:r>
    </w:p>
    <w:p w14:paraId="08F41812" w14:textId="62F7ECC7" w:rsidR="00DA5BAE" w:rsidRPr="00DF0CC5" w:rsidRDefault="00DF0CC5" w:rsidP="00264FA0">
      <w:pPr>
        <w:spacing w:after="240"/>
      </w:pPr>
      <w:r w:rsidRPr="00DF0CC5">
        <w:t xml:space="preserve">At the March 2018 SBE meeting, the CDE provided an update on the </w:t>
      </w:r>
      <w:r w:rsidR="00CD238E">
        <w:t xml:space="preserve">development of the work to incorporate the </w:t>
      </w:r>
      <w:r w:rsidRPr="00DF0CC5">
        <w:t>five-year graduation rate</w:t>
      </w:r>
      <w:r w:rsidR="00CD238E">
        <w:t xml:space="preserve"> into the Dashboard</w:t>
      </w:r>
      <w:r>
        <w:t xml:space="preserve"> (</w:t>
      </w:r>
      <w:hyperlink r:id="rId12" w:tooltip="March 2018 SBE Meeting Item 01" w:history="1">
        <w:r w:rsidRPr="00627162">
          <w:rPr>
            <w:rStyle w:val="Hyperlink"/>
            <w:rFonts w:cs="Arial"/>
          </w:rPr>
          <w:t>https://www.cde.ca.gov/be/ag/ag/yr18/documents/mar18item01.docx</w:t>
        </w:r>
      </w:hyperlink>
      <w:r>
        <w:t>)</w:t>
      </w:r>
      <w:r w:rsidRPr="00DF0CC5">
        <w:t>.</w:t>
      </w:r>
    </w:p>
    <w:p w14:paraId="0A1C2773" w14:textId="77777777" w:rsidR="00EF13E6" w:rsidRPr="00665172" w:rsidRDefault="00EF13E6" w:rsidP="00127349">
      <w:pPr>
        <w:pStyle w:val="Heading3"/>
        <w:spacing w:after="240"/>
        <w:rPr>
          <w:rFonts w:ascii="Arial" w:hAnsi="Arial" w:cs="Arial"/>
          <w:b/>
          <w:color w:val="auto"/>
          <w:sz w:val="28"/>
          <w:szCs w:val="28"/>
        </w:rPr>
      </w:pPr>
      <w:r w:rsidRPr="00665172">
        <w:rPr>
          <w:rFonts w:ascii="Arial" w:hAnsi="Arial" w:cs="Arial"/>
          <w:b/>
          <w:color w:val="auto"/>
          <w:sz w:val="28"/>
          <w:szCs w:val="28"/>
        </w:rPr>
        <w:t>Chronic Absenteeism Indicator</w:t>
      </w:r>
    </w:p>
    <w:p w14:paraId="0CB2172C" w14:textId="5F6299A1" w:rsidR="002A0578" w:rsidRDefault="002A0578" w:rsidP="00AA2D3D">
      <w:pPr>
        <w:spacing w:after="240"/>
        <w:rPr>
          <w:rFonts w:cs="Arial"/>
        </w:rPr>
      </w:pPr>
      <w:r>
        <w:rPr>
          <w:rFonts w:cs="Arial"/>
        </w:rPr>
        <w:t xml:space="preserve">At the September 2017 SBE meeting, the CDE provided an update on the Chronic Absenteeism Indicator and the collection of attendance data </w:t>
      </w:r>
      <w:r w:rsidR="00CD238E">
        <w:rPr>
          <w:rFonts w:cs="Arial"/>
        </w:rPr>
        <w:t xml:space="preserve">in the statewide student longitudinal data system </w:t>
      </w:r>
      <w:r w:rsidR="00EB3A39">
        <w:rPr>
          <w:rFonts w:cs="Arial"/>
        </w:rPr>
        <w:t>(</w:t>
      </w:r>
      <w:hyperlink r:id="rId13" w:tooltip="September 2017 SBE Meeting Item 02" w:history="1">
        <w:r w:rsidRPr="008B79B6">
          <w:rPr>
            <w:rStyle w:val="Hyperlink"/>
            <w:rFonts w:cs="Arial"/>
          </w:rPr>
          <w:t>https://www.cde.ca.gov/be/ag/ag/yr17/documents/sep17item02.doc</w:t>
        </w:r>
      </w:hyperlink>
      <w:r>
        <w:rPr>
          <w:rFonts w:cs="Arial"/>
        </w:rPr>
        <w:t>).</w:t>
      </w:r>
    </w:p>
    <w:p w14:paraId="337A9C93" w14:textId="77777777" w:rsidR="00F50B38" w:rsidRPr="00665172" w:rsidRDefault="00F50B38" w:rsidP="00F50B38">
      <w:pPr>
        <w:pStyle w:val="Heading3"/>
        <w:spacing w:after="240"/>
        <w:rPr>
          <w:rFonts w:ascii="Arial" w:hAnsi="Arial" w:cs="Arial"/>
          <w:b/>
          <w:color w:val="auto"/>
          <w:sz w:val="28"/>
          <w:szCs w:val="28"/>
        </w:rPr>
      </w:pPr>
      <w:r w:rsidRPr="00665172">
        <w:rPr>
          <w:rFonts w:ascii="Arial" w:hAnsi="Arial" w:cs="Arial"/>
          <w:b/>
          <w:color w:val="auto"/>
          <w:sz w:val="28"/>
          <w:szCs w:val="28"/>
        </w:rPr>
        <w:lastRenderedPageBreak/>
        <w:t>College/Career Indicator</w:t>
      </w:r>
    </w:p>
    <w:p w14:paraId="78F4510E" w14:textId="0A572770" w:rsidR="00F50B38" w:rsidRDefault="00F50B38" w:rsidP="00264FA0">
      <w:pPr>
        <w:spacing w:after="240"/>
      </w:pPr>
      <w:r>
        <w:t xml:space="preserve">In July 2016, the SBE reviewed and approved the CCI as a state indicator to be part of the design of the </w:t>
      </w:r>
      <w:r w:rsidR="00D2596B">
        <w:t>LCFF</w:t>
      </w:r>
      <w:r>
        <w:t xml:space="preserve"> evaluation rubrics (which is currently reported through the Dashboard) (</w:t>
      </w:r>
      <w:hyperlink r:id="rId14" w:tooltip="July 2016 SBE Meeting Minutes" w:history="1">
        <w:r w:rsidRPr="00A31E3A">
          <w:rPr>
            <w:rStyle w:val="Hyperlink"/>
          </w:rPr>
          <w:t>https://www.cde.ca.gov/be/mt/ms/documents/finalminutes1314jul2016.doc</w:t>
        </w:r>
      </w:hyperlink>
      <w:r>
        <w:t>).</w:t>
      </w:r>
    </w:p>
    <w:p w14:paraId="71558B4D" w14:textId="3E57C6A8" w:rsidR="00F50B38" w:rsidRDefault="00F50B38" w:rsidP="00264FA0">
      <w:pPr>
        <w:spacing w:after="240"/>
        <w:rPr>
          <w:rFonts w:cs="Arial"/>
        </w:rPr>
      </w:pPr>
      <w:r>
        <w:t xml:space="preserve">In September 2016, the SBE reviewed and approved Status </w:t>
      </w:r>
      <w:r>
        <w:rPr>
          <w:rFonts w:cs="Arial"/>
        </w:rPr>
        <w:t>performance categorie</w:t>
      </w:r>
      <w:r w:rsidR="00D2596B">
        <w:rPr>
          <w:rFonts w:cs="Arial"/>
        </w:rPr>
        <w:t>s for the CCI based on the 2013–</w:t>
      </w:r>
      <w:r>
        <w:rPr>
          <w:rFonts w:cs="Arial"/>
        </w:rPr>
        <w:t>14 cohort data file and approved the re-evaluation of the performance categories in September 2017 once the first year of results of Smarter Balanced assessment were included in the CCI</w:t>
      </w:r>
      <w:r>
        <w:t xml:space="preserve">. The SBE also directed the removal of the </w:t>
      </w:r>
      <w:r w:rsidRPr="006A23F5">
        <w:rPr>
          <w:rFonts w:cs="Arial"/>
          <w:color w:val="000000"/>
        </w:rPr>
        <w:t xml:space="preserve">“Well Prepared” category </w:t>
      </w:r>
      <w:r>
        <w:rPr>
          <w:rFonts w:cs="Arial"/>
          <w:color w:val="000000"/>
        </w:rPr>
        <w:t>until additional data on ca</w:t>
      </w:r>
      <w:r w:rsidR="00D2596B">
        <w:rPr>
          <w:rFonts w:cs="Arial"/>
          <w:color w:val="000000"/>
        </w:rPr>
        <w:t>reer readiness become available</w:t>
      </w:r>
      <w:r>
        <w:rPr>
          <w:rFonts w:cs="Arial"/>
          <w:color w:val="000000"/>
        </w:rPr>
        <w:t xml:space="preserve"> </w:t>
      </w:r>
      <w:r>
        <w:t>(</w:t>
      </w:r>
      <w:hyperlink r:id="rId15" w:tooltip="September 2016 SBE Meeting Item 01" w:history="1">
        <w:r w:rsidRPr="00A17BD8">
          <w:rPr>
            <w:rStyle w:val="Hyperlink"/>
          </w:rPr>
          <w:t>https://www.cde.ca.gov/be/ag/ag/yr16/documents/sep16item01.doc</w:t>
        </w:r>
      </w:hyperlink>
      <w:r>
        <w:t>).</w:t>
      </w:r>
    </w:p>
    <w:p w14:paraId="6D2698FD" w14:textId="158E9D65" w:rsidR="00F50B38" w:rsidRDefault="00F50B38" w:rsidP="00264FA0">
      <w:pPr>
        <w:spacing w:after="240"/>
      </w:pPr>
      <w:r>
        <w:t xml:space="preserve">In September 2017, the SBE reviewed the clarification to one of the CCI criterion in the </w:t>
      </w:r>
      <w:r w:rsidR="00D2596B">
        <w:t>“</w:t>
      </w:r>
      <w:r>
        <w:t>Approaching Prepared</w:t>
      </w:r>
      <w:r w:rsidR="00D2596B">
        <w:t>”</w:t>
      </w:r>
      <w:r>
        <w:t xml:space="preserve"> level within the CCI and the recommended revised Status cut </w:t>
      </w:r>
      <w:r w:rsidR="00D2596B">
        <w:t>scores based on the c</w:t>
      </w:r>
      <w:r>
        <w:t>lass of 2016. The SBE approved the revised cut scores for Status (</w:t>
      </w:r>
      <w:hyperlink r:id="rId16" w:tooltip="september 2017 SBE Meeting Item 02" w:history="1">
        <w:r w:rsidRPr="00A17BD8">
          <w:rPr>
            <w:rStyle w:val="Hyperlink"/>
          </w:rPr>
          <w:t>https://www.cde.ca.gov/be/ag/ag/yr17/documents/sep17item02.doc</w:t>
        </w:r>
      </w:hyperlink>
      <w:r w:rsidRPr="00BB765F">
        <w:rPr>
          <w:rStyle w:val="Hyperlink"/>
          <w:color w:val="auto"/>
          <w:u w:val="none"/>
        </w:rPr>
        <w:t>).</w:t>
      </w:r>
    </w:p>
    <w:p w14:paraId="25727D0B" w14:textId="1F74EF39" w:rsidR="00F50B38" w:rsidRDefault="00F50B38" w:rsidP="00264FA0">
      <w:pPr>
        <w:spacing w:after="240"/>
      </w:pPr>
      <w:r>
        <w:t xml:space="preserve">In February 2018, the SBE received an Information Memorandum </w:t>
      </w:r>
      <w:r w:rsidRPr="00F7633C">
        <w:rPr>
          <w:rFonts w:cs="Arial"/>
        </w:rPr>
        <w:t xml:space="preserve">on the implementation of the CCI, including the development of new career measures in consultation with the CCI Work Group and </w:t>
      </w:r>
      <w:r w:rsidRPr="009502D9">
        <w:rPr>
          <w:rFonts w:cs="Arial"/>
        </w:rPr>
        <w:t>California Task Force on Alternative Schools</w:t>
      </w:r>
      <w:r w:rsidRPr="00F7633C">
        <w:rPr>
          <w:rFonts w:cs="Arial"/>
        </w:rPr>
        <w:t xml:space="preserve">, and performance comparisons on the academic </w:t>
      </w:r>
      <w:r w:rsidR="00D2596B">
        <w:rPr>
          <w:rFonts w:cs="Arial"/>
        </w:rPr>
        <w:t>measures in the CCI</w:t>
      </w:r>
      <w:r>
        <w:rPr>
          <w:rFonts w:cs="Arial"/>
        </w:rPr>
        <w:t xml:space="preserve"> (</w:t>
      </w:r>
      <w:hyperlink r:id="rId17" w:tooltip="February 2018 CDE Info Memo 02" w:history="1">
        <w:r w:rsidRPr="00F7633C">
          <w:rPr>
            <w:rStyle w:val="Hyperlink"/>
            <w:rFonts w:cs="Arial"/>
          </w:rPr>
          <w:t>https://www.cde.ca.gov/be/pn/im/documents/memo-pptb-amard-feb18item02.docx</w:t>
        </w:r>
      </w:hyperlink>
      <w:r w:rsidRPr="00F7633C">
        <w:rPr>
          <w:rFonts w:cs="Arial"/>
        </w:rPr>
        <w:t>)</w:t>
      </w:r>
      <w:r w:rsidR="00264FA0">
        <w:rPr>
          <w:rFonts w:cs="Arial"/>
        </w:rPr>
        <w:t>.</w:t>
      </w:r>
    </w:p>
    <w:p w14:paraId="419E6348" w14:textId="05BC3DD9" w:rsidR="00F50B38" w:rsidRDefault="00F50B38" w:rsidP="00264FA0">
      <w:pPr>
        <w:spacing w:after="240"/>
      </w:pPr>
      <w:r>
        <w:t>In March 2018, the SBE was informed of the revisions made to the Fall 2017 Dashboard, including items that are being prepared for the 2018 Dashboard release, such as the potential use of the following three CCI measures: State Seal of Biliteracy, Golden State Seal Merit Diploma, and Articulated Car</w:t>
      </w:r>
      <w:r w:rsidR="00D2596B">
        <w:t>eer Technical Education Courses</w:t>
      </w:r>
      <w:r>
        <w:t xml:space="preserve"> (</w:t>
      </w:r>
      <w:hyperlink r:id="rId18" w:tooltip="March 2018 SBE Meeting Item 01" w:history="1">
        <w:r w:rsidRPr="00A31E3A">
          <w:rPr>
            <w:rStyle w:val="Hyperlink"/>
          </w:rPr>
          <w:t>https://www.cde.ca.gov/be/ag/ag/yr18/documents/mar18item01.docx</w:t>
        </w:r>
      </w:hyperlink>
      <w:r>
        <w:t>)</w:t>
      </w:r>
    </w:p>
    <w:p w14:paraId="48B2A02F" w14:textId="75D6D4FA" w:rsidR="00F50B38" w:rsidRPr="00A97552" w:rsidRDefault="00F50B38" w:rsidP="00264FA0">
      <w:pPr>
        <w:spacing w:after="240"/>
        <w:rPr>
          <w:rFonts w:eastAsiaTheme="majorEastAsia"/>
        </w:rPr>
      </w:pPr>
      <w:r>
        <w:t>In April 2018, the SBE received an Information Memorandum that provided an</w:t>
      </w:r>
      <w:r w:rsidRPr="009502D9">
        <w:t xml:space="preserve"> overview of the research conducted and incorporated in the development of the </w:t>
      </w:r>
      <w:r w:rsidR="00D2596B">
        <w:t>CCI</w:t>
      </w:r>
      <w:r w:rsidRPr="009502D9">
        <w:t xml:space="preserve"> and the rigorous vetting criteria and processes that were</w:t>
      </w:r>
      <w:r w:rsidR="00D2596B">
        <w:t xml:space="preserve"> applied to select CCI measures </w:t>
      </w:r>
      <w:r w:rsidRPr="009502D9">
        <w:t>(</w:t>
      </w:r>
      <w:hyperlink r:id="rId19" w:tooltip="April 2018 CDE Info Memo 02" w:history="1">
        <w:r w:rsidRPr="009502D9">
          <w:rPr>
            <w:rStyle w:val="Hyperlink"/>
          </w:rPr>
          <w:t>https://www.cde.ca.gov/be/pn/im/documents/memo-pptb-amard-apr18item02.docx</w:t>
        </w:r>
      </w:hyperlink>
      <w:r w:rsidRPr="009502D9">
        <w:rPr>
          <w:rStyle w:val="Hyperlink"/>
        </w:rPr>
        <w:t>).</w:t>
      </w:r>
    </w:p>
    <w:p w14:paraId="0F305D7E" w14:textId="77777777" w:rsidR="00264FA0" w:rsidRDefault="00F50B38" w:rsidP="00264FA0">
      <w:pPr>
        <w:spacing w:after="240"/>
        <w:rPr>
          <w:rFonts w:cs="Arial"/>
        </w:rPr>
      </w:pPr>
      <w:r>
        <w:t>In May 2018, the SBE received a p</w:t>
      </w:r>
      <w:r>
        <w:rPr>
          <w:rFonts w:cs="Arial"/>
        </w:rPr>
        <w:t>resentation</w:t>
      </w:r>
      <w:r w:rsidRPr="009502D9">
        <w:rPr>
          <w:rFonts w:cs="Arial"/>
        </w:rPr>
        <w:t xml:space="preserve"> from </w:t>
      </w:r>
      <w:r>
        <w:rPr>
          <w:rFonts w:cs="Arial"/>
        </w:rPr>
        <w:t>an LEA</w:t>
      </w:r>
      <w:r w:rsidRPr="009502D9">
        <w:rPr>
          <w:rFonts w:cs="Arial"/>
        </w:rPr>
        <w:t xml:space="preserve"> on their </w:t>
      </w:r>
      <w:r w:rsidR="00CD238E">
        <w:rPr>
          <w:rFonts w:cs="Arial"/>
        </w:rPr>
        <w:t xml:space="preserve">local </w:t>
      </w:r>
      <w:r>
        <w:rPr>
          <w:rFonts w:cs="Arial"/>
        </w:rPr>
        <w:t>use of the CCI.</w:t>
      </w:r>
    </w:p>
    <w:p w14:paraId="78536C9C" w14:textId="4D7F6D3C" w:rsidR="00F50B38" w:rsidRPr="00665172" w:rsidRDefault="00F50B38" w:rsidP="00264FA0">
      <w:pPr>
        <w:spacing w:after="240"/>
        <w:rPr>
          <w:rFonts w:cs="Arial"/>
          <w:b/>
          <w:sz w:val="28"/>
          <w:szCs w:val="28"/>
        </w:rPr>
      </w:pPr>
      <w:r w:rsidRPr="00665172">
        <w:rPr>
          <w:rFonts w:cs="Arial"/>
          <w:b/>
          <w:sz w:val="28"/>
          <w:szCs w:val="28"/>
        </w:rPr>
        <w:t xml:space="preserve">One-Year Graduation Rate </w:t>
      </w:r>
    </w:p>
    <w:p w14:paraId="5DCBB184" w14:textId="2C8E750F" w:rsidR="00C562F2" w:rsidRPr="009502D9" w:rsidRDefault="00C562F2" w:rsidP="00264FA0">
      <w:pPr>
        <w:spacing w:after="240"/>
      </w:pPr>
      <w:r w:rsidRPr="009502D9">
        <w:rPr>
          <w:rFonts w:cs="Arial"/>
        </w:rPr>
        <w:t>In July 2017, the SBE approved criteria for schools to apply for DASS (</w:t>
      </w:r>
      <w:hyperlink r:id="rId20" w:tooltip="July 2017 SBE Meeting Agenda Item 01" w:history="1">
        <w:r w:rsidRPr="009502D9">
          <w:rPr>
            <w:rStyle w:val="Hyperlink"/>
          </w:rPr>
          <w:t>https://www.cde.ca.gov/be/ag/ag/yr17/documents/jul17item01.doc</w:t>
        </w:r>
      </w:hyperlink>
      <w:r w:rsidRPr="009502D9">
        <w:t>).</w:t>
      </w:r>
    </w:p>
    <w:p w14:paraId="6A65F070" w14:textId="702D8741" w:rsidR="00C562F2" w:rsidRPr="009502D9" w:rsidRDefault="00C562F2" w:rsidP="00264FA0">
      <w:pPr>
        <w:spacing w:after="240"/>
      </w:pPr>
      <w:r w:rsidRPr="009502D9">
        <w:t>In March 2018, the SBE reviewed proposed revisions for the 2018 Dashboard, including the incorporation of modified methods for DASS schools (</w:t>
      </w:r>
      <w:hyperlink r:id="rId21" w:tooltip="March 2018 SBE Agenda Item 01" w:history="1">
        <w:r w:rsidRPr="009502D9">
          <w:rPr>
            <w:rStyle w:val="Hyperlink"/>
          </w:rPr>
          <w:t>https://www.cde.ca.gov/be/ag/ag/yr18/documents/mar18item01.docx</w:t>
        </w:r>
      </w:hyperlink>
      <w:r w:rsidRPr="009502D9">
        <w:t>).</w:t>
      </w:r>
    </w:p>
    <w:p w14:paraId="3BAB02DB" w14:textId="6FD580F1" w:rsidR="00C562F2" w:rsidRDefault="00C562F2" w:rsidP="00264FA0">
      <w:pPr>
        <w:spacing w:after="240"/>
        <w:rPr>
          <w:rFonts w:cs="Arial"/>
        </w:rPr>
      </w:pPr>
      <w:r>
        <w:rPr>
          <w:rFonts w:cs="Arial"/>
        </w:rPr>
        <w:lastRenderedPageBreak/>
        <w:t>In May 20</w:t>
      </w:r>
      <w:r w:rsidR="00CD238E">
        <w:rPr>
          <w:rFonts w:cs="Arial"/>
        </w:rPr>
        <w:t>1</w:t>
      </w:r>
      <w:r>
        <w:rPr>
          <w:rFonts w:cs="Arial"/>
        </w:rPr>
        <w:t>8, the SBE approved methodology for calculating the one-year graduation rate (</w:t>
      </w:r>
      <w:hyperlink r:id="rId22" w:tooltip="May 2018 SBE Meeting Item 02" w:history="1">
        <w:r w:rsidRPr="00331AD7">
          <w:rPr>
            <w:rStyle w:val="Hyperlink"/>
            <w:rFonts w:cs="Arial"/>
          </w:rPr>
          <w:t>https://www.cde.ca.gov/be/ag/ag/yr18/documents/may18item02.docx</w:t>
        </w:r>
      </w:hyperlink>
      <w:r>
        <w:rPr>
          <w:rFonts w:cs="Arial"/>
        </w:rPr>
        <w:t>).</w:t>
      </w:r>
    </w:p>
    <w:p w14:paraId="2A996207" w14:textId="11A84BAB" w:rsidR="00C562F2" w:rsidRDefault="00C562F2" w:rsidP="00C562F2">
      <w:pPr>
        <w:rPr>
          <w:rFonts w:cs="Arial"/>
        </w:rPr>
      </w:pPr>
      <w:r>
        <w:rPr>
          <w:rFonts w:cs="Arial"/>
        </w:rPr>
        <w:t>In July 2018, the SBE approved the application of the Safety Net methodology for DASS schools (</w:t>
      </w:r>
      <w:hyperlink r:id="rId23" w:tooltip="July 2018 SBE Meeting Item 01" w:history="1">
        <w:r w:rsidR="00D55368" w:rsidRPr="00331AD7">
          <w:rPr>
            <w:rStyle w:val="Hyperlink"/>
            <w:rFonts w:cs="Arial"/>
          </w:rPr>
          <w:t>https://www.cde.ca.gov/be/ag/ag/yr18/documents/jul18item01.docx</w:t>
        </w:r>
      </w:hyperlink>
      <w:r w:rsidR="00D55368">
        <w:rPr>
          <w:rFonts w:cs="Arial"/>
        </w:rPr>
        <w:t>).</w:t>
      </w:r>
    </w:p>
    <w:p w14:paraId="76E55C35" w14:textId="77777777" w:rsidR="00A72481" w:rsidRPr="00AC5E4E" w:rsidRDefault="00A72481" w:rsidP="00A72481">
      <w:pPr>
        <w:pStyle w:val="Heading2"/>
        <w:spacing w:before="240" w:after="0" w:line="360" w:lineRule="auto"/>
        <w:rPr>
          <w:sz w:val="36"/>
        </w:rPr>
      </w:pPr>
      <w:r w:rsidRPr="00AC5E4E">
        <w:rPr>
          <w:sz w:val="36"/>
        </w:rPr>
        <w:t>Attachment(s)</w:t>
      </w:r>
    </w:p>
    <w:p w14:paraId="5F16F38B" w14:textId="11F3AE4F" w:rsidR="00A72481" w:rsidRPr="00264FA0" w:rsidRDefault="00A72481" w:rsidP="00D45E70">
      <w:pPr>
        <w:pStyle w:val="ListParagraph"/>
        <w:numPr>
          <w:ilvl w:val="0"/>
          <w:numId w:val="20"/>
        </w:numPr>
        <w:spacing w:after="240"/>
        <w:rPr>
          <w:rFonts w:ascii="Arial" w:hAnsi="Arial" w:cs="Arial"/>
          <w:sz w:val="24"/>
        </w:rPr>
      </w:pPr>
      <w:r w:rsidRPr="00B746DE">
        <w:rPr>
          <w:rFonts w:ascii="Arial" w:hAnsi="Arial" w:cs="Arial"/>
          <w:b/>
          <w:sz w:val="24"/>
        </w:rPr>
        <w:t>Attachment 1</w:t>
      </w:r>
      <w:r w:rsidRPr="00264FA0">
        <w:rPr>
          <w:rFonts w:ascii="Arial" w:hAnsi="Arial" w:cs="Arial"/>
          <w:sz w:val="24"/>
        </w:rPr>
        <w:t xml:space="preserve">: </w:t>
      </w:r>
      <w:r w:rsidR="00D2596B" w:rsidRPr="00264FA0">
        <w:rPr>
          <w:rFonts w:ascii="Arial" w:hAnsi="Arial" w:cs="Arial"/>
          <w:sz w:val="24"/>
        </w:rPr>
        <w:t>Five-Year Graduation Rate: Proposed Methodology for Incorporating the Five-Year Graduation Rate into the 2018 California School Dashboard</w:t>
      </w:r>
      <w:r w:rsidR="0027487F" w:rsidRPr="00264FA0">
        <w:rPr>
          <w:rFonts w:ascii="Arial" w:hAnsi="Arial" w:cs="Arial"/>
          <w:sz w:val="24"/>
        </w:rPr>
        <w:t xml:space="preserve"> </w:t>
      </w:r>
      <w:r w:rsidRPr="00264FA0">
        <w:rPr>
          <w:rFonts w:ascii="Arial" w:hAnsi="Arial" w:cs="Arial"/>
          <w:sz w:val="24"/>
        </w:rPr>
        <w:t>(</w:t>
      </w:r>
      <w:r w:rsidR="00BB765F">
        <w:rPr>
          <w:rFonts w:ascii="Arial" w:hAnsi="Arial" w:cs="Arial"/>
          <w:sz w:val="24"/>
        </w:rPr>
        <w:t>6</w:t>
      </w:r>
      <w:r w:rsidRPr="00264FA0">
        <w:rPr>
          <w:rFonts w:ascii="Arial" w:hAnsi="Arial" w:cs="Arial"/>
          <w:sz w:val="24"/>
        </w:rPr>
        <w:t xml:space="preserve"> Pages)</w:t>
      </w:r>
    </w:p>
    <w:p w14:paraId="52E59CD3" w14:textId="07AE239D" w:rsidR="00F50B38" w:rsidRPr="00264FA0" w:rsidRDefault="00A72481" w:rsidP="00D45E70">
      <w:pPr>
        <w:pStyle w:val="ListParagraph"/>
        <w:numPr>
          <w:ilvl w:val="0"/>
          <w:numId w:val="20"/>
        </w:numPr>
        <w:spacing w:after="240"/>
        <w:rPr>
          <w:rFonts w:ascii="Arial" w:hAnsi="Arial" w:cs="Arial"/>
          <w:sz w:val="24"/>
        </w:rPr>
      </w:pPr>
      <w:r w:rsidRPr="00B746DE">
        <w:rPr>
          <w:rFonts w:ascii="Arial" w:hAnsi="Arial" w:cs="Arial"/>
          <w:b/>
          <w:sz w:val="24"/>
        </w:rPr>
        <w:t>Attachment 2</w:t>
      </w:r>
      <w:r w:rsidRPr="00264FA0">
        <w:rPr>
          <w:rFonts w:ascii="Arial" w:hAnsi="Arial" w:cs="Arial"/>
          <w:sz w:val="24"/>
        </w:rPr>
        <w:t xml:space="preserve">: </w:t>
      </w:r>
      <w:r w:rsidR="00D2596B" w:rsidRPr="00264FA0">
        <w:rPr>
          <w:rFonts w:ascii="Arial" w:hAnsi="Arial" w:cs="Arial"/>
          <w:sz w:val="24"/>
        </w:rPr>
        <w:t>Proposed Methodology for the Chronic Absenteeism Indicator</w:t>
      </w:r>
      <w:r w:rsidRPr="00264FA0">
        <w:rPr>
          <w:rFonts w:ascii="Arial" w:hAnsi="Arial" w:cs="Arial"/>
          <w:sz w:val="24"/>
        </w:rPr>
        <w:t xml:space="preserve"> </w:t>
      </w:r>
      <w:r w:rsidR="00264FA0">
        <w:rPr>
          <w:rFonts w:ascii="Arial" w:hAnsi="Arial" w:cs="Arial"/>
          <w:sz w:val="24"/>
        </w:rPr>
        <w:br/>
      </w:r>
      <w:r w:rsidRPr="00264FA0">
        <w:rPr>
          <w:rFonts w:ascii="Arial" w:hAnsi="Arial" w:cs="Arial"/>
          <w:sz w:val="24"/>
        </w:rPr>
        <w:t>(</w:t>
      </w:r>
      <w:r w:rsidR="00F9200C" w:rsidRPr="00264FA0">
        <w:rPr>
          <w:rFonts w:ascii="Arial" w:hAnsi="Arial" w:cs="Arial"/>
          <w:sz w:val="24"/>
        </w:rPr>
        <w:t xml:space="preserve">2 </w:t>
      </w:r>
      <w:r w:rsidRPr="00264FA0">
        <w:rPr>
          <w:rFonts w:ascii="Arial" w:hAnsi="Arial" w:cs="Arial"/>
          <w:sz w:val="24"/>
        </w:rPr>
        <w:t>Page</w:t>
      </w:r>
      <w:r w:rsidR="003828B3" w:rsidRPr="00264FA0">
        <w:rPr>
          <w:rFonts w:ascii="Arial" w:hAnsi="Arial" w:cs="Arial"/>
          <w:sz w:val="24"/>
        </w:rPr>
        <w:t>s</w:t>
      </w:r>
      <w:r w:rsidRPr="00264FA0">
        <w:rPr>
          <w:rFonts w:ascii="Arial" w:hAnsi="Arial" w:cs="Arial"/>
          <w:sz w:val="24"/>
        </w:rPr>
        <w:t>)</w:t>
      </w:r>
    </w:p>
    <w:p w14:paraId="13232098" w14:textId="3E98EE24" w:rsidR="00F50B38" w:rsidRPr="00264FA0" w:rsidRDefault="00F50B38" w:rsidP="00D45E70">
      <w:pPr>
        <w:pStyle w:val="ListParagraph"/>
        <w:numPr>
          <w:ilvl w:val="0"/>
          <w:numId w:val="20"/>
        </w:numPr>
        <w:spacing w:after="240"/>
        <w:rPr>
          <w:rFonts w:ascii="Arial" w:hAnsi="Arial" w:cs="Arial"/>
          <w:sz w:val="24"/>
        </w:rPr>
      </w:pPr>
      <w:r w:rsidRPr="00B746DE">
        <w:rPr>
          <w:rFonts w:ascii="Arial" w:hAnsi="Arial" w:cs="Arial"/>
          <w:b/>
          <w:sz w:val="24"/>
        </w:rPr>
        <w:t>Attachment 3:</w:t>
      </w:r>
      <w:r w:rsidRPr="00264FA0">
        <w:rPr>
          <w:rFonts w:ascii="Arial" w:hAnsi="Arial" w:cs="Arial"/>
          <w:sz w:val="24"/>
        </w:rPr>
        <w:t xml:space="preserve"> </w:t>
      </w:r>
      <w:r w:rsidR="00D2596B" w:rsidRPr="00264FA0">
        <w:rPr>
          <w:rFonts w:ascii="Arial" w:hAnsi="Arial" w:cs="Arial"/>
          <w:sz w:val="24"/>
        </w:rPr>
        <w:t>Proposed New Measures for Inclusion in the College/Career Indicator</w:t>
      </w:r>
      <w:r w:rsidRPr="00264FA0">
        <w:rPr>
          <w:rFonts w:ascii="Arial" w:hAnsi="Arial" w:cs="Arial"/>
          <w:sz w:val="24"/>
        </w:rPr>
        <w:t xml:space="preserve"> (</w:t>
      </w:r>
      <w:r w:rsidR="00F974EB" w:rsidRPr="00264FA0">
        <w:rPr>
          <w:rFonts w:ascii="Arial" w:hAnsi="Arial" w:cs="Arial"/>
          <w:sz w:val="24"/>
        </w:rPr>
        <w:t>7</w:t>
      </w:r>
      <w:r w:rsidRPr="00264FA0">
        <w:rPr>
          <w:rFonts w:ascii="Arial" w:hAnsi="Arial" w:cs="Arial"/>
          <w:sz w:val="24"/>
        </w:rPr>
        <w:t xml:space="preserve"> Pages)</w:t>
      </w:r>
    </w:p>
    <w:p w14:paraId="30635B3B" w14:textId="07B7C148" w:rsidR="00470CB4" w:rsidRPr="00264FA0" w:rsidRDefault="00F50B38" w:rsidP="00D45E70">
      <w:pPr>
        <w:pStyle w:val="ListParagraph"/>
        <w:numPr>
          <w:ilvl w:val="0"/>
          <w:numId w:val="20"/>
        </w:numPr>
        <w:rPr>
          <w:rFonts w:cs="Arial"/>
        </w:rPr>
        <w:sectPr w:rsidR="00470CB4" w:rsidRPr="00264FA0" w:rsidSect="002A0578">
          <w:headerReference w:type="default" r:id="rId24"/>
          <w:headerReference w:type="first" r:id="rId25"/>
          <w:type w:val="continuous"/>
          <w:pgSz w:w="12240" w:h="15840" w:code="1"/>
          <w:pgMar w:top="720" w:right="1440" w:bottom="720" w:left="1440" w:header="720" w:footer="720" w:gutter="0"/>
          <w:pgNumType w:start="1"/>
          <w:cols w:space="720"/>
          <w:docGrid w:linePitch="360"/>
        </w:sectPr>
      </w:pPr>
      <w:r w:rsidRPr="00B746DE">
        <w:rPr>
          <w:rFonts w:ascii="Arial" w:hAnsi="Arial" w:cs="Arial"/>
          <w:b/>
          <w:sz w:val="24"/>
        </w:rPr>
        <w:t>Attachment 4:</w:t>
      </w:r>
      <w:r w:rsidRPr="00264FA0">
        <w:rPr>
          <w:rFonts w:ascii="Arial" w:hAnsi="Arial" w:cs="Arial"/>
          <w:sz w:val="24"/>
        </w:rPr>
        <w:t xml:space="preserve"> </w:t>
      </w:r>
      <w:r w:rsidR="00D2596B" w:rsidRPr="00264FA0">
        <w:rPr>
          <w:rFonts w:ascii="Arial" w:hAnsi="Arial" w:cs="Arial"/>
          <w:sz w:val="24"/>
        </w:rPr>
        <w:t>Proposed Cut Scores for the One-Year Graduation Rate</w:t>
      </w:r>
      <w:r w:rsidRPr="00264FA0">
        <w:rPr>
          <w:rFonts w:ascii="Arial" w:hAnsi="Arial" w:cs="Arial"/>
          <w:sz w:val="24"/>
        </w:rPr>
        <w:t xml:space="preserve"> </w:t>
      </w:r>
      <w:r w:rsidR="00A45973" w:rsidRPr="00264FA0">
        <w:rPr>
          <w:rFonts w:ascii="Arial" w:hAnsi="Arial" w:cs="Arial"/>
          <w:sz w:val="24"/>
        </w:rPr>
        <w:t>(2 Pages)</w:t>
      </w:r>
    </w:p>
    <w:p w14:paraId="6B5CD7D5" w14:textId="77777777" w:rsidR="00BB765F" w:rsidRDefault="002D51A5" w:rsidP="00264FA0">
      <w:pPr>
        <w:pStyle w:val="Heading2"/>
        <w:spacing w:before="0" w:after="240"/>
        <w:rPr>
          <w:sz w:val="32"/>
          <w:szCs w:val="32"/>
        </w:rPr>
      </w:pPr>
      <w:r w:rsidRPr="00A13B81">
        <w:rPr>
          <w:sz w:val="32"/>
          <w:szCs w:val="32"/>
        </w:rPr>
        <w:lastRenderedPageBreak/>
        <w:t>A</w:t>
      </w:r>
      <w:r w:rsidR="00BB765F">
        <w:rPr>
          <w:sz w:val="32"/>
          <w:szCs w:val="32"/>
        </w:rPr>
        <w:t>ttachment 1:</w:t>
      </w:r>
    </w:p>
    <w:p w14:paraId="7C05A4FB" w14:textId="63D102C2" w:rsidR="002D3C2A" w:rsidRPr="00BB765F" w:rsidRDefault="00A13B81" w:rsidP="00BB765F">
      <w:pPr>
        <w:spacing w:after="240"/>
        <w:rPr>
          <w:rFonts w:cs="Arial"/>
          <w:b/>
          <w:sz w:val="32"/>
          <w:szCs w:val="32"/>
        </w:rPr>
      </w:pPr>
      <w:r w:rsidRPr="00BB765F">
        <w:rPr>
          <w:b/>
          <w:sz w:val="32"/>
          <w:szCs w:val="32"/>
        </w:rPr>
        <w:t>Five-Year Graduation Rate: Proposed Methodology for Incorporating the Five-Year Graduation Rate into the 2018 California School Dashboard</w:t>
      </w:r>
      <w:r w:rsidR="002D51A5" w:rsidRPr="00BB765F">
        <w:rPr>
          <w:b/>
          <w:sz w:val="32"/>
          <w:szCs w:val="32"/>
        </w:rPr>
        <w:t xml:space="preserve"> </w:t>
      </w:r>
    </w:p>
    <w:p w14:paraId="51DFC308" w14:textId="1049D969" w:rsidR="00A13B81" w:rsidRPr="00665172" w:rsidRDefault="00A13B81" w:rsidP="00264FA0">
      <w:pPr>
        <w:pStyle w:val="Heading3"/>
        <w:spacing w:before="0" w:after="240"/>
        <w:rPr>
          <w:rFonts w:ascii="Arial" w:eastAsia="Times New Roman" w:hAnsi="Arial" w:cs="Arial"/>
          <w:b/>
          <w:color w:val="auto"/>
          <w:sz w:val="28"/>
          <w:szCs w:val="28"/>
        </w:rPr>
      </w:pPr>
      <w:r w:rsidRPr="00665172">
        <w:rPr>
          <w:rFonts w:ascii="Arial" w:eastAsia="Times New Roman" w:hAnsi="Arial" w:cs="Arial"/>
          <w:b/>
          <w:color w:val="auto"/>
          <w:sz w:val="28"/>
          <w:szCs w:val="28"/>
        </w:rPr>
        <w:t>Prior Five-Year Graduation Rate Data</w:t>
      </w:r>
    </w:p>
    <w:p w14:paraId="5C2E35F0" w14:textId="170CB189" w:rsidR="002D3C2A" w:rsidRDefault="002D3C2A" w:rsidP="002D3C2A">
      <w:pPr>
        <w:pStyle w:val="NoSpacing"/>
        <w:spacing w:after="240"/>
        <w:rPr>
          <w:rFonts w:eastAsia="Times New Roman" w:cs="Arial"/>
          <w:szCs w:val="24"/>
        </w:rPr>
      </w:pPr>
      <w:r>
        <w:rPr>
          <w:rFonts w:eastAsia="Times New Roman" w:cs="Arial"/>
          <w:szCs w:val="24"/>
        </w:rPr>
        <w:t>At March 2018 S</w:t>
      </w:r>
      <w:r w:rsidR="00A30047">
        <w:rPr>
          <w:rFonts w:eastAsia="Times New Roman" w:cs="Arial"/>
          <w:szCs w:val="24"/>
        </w:rPr>
        <w:t xml:space="preserve">tate </w:t>
      </w:r>
      <w:r>
        <w:rPr>
          <w:rFonts w:eastAsia="Times New Roman" w:cs="Arial"/>
          <w:szCs w:val="24"/>
        </w:rPr>
        <w:t>B</w:t>
      </w:r>
      <w:r w:rsidR="00A30047">
        <w:rPr>
          <w:rFonts w:eastAsia="Times New Roman" w:cs="Arial"/>
          <w:szCs w:val="24"/>
        </w:rPr>
        <w:t xml:space="preserve">oard of </w:t>
      </w:r>
      <w:r>
        <w:rPr>
          <w:rFonts w:eastAsia="Times New Roman" w:cs="Arial"/>
          <w:szCs w:val="24"/>
        </w:rPr>
        <w:t>E</w:t>
      </w:r>
      <w:r w:rsidR="00DA5BAE">
        <w:rPr>
          <w:rFonts w:eastAsia="Times New Roman" w:cs="Arial"/>
          <w:szCs w:val="24"/>
        </w:rPr>
        <w:t>duca</w:t>
      </w:r>
      <w:r w:rsidR="00A30047">
        <w:rPr>
          <w:rFonts w:eastAsia="Times New Roman" w:cs="Arial"/>
          <w:szCs w:val="24"/>
        </w:rPr>
        <w:t>t</w:t>
      </w:r>
      <w:r w:rsidR="00DA5BAE">
        <w:rPr>
          <w:rFonts w:eastAsia="Times New Roman" w:cs="Arial"/>
          <w:szCs w:val="24"/>
        </w:rPr>
        <w:t>i</w:t>
      </w:r>
      <w:r w:rsidR="00A30047">
        <w:rPr>
          <w:rFonts w:eastAsia="Times New Roman" w:cs="Arial"/>
          <w:szCs w:val="24"/>
        </w:rPr>
        <w:t>on (SBE)</w:t>
      </w:r>
      <w:r>
        <w:rPr>
          <w:rFonts w:eastAsia="Times New Roman" w:cs="Arial"/>
          <w:szCs w:val="24"/>
        </w:rPr>
        <w:t xml:space="preserve"> meeting, the SBE requested that the </w:t>
      </w:r>
      <w:r w:rsidR="00B61EEA">
        <w:rPr>
          <w:rFonts w:eastAsia="Times New Roman" w:cs="Arial"/>
          <w:szCs w:val="24"/>
        </w:rPr>
        <w:t>California Department of Education (</w:t>
      </w:r>
      <w:r>
        <w:rPr>
          <w:rFonts w:eastAsia="Times New Roman" w:cs="Arial"/>
          <w:szCs w:val="24"/>
        </w:rPr>
        <w:t>CDE</w:t>
      </w:r>
      <w:r w:rsidR="00B61EEA">
        <w:rPr>
          <w:rFonts w:eastAsia="Times New Roman" w:cs="Arial"/>
          <w:szCs w:val="24"/>
        </w:rPr>
        <w:t>)</w:t>
      </w:r>
      <w:r>
        <w:rPr>
          <w:rFonts w:eastAsia="Times New Roman" w:cs="Arial"/>
          <w:szCs w:val="24"/>
        </w:rPr>
        <w:t xml:space="preserve"> provide the statewide five-year graduation rate data that was produced for </w:t>
      </w:r>
      <w:r w:rsidR="00F042D8">
        <w:rPr>
          <w:rFonts w:eastAsia="Times New Roman" w:cs="Arial"/>
          <w:szCs w:val="24"/>
        </w:rPr>
        <w:t xml:space="preserve">the former accountability system in the </w:t>
      </w:r>
      <w:r>
        <w:rPr>
          <w:rFonts w:eastAsia="Times New Roman" w:cs="Arial"/>
          <w:szCs w:val="24"/>
        </w:rPr>
        <w:t>A</w:t>
      </w:r>
      <w:r w:rsidR="00F042D8">
        <w:rPr>
          <w:rFonts w:eastAsia="Times New Roman" w:cs="Arial"/>
          <w:szCs w:val="24"/>
        </w:rPr>
        <w:t xml:space="preserve">dequate </w:t>
      </w:r>
      <w:r>
        <w:rPr>
          <w:rFonts w:eastAsia="Times New Roman" w:cs="Arial"/>
          <w:szCs w:val="24"/>
        </w:rPr>
        <w:t>Y</w:t>
      </w:r>
      <w:r w:rsidR="00F042D8">
        <w:rPr>
          <w:rFonts w:eastAsia="Times New Roman" w:cs="Arial"/>
          <w:szCs w:val="24"/>
        </w:rPr>
        <w:t xml:space="preserve">early </w:t>
      </w:r>
      <w:r>
        <w:rPr>
          <w:rFonts w:eastAsia="Times New Roman" w:cs="Arial"/>
          <w:szCs w:val="24"/>
        </w:rPr>
        <w:t>P</w:t>
      </w:r>
      <w:r w:rsidR="00F042D8">
        <w:rPr>
          <w:rFonts w:eastAsia="Times New Roman" w:cs="Arial"/>
          <w:szCs w:val="24"/>
        </w:rPr>
        <w:t>rogress</w:t>
      </w:r>
      <w:r>
        <w:rPr>
          <w:rFonts w:eastAsia="Times New Roman" w:cs="Arial"/>
          <w:szCs w:val="24"/>
        </w:rPr>
        <w:t xml:space="preserve"> statewide report. Although the CDE had three years of data, the methodology for calculating the five-year rate changed after </w:t>
      </w:r>
      <w:r w:rsidR="006015E6">
        <w:rPr>
          <w:rFonts w:eastAsia="Times New Roman" w:cs="Arial"/>
          <w:szCs w:val="24"/>
        </w:rPr>
        <w:t>it</w:t>
      </w:r>
      <w:r w:rsidR="00665172">
        <w:rPr>
          <w:rFonts w:eastAsia="Times New Roman" w:cs="Arial"/>
          <w:szCs w:val="24"/>
        </w:rPr>
        <w:t xml:space="preserve"> was produced for the </w:t>
      </w:r>
      <w:r w:rsidR="006015E6">
        <w:rPr>
          <w:rFonts w:eastAsia="Times New Roman" w:cs="Arial"/>
          <w:szCs w:val="24"/>
        </w:rPr>
        <w:t>graduating class</w:t>
      </w:r>
      <w:r w:rsidR="00665172">
        <w:rPr>
          <w:rFonts w:eastAsia="Times New Roman" w:cs="Arial"/>
          <w:szCs w:val="24"/>
        </w:rPr>
        <w:t xml:space="preserve"> </w:t>
      </w:r>
      <w:r w:rsidR="006015E6">
        <w:rPr>
          <w:rFonts w:eastAsia="Times New Roman" w:cs="Arial"/>
          <w:szCs w:val="24"/>
        </w:rPr>
        <w:t>of 2012–13</w:t>
      </w:r>
      <w:r w:rsidR="00B61EEA">
        <w:rPr>
          <w:rFonts w:eastAsia="Times New Roman" w:cs="Arial"/>
          <w:szCs w:val="24"/>
        </w:rPr>
        <w:t>.</w:t>
      </w:r>
      <w:r>
        <w:rPr>
          <w:rFonts w:eastAsia="Times New Roman" w:cs="Arial"/>
          <w:szCs w:val="24"/>
        </w:rPr>
        <w:t xml:space="preserve"> Therefore, comparing the rates between the graduating class of 201</w:t>
      </w:r>
      <w:r w:rsidR="006015E6">
        <w:rPr>
          <w:rFonts w:eastAsia="Times New Roman" w:cs="Arial"/>
          <w:szCs w:val="24"/>
        </w:rPr>
        <w:t>2</w:t>
      </w:r>
      <w:r>
        <w:rPr>
          <w:rFonts w:eastAsia="Times New Roman" w:cs="Arial"/>
          <w:szCs w:val="24"/>
        </w:rPr>
        <w:t>–1</w:t>
      </w:r>
      <w:r w:rsidR="006015E6">
        <w:rPr>
          <w:rFonts w:eastAsia="Times New Roman" w:cs="Arial"/>
          <w:szCs w:val="24"/>
        </w:rPr>
        <w:t>3</w:t>
      </w:r>
      <w:r>
        <w:rPr>
          <w:rFonts w:eastAsia="Times New Roman" w:cs="Arial"/>
          <w:szCs w:val="24"/>
        </w:rPr>
        <w:t xml:space="preserve"> and 201</w:t>
      </w:r>
      <w:r w:rsidR="006015E6">
        <w:rPr>
          <w:rFonts w:eastAsia="Times New Roman" w:cs="Arial"/>
          <w:szCs w:val="24"/>
        </w:rPr>
        <w:t>3</w:t>
      </w:r>
      <w:r>
        <w:rPr>
          <w:rFonts w:eastAsia="Times New Roman" w:cs="Arial"/>
          <w:szCs w:val="24"/>
        </w:rPr>
        <w:t>–1</w:t>
      </w:r>
      <w:r w:rsidR="006015E6">
        <w:rPr>
          <w:rFonts w:eastAsia="Times New Roman" w:cs="Arial"/>
          <w:szCs w:val="24"/>
        </w:rPr>
        <w:t>4</w:t>
      </w:r>
      <w:r>
        <w:rPr>
          <w:rFonts w:eastAsia="Times New Roman" w:cs="Arial"/>
          <w:szCs w:val="24"/>
        </w:rPr>
        <w:t xml:space="preserve"> would </w:t>
      </w:r>
      <w:r w:rsidR="006015E6">
        <w:rPr>
          <w:rFonts w:eastAsia="Times New Roman" w:cs="Arial"/>
          <w:szCs w:val="24"/>
        </w:rPr>
        <w:t>not</w:t>
      </w:r>
      <w:r w:rsidR="00207C1D">
        <w:rPr>
          <w:rFonts w:eastAsia="Times New Roman" w:cs="Arial"/>
          <w:szCs w:val="24"/>
        </w:rPr>
        <w:t xml:space="preserve"> be</w:t>
      </w:r>
      <w:r>
        <w:rPr>
          <w:rFonts w:eastAsia="Times New Roman" w:cs="Arial"/>
          <w:szCs w:val="24"/>
        </w:rPr>
        <w:t xml:space="preserve"> appropriate. As a result, only two years of statewide data is presented </w:t>
      </w:r>
      <w:r w:rsidR="006015E6">
        <w:rPr>
          <w:rFonts w:eastAsia="Times New Roman" w:cs="Arial"/>
          <w:szCs w:val="24"/>
        </w:rPr>
        <w:t xml:space="preserve">for the five-year cohort rate </w:t>
      </w:r>
      <w:r>
        <w:rPr>
          <w:rFonts w:eastAsia="Times New Roman" w:cs="Arial"/>
          <w:szCs w:val="24"/>
        </w:rPr>
        <w:t>in the table below.</w:t>
      </w:r>
    </w:p>
    <w:p w14:paraId="4B8C7C04" w14:textId="6C54B2B8" w:rsidR="002D3C2A" w:rsidRDefault="002D3C2A" w:rsidP="002D3C2A">
      <w:pPr>
        <w:spacing w:before="240" w:after="240"/>
        <w:rPr>
          <w:b/>
        </w:rPr>
      </w:pPr>
      <w:r w:rsidRPr="00F9140B">
        <w:rPr>
          <w:b/>
        </w:rPr>
        <w:t>Table 1: Comparisons of Four- and Five</w:t>
      </w:r>
      <w:r w:rsidR="006015E6">
        <w:rPr>
          <w:b/>
        </w:rPr>
        <w:t xml:space="preserve">-Year Graduation Rate Data </w:t>
      </w:r>
    </w:p>
    <w:tbl>
      <w:tblPr>
        <w:tblStyle w:val="TableGrid"/>
        <w:tblW w:w="5000" w:type="pct"/>
        <w:tblLook w:val="04A0" w:firstRow="1" w:lastRow="0" w:firstColumn="1" w:lastColumn="0" w:noHBand="0" w:noVBand="1"/>
        <w:tblDescription w:val="Comparisons of Four- and Five-Year Graduation Rate Data"/>
      </w:tblPr>
      <w:tblGrid>
        <w:gridCol w:w="1870"/>
        <w:gridCol w:w="2085"/>
        <w:gridCol w:w="1655"/>
        <w:gridCol w:w="2124"/>
        <w:gridCol w:w="1616"/>
      </w:tblGrid>
      <w:tr w:rsidR="00E53BC6" w14:paraId="4AC4A12A" w14:textId="77777777" w:rsidTr="00E53BC6">
        <w:trPr>
          <w:tblHeader/>
        </w:trPr>
        <w:tc>
          <w:tcPr>
            <w:tcW w:w="1000" w:type="pct"/>
            <w:shd w:val="clear" w:color="auto" w:fill="D9D9D9" w:themeFill="background1" w:themeFillShade="D9"/>
          </w:tcPr>
          <w:p w14:paraId="7EED7CFA" w14:textId="505B7DFE" w:rsidR="00E53BC6" w:rsidRDefault="00E53BC6" w:rsidP="00B61EEA">
            <w:pPr>
              <w:pStyle w:val="NoSpacing"/>
              <w:jc w:val="center"/>
              <w:rPr>
                <w:rFonts w:eastAsia="Times New Roman" w:cs="Arial"/>
                <w:b/>
                <w:szCs w:val="24"/>
              </w:rPr>
            </w:pPr>
            <w:r>
              <w:rPr>
                <w:rFonts w:eastAsia="Times New Roman" w:cs="Arial"/>
                <w:b/>
                <w:szCs w:val="24"/>
              </w:rPr>
              <w:t>Year Students First Entered Grade Nine</w:t>
            </w:r>
          </w:p>
        </w:tc>
        <w:tc>
          <w:tcPr>
            <w:tcW w:w="1115" w:type="pct"/>
            <w:shd w:val="clear" w:color="auto" w:fill="D9D9D9" w:themeFill="background1" w:themeFillShade="D9"/>
            <w:vAlign w:val="center"/>
          </w:tcPr>
          <w:p w14:paraId="73D80D61" w14:textId="48289894" w:rsidR="00E53BC6" w:rsidRPr="006015E6" w:rsidRDefault="00E53BC6" w:rsidP="00E53BC6">
            <w:pPr>
              <w:pStyle w:val="NoSpacing"/>
              <w:jc w:val="center"/>
              <w:rPr>
                <w:rFonts w:eastAsia="Times New Roman" w:cs="Arial"/>
                <w:b/>
                <w:szCs w:val="24"/>
              </w:rPr>
            </w:pPr>
            <w:r>
              <w:rPr>
                <w:rFonts w:eastAsia="Times New Roman" w:cs="Arial"/>
                <w:b/>
                <w:szCs w:val="24"/>
              </w:rPr>
              <w:t xml:space="preserve">4-Year </w:t>
            </w:r>
            <w:r w:rsidRPr="006015E6">
              <w:rPr>
                <w:rFonts w:eastAsia="Times New Roman" w:cs="Arial"/>
                <w:b/>
                <w:szCs w:val="24"/>
              </w:rPr>
              <w:t>Cohort</w:t>
            </w:r>
            <w:r>
              <w:rPr>
                <w:rFonts w:eastAsia="Times New Roman" w:cs="Arial"/>
                <w:b/>
                <w:szCs w:val="24"/>
              </w:rPr>
              <w:t xml:space="preserve"> Graduating Year</w:t>
            </w:r>
          </w:p>
        </w:tc>
        <w:tc>
          <w:tcPr>
            <w:tcW w:w="885" w:type="pct"/>
            <w:shd w:val="clear" w:color="auto" w:fill="D9D9D9" w:themeFill="background1" w:themeFillShade="D9"/>
            <w:vAlign w:val="center"/>
          </w:tcPr>
          <w:p w14:paraId="4286303C" w14:textId="77777777" w:rsidR="00E53BC6" w:rsidRPr="006015E6" w:rsidRDefault="00E53BC6" w:rsidP="00B61EEA">
            <w:pPr>
              <w:pStyle w:val="NoSpacing"/>
              <w:jc w:val="center"/>
              <w:rPr>
                <w:rFonts w:eastAsia="Times New Roman" w:cs="Arial"/>
                <w:b/>
                <w:szCs w:val="24"/>
              </w:rPr>
            </w:pPr>
            <w:r w:rsidRPr="006015E6">
              <w:rPr>
                <w:rFonts w:eastAsia="Times New Roman" w:cs="Arial"/>
                <w:b/>
                <w:szCs w:val="24"/>
              </w:rPr>
              <w:t>4-Year Cohort Rate</w:t>
            </w:r>
          </w:p>
        </w:tc>
        <w:tc>
          <w:tcPr>
            <w:tcW w:w="1136" w:type="pct"/>
            <w:shd w:val="clear" w:color="auto" w:fill="D9D9D9" w:themeFill="background1" w:themeFillShade="D9"/>
            <w:vAlign w:val="center"/>
          </w:tcPr>
          <w:p w14:paraId="1E32D61F" w14:textId="0153B73B" w:rsidR="00E53BC6" w:rsidRPr="00665172" w:rsidRDefault="00E53BC6" w:rsidP="00E53BC6">
            <w:pPr>
              <w:pStyle w:val="NoSpacing"/>
              <w:jc w:val="center"/>
              <w:rPr>
                <w:rFonts w:eastAsia="Times New Roman" w:cs="Arial"/>
                <w:b/>
                <w:szCs w:val="24"/>
              </w:rPr>
            </w:pPr>
            <w:r>
              <w:rPr>
                <w:rFonts w:eastAsia="Times New Roman" w:cs="Arial"/>
                <w:b/>
                <w:szCs w:val="24"/>
              </w:rPr>
              <w:t>5-Year Cohort Graduating Year</w:t>
            </w:r>
          </w:p>
        </w:tc>
        <w:tc>
          <w:tcPr>
            <w:tcW w:w="864" w:type="pct"/>
            <w:shd w:val="clear" w:color="auto" w:fill="D9D9D9" w:themeFill="background1" w:themeFillShade="D9"/>
            <w:vAlign w:val="center"/>
          </w:tcPr>
          <w:p w14:paraId="30F53A26" w14:textId="443AC8B6" w:rsidR="00E53BC6" w:rsidRPr="006015E6" w:rsidRDefault="00E53BC6" w:rsidP="00B61EEA">
            <w:pPr>
              <w:pStyle w:val="NoSpacing"/>
              <w:jc w:val="center"/>
              <w:rPr>
                <w:rFonts w:eastAsia="Times New Roman" w:cs="Arial"/>
                <w:b/>
                <w:szCs w:val="24"/>
              </w:rPr>
            </w:pPr>
            <w:r w:rsidRPr="006015E6">
              <w:rPr>
                <w:rFonts w:eastAsia="Times New Roman" w:cs="Arial"/>
                <w:b/>
                <w:szCs w:val="24"/>
              </w:rPr>
              <w:t>5-Year Cohort Rate</w:t>
            </w:r>
          </w:p>
        </w:tc>
      </w:tr>
      <w:tr w:rsidR="00E53BC6" w14:paraId="7CEDEFBF" w14:textId="77777777" w:rsidTr="00E53BC6">
        <w:tc>
          <w:tcPr>
            <w:tcW w:w="1000" w:type="pct"/>
          </w:tcPr>
          <w:p w14:paraId="7951C2E5" w14:textId="6DFD92D1" w:rsidR="00E53BC6" w:rsidRDefault="00E53BC6" w:rsidP="00F33084">
            <w:pPr>
              <w:pStyle w:val="NoSpacing"/>
              <w:jc w:val="center"/>
              <w:rPr>
                <w:rFonts w:eastAsia="Times New Roman" w:cs="Arial"/>
                <w:szCs w:val="24"/>
              </w:rPr>
            </w:pPr>
            <w:r>
              <w:rPr>
                <w:rFonts w:eastAsia="Times New Roman" w:cs="Arial"/>
                <w:szCs w:val="24"/>
              </w:rPr>
              <w:t>2009</w:t>
            </w:r>
            <w:r w:rsidR="00F33084">
              <w:rPr>
                <w:rFonts w:eastAsia="Times New Roman" w:cs="Arial"/>
                <w:szCs w:val="24"/>
              </w:rPr>
              <w:t>–</w:t>
            </w:r>
            <w:r>
              <w:rPr>
                <w:rFonts w:eastAsia="Times New Roman" w:cs="Arial"/>
                <w:szCs w:val="24"/>
              </w:rPr>
              <w:t>10</w:t>
            </w:r>
          </w:p>
        </w:tc>
        <w:tc>
          <w:tcPr>
            <w:tcW w:w="1115" w:type="pct"/>
            <w:vAlign w:val="center"/>
          </w:tcPr>
          <w:p w14:paraId="7467AE88" w14:textId="26C1262E" w:rsidR="00E53BC6" w:rsidRDefault="00E53BC6" w:rsidP="00B61EEA">
            <w:pPr>
              <w:pStyle w:val="NoSpacing"/>
              <w:jc w:val="center"/>
              <w:rPr>
                <w:rFonts w:eastAsia="Times New Roman" w:cs="Arial"/>
                <w:szCs w:val="24"/>
              </w:rPr>
            </w:pPr>
            <w:r>
              <w:rPr>
                <w:rFonts w:eastAsia="Times New Roman" w:cs="Arial"/>
                <w:szCs w:val="24"/>
              </w:rPr>
              <w:t>2012–13</w:t>
            </w:r>
          </w:p>
        </w:tc>
        <w:tc>
          <w:tcPr>
            <w:tcW w:w="885" w:type="pct"/>
            <w:vAlign w:val="center"/>
          </w:tcPr>
          <w:p w14:paraId="489F9549" w14:textId="77777777" w:rsidR="00E53BC6" w:rsidRDefault="00E53BC6" w:rsidP="00B61EEA">
            <w:pPr>
              <w:pStyle w:val="NoSpacing"/>
              <w:jc w:val="center"/>
              <w:rPr>
                <w:rFonts w:eastAsia="Times New Roman" w:cs="Arial"/>
                <w:szCs w:val="24"/>
              </w:rPr>
            </w:pPr>
            <w:r>
              <w:rPr>
                <w:rFonts w:eastAsia="Times New Roman" w:cs="Arial"/>
                <w:szCs w:val="24"/>
              </w:rPr>
              <w:t>80.4%</w:t>
            </w:r>
          </w:p>
        </w:tc>
        <w:tc>
          <w:tcPr>
            <w:tcW w:w="1136" w:type="pct"/>
            <w:vAlign w:val="center"/>
          </w:tcPr>
          <w:p w14:paraId="6C1A9A92" w14:textId="11767351" w:rsidR="00E53BC6" w:rsidRDefault="00E53BC6" w:rsidP="00B61EEA">
            <w:pPr>
              <w:pStyle w:val="NoSpacing"/>
              <w:jc w:val="center"/>
              <w:rPr>
                <w:rFonts w:eastAsia="Times New Roman" w:cs="Arial"/>
                <w:szCs w:val="24"/>
              </w:rPr>
            </w:pPr>
            <w:r>
              <w:rPr>
                <w:rFonts w:eastAsia="Times New Roman" w:cs="Arial"/>
                <w:szCs w:val="24"/>
              </w:rPr>
              <w:t>2013–14</w:t>
            </w:r>
          </w:p>
        </w:tc>
        <w:tc>
          <w:tcPr>
            <w:tcW w:w="864" w:type="pct"/>
            <w:vAlign w:val="center"/>
          </w:tcPr>
          <w:p w14:paraId="2D2EF15B" w14:textId="1F4D1B3C" w:rsidR="00E53BC6" w:rsidRDefault="00E53BC6" w:rsidP="00B61EEA">
            <w:pPr>
              <w:pStyle w:val="NoSpacing"/>
              <w:jc w:val="center"/>
              <w:rPr>
                <w:rFonts w:eastAsia="Times New Roman" w:cs="Arial"/>
                <w:szCs w:val="24"/>
              </w:rPr>
            </w:pPr>
            <w:r>
              <w:rPr>
                <w:rFonts w:eastAsia="Times New Roman" w:cs="Arial"/>
                <w:szCs w:val="24"/>
              </w:rPr>
              <w:t>84.9%</w:t>
            </w:r>
          </w:p>
        </w:tc>
      </w:tr>
      <w:tr w:rsidR="00E53BC6" w14:paraId="0966BB96" w14:textId="77777777" w:rsidTr="00E53BC6">
        <w:tc>
          <w:tcPr>
            <w:tcW w:w="1000" w:type="pct"/>
          </w:tcPr>
          <w:p w14:paraId="5AACCB3C" w14:textId="7DDDCC31" w:rsidR="00E53BC6" w:rsidRDefault="00E53BC6" w:rsidP="00B61EEA">
            <w:pPr>
              <w:pStyle w:val="NoSpacing"/>
              <w:jc w:val="center"/>
              <w:rPr>
                <w:rFonts w:eastAsia="Times New Roman" w:cs="Arial"/>
                <w:szCs w:val="24"/>
              </w:rPr>
            </w:pPr>
            <w:r>
              <w:rPr>
                <w:rFonts w:eastAsia="Times New Roman" w:cs="Arial"/>
                <w:szCs w:val="24"/>
              </w:rPr>
              <w:t>2010–11</w:t>
            </w:r>
          </w:p>
        </w:tc>
        <w:tc>
          <w:tcPr>
            <w:tcW w:w="1115" w:type="pct"/>
            <w:vAlign w:val="center"/>
          </w:tcPr>
          <w:p w14:paraId="4F135B5C" w14:textId="21DC09F3" w:rsidR="00E53BC6" w:rsidRDefault="00E53BC6" w:rsidP="00B61EEA">
            <w:pPr>
              <w:pStyle w:val="NoSpacing"/>
              <w:jc w:val="center"/>
              <w:rPr>
                <w:rFonts w:eastAsia="Times New Roman" w:cs="Arial"/>
                <w:szCs w:val="24"/>
              </w:rPr>
            </w:pPr>
            <w:r>
              <w:rPr>
                <w:rFonts w:eastAsia="Times New Roman" w:cs="Arial"/>
                <w:szCs w:val="24"/>
              </w:rPr>
              <w:t>2013–14</w:t>
            </w:r>
          </w:p>
        </w:tc>
        <w:tc>
          <w:tcPr>
            <w:tcW w:w="885" w:type="pct"/>
            <w:vAlign w:val="center"/>
          </w:tcPr>
          <w:p w14:paraId="34A4C4B2" w14:textId="77777777" w:rsidR="00E53BC6" w:rsidRDefault="00E53BC6" w:rsidP="00B61EEA">
            <w:pPr>
              <w:pStyle w:val="NoSpacing"/>
              <w:jc w:val="center"/>
              <w:rPr>
                <w:rFonts w:eastAsia="Times New Roman" w:cs="Arial"/>
                <w:szCs w:val="24"/>
              </w:rPr>
            </w:pPr>
            <w:r>
              <w:rPr>
                <w:rFonts w:eastAsia="Times New Roman" w:cs="Arial"/>
                <w:szCs w:val="24"/>
              </w:rPr>
              <w:t>80.9%</w:t>
            </w:r>
          </w:p>
        </w:tc>
        <w:tc>
          <w:tcPr>
            <w:tcW w:w="1136" w:type="pct"/>
            <w:vAlign w:val="center"/>
          </w:tcPr>
          <w:p w14:paraId="0C1C2189" w14:textId="74982E2E" w:rsidR="00E53BC6" w:rsidRDefault="00E53BC6" w:rsidP="00B61EEA">
            <w:pPr>
              <w:pStyle w:val="NoSpacing"/>
              <w:jc w:val="center"/>
              <w:rPr>
                <w:rFonts w:eastAsia="Times New Roman" w:cs="Arial"/>
                <w:szCs w:val="24"/>
              </w:rPr>
            </w:pPr>
            <w:r>
              <w:rPr>
                <w:rFonts w:eastAsia="Times New Roman" w:cs="Arial"/>
                <w:szCs w:val="24"/>
              </w:rPr>
              <w:t>2014–15</w:t>
            </w:r>
          </w:p>
        </w:tc>
        <w:tc>
          <w:tcPr>
            <w:tcW w:w="864" w:type="pct"/>
            <w:vAlign w:val="center"/>
          </w:tcPr>
          <w:p w14:paraId="301AA633" w14:textId="53A8C1B5" w:rsidR="00E53BC6" w:rsidRDefault="00E53BC6" w:rsidP="00B61EEA">
            <w:pPr>
              <w:pStyle w:val="NoSpacing"/>
              <w:jc w:val="center"/>
              <w:rPr>
                <w:rFonts w:eastAsia="Times New Roman" w:cs="Arial"/>
                <w:szCs w:val="24"/>
              </w:rPr>
            </w:pPr>
            <w:r>
              <w:rPr>
                <w:rFonts w:eastAsia="Times New Roman" w:cs="Arial"/>
                <w:szCs w:val="24"/>
              </w:rPr>
              <w:t>86.3%</w:t>
            </w:r>
          </w:p>
        </w:tc>
      </w:tr>
    </w:tbl>
    <w:p w14:paraId="3905FABD" w14:textId="5D038A1E" w:rsidR="00B61EEA" w:rsidRDefault="00F9140B" w:rsidP="00B61EEA">
      <w:pPr>
        <w:spacing w:before="240" w:after="240"/>
      </w:pPr>
      <w:r>
        <w:t>Please note the calculation of the five-year graduation rate in 2012–13 used different logic than that which was applied in 2013–14 and 2014–15. In calculating the 2012–13 five-year cohort graduation rate, transfers were included; these students should only have been included in the four-year cohort.</w:t>
      </w:r>
    </w:p>
    <w:p w14:paraId="3B12C322" w14:textId="4A508CA3" w:rsidR="005A0201" w:rsidRPr="006015E6" w:rsidRDefault="005A0201" w:rsidP="00B61EEA">
      <w:pPr>
        <w:spacing w:before="240" w:after="240"/>
        <w:rPr>
          <w:rFonts w:cs="Arial"/>
          <w:b/>
          <w:sz w:val="28"/>
          <w:szCs w:val="28"/>
        </w:rPr>
      </w:pPr>
      <w:r w:rsidRPr="006015E6">
        <w:rPr>
          <w:rFonts w:cs="Arial"/>
          <w:b/>
          <w:sz w:val="28"/>
          <w:szCs w:val="28"/>
        </w:rPr>
        <w:t xml:space="preserve">Proposed Methodology for </w:t>
      </w:r>
      <w:r w:rsidR="002D3C2A" w:rsidRPr="006015E6">
        <w:rPr>
          <w:rFonts w:cs="Arial"/>
          <w:b/>
          <w:sz w:val="28"/>
          <w:szCs w:val="28"/>
        </w:rPr>
        <w:t>Incorporating</w:t>
      </w:r>
      <w:r w:rsidRPr="006015E6">
        <w:rPr>
          <w:rFonts w:cs="Arial"/>
          <w:b/>
          <w:sz w:val="28"/>
          <w:szCs w:val="28"/>
        </w:rPr>
        <w:t xml:space="preserve"> </w:t>
      </w:r>
      <w:r w:rsidR="002D3C2A" w:rsidRPr="006015E6">
        <w:rPr>
          <w:rFonts w:cs="Arial"/>
          <w:b/>
          <w:sz w:val="28"/>
          <w:szCs w:val="28"/>
        </w:rPr>
        <w:t>a</w:t>
      </w:r>
      <w:r w:rsidRPr="006015E6">
        <w:rPr>
          <w:rFonts w:cs="Arial"/>
          <w:b/>
          <w:sz w:val="28"/>
          <w:szCs w:val="28"/>
        </w:rPr>
        <w:t xml:space="preserve"> Five-Year Cohort Graduation Rate</w:t>
      </w:r>
      <w:r w:rsidR="002D3C2A" w:rsidRPr="006015E6">
        <w:rPr>
          <w:rFonts w:cs="Arial"/>
          <w:b/>
          <w:sz w:val="28"/>
          <w:szCs w:val="28"/>
        </w:rPr>
        <w:t xml:space="preserve"> </w:t>
      </w:r>
      <w:r w:rsidR="00603C14" w:rsidRPr="006015E6">
        <w:rPr>
          <w:rFonts w:cs="Arial"/>
          <w:b/>
          <w:sz w:val="28"/>
          <w:szCs w:val="28"/>
        </w:rPr>
        <w:t>i</w:t>
      </w:r>
      <w:r w:rsidR="002D3C2A" w:rsidRPr="006015E6">
        <w:rPr>
          <w:rFonts w:cs="Arial"/>
          <w:b/>
          <w:sz w:val="28"/>
          <w:szCs w:val="28"/>
        </w:rPr>
        <w:t>n the California School Das</w:t>
      </w:r>
      <w:r w:rsidR="008A320B" w:rsidRPr="006015E6">
        <w:rPr>
          <w:rFonts w:cs="Arial"/>
          <w:b/>
          <w:sz w:val="28"/>
          <w:szCs w:val="28"/>
        </w:rPr>
        <w:t>h</w:t>
      </w:r>
      <w:r w:rsidR="002D3C2A" w:rsidRPr="006015E6">
        <w:rPr>
          <w:rFonts w:cs="Arial"/>
          <w:b/>
          <w:sz w:val="28"/>
          <w:szCs w:val="28"/>
        </w:rPr>
        <w:t>board</w:t>
      </w:r>
    </w:p>
    <w:p w14:paraId="5CC73EB9" w14:textId="439446A6" w:rsidR="00861130" w:rsidRDefault="005A0201" w:rsidP="00264FA0">
      <w:pPr>
        <w:pStyle w:val="NoSpacing"/>
        <w:spacing w:after="240"/>
        <w:rPr>
          <w:rFonts w:cs="Arial"/>
          <w:szCs w:val="24"/>
        </w:rPr>
      </w:pPr>
      <w:r w:rsidRPr="009356B9">
        <w:rPr>
          <w:rFonts w:cs="Arial"/>
          <w:szCs w:val="24"/>
        </w:rPr>
        <w:t xml:space="preserve">At the request of the </w:t>
      </w:r>
      <w:r w:rsidR="00B61EEA">
        <w:rPr>
          <w:rFonts w:cs="Arial"/>
          <w:szCs w:val="24"/>
        </w:rPr>
        <w:t>SBE</w:t>
      </w:r>
      <w:r w:rsidRPr="009356B9">
        <w:rPr>
          <w:rFonts w:cs="Arial"/>
          <w:szCs w:val="24"/>
        </w:rPr>
        <w:t xml:space="preserve">, the </w:t>
      </w:r>
      <w:r w:rsidR="00B61EEA">
        <w:rPr>
          <w:rFonts w:cs="Arial"/>
          <w:szCs w:val="24"/>
        </w:rPr>
        <w:t>CDE</w:t>
      </w:r>
      <w:r w:rsidRPr="009356B9">
        <w:rPr>
          <w:rFonts w:cs="Arial"/>
          <w:szCs w:val="24"/>
        </w:rPr>
        <w:t xml:space="preserve"> </w:t>
      </w:r>
      <w:r w:rsidR="005D7E76">
        <w:rPr>
          <w:rFonts w:cs="Arial"/>
          <w:szCs w:val="24"/>
        </w:rPr>
        <w:t xml:space="preserve">has </w:t>
      </w:r>
      <w:r w:rsidR="00861130">
        <w:rPr>
          <w:rFonts w:cs="Arial"/>
          <w:szCs w:val="24"/>
        </w:rPr>
        <w:t xml:space="preserve">worked on </w:t>
      </w:r>
      <w:r w:rsidRPr="009356B9">
        <w:rPr>
          <w:rFonts w:cs="Arial"/>
          <w:szCs w:val="24"/>
        </w:rPr>
        <w:t>calculating a five-year cohort graduation rate. Unlike the four-year adjusted cohort graduation rate (ACGR), which is defined for all states under the Every Student Succeeds Act (ESSA), there is no standardly accepted or utilized definition for a five-year cohort graduation rate and states utilize various methodologies for calculating this rate.</w:t>
      </w:r>
    </w:p>
    <w:p w14:paraId="30E13866" w14:textId="39356297" w:rsidR="005A0201" w:rsidRPr="009356B9" w:rsidRDefault="00861130" w:rsidP="00264FA0">
      <w:pPr>
        <w:pStyle w:val="NoSpacing"/>
        <w:spacing w:after="240"/>
        <w:rPr>
          <w:rFonts w:cs="Arial"/>
          <w:szCs w:val="24"/>
        </w:rPr>
      </w:pPr>
      <w:r>
        <w:rPr>
          <w:rFonts w:cs="Arial"/>
          <w:szCs w:val="24"/>
        </w:rPr>
        <w:t>M</w:t>
      </w:r>
      <w:r w:rsidR="005A0201" w:rsidRPr="009356B9">
        <w:rPr>
          <w:rFonts w:cs="Arial"/>
          <w:szCs w:val="24"/>
        </w:rPr>
        <w:t xml:space="preserve">ethodologies for calculating a five-year cohort graduation rate </w:t>
      </w:r>
      <w:r>
        <w:rPr>
          <w:rFonts w:cs="Arial"/>
          <w:szCs w:val="24"/>
        </w:rPr>
        <w:t xml:space="preserve">generally </w:t>
      </w:r>
      <w:r w:rsidR="005A0201" w:rsidRPr="009356B9">
        <w:rPr>
          <w:rFonts w:cs="Arial"/>
          <w:szCs w:val="24"/>
        </w:rPr>
        <w:t xml:space="preserve">evaluate the outcome of the preceding four-year cohort non-graduates in year five. As such, the four and five-year cohort graduation rates share the same cohort of students in common, all of whom started </w:t>
      </w:r>
      <w:r w:rsidR="00264FA0">
        <w:rPr>
          <w:rFonts w:cs="Arial"/>
          <w:szCs w:val="24"/>
        </w:rPr>
        <w:t>grade 9</w:t>
      </w:r>
      <w:r w:rsidR="005A0201" w:rsidRPr="009356B9">
        <w:rPr>
          <w:rFonts w:cs="Arial"/>
          <w:szCs w:val="24"/>
        </w:rPr>
        <w:t xml:space="preserve"> at the same time and were expected to gr</w:t>
      </w:r>
      <w:r w:rsidR="00B61EEA">
        <w:rPr>
          <w:rFonts w:cs="Arial"/>
          <w:szCs w:val="24"/>
        </w:rPr>
        <w:t>aduate on-time four years later.</w:t>
      </w:r>
      <w:r w:rsidR="00603C14">
        <w:rPr>
          <w:rFonts w:cs="Arial"/>
          <w:szCs w:val="24"/>
        </w:rPr>
        <w:t xml:space="preserve"> (Please note that the five-year graduation rate is available only to traditional </w:t>
      </w:r>
      <w:r w:rsidR="00603C14">
        <w:rPr>
          <w:rFonts w:cs="Arial"/>
          <w:szCs w:val="24"/>
        </w:rPr>
        <w:lastRenderedPageBreak/>
        <w:t xml:space="preserve">schools. </w:t>
      </w:r>
      <w:r w:rsidR="00EE71D6">
        <w:rPr>
          <w:rFonts w:cs="Arial"/>
          <w:szCs w:val="24"/>
        </w:rPr>
        <w:t>Dashboard Alternative School Status [</w:t>
      </w:r>
      <w:r w:rsidR="00603C14">
        <w:rPr>
          <w:rFonts w:cs="Arial"/>
          <w:szCs w:val="24"/>
        </w:rPr>
        <w:t>DASS</w:t>
      </w:r>
      <w:r w:rsidR="00EE71D6">
        <w:rPr>
          <w:rFonts w:cs="Arial"/>
          <w:szCs w:val="24"/>
        </w:rPr>
        <w:t>]</w:t>
      </w:r>
      <w:r w:rsidR="00603C14">
        <w:rPr>
          <w:rFonts w:cs="Arial"/>
          <w:szCs w:val="24"/>
        </w:rPr>
        <w:t xml:space="preserve"> schools </w:t>
      </w:r>
      <w:r w:rsidR="00E53BC6">
        <w:rPr>
          <w:rFonts w:cs="Arial"/>
          <w:szCs w:val="24"/>
        </w:rPr>
        <w:t xml:space="preserve">will </w:t>
      </w:r>
      <w:r w:rsidR="00603C14">
        <w:rPr>
          <w:rFonts w:cs="Arial"/>
          <w:szCs w:val="24"/>
        </w:rPr>
        <w:t>use the one-year graduation rate, which is a modified measure for the Graduation Rate Indicator.)</w:t>
      </w:r>
    </w:p>
    <w:p w14:paraId="103059E9" w14:textId="50141093" w:rsidR="005A0201" w:rsidRPr="009356B9" w:rsidRDefault="005A0201" w:rsidP="00264FA0">
      <w:pPr>
        <w:pStyle w:val="NoSpacing"/>
        <w:spacing w:after="240"/>
        <w:rPr>
          <w:rFonts w:cs="Arial"/>
          <w:szCs w:val="24"/>
        </w:rPr>
      </w:pPr>
      <w:r w:rsidRPr="009356B9">
        <w:rPr>
          <w:rFonts w:cs="Arial"/>
          <w:szCs w:val="24"/>
        </w:rPr>
        <w:t>There are several benefits and objectives for calculating a five-year cohort graduation rate. Two primary objectives of a five-year cohort graduation rate include:</w:t>
      </w:r>
    </w:p>
    <w:p w14:paraId="3A42F9AF" w14:textId="77777777" w:rsidR="00E53BC6" w:rsidRDefault="005A0201" w:rsidP="00E53BC6">
      <w:pPr>
        <w:pStyle w:val="NoSpacing"/>
        <w:numPr>
          <w:ilvl w:val="0"/>
          <w:numId w:val="4"/>
        </w:numPr>
        <w:spacing w:after="240"/>
        <w:rPr>
          <w:rFonts w:cs="Arial"/>
          <w:szCs w:val="24"/>
        </w:rPr>
      </w:pPr>
      <w:r w:rsidRPr="00264FA0">
        <w:rPr>
          <w:rFonts w:cs="Arial"/>
          <w:szCs w:val="24"/>
        </w:rPr>
        <w:t>Incentivizing schools and districts to enroll four-year cohort non-graduates in year five by giving schools and districts credit for graduating four-year cohort non-graduates in year five.</w:t>
      </w:r>
    </w:p>
    <w:p w14:paraId="5098B5A8" w14:textId="36717229" w:rsidR="005A0201" w:rsidRPr="00E53BC6" w:rsidRDefault="005A0201" w:rsidP="00E53BC6">
      <w:pPr>
        <w:pStyle w:val="NoSpacing"/>
        <w:numPr>
          <w:ilvl w:val="0"/>
          <w:numId w:val="4"/>
        </w:numPr>
        <w:spacing w:after="240"/>
        <w:rPr>
          <w:rFonts w:cs="Arial"/>
          <w:szCs w:val="24"/>
        </w:rPr>
      </w:pPr>
      <w:r w:rsidRPr="00E53BC6">
        <w:rPr>
          <w:rFonts w:cs="Arial"/>
          <w:szCs w:val="24"/>
        </w:rPr>
        <w:t>Limiting year five changes (adjustments) to the four-year cohort denominator to ensure that year five changes in cohort graduation rates reflect actual changes in the numerator (graduates), not changes in the denominator (transfers in/out).</w:t>
      </w:r>
    </w:p>
    <w:p w14:paraId="0D7DD297" w14:textId="77777777" w:rsidR="005A0201" w:rsidRPr="009C6096" w:rsidRDefault="005A0201" w:rsidP="00264FA0">
      <w:pPr>
        <w:pStyle w:val="Heading4"/>
        <w:spacing w:before="0" w:after="240"/>
        <w:rPr>
          <w:rFonts w:ascii="Arial" w:hAnsi="Arial" w:cs="Arial"/>
          <w:b/>
          <w:color w:val="auto"/>
        </w:rPr>
      </w:pPr>
      <w:r w:rsidRPr="009C6096">
        <w:rPr>
          <w:rFonts w:ascii="Arial" w:hAnsi="Arial" w:cs="Arial"/>
          <w:b/>
          <w:color w:val="auto"/>
        </w:rPr>
        <w:t>Four-Year Adjusted Cohort Graduation Rate</w:t>
      </w:r>
    </w:p>
    <w:p w14:paraId="663627F3" w14:textId="1928F461" w:rsidR="005A0201" w:rsidRPr="009356B9" w:rsidRDefault="005A0201" w:rsidP="00264FA0">
      <w:pPr>
        <w:pStyle w:val="NoSpacing"/>
        <w:spacing w:after="240"/>
        <w:rPr>
          <w:rFonts w:cs="Arial"/>
          <w:szCs w:val="24"/>
        </w:rPr>
      </w:pPr>
      <w:r w:rsidRPr="009356B9">
        <w:rPr>
          <w:rFonts w:cs="Arial"/>
          <w:szCs w:val="24"/>
        </w:rPr>
        <w:t>The four-year ACGR is the number of students who graduate from high school in four years with a regular high school diploma divided by the number of students who form the adjusted cohort for the graduating class. According to the non-regulatory guidance for the four-year ACGR, the cohort is “based on the number of students who enter grade 9 for the first time adjusted by adding into the cohort any student who transfers in later during grade 9 or during the next three years and subtracting any student from the cohort who transfers out, emigrates to another country, transfers to a prison or juvenile facility, or dies during that same period.” Given these allowable adjustments in the four</w:t>
      </w:r>
      <w:r w:rsidR="00264FA0">
        <w:rPr>
          <w:rFonts w:cs="Arial"/>
          <w:szCs w:val="24"/>
        </w:rPr>
        <w:t>-year ACGR, the cohort in year 1 and year 4</w:t>
      </w:r>
      <w:r w:rsidRPr="009356B9">
        <w:rPr>
          <w:rFonts w:cs="Arial"/>
          <w:szCs w:val="24"/>
        </w:rPr>
        <w:t xml:space="preserve"> are not likely to be the same due to factors largely related to mobility, particularly at the school level. In the four-year ACGR, the last school and district in which the student is enrolled is held accountable for their four-year outcome, positive or negative, and some students are removed from the cohort completely. Cohort removals reduce the overall cohort denominator, thereby increasing the final graduation rate.</w:t>
      </w:r>
    </w:p>
    <w:p w14:paraId="46A78286" w14:textId="50ECD4BD" w:rsidR="005A0201" w:rsidRPr="009C6096" w:rsidRDefault="005A0201" w:rsidP="00264FA0">
      <w:pPr>
        <w:pStyle w:val="Heading4"/>
        <w:spacing w:before="0" w:after="240"/>
        <w:rPr>
          <w:rFonts w:ascii="Arial" w:hAnsi="Arial" w:cs="Arial"/>
          <w:b/>
          <w:color w:val="auto"/>
        </w:rPr>
      </w:pPr>
      <w:r w:rsidRPr="009C6096">
        <w:rPr>
          <w:rFonts w:ascii="Arial" w:hAnsi="Arial" w:cs="Arial"/>
          <w:b/>
          <w:color w:val="auto"/>
        </w:rPr>
        <w:t>Five-Year Cohort Graduation Rate</w:t>
      </w:r>
    </w:p>
    <w:p w14:paraId="5A30FBB4" w14:textId="2A673209" w:rsidR="005A0201" w:rsidRPr="009356B9" w:rsidRDefault="005A0201" w:rsidP="00264FA0">
      <w:pPr>
        <w:pStyle w:val="NoSpacing"/>
        <w:spacing w:after="240"/>
        <w:rPr>
          <w:rFonts w:cs="Arial"/>
          <w:szCs w:val="24"/>
        </w:rPr>
      </w:pPr>
      <w:r w:rsidRPr="009356B9">
        <w:rPr>
          <w:rFonts w:cs="Arial"/>
          <w:szCs w:val="24"/>
        </w:rPr>
        <w:t xml:space="preserve">As previously stated, the five-year cohort graduation rate is a determination of the high school outcomes of the preceding four-year cohort </w:t>
      </w:r>
      <w:r w:rsidRPr="009356B9">
        <w:rPr>
          <w:rFonts w:cs="Arial"/>
          <w:i/>
          <w:szCs w:val="24"/>
        </w:rPr>
        <w:t>non-graduates</w:t>
      </w:r>
      <w:r w:rsidRPr="009356B9">
        <w:rPr>
          <w:rFonts w:cs="Arial"/>
          <w:szCs w:val="24"/>
        </w:rPr>
        <w:t xml:space="preserve"> in year five. For the purposes of calculating a five-year cohort graduation rate, the cohort or denominator is largely held constant, with a few exceptions, and the emphasis is placed on moving four-year cohort non-graduates into the numerator as five-year graduates. To do this, we </w:t>
      </w:r>
      <w:r w:rsidR="00EE71D6">
        <w:rPr>
          <w:rFonts w:cs="Arial"/>
          <w:szCs w:val="24"/>
        </w:rPr>
        <w:t>developed</w:t>
      </w:r>
      <w:r w:rsidRPr="009356B9">
        <w:rPr>
          <w:rFonts w:cs="Arial"/>
          <w:szCs w:val="24"/>
        </w:rPr>
        <w:t xml:space="preserve"> the four overarching </w:t>
      </w:r>
      <w:r w:rsidR="00EE71D6">
        <w:rPr>
          <w:rFonts w:cs="Arial"/>
          <w:szCs w:val="24"/>
        </w:rPr>
        <w:t xml:space="preserve">business </w:t>
      </w:r>
      <w:r w:rsidRPr="009356B9">
        <w:rPr>
          <w:rFonts w:cs="Arial"/>
          <w:szCs w:val="24"/>
        </w:rPr>
        <w:t>rules:</w:t>
      </w:r>
    </w:p>
    <w:p w14:paraId="1FD46C6B" w14:textId="228DB902" w:rsidR="005A0201" w:rsidRPr="00264FA0" w:rsidRDefault="005A0201" w:rsidP="00D45E70">
      <w:pPr>
        <w:pStyle w:val="NoSpacing"/>
        <w:numPr>
          <w:ilvl w:val="0"/>
          <w:numId w:val="5"/>
        </w:numPr>
        <w:spacing w:after="240"/>
        <w:ind w:left="720"/>
        <w:rPr>
          <w:rFonts w:cs="Arial"/>
          <w:szCs w:val="24"/>
        </w:rPr>
      </w:pPr>
      <w:r w:rsidRPr="00264FA0">
        <w:rPr>
          <w:rFonts w:cs="Arial"/>
          <w:szCs w:val="24"/>
        </w:rPr>
        <w:t xml:space="preserve">Students in the </w:t>
      </w:r>
      <w:r w:rsidRPr="00264FA0">
        <w:rPr>
          <w:rFonts w:cs="Arial"/>
          <w:i/>
          <w:szCs w:val="24"/>
        </w:rPr>
        <w:t>final</w:t>
      </w:r>
      <w:r w:rsidRPr="00264FA0">
        <w:rPr>
          <w:rFonts w:cs="Arial"/>
          <w:szCs w:val="24"/>
        </w:rPr>
        <w:t xml:space="preserve"> four-year cohort for each school and district will remain constant in year 5 with each final four-year cohort student receiving one of the following outcomes at the end of year 5:</w:t>
      </w:r>
    </w:p>
    <w:p w14:paraId="6B1DF931" w14:textId="02AEB888" w:rsidR="009C6096" w:rsidRPr="00264FA0" w:rsidRDefault="005A0201" w:rsidP="00D45E70">
      <w:pPr>
        <w:pStyle w:val="NoSpacing"/>
        <w:numPr>
          <w:ilvl w:val="1"/>
          <w:numId w:val="6"/>
        </w:numPr>
        <w:spacing w:after="240"/>
        <w:rPr>
          <w:rFonts w:cs="Arial"/>
          <w:szCs w:val="24"/>
        </w:rPr>
      </w:pPr>
      <w:r w:rsidRPr="00264FA0">
        <w:rPr>
          <w:rFonts w:cs="Arial"/>
          <w:szCs w:val="24"/>
        </w:rPr>
        <w:t>Graduated</w:t>
      </w:r>
    </w:p>
    <w:p w14:paraId="77EDCF53" w14:textId="6EC79C74" w:rsidR="009C6096" w:rsidRPr="00264FA0" w:rsidRDefault="005A0201" w:rsidP="00D45E70">
      <w:pPr>
        <w:pStyle w:val="NoSpacing"/>
        <w:numPr>
          <w:ilvl w:val="1"/>
          <w:numId w:val="6"/>
        </w:numPr>
        <w:spacing w:after="240"/>
        <w:rPr>
          <w:rFonts w:cs="Arial"/>
          <w:szCs w:val="24"/>
        </w:rPr>
      </w:pPr>
      <w:r w:rsidRPr="00264FA0">
        <w:rPr>
          <w:rFonts w:cs="Arial"/>
          <w:szCs w:val="24"/>
        </w:rPr>
        <w:lastRenderedPageBreak/>
        <w:t>Non-graduate Completer (i.e., Californi</w:t>
      </w:r>
      <w:r w:rsidR="00264FA0">
        <w:rPr>
          <w:rFonts w:cs="Arial"/>
          <w:szCs w:val="24"/>
        </w:rPr>
        <w:t>a High School Proficiency Exam</w:t>
      </w:r>
      <w:r w:rsidRPr="00264FA0">
        <w:rPr>
          <w:rFonts w:cs="Arial"/>
          <w:szCs w:val="24"/>
        </w:rPr>
        <w:t>, Adult Education Diploma, Special Education Certificate of Completion, a</w:t>
      </w:r>
      <w:r w:rsidR="00264FA0">
        <w:rPr>
          <w:rFonts w:cs="Arial"/>
          <w:szCs w:val="24"/>
        </w:rPr>
        <w:t xml:space="preserve">nd General Equivalency Diploma </w:t>
      </w:r>
      <w:r w:rsidRPr="00264FA0">
        <w:rPr>
          <w:rFonts w:cs="Arial"/>
          <w:szCs w:val="24"/>
        </w:rPr>
        <w:t>Completers)</w:t>
      </w:r>
    </w:p>
    <w:p w14:paraId="79378D2C" w14:textId="7AEC8018" w:rsidR="009C6096" w:rsidRPr="00264FA0" w:rsidRDefault="005A0201" w:rsidP="00D45E70">
      <w:pPr>
        <w:pStyle w:val="NoSpacing"/>
        <w:numPr>
          <w:ilvl w:val="1"/>
          <w:numId w:val="6"/>
        </w:numPr>
        <w:spacing w:after="240"/>
        <w:rPr>
          <w:rFonts w:cs="Arial"/>
          <w:szCs w:val="24"/>
        </w:rPr>
      </w:pPr>
      <w:r w:rsidRPr="00264FA0">
        <w:rPr>
          <w:rFonts w:cs="Arial"/>
          <w:szCs w:val="24"/>
        </w:rPr>
        <w:t>Transferred to another school/district (Graduate)</w:t>
      </w:r>
    </w:p>
    <w:p w14:paraId="632FD216" w14:textId="3C5A6029" w:rsidR="009C6096" w:rsidRPr="00264FA0" w:rsidRDefault="005A0201" w:rsidP="00D45E70">
      <w:pPr>
        <w:pStyle w:val="NoSpacing"/>
        <w:numPr>
          <w:ilvl w:val="1"/>
          <w:numId w:val="6"/>
        </w:numPr>
        <w:spacing w:after="240"/>
        <w:rPr>
          <w:rFonts w:cs="Arial"/>
          <w:szCs w:val="24"/>
        </w:rPr>
      </w:pPr>
      <w:r w:rsidRPr="00264FA0">
        <w:rPr>
          <w:rFonts w:cs="Arial"/>
          <w:szCs w:val="24"/>
        </w:rPr>
        <w:t>Transferred to another school/district (Non-Graduate Completer)</w:t>
      </w:r>
    </w:p>
    <w:p w14:paraId="31F0121F" w14:textId="0CCE58D2" w:rsidR="009C6096" w:rsidRPr="00264FA0" w:rsidRDefault="005A0201" w:rsidP="00D45E70">
      <w:pPr>
        <w:pStyle w:val="NoSpacing"/>
        <w:numPr>
          <w:ilvl w:val="1"/>
          <w:numId w:val="6"/>
        </w:numPr>
        <w:spacing w:after="240"/>
        <w:rPr>
          <w:rFonts w:cs="Arial"/>
          <w:szCs w:val="24"/>
        </w:rPr>
      </w:pPr>
      <w:r w:rsidRPr="00264FA0">
        <w:rPr>
          <w:rFonts w:cs="Arial"/>
          <w:szCs w:val="24"/>
        </w:rPr>
        <w:t>Other Transfers (e.g., transferred out of state/country, or transferred to an Adult Education or Community College program)</w:t>
      </w:r>
    </w:p>
    <w:p w14:paraId="61F3FDDC" w14:textId="4FFF9C30" w:rsidR="009C6096" w:rsidRPr="00264FA0" w:rsidRDefault="005A0201" w:rsidP="00D45E70">
      <w:pPr>
        <w:pStyle w:val="NoSpacing"/>
        <w:numPr>
          <w:ilvl w:val="1"/>
          <w:numId w:val="6"/>
        </w:numPr>
        <w:spacing w:after="240"/>
        <w:rPr>
          <w:rFonts w:cs="Arial"/>
          <w:szCs w:val="24"/>
        </w:rPr>
      </w:pPr>
      <w:r w:rsidRPr="00264FA0">
        <w:rPr>
          <w:rFonts w:cs="Arial"/>
          <w:szCs w:val="24"/>
        </w:rPr>
        <w:t>Died</w:t>
      </w:r>
    </w:p>
    <w:p w14:paraId="04627DE0" w14:textId="036709D2" w:rsidR="005A0201" w:rsidRPr="00264FA0" w:rsidRDefault="005A0201" w:rsidP="00D45E70">
      <w:pPr>
        <w:pStyle w:val="NoSpacing"/>
        <w:numPr>
          <w:ilvl w:val="1"/>
          <w:numId w:val="6"/>
        </w:numPr>
        <w:spacing w:after="240"/>
        <w:rPr>
          <w:rFonts w:cs="Arial"/>
          <w:szCs w:val="24"/>
        </w:rPr>
      </w:pPr>
      <w:r w:rsidRPr="00264FA0">
        <w:rPr>
          <w:rFonts w:cs="Arial"/>
          <w:szCs w:val="24"/>
        </w:rPr>
        <w:t>Dropout</w:t>
      </w:r>
    </w:p>
    <w:p w14:paraId="377E9858" w14:textId="79B58202" w:rsidR="00F974EB" w:rsidRPr="00264FA0" w:rsidRDefault="005A0201" w:rsidP="00D45E70">
      <w:pPr>
        <w:pStyle w:val="NoSpacing"/>
        <w:numPr>
          <w:ilvl w:val="0"/>
          <w:numId w:val="5"/>
        </w:numPr>
        <w:spacing w:after="240"/>
        <w:ind w:left="720"/>
        <w:rPr>
          <w:rFonts w:cs="Arial"/>
          <w:szCs w:val="24"/>
        </w:rPr>
      </w:pPr>
      <w:r w:rsidRPr="00264FA0">
        <w:rPr>
          <w:rFonts w:cs="Arial"/>
          <w:szCs w:val="24"/>
        </w:rPr>
        <w:t xml:space="preserve">A student who transfers from their final four-year cohort school or district to another school or district in year 5 will be added to the cohort of the receiving school or district </w:t>
      </w:r>
      <w:r w:rsidRPr="00264FA0">
        <w:rPr>
          <w:rFonts w:cs="Arial"/>
          <w:i/>
          <w:szCs w:val="24"/>
        </w:rPr>
        <w:t>ONLY</w:t>
      </w:r>
      <w:r w:rsidRPr="00264FA0">
        <w:rPr>
          <w:rFonts w:cs="Arial"/>
          <w:szCs w:val="24"/>
        </w:rPr>
        <w:t xml:space="preserve"> if they graduate in year 5. This same student will also remain in the cohort of the sending school or district and be counted in on</w:t>
      </w:r>
      <w:r w:rsidR="00264FA0">
        <w:rPr>
          <w:rFonts w:cs="Arial"/>
          <w:szCs w:val="24"/>
        </w:rPr>
        <w:t>e of the outcomes listed above (e.g., t</w:t>
      </w:r>
      <w:r w:rsidRPr="00264FA0">
        <w:rPr>
          <w:rFonts w:cs="Arial"/>
          <w:szCs w:val="24"/>
        </w:rPr>
        <w:t>ransfer</w:t>
      </w:r>
      <w:r w:rsidR="00264FA0">
        <w:rPr>
          <w:rFonts w:cs="Arial"/>
          <w:szCs w:val="24"/>
        </w:rPr>
        <w:t>red to another school/district [Graduate], t</w:t>
      </w:r>
      <w:r w:rsidRPr="00264FA0">
        <w:rPr>
          <w:rFonts w:cs="Arial"/>
          <w:szCs w:val="24"/>
        </w:rPr>
        <w:t>ransfer</w:t>
      </w:r>
      <w:r w:rsidR="00264FA0">
        <w:rPr>
          <w:rFonts w:cs="Arial"/>
          <w:szCs w:val="24"/>
        </w:rPr>
        <w:t>red to another school/district [Non-Graduate Completer], or t</w:t>
      </w:r>
      <w:r w:rsidRPr="00264FA0">
        <w:rPr>
          <w:rFonts w:cs="Arial"/>
          <w:szCs w:val="24"/>
        </w:rPr>
        <w:t>ransferred to anothe</w:t>
      </w:r>
      <w:r w:rsidR="00264FA0">
        <w:rPr>
          <w:rFonts w:cs="Arial"/>
          <w:szCs w:val="24"/>
        </w:rPr>
        <w:t>r school/district [Dropout])</w:t>
      </w:r>
      <w:r w:rsidRPr="00264FA0">
        <w:rPr>
          <w:rFonts w:cs="Arial"/>
          <w:szCs w:val="24"/>
        </w:rPr>
        <w:t>. This ensures that the sending school or district will not experience a change in their five-year graduation rate simply by removing or adding students to the denominator based on transfers alone. This also incentivizes enrolling and graduating students who transfer to a new school or district in year 5 without exposing these entities to the possibility of a decreased graduation rate by adding these transfer students to their cohort denominator unless they graduate.</w:t>
      </w:r>
    </w:p>
    <w:p w14:paraId="0EE9E4B7" w14:textId="31C57450" w:rsidR="005A0201" w:rsidRPr="00264FA0" w:rsidRDefault="005A0201" w:rsidP="00D45E70">
      <w:pPr>
        <w:pStyle w:val="NoSpacing"/>
        <w:numPr>
          <w:ilvl w:val="0"/>
          <w:numId w:val="5"/>
        </w:numPr>
        <w:spacing w:after="240"/>
        <w:ind w:left="720"/>
        <w:rPr>
          <w:rFonts w:cs="Arial"/>
          <w:szCs w:val="24"/>
        </w:rPr>
      </w:pPr>
      <w:r w:rsidRPr="00264FA0">
        <w:rPr>
          <w:rFonts w:cs="Arial"/>
          <w:szCs w:val="24"/>
        </w:rPr>
        <w:t xml:space="preserve">An original four-year cohort student who was removed from the cohort during the original four years (e.g., transferred out of state or transferred out of country) and transfers back to California in year </w:t>
      </w:r>
      <w:r w:rsidR="00EE71D6" w:rsidRPr="00264FA0">
        <w:rPr>
          <w:rFonts w:cs="Arial"/>
          <w:szCs w:val="24"/>
        </w:rPr>
        <w:t xml:space="preserve">5 </w:t>
      </w:r>
      <w:r w:rsidRPr="00264FA0">
        <w:rPr>
          <w:rFonts w:cs="Arial"/>
          <w:szCs w:val="24"/>
        </w:rPr>
        <w:t xml:space="preserve">will be added to the cohort of the receiving school or district </w:t>
      </w:r>
      <w:r w:rsidRPr="00264FA0">
        <w:rPr>
          <w:rFonts w:cs="Arial"/>
          <w:i/>
          <w:szCs w:val="24"/>
        </w:rPr>
        <w:t>ONLY</w:t>
      </w:r>
      <w:r w:rsidRPr="00264FA0">
        <w:rPr>
          <w:rFonts w:cs="Arial"/>
          <w:szCs w:val="24"/>
        </w:rPr>
        <w:t xml:space="preserve"> if they graduate in year 5 for the same reasons articulated above.</w:t>
      </w:r>
    </w:p>
    <w:p w14:paraId="6BB2F70C" w14:textId="6A390893" w:rsidR="005A0201" w:rsidRPr="00264FA0" w:rsidRDefault="00EE71D6" w:rsidP="00D45E70">
      <w:pPr>
        <w:pStyle w:val="NoSpacing"/>
        <w:numPr>
          <w:ilvl w:val="0"/>
          <w:numId w:val="5"/>
        </w:numPr>
        <w:spacing w:after="240"/>
        <w:ind w:left="720"/>
        <w:rPr>
          <w:rFonts w:cs="Arial"/>
          <w:szCs w:val="24"/>
        </w:rPr>
      </w:pPr>
      <w:r w:rsidRPr="00264FA0">
        <w:rPr>
          <w:rFonts w:cs="Arial"/>
          <w:szCs w:val="24"/>
        </w:rPr>
        <w:t>A</w:t>
      </w:r>
      <w:r w:rsidR="005A0201" w:rsidRPr="00264FA0">
        <w:rPr>
          <w:rFonts w:cs="Arial"/>
          <w:szCs w:val="24"/>
        </w:rPr>
        <w:t>ll students who do not graduate by the end of year 5 will be counted as dropouts at the county and state levels on DataQuest. Only the resulting five-year grad</w:t>
      </w:r>
      <w:r w:rsidR="00205CFB" w:rsidRPr="00264FA0">
        <w:rPr>
          <w:rFonts w:cs="Arial"/>
          <w:szCs w:val="24"/>
        </w:rPr>
        <w:t>u</w:t>
      </w:r>
      <w:r w:rsidR="005A0201" w:rsidRPr="00264FA0">
        <w:rPr>
          <w:rFonts w:cs="Arial"/>
          <w:szCs w:val="24"/>
        </w:rPr>
        <w:t xml:space="preserve">ation rate will be incorporated into the </w:t>
      </w:r>
      <w:r w:rsidR="00A30047" w:rsidRPr="00264FA0">
        <w:rPr>
          <w:rFonts w:cs="Arial"/>
          <w:szCs w:val="24"/>
        </w:rPr>
        <w:t xml:space="preserve">California School </w:t>
      </w:r>
      <w:r w:rsidR="005A0201" w:rsidRPr="00264FA0">
        <w:rPr>
          <w:rFonts w:cs="Arial"/>
          <w:szCs w:val="24"/>
        </w:rPr>
        <w:t>Dashboard</w:t>
      </w:r>
      <w:r w:rsidR="00A30047" w:rsidRPr="00264FA0">
        <w:rPr>
          <w:rFonts w:cs="Arial"/>
          <w:szCs w:val="24"/>
        </w:rPr>
        <w:t xml:space="preserve"> (Dashboard)</w:t>
      </w:r>
      <w:r w:rsidR="005A0201" w:rsidRPr="00264FA0">
        <w:rPr>
          <w:rFonts w:cs="Arial"/>
          <w:szCs w:val="24"/>
        </w:rPr>
        <w:t>.</w:t>
      </w:r>
    </w:p>
    <w:p w14:paraId="158D8BD5" w14:textId="5ACE8F63" w:rsidR="005A0201" w:rsidRPr="009356B9" w:rsidRDefault="005A0201" w:rsidP="00F41059">
      <w:pPr>
        <w:pStyle w:val="NoSpacing"/>
        <w:spacing w:after="240"/>
        <w:rPr>
          <w:rFonts w:cs="Arial"/>
          <w:szCs w:val="24"/>
        </w:rPr>
      </w:pPr>
      <w:r w:rsidRPr="009356B9">
        <w:rPr>
          <w:rFonts w:cs="Arial"/>
          <w:szCs w:val="24"/>
        </w:rPr>
        <w:t>The above rules for calculating the five-year graduation rate ensure the following:</w:t>
      </w:r>
    </w:p>
    <w:p w14:paraId="39D1D528" w14:textId="52693FD7" w:rsidR="005A0201" w:rsidRPr="00F41059" w:rsidRDefault="005A0201" w:rsidP="00D45E70">
      <w:pPr>
        <w:pStyle w:val="NoSpacing"/>
        <w:numPr>
          <w:ilvl w:val="0"/>
          <w:numId w:val="7"/>
        </w:numPr>
        <w:spacing w:after="240"/>
        <w:rPr>
          <w:rFonts w:cs="Arial"/>
          <w:szCs w:val="24"/>
        </w:rPr>
      </w:pPr>
      <w:r w:rsidRPr="00F41059">
        <w:rPr>
          <w:rFonts w:cs="Arial"/>
          <w:szCs w:val="24"/>
        </w:rPr>
        <w:t>Five-year graduation rate denominators remain stable at the school and district level thus preventing changes to five-year rates based strictly on students being removed or added to school or district cohorts.</w:t>
      </w:r>
    </w:p>
    <w:p w14:paraId="74952AC1" w14:textId="7A1CCF1A" w:rsidR="005A0201" w:rsidRPr="00F41059" w:rsidRDefault="005A0201" w:rsidP="00D45E70">
      <w:pPr>
        <w:pStyle w:val="NoSpacing"/>
        <w:numPr>
          <w:ilvl w:val="0"/>
          <w:numId w:val="7"/>
        </w:numPr>
        <w:spacing w:after="240"/>
        <w:rPr>
          <w:rFonts w:cs="Arial"/>
          <w:szCs w:val="24"/>
        </w:rPr>
      </w:pPr>
      <w:r w:rsidRPr="00F41059">
        <w:rPr>
          <w:rFonts w:cs="Arial"/>
          <w:szCs w:val="24"/>
        </w:rPr>
        <w:lastRenderedPageBreak/>
        <w:t>Unlike the four-year ACGR, schools and districts are held harmless for enrolling students in year 5 who do not graduate but will receive credit for students they enroll in year 5 who do graduate</w:t>
      </w:r>
      <w:r w:rsidR="005D7E76" w:rsidRPr="00F41059">
        <w:rPr>
          <w:rFonts w:cs="Arial"/>
          <w:szCs w:val="24"/>
        </w:rPr>
        <w:t>. H</w:t>
      </w:r>
      <w:r w:rsidRPr="00F41059">
        <w:rPr>
          <w:rFonts w:cs="Arial"/>
          <w:szCs w:val="24"/>
        </w:rPr>
        <w:t>owever, all students who do not graduate by the end of year 5 will be accounted for at the final county and state levels as dropouts.</w:t>
      </w:r>
    </w:p>
    <w:p w14:paraId="199628EC" w14:textId="77777777" w:rsidR="005A0201" w:rsidRPr="009356B9" w:rsidRDefault="005A0201" w:rsidP="00D45E70">
      <w:pPr>
        <w:pStyle w:val="NoSpacing"/>
        <w:numPr>
          <w:ilvl w:val="0"/>
          <w:numId w:val="7"/>
        </w:numPr>
        <w:rPr>
          <w:rFonts w:cs="Arial"/>
          <w:szCs w:val="24"/>
        </w:rPr>
      </w:pPr>
      <w:r w:rsidRPr="009356B9">
        <w:rPr>
          <w:rFonts w:cs="Arial"/>
          <w:szCs w:val="24"/>
        </w:rPr>
        <w:t>Although some students may be in two school or district denominators for the five-year cohort (one as a transfer and one as a graduate), students will only be counted once at the final county and state levels on DataQuest.</w:t>
      </w:r>
    </w:p>
    <w:p w14:paraId="30ACB47C" w14:textId="77777777" w:rsidR="005A0201" w:rsidRPr="009356B9" w:rsidRDefault="005A0201" w:rsidP="005A0201">
      <w:pPr>
        <w:pStyle w:val="NoSpacing"/>
        <w:rPr>
          <w:rFonts w:cs="Arial"/>
          <w:szCs w:val="24"/>
        </w:rPr>
      </w:pPr>
    </w:p>
    <w:p w14:paraId="7CB7608C" w14:textId="480D77ED" w:rsidR="005A3D42" w:rsidRDefault="005A0201" w:rsidP="00F41059">
      <w:pPr>
        <w:pStyle w:val="NoSpacing"/>
        <w:spacing w:after="240"/>
        <w:rPr>
          <w:rFonts w:cs="Arial"/>
          <w:szCs w:val="24"/>
        </w:rPr>
      </w:pPr>
      <w:r w:rsidRPr="009356B9">
        <w:rPr>
          <w:rFonts w:cs="Arial"/>
          <w:szCs w:val="24"/>
        </w:rPr>
        <w:t xml:space="preserve">In summary, the five-year graduation rate is intended to be a determination of the high school outcomes of the preceding four-year cohort </w:t>
      </w:r>
      <w:r w:rsidRPr="009356B9">
        <w:rPr>
          <w:rFonts w:cs="Arial"/>
          <w:i/>
          <w:szCs w:val="24"/>
        </w:rPr>
        <w:t>non-graduates</w:t>
      </w:r>
      <w:r w:rsidRPr="009356B9">
        <w:rPr>
          <w:rFonts w:cs="Arial"/>
          <w:szCs w:val="24"/>
        </w:rPr>
        <w:t xml:space="preserve"> in year five. As such, it compares the outcomes of the same group of students one year later and offers schools and districts with additional time and incentive to work with and provide support to those students</w:t>
      </w:r>
      <w:r w:rsidR="00F41059">
        <w:rPr>
          <w:rFonts w:cs="Arial"/>
          <w:szCs w:val="24"/>
        </w:rPr>
        <w:t xml:space="preserve"> who did not graduate on </w:t>
      </w:r>
      <w:r w:rsidRPr="009356B9">
        <w:rPr>
          <w:rFonts w:cs="Arial"/>
          <w:szCs w:val="24"/>
        </w:rPr>
        <w:t xml:space="preserve">time in four years. Finally, the </w:t>
      </w:r>
      <w:r w:rsidR="005D7E76">
        <w:rPr>
          <w:rFonts w:cs="Arial"/>
          <w:szCs w:val="24"/>
        </w:rPr>
        <w:t>business rules</w:t>
      </w:r>
      <w:r w:rsidR="00F41059">
        <w:rPr>
          <w:rFonts w:cs="Arial"/>
          <w:szCs w:val="24"/>
        </w:rPr>
        <w:t xml:space="preserve"> largely hold</w:t>
      </w:r>
      <w:r w:rsidRPr="009356B9">
        <w:rPr>
          <w:rFonts w:cs="Arial"/>
          <w:szCs w:val="24"/>
        </w:rPr>
        <w:t xml:space="preserve"> the final four-year cohort denominator constant</w:t>
      </w:r>
      <w:r w:rsidR="00F41059">
        <w:rPr>
          <w:rFonts w:cs="Arial"/>
          <w:szCs w:val="24"/>
        </w:rPr>
        <w:t>,</w:t>
      </w:r>
      <w:r w:rsidRPr="009356B9">
        <w:rPr>
          <w:rFonts w:cs="Arial"/>
          <w:szCs w:val="24"/>
        </w:rPr>
        <w:t xml:space="preserve"> unless it is to the benefit of the school or district, thereby ensuring that five-year graduation rates are not susceptible to change based solely on adjustments to the denominator.</w:t>
      </w:r>
    </w:p>
    <w:p w14:paraId="18BB7EE6" w14:textId="671CFE4D" w:rsidR="008A046D" w:rsidRDefault="005D7E76" w:rsidP="00F41059">
      <w:pPr>
        <w:pStyle w:val="NoSpacing"/>
        <w:spacing w:after="240"/>
      </w:pPr>
      <w:r>
        <w:rPr>
          <w:rFonts w:cs="Arial"/>
          <w:szCs w:val="24"/>
        </w:rPr>
        <w:t>At its August 2018 meeting, the Technical Design Group (TDG) reviewed the proposed methodology, along with distributions based on this methodology, and determined that it was technically sound.</w:t>
      </w:r>
    </w:p>
    <w:p w14:paraId="1D69D5CB" w14:textId="3E1AD6B4" w:rsidR="00DE6820" w:rsidRPr="009C6096" w:rsidRDefault="00DE6820" w:rsidP="00F41059">
      <w:pPr>
        <w:pStyle w:val="Heading4"/>
        <w:spacing w:before="240" w:after="240"/>
        <w:rPr>
          <w:rFonts w:ascii="Arial" w:hAnsi="Arial" w:cs="Arial"/>
          <w:b/>
          <w:color w:val="auto"/>
        </w:rPr>
      </w:pPr>
      <w:r w:rsidRPr="009C6096">
        <w:rPr>
          <w:rFonts w:ascii="Arial" w:hAnsi="Arial" w:cs="Arial"/>
          <w:b/>
          <w:color w:val="auto"/>
        </w:rPr>
        <w:t>Incorporating the Five-Year Cohort Graduation Rate into the Dashboard</w:t>
      </w:r>
    </w:p>
    <w:p w14:paraId="76092CC8" w14:textId="5E54C6BC" w:rsidR="00DE6820" w:rsidRDefault="004F7322" w:rsidP="00F41059">
      <w:pPr>
        <w:spacing w:after="240"/>
      </w:pPr>
      <w:r>
        <w:t>S</w:t>
      </w:r>
      <w:r w:rsidR="00DE6820">
        <w:t>everal options for incorporating the five-year graduation rate i</w:t>
      </w:r>
      <w:r w:rsidR="00603C14">
        <w:t>nto</w:t>
      </w:r>
      <w:r w:rsidR="00DE6820">
        <w:t xml:space="preserve"> the Dashboard </w:t>
      </w:r>
      <w:r>
        <w:t>were presented to advisory groups and stakeholder</w:t>
      </w:r>
      <w:r w:rsidR="00603C14">
        <w:t>s:</w:t>
      </w:r>
    </w:p>
    <w:p w14:paraId="078CA258" w14:textId="43A2400F" w:rsidR="008A320B" w:rsidRPr="00F41059" w:rsidRDefault="00DE6820" w:rsidP="00D45E70">
      <w:pPr>
        <w:pStyle w:val="ListParagraph"/>
        <w:numPr>
          <w:ilvl w:val="0"/>
          <w:numId w:val="10"/>
        </w:numPr>
        <w:spacing w:after="240"/>
        <w:rPr>
          <w:rFonts w:ascii="Arial" w:hAnsi="Arial" w:cs="Arial"/>
          <w:sz w:val="24"/>
          <w:szCs w:val="24"/>
        </w:rPr>
      </w:pPr>
      <w:r w:rsidRPr="00F41059">
        <w:rPr>
          <w:rFonts w:ascii="Arial" w:hAnsi="Arial" w:cs="Arial"/>
          <w:sz w:val="24"/>
          <w:szCs w:val="24"/>
        </w:rPr>
        <w:t xml:space="preserve">Provide a performance level (color) for the four-year cohort graduation rate only and report the five-year graduation rate </w:t>
      </w:r>
      <w:r w:rsidR="00603C14" w:rsidRPr="00F41059">
        <w:rPr>
          <w:rFonts w:ascii="Arial" w:hAnsi="Arial" w:cs="Arial"/>
          <w:sz w:val="24"/>
          <w:szCs w:val="24"/>
        </w:rPr>
        <w:t>as</w:t>
      </w:r>
      <w:r w:rsidRPr="00F41059">
        <w:rPr>
          <w:rFonts w:ascii="Arial" w:hAnsi="Arial" w:cs="Arial"/>
          <w:sz w:val="24"/>
          <w:szCs w:val="24"/>
        </w:rPr>
        <w:t xml:space="preserve"> informative </w:t>
      </w:r>
      <w:r w:rsidR="00603C14" w:rsidRPr="00F41059">
        <w:rPr>
          <w:rFonts w:ascii="Arial" w:hAnsi="Arial" w:cs="Arial"/>
          <w:sz w:val="24"/>
          <w:szCs w:val="24"/>
        </w:rPr>
        <w:t>data</w:t>
      </w:r>
      <w:r w:rsidRPr="00F41059">
        <w:rPr>
          <w:rFonts w:ascii="Arial" w:hAnsi="Arial" w:cs="Arial"/>
          <w:sz w:val="24"/>
          <w:szCs w:val="24"/>
        </w:rPr>
        <w:t>. This method could be implemented for the 2018 Dashboard.</w:t>
      </w:r>
    </w:p>
    <w:p w14:paraId="4CAD7AD6" w14:textId="50E6EB13" w:rsidR="00DE6820" w:rsidRPr="00F41059" w:rsidRDefault="00DE6820" w:rsidP="00D45E70">
      <w:pPr>
        <w:pStyle w:val="ListParagraph"/>
        <w:numPr>
          <w:ilvl w:val="0"/>
          <w:numId w:val="10"/>
        </w:numPr>
        <w:spacing w:after="240"/>
        <w:rPr>
          <w:rFonts w:ascii="Arial" w:hAnsi="Arial" w:cs="Arial"/>
          <w:sz w:val="24"/>
          <w:szCs w:val="24"/>
        </w:rPr>
      </w:pPr>
      <w:r w:rsidRPr="00F41059">
        <w:rPr>
          <w:rFonts w:ascii="Arial" w:hAnsi="Arial" w:cs="Arial"/>
          <w:sz w:val="24"/>
          <w:szCs w:val="24"/>
        </w:rPr>
        <w:t>Calculate a simple average for the four- and five-year cohort graduation rate. A simple average provides the same weight to all four</w:t>
      </w:r>
      <w:r w:rsidR="00F41059">
        <w:rPr>
          <w:rFonts w:ascii="Arial" w:hAnsi="Arial" w:cs="Arial"/>
          <w:sz w:val="24"/>
          <w:szCs w:val="24"/>
        </w:rPr>
        <w:t>- and five-</w:t>
      </w:r>
      <w:r w:rsidRPr="00F41059">
        <w:rPr>
          <w:rFonts w:ascii="Arial" w:hAnsi="Arial" w:cs="Arial"/>
          <w:sz w:val="24"/>
          <w:szCs w:val="24"/>
        </w:rPr>
        <w:t>year graduates. This method</w:t>
      </w:r>
      <w:r w:rsidR="00603C14" w:rsidRPr="00F41059">
        <w:rPr>
          <w:rFonts w:ascii="Arial" w:hAnsi="Arial" w:cs="Arial"/>
          <w:sz w:val="24"/>
          <w:szCs w:val="24"/>
        </w:rPr>
        <w:t xml:space="preserve"> requires two years of data and could not be</w:t>
      </w:r>
      <w:r w:rsidRPr="00F41059">
        <w:rPr>
          <w:rFonts w:ascii="Arial" w:hAnsi="Arial" w:cs="Arial"/>
          <w:sz w:val="24"/>
          <w:szCs w:val="24"/>
        </w:rPr>
        <w:t xml:space="preserve"> implemented</w:t>
      </w:r>
      <w:r w:rsidR="00603C14" w:rsidRPr="00F41059">
        <w:rPr>
          <w:rFonts w:ascii="Arial" w:hAnsi="Arial" w:cs="Arial"/>
          <w:sz w:val="24"/>
          <w:szCs w:val="24"/>
        </w:rPr>
        <w:t xml:space="preserve"> before 2019.</w:t>
      </w:r>
    </w:p>
    <w:p w14:paraId="73C84159" w14:textId="204FCEB9" w:rsidR="00DE6820" w:rsidRPr="00F41059" w:rsidRDefault="00DE6820" w:rsidP="00D45E70">
      <w:pPr>
        <w:pStyle w:val="ListParagraph"/>
        <w:numPr>
          <w:ilvl w:val="0"/>
          <w:numId w:val="10"/>
        </w:numPr>
        <w:spacing w:after="240"/>
        <w:rPr>
          <w:rFonts w:ascii="Arial" w:hAnsi="Arial" w:cs="Arial"/>
          <w:sz w:val="24"/>
          <w:szCs w:val="24"/>
        </w:rPr>
      </w:pPr>
      <w:r w:rsidRPr="00F41059">
        <w:rPr>
          <w:rFonts w:ascii="Arial" w:hAnsi="Arial" w:cs="Arial"/>
          <w:sz w:val="24"/>
          <w:szCs w:val="24"/>
        </w:rPr>
        <w:t xml:space="preserve">Calculate a weighted average four- and five-year cohort graduation rate. This method provides more weight to students who graduate in four years (e.g., 2/3) rather than five years (e.g., 1/3). This method </w:t>
      </w:r>
      <w:r w:rsidR="00603C14" w:rsidRPr="00F41059">
        <w:rPr>
          <w:rFonts w:ascii="Arial" w:hAnsi="Arial" w:cs="Arial"/>
          <w:sz w:val="24"/>
          <w:szCs w:val="24"/>
        </w:rPr>
        <w:t>requires two years of data and could not be implemented before</w:t>
      </w:r>
      <w:r w:rsidRPr="00F41059">
        <w:rPr>
          <w:rFonts w:ascii="Arial" w:hAnsi="Arial" w:cs="Arial"/>
          <w:sz w:val="24"/>
          <w:szCs w:val="24"/>
        </w:rPr>
        <w:t xml:space="preserve"> 2019.</w:t>
      </w:r>
    </w:p>
    <w:p w14:paraId="647FEC7D" w14:textId="25C381BE" w:rsidR="00DE6820" w:rsidRPr="00540C11" w:rsidRDefault="00DE6820" w:rsidP="00D45E70">
      <w:pPr>
        <w:pStyle w:val="ListParagraph"/>
        <w:numPr>
          <w:ilvl w:val="0"/>
          <w:numId w:val="10"/>
        </w:numPr>
        <w:spacing w:before="240" w:after="240"/>
        <w:rPr>
          <w:rFonts w:ascii="Arial" w:hAnsi="Arial" w:cs="Arial"/>
          <w:sz w:val="24"/>
          <w:szCs w:val="24"/>
        </w:rPr>
      </w:pPr>
      <w:r w:rsidRPr="00F12F98">
        <w:rPr>
          <w:rFonts w:ascii="Arial" w:hAnsi="Arial" w:cs="Arial"/>
          <w:sz w:val="24"/>
          <w:szCs w:val="24"/>
        </w:rPr>
        <w:t>Report both the four and five year cohort graduation rates on the Dashboard and assign the performance level (color) to the higher of the two rates. ESSA requires that the state adopt a higher goal for the five-year cohort graduation rate than the 90</w:t>
      </w:r>
      <w:r w:rsidR="00861130">
        <w:rPr>
          <w:rFonts w:ascii="Arial" w:hAnsi="Arial" w:cs="Arial"/>
          <w:sz w:val="24"/>
          <w:szCs w:val="24"/>
        </w:rPr>
        <w:t xml:space="preserve"> percent</w:t>
      </w:r>
      <w:r w:rsidRPr="00F12F98">
        <w:rPr>
          <w:rFonts w:ascii="Arial" w:hAnsi="Arial" w:cs="Arial"/>
          <w:sz w:val="24"/>
          <w:szCs w:val="24"/>
        </w:rPr>
        <w:t xml:space="preserve"> goal established for the four-year cohort graduation rate.</w:t>
      </w:r>
      <w:r w:rsidR="00207C1D">
        <w:rPr>
          <w:rFonts w:ascii="Arial" w:hAnsi="Arial" w:cs="Arial"/>
          <w:sz w:val="24"/>
          <w:szCs w:val="24"/>
        </w:rPr>
        <w:t xml:space="preserve"> </w:t>
      </w:r>
      <w:r w:rsidR="00207C1D" w:rsidRPr="00540C11">
        <w:rPr>
          <w:rFonts w:ascii="Arial" w:hAnsi="Arial" w:cs="Arial"/>
          <w:sz w:val="24"/>
          <w:szCs w:val="24"/>
        </w:rPr>
        <w:t xml:space="preserve">This method </w:t>
      </w:r>
      <w:r w:rsidR="00207C1D" w:rsidRPr="00540C11">
        <w:rPr>
          <w:rFonts w:ascii="Arial" w:hAnsi="Arial" w:cs="Arial"/>
          <w:sz w:val="24"/>
          <w:szCs w:val="24"/>
        </w:rPr>
        <w:lastRenderedPageBreak/>
        <w:t xml:space="preserve">could be implemented </w:t>
      </w:r>
      <w:r w:rsidR="00540C11" w:rsidRPr="00540C11">
        <w:rPr>
          <w:rFonts w:ascii="Arial" w:hAnsi="Arial" w:cs="Arial"/>
          <w:sz w:val="24"/>
          <w:szCs w:val="24"/>
        </w:rPr>
        <w:t xml:space="preserve">for the 2018 Dashboard using the </w:t>
      </w:r>
      <w:r w:rsidR="00540C11">
        <w:rPr>
          <w:rFonts w:ascii="Arial" w:hAnsi="Arial" w:cs="Arial"/>
          <w:sz w:val="24"/>
          <w:szCs w:val="24"/>
        </w:rPr>
        <w:t xml:space="preserve">Class of 2018 </w:t>
      </w:r>
      <w:r w:rsidR="00540C11" w:rsidRPr="00540C11">
        <w:rPr>
          <w:rFonts w:ascii="Arial" w:hAnsi="Arial" w:cs="Arial"/>
          <w:sz w:val="24"/>
          <w:szCs w:val="24"/>
        </w:rPr>
        <w:t xml:space="preserve">four-year cohort data and the </w:t>
      </w:r>
      <w:r w:rsidR="00540C11">
        <w:rPr>
          <w:rFonts w:ascii="Arial" w:hAnsi="Arial" w:cs="Arial"/>
          <w:sz w:val="24"/>
          <w:szCs w:val="24"/>
        </w:rPr>
        <w:t xml:space="preserve">Class of 2017 </w:t>
      </w:r>
      <w:r w:rsidR="00540C11" w:rsidRPr="00540C11">
        <w:rPr>
          <w:rFonts w:ascii="Arial" w:hAnsi="Arial" w:cs="Arial"/>
          <w:sz w:val="24"/>
          <w:szCs w:val="24"/>
        </w:rPr>
        <w:t>five-year cohort data</w:t>
      </w:r>
      <w:r w:rsidR="00207C1D" w:rsidRPr="00540C11">
        <w:rPr>
          <w:rFonts w:ascii="Arial" w:hAnsi="Arial" w:cs="Arial"/>
          <w:sz w:val="24"/>
          <w:szCs w:val="24"/>
        </w:rPr>
        <w:t>.</w:t>
      </w:r>
    </w:p>
    <w:p w14:paraId="1775E697" w14:textId="26B4F187" w:rsidR="00DE6820" w:rsidRDefault="00DE6820" w:rsidP="00F41059">
      <w:pPr>
        <w:spacing w:after="240"/>
      </w:pPr>
      <w:r>
        <w:t xml:space="preserve">This information was presented to the California Practitioners Advisory Group (CPAG), the </w:t>
      </w:r>
      <w:r w:rsidR="00603C14">
        <w:t>L</w:t>
      </w:r>
      <w:r>
        <w:t xml:space="preserve">ocal </w:t>
      </w:r>
      <w:r w:rsidR="00603C14">
        <w:t>C</w:t>
      </w:r>
      <w:r>
        <w:t xml:space="preserve">ontrol </w:t>
      </w:r>
      <w:r w:rsidR="00603C14">
        <w:t>F</w:t>
      </w:r>
      <w:r>
        <w:t xml:space="preserve">unding </w:t>
      </w:r>
      <w:r w:rsidR="00603C14">
        <w:t>F</w:t>
      </w:r>
      <w:r w:rsidR="00F41059">
        <w:t xml:space="preserve">ormula </w:t>
      </w:r>
      <w:r>
        <w:t>stakeholder group</w:t>
      </w:r>
      <w:r w:rsidR="00A30047">
        <w:t>, and the TDG</w:t>
      </w:r>
      <w:r>
        <w:t>. At the August 2018 CPAG meeting, members</w:t>
      </w:r>
      <w:r w:rsidR="00F12F98">
        <w:t xml:space="preserve"> were divided into three discussion</w:t>
      </w:r>
      <w:r>
        <w:t xml:space="preserve"> groups </w:t>
      </w:r>
      <w:r w:rsidR="00F12F98">
        <w:t>to review the options. Their feedback is provided below:</w:t>
      </w:r>
    </w:p>
    <w:p w14:paraId="49A37C10" w14:textId="74F3CC43" w:rsidR="00DE6820" w:rsidRPr="00F41059" w:rsidRDefault="00DE6820" w:rsidP="00D45E70">
      <w:pPr>
        <w:pStyle w:val="ListParagraph"/>
        <w:numPr>
          <w:ilvl w:val="0"/>
          <w:numId w:val="11"/>
        </w:numPr>
        <w:spacing w:after="240"/>
        <w:rPr>
          <w:rFonts w:cs="Arial"/>
        </w:rPr>
      </w:pPr>
      <w:r w:rsidRPr="00F41059">
        <w:rPr>
          <w:rFonts w:ascii="Arial" w:hAnsi="Arial" w:cs="Arial"/>
          <w:sz w:val="24"/>
          <w:szCs w:val="24"/>
        </w:rPr>
        <w:t>Two groups recommended the weighted average</w:t>
      </w:r>
      <w:r w:rsidR="00F12F98" w:rsidRPr="00F41059">
        <w:rPr>
          <w:rFonts w:ascii="Arial" w:hAnsi="Arial" w:cs="Arial"/>
          <w:sz w:val="24"/>
          <w:szCs w:val="24"/>
        </w:rPr>
        <w:t xml:space="preserve"> option</w:t>
      </w:r>
      <w:r w:rsidRPr="00F41059">
        <w:rPr>
          <w:rFonts w:ascii="Arial" w:hAnsi="Arial" w:cs="Arial"/>
          <w:sz w:val="24"/>
          <w:szCs w:val="24"/>
        </w:rPr>
        <w:t xml:space="preserve"> because it provides an incentive to keep students at the non-alternative school, if necessary, but emphasizes that graduating students in four years is the priority.</w:t>
      </w:r>
    </w:p>
    <w:p w14:paraId="3B25D503" w14:textId="5244A98F" w:rsidR="00DE6820" w:rsidRPr="0043291A" w:rsidRDefault="00DE6820" w:rsidP="00D45E70">
      <w:pPr>
        <w:pStyle w:val="ListParagraph"/>
        <w:numPr>
          <w:ilvl w:val="0"/>
          <w:numId w:val="11"/>
        </w:numPr>
        <w:spacing w:after="240"/>
        <w:contextualSpacing/>
        <w:rPr>
          <w:rFonts w:ascii="Arial" w:hAnsi="Arial" w:cs="Arial"/>
          <w:sz w:val="24"/>
        </w:rPr>
      </w:pPr>
      <w:r w:rsidRPr="00F41059">
        <w:rPr>
          <w:rFonts w:ascii="Arial" w:hAnsi="Arial" w:cs="Arial"/>
          <w:sz w:val="24"/>
          <w:szCs w:val="24"/>
        </w:rPr>
        <w:t>One group recommended assigning the color to the higher of the two rates (four</w:t>
      </w:r>
      <w:r w:rsidR="00F41059" w:rsidRPr="00F41059">
        <w:rPr>
          <w:rFonts w:ascii="Arial" w:hAnsi="Arial" w:cs="Arial"/>
          <w:sz w:val="24"/>
          <w:szCs w:val="24"/>
        </w:rPr>
        <w:t>-</w:t>
      </w:r>
      <w:r w:rsidRPr="00F41059">
        <w:rPr>
          <w:rFonts w:ascii="Arial" w:hAnsi="Arial" w:cs="Arial"/>
          <w:sz w:val="24"/>
          <w:szCs w:val="24"/>
        </w:rPr>
        <w:t xml:space="preserve"> or five</w:t>
      </w:r>
      <w:r w:rsidR="00F41059" w:rsidRPr="00F41059">
        <w:rPr>
          <w:rFonts w:ascii="Arial" w:hAnsi="Arial" w:cs="Arial"/>
          <w:sz w:val="24"/>
          <w:szCs w:val="24"/>
        </w:rPr>
        <w:t>-</w:t>
      </w:r>
      <w:r w:rsidRPr="00F41059">
        <w:rPr>
          <w:rFonts w:ascii="Arial" w:hAnsi="Arial" w:cs="Arial"/>
          <w:sz w:val="24"/>
          <w:szCs w:val="24"/>
        </w:rPr>
        <w:t>year), but indicated they were not opposed a four- and five-year weighted average.</w:t>
      </w:r>
    </w:p>
    <w:p w14:paraId="3569B007" w14:textId="3F8844FF" w:rsidR="00DE6820" w:rsidRDefault="00DE6820" w:rsidP="0043291A">
      <w:pPr>
        <w:spacing w:after="240"/>
      </w:pPr>
      <w:r w:rsidRPr="008A046D">
        <w:t>The TDG recommended that the five-year graduation rate be incorporate</w:t>
      </w:r>
      <w:r w:rsidR="00F12F98">
        <w:t>d</w:t>
      </w:r>
      <w:r w:rsidRPr="008A046D">
        <w:t xml:space="preserve"> into the performance determination for the Graduation Rate Indicator. However,</w:t>
      </w:r>
      <w:r w:rsidR="00F12F98">
        <w:t xml:space="preserve"> it discussed several additional options that were not previously explored but that might be appropriate. One option of interest to many group members was </w:t>
      </w:r>
      <w:r w:rsidR="0043291A">
        <w:t>to use</w:t>
      </w:r>
      <w:r w:rsidR="00F12F98">
        <w:t xml:space="preserve"> the four-year cohort graduation rate as the base</w:t>
      </w:r>
      <w:r w:rsidR="0043291A">
        <w:t>,</w:t>
      </w:r>
      <w:r w:rsidR="00F12F98">
        <w:t xml:space="preserve"> but provid</w:t>
      </w:r>
      <w:r w:rsidR="0043291A">
        <w:t>e</w:t>
      </w:r>
      <w:r w:rsidR="00F12F98">
        <w:t xml:space="preserve"> additional credit for any five-year students from the previous year’s cohort</w:t>
      </w:r>
      <w:r w:rsidR="00A30047">
        <w:t>.</w:t>
      </w:r>
      <w:r w:rsidR="00F12F98">
        <w:t xml:space="preserve"> An example of this option is provided below:</w:t>
      </w:r>
    </w:p>
    <w:p w14:paraId="1D12ECDA" w14:textId="7245ACEE" w:rsidR="00F12F98" w:rsidRPr="00F33084" w:rsidRDefault="00F12F98" w:rsidP="001F68C4">
      <w:pPr>
        <w:spacing w:after="240"/>
        <w:ind w:left="360"/>
        <w:rPr>
          <w:i/>
        </w:rPr>
      </w:pPr>
      <w:r w:rsidRPr="00F33084">
        <w:rPr>
          <w:i/>
        </w:rPr>
        <w:t>At Emerald High School, there are 100 students in the Class of 201</w:t>
      </w:r>
      <w:r w:rsidR="009E58F8" w:rsidRPr="00F33084">
        <w:rPr>
          <w:i/>
        </w:rPr>
        <w:t>8</w:t>
      </w:r>
      <w:r w:rsidRPr="00F33084">
        <w:rPr>
          <w:i/>
        </w:rPr>
        <w:t xml:space="preserve"> (the four-year graduation cohort). Of these 100 students, 95 graduated within four years (e.g., by spring 2017). In addition, five students from the previous year’s four-year graduation cohort (Class of 201</w:t>
      </w:r>
      <w:r w:rsidR="009E58F8" w:rsidRPr="00F33084">
        <w:rPr>
          <w:i/>
        </w:rPr>
        <w:t>7</w:t>
      </w:r>
      <w:r w:rsidRPr="00F33084">
        <w:rPr>
          <w:i/>
        </w:rPr>
        <w:t xml:space="preserve">) graduated </w:t>
      </w:r>
      <w:r w:rsidR="00287209" w:rsidRPr="00F33084">
        <w:rPr>
          <w:i/>
        </w:rPr>
        <w:t>at the end of 201</w:t>
      </w:r>
      <w:r w:rsidR="009E58F8" w:rsidRPr="00F33084">
        <w:rPr>
          <w:i/>
        </w:rPr>
        <w:t>6</w:t>
      </w:r>
      <w:r w:rsidR="00287209" w:rsidRPr="00F33084">
        <w:rPr>
          <w:i/>
        </w:rPr>
        <w:t>–1</w:t>
      </w:r>
      <w:r w:rsidR="009E58F8" w:rsidRPr="00F33084">
        <w:rPr>
          <w:i/>
        </w:rPr>
        <w:t>7</w:t>
      </w:r>
      <w:r w:rsidR="00287209" w:rsidRPr="00F33084">
        <w:rPr>
          <w:i/>
        </w:rPr>
        <w:t xml:space="preserve"> school year. These five students are therefore counted in the five-year graduation rate.</w:t>
      </w:r>
    </w:p>
    <w:p w14:paraId="22E6FCBA" w14:textId="062D6A58" w:rsidR="00287209" w:rsidRPr="00F33084" w:rsidRDefault="00287209" w:rsidP="001F68C4">
      <w:pPr>
        <w:spacing w:after="240"/>
        <w:ind w:left="360"/>
        <w:rPr>
          <w:i/>
        </w:rPr>
      </w:pPr>
      <w:r w:rsidRPr="00F33084">
        <w:rPr>
          <w:i/>
        </w:rPr>
        <w:t>To produce a combined graduation rate for the four- and five-year graduates for 201</w:t>
      </w:r>
      <w:r w:rsidR="009E58F8" w:rsidRPr="00F33084">
        <w:rPr>
          <w:i/>
        </w:rPr>
        <w:t>8</w:t>
      </w:r>
      <w:r w:rsidRPr="00F33084">
        <w:rPr>
          <w:i/>
        </w:rPr>
        <w:t>, we first add the number of graduates in both cohorts:</w:t>
      </w:r>
      <w:r w:rsidR="005A3D42" w:rsidRPr="00F33084">
        <w:rPr>
          <w:i/>
        </w:rPr>
        <w:t xml:space="preserve"> </w:t>
      </w:r>
      <w:r w:rsidRPr="00F33084">
        <w:rPr>
          <w:i/>
        </w:rPr>
        <w:t>95 + 5 = 100</w:t>
      </w:r>
      <w:r w:rsidR="005A3D42" w:rsidRPr="00F33084">
        <w:rPr>
          <w:i/>
        </w:rPr>
        <w:t xml:space="preserve">. </w:t>
      </w:r>
    </w:p>
    <w:p w14:paraId="1E89FA39" w14:textId="7865070B" w:rsidR="00287209" w:rsidRPr="00F33084" w:rsidRDefault="00287209" w:rsidP="001F68C4">
      <w:pPr>
        <w:spacing w:after="240"/>
        <w:ind w:left="360"/>
        <w:rPr>
          <w:i/>
        </w:rPr>
      </w:pPr>
      <w:r w:rsidRPr="00F33084">
        <w:rPr>
          <w:i/>
        </w:rPr>
        <w:t>This number is the numerator of the combined rate.</w:t>
      </w:r>
    </w:p>
    <w:p w14:paraId="6237B145" w14:textId="1D6D6CA4" w:rsidR="00287209" w:rsidRPr="001F0EEE" w:rsidRDefault="00287209" w:rsidP="001F68C4">
      <w:pPr>
        <w:spacing w:after="240"/>
        <w:ind w:left="360"/>
        <w:rPr>
          <w:i/>
        </w:rPr>
      </w:pPr>
      <w:r w:rsidRPr="00F33084">
        <w:rPr>
          <w:i/>
        </w:rPr>
        <w:t>The denominator is the sum of the 201</w:t>
      </w:r>
      <w:r w:rsidR="009E58F8" w:rsidRPr="00F33084">
        <w:rPr>
          <w:i/>
        </w:rPr>
        <w:t>8</w:t>
      </w:r>
      <w:r w:rsidRPr="00F33084">
        <w:rPr>
          <w:i/>
        </w:rPr>
        <w:t xml:space="preserve"> four-year graduation </w:t>
      </w:r>
      <w:r w:rsidRPr="001F0EEE">
        <w:rPr>
          <w:i/>
        </w:rPr>
        <w:t>cohort and the additional five-year graduates from the previous year’s cohort:</w:t>
      </w:r>
      <w:r w:rsidR="005A3D42" w:rsidRPr="001F0EEE">
        <w:rPr>
          <w:i/>
        </w:rPr>
        <w:t xml:space="preserve"> </w:t>
      </w:r>
      <w:r w:rsidRPr="001F0EEE">
        <w:rPr>
          <w:i/>
        </w:rPr>
        <w:t xml:space="preserve">100 + </w:t>
      </w:r>
      <w:r w:rsidR="006416BF" w:rsidRPr="001F0EEE">
        <w:rPr>
          <w:i/>
        </w:rPr>
        <w:t>5 = 10</w:t>
      </w:r>
      <w:r w:rsidRPr="001F0EEE">
        <w:rPr>
          <w:i/>
        </w:rPr>
        <w:t>5</w:t>
      </w:r>
      <w:r w:rsidR="005A3D42" w:rsidRPr="001F0EEE">
        <w:rPr>
          <w:i/>
        </w:rPr>
        <w:t>.</w:t>
      </w:r>
    </w:p>
    <w:p w14:paraId="72BAF8E2" w14:textId="62FA1B41" w:rsidR="00287209" w:rsidRDefault="006416BF" w:rsidP="001F68C4">
      <w:pPr>
        <w:spacing w:after="240"/>
        <w:ind w:left="360"/>
      </w:pPr>
      <w:r w:rsidRPr="001F0EEE">
        <w:rPr>
          <w:i/>
        </w:rPr>
        <w:t>The combined rate is</w:t>
      </w:r>
      <w:r w:rsidR="00E742F6" w:rsidRPr="001F0EEE">
        <w:rPr>
          <w:i/>
        </w:rPr>
        <w:t xml:space="preserve"> 95.24</w:t>
      </w:r>
      <w:r w:rsidR="00287209" w:rsidRPr="001F0EEE">
        <w:rPr>
          <w:i/>
        </w:rPr>
        <w:t xml:space="preserve"> percent (100/1</w:t>
      </w:r>
      <w:r w:rsidRPr="001F0EEE">
        <w:rPr>
          <w:i/>
        </w:rPr>
        <w:t>0</w:t>
      </w:r>
      <w:r w:rsidR="00287209" w:rsidRPr="001F0EEE">
        <w:rPr>
          <w:i/>
        </w:rPr>
        <w:t>5)</w:t>
      </w:r>
      <w:r w:rsidR="0043291A" w:rsidRPr="001F0EEE">
        <w:rPr>
          <w:i/>
        </w:rPr>
        <w:t>.</w:t>
      </w:r>
      <w:bookmarkStart w:id="0" w:name="_GoBack"/>
      <w:bookmarkEnd w:id="0"/>
    </w:p>
    <w:p w14:paraId="19A72DD6" w14:textId="7705B177" w:rsidR="008A046D" w:rsidRPr="009C6096" w:rsidRDefault="008A046D" w:rsidP="0043291A">
      <w:pPr>
        <w:pStyle w:val="Heading4"/>
        <w:spacing w:before="0" w:after="240"/>
        <w:rPr>
          <w:rFonts w:ascii="Arial" w:hAnsi="Arial" w:cs="Arial"/>
          <w:b/>
          <w:color w:val="auto"/>
        </w:rPr>
      </w:pPr>
      <w:r w:rsidRPr="009C6096">
        <w:rPr>
          <w:rFonts w:ascii="Arial" w:hAnsi="Arial" w:cs="Arial"/>
          <w:b/>
          <w:color w:val="auto"/>
        </w:rPr>
        <w:t>Impact of Audit Findings on Reporting Two Years of Graduation Data in 2018 Dashboard</w:t>
      </w:r>
    </w:p>
    <w:p w14:paraId="1E0F0A4D" w14:textId="07ED63DB" w:rsidR="001C5065" w:rsidRDefault="008A046D" w:rsidP="008A046D">
      <w:r>
        <w:t xml:space="preserve">The CDE was required to </w:t>
      </w:r>
      <w:r w:rsidRPr="00BE3F83">
        <w:t xml:space="preserve">address audit findings from the U.S. Department of Education Office of Inspector General </w:t>
      </w:r>
      <w:r>
        <w:t>related to</w:t>
      </w:r>
      <w:r w:rsidRPr="00BE3F83">
        <w:t xml:space="preserve"> California’s </w:t>
      </w:r>
      <w:r>
        <w:t xml:space="preserve">four-year cohort graduation rate </w:t>
      </w:r>
      <w:r w:rsidRPr="00BE3F83">
        <w:t>calculation</w:t>
      </w:r>
      <w:r>
        <w:t xml:space="preserve"> and its alignment </w:t>
      </w:r>
      <w:r w:rsidRPr="00BE3F83">
        <w:t xml:space="preserve">with </w:t>
      </w:r>
      <w:r>
        <w:t xml:space="preserve">guidance and definitions provided in </w:t>
      </w:r>
      <w:r w:rsidRPr="00BE3F83">
        <w:t xml:space="preserve">the </w:t>
      </w:r>
      <w:r w:rsidRPr="003E5B91">
        <w:rPr>
          <w:i/>
        </w:rPr>
        <w:t>Every Student Succeeds Act High School Graduation Rate Non-Regulatory Guidance</w:t>
      </w:r>
      <w:r w:rsidRPr="00BE3F83">
        <w:t xml:space="preserve"> (2017)</w:t>
      </w:r>
      <w:r>
        <w:t xml:space="preserve">. Based on these </w:t>
      </w:r>
      <w:r w:rsidR="001C5065">
        <w:t xml:space="preserve">findings, it was necessary to recalculate the 2016–17 and 2017–18 </w:t>
      </w:r>
      <w:r w:rsidR="001C5065">
        <w:lastRenderedPageBreak/>
        <w:t xml:space="preserve">graduation rates using the new rules. </w:t>
      </w:r>
      <w:r w:rsidR="00A30047">
        <w:t xml:space="preserve">An update on </w:t>
      </w:r>
      <w:r w:rsidR="00861130">
        <w:t>the r</w:t>
      </w:r>
      <w:r w:rsidR="00A30047">
        <w:rPr>
          <w:color w:val="000000"/>
        </w:rPr>
        <w:t xml:space="preserve">evisions to </w:t>
      </w:r>
      <w:r w:rsidR="00861130">
        <w:rPr>
          <w:color w:val="000000"/>
        </w:rPr>
        <w:t>c</w:t>
      </w:r>
      <w:r w:rsidR="00A30047">
        <w:rPr>
          <w:color w:val="000000"/>
        </w:rPr>
        <w:t xml:space="preserve">alculating the </w:t>
      </w:r>
      <w:r w:rsidR="00861130">
        <w:rPr>
          <w:color w:val="000000"/>
        </w:rPr>
        <w:t>g</w:t>
      </w:r>
      <w:r w:rsidR="00A30047">
        <w:rPr>
          <w:color w:val="000000"/>
        </w:rPr>
        <w:t xml:space="preserve">raduation </w:t>
      </w:r>
      <w:r w:rsidR="00861130">
        <w:rPr>
          <w:color w:val="000000"/>
        </w:rPr>
        <w:t>r</w:t>
      </w:r>
      <w:r w:rsidR="00A30047">
        <w:rPr>
          <w:color w:val="000000"/>
        </w:rPr>
        <w:t xml:space="preserve">ate and </w:t>
      </w:r>
      <w:r w:rsidR="00861130">
        <w:rPr>
          <w:color w:val="000000"/>
        </w:rPr>
        <w:t>i</w:t>
      </w:r>
      <w:r w:rsidR="00A30047">
        <w:rPr>
          <w:color w:val="000000"/>
        </w:rPr>
        <w:t>mpact on the Dashboard</w:t>
      </w:r>
      <w:r w:rsidR="00A30047">
        <w:t xml:space="preserve"> </w:t>
      </w:r>
      <w:r>
        <w:t xml:space="preserve">regarding these changes </w:t>
      </w:r>
      <w:r w:rsidR="00A30047">
        <w:t>wa</w:t>
      </w:r>
      <w:r>
        <w:t xml:space="preserve">s provided in the June 2018 SBE </w:t>
      </w:r>
      <w:r w:rsidR="00A30047">
        <w:t xml:space="preserve">Information </w:t>
      </w:r>
      <w:r>
        <w:t>Memorandum</w:t>
      </w:r>
      <w:r w:rsidR="00DA5BAE">
        <w:t xml:space="preserve"> </w:t>
      </w:r>
      <w:r>
        <w:t>(</w:t>
      </w:r>
      <w:hyperlink r:id="rId26" w:tooltip="June 2018 CDE Info Memo 02" w:history="1">
        <w:r w:rsidRPr="00B95E9E">
          <w:rPr>
            <w:rStyle w:val="Hyperlink"/>
          </w:rPr>
          <w:t>https://www.cde.ca.gov/be/pn/im/documents/memo-pptb-amard-jun18item02.docx</w:t>
        </w:r>
      </w:hyperlink>
      <w:r>
        <w:t xml:space="preserve">). </w:t>
      </w:r>
    </w:p>
    <w:p w14:paraId="3633B010" w14:textId="77777777" w:rsidR="001C5065" w:rsidRDefault="001C5065" w:rsidP="008A046D"/>
    <w:p w14:paraId="119DB13B" w14:textId="078BFA30" w:rsidR="009E58F8" w:rsidRDefault="001C5065" w:rsidP="008A046D">
      <w:r>
        <w:t>The new</w:t>
      </w:r>
      <w:r w:rsidR="009E58F8">
        <w:t xml:space="preserve"> federal rules will be used to calculate </w:t>
      </w:r>
      <w:r>
        <w:t xml:space="preserve">Status and Change for the </w:t>
      </w:r>
      <w:r w:rsidR="009E58F8">
        <w:t>four-year graduation rate cohort</w:t>
      </w:r>
      <w:r w:rsidR="008A046D">
        <w:t>.</w:t>
      </w:r>
      <w:r>
        <w:t xml:space="preserve"> </w:t>
      </w:r>
      <w:r w:rsidR="009E58F8">
        <w:t xml:space="preserve">However, because the CDE </w:t>
      </w:r>
      <w:r w:rsidR="00A30047">
        <w:t xml:space="preserve">is </w:t>
      </w:r>
      <w:r w:rsidR="009E58F8">
        <w:t>not re-calculat</w:t>
      </w:r>
      <w:r w:rsidR="00A30047">
        <w:t>ing</w:t>
      </w:r>
      <w:r w:rsidR="009E58F8">
        <w:t xml:space="preserve"> graduation rates </w:t>
      </w:r>
      <w:r w:rsidR="00A30047">
        <w:t xml:space="preserve">using these new rules </w:t>
      </w:r>
      <w:r w:rsidR="009E58F8">
        <w:t xml:space="preserve">prior to 2016–17, only one year of data </w:t>
      </w:r>
      <w:r w:rsidR="00A30047">
        <w:t>is</w:t>
      </w:r>
      <w:r w:rsidR="009E58F8">
        <w:t xml:space="preserve"> </w:t>
      </w:r>
      <w:r w:rsidR="00CD4A86">
        <w:t>available</w:t>
      </w:r>
      <w:r w:rsidR="009E58F8">
        <w:t xml:space="preserve"> for the five-year gr</w:t>
      </w:r>
      <w:r w:rsidR="0043291A">
        <w:t>aduation rate cohort. Therefore</w:t>
      </w:r>
      <w:r w:rsidR="009E58F8">
        <w:t xml:space="preserve"> </w:t>
      </w:r>
      <w:r w:rsidR="00D919D9">
        <w:t xml:space="preserve">Change, which requires two years of data, </w:t>
      </w:r>
      <w:r w:rsidR="00CD4A86">
        <w:t>cann</w:t>
      </w:r>
      <w:r w:rsidR="009E58F8">
        <w:t xml:space="preserve">ot be reported </w:t>
      </w:r>
      <w:r w:rsidR="00D919D9">
        <w:t xml:space="preserve">for the five-year graduation cohort </w:t>
      </w:r>
      <w:r w:rsidR="009E58F8">
        <w:t>until the 2019 Dashboard.</w:t>
      </w:r>
    </w:p>
    <w:p w14:paraId="7765B000" w14:textId="77777777" w:rsidR="009E58F8" w:rsidRDefault="009E58F8" w:rsidP="008A046D"/>
    <w:p w14:paraId="5D841AAB" w14:textId="243E00BA" w:rsidR="00827E8B" w:rsidRDefault="001C5065" w:rsidP="00DE6820">
      <w:r>
        <w:t>Since all</w:t>
      </w:r>
      <w:r w:rsidR="00287209">
        <w:t xml:space="preserve"> recommended </w:t>
      </w:r>
      <w:r w:rsidR="00DE6820" w:rsidRPr="00827E8B">
        <w:t>options</w:t>
      </w:r>
      <w:r w:rsidR="00827E8B">
        <w:t xml:space="preserve"> </w:t>
      </w:r>
      <w:r w:rsidR="00827E8B" w:rsidRPr="00786DFA">
        <w:t>for incorporating the five-year cohort rate in</w:t>
      </w:r>
      <w:r w:rsidR="00827E8B">
        <w:t>to</w:t>
      </w:r>
      <w:r w:rsidR="00827E8B" w:rsidRPr="00786DFA">
        <w:t xml:space="preserve"> the </w:t>
      </w:r>
      <w:r w:rsidR="00827E8B">
        <w:t>Dashboard</w:t>
      </w:r>
      <w:r w:rsidR="008A046D">
        <w:t xml:space="preserve"> </w:t>
      </w:r>
      <w:r w:rsidR="00DE6820" w:rsidRPr="00827E8B">
        <w:t>will require two five-year graduation rates</w:t>
      </w:r>
      <w:r w:rsidR="00EB3A39">
        <w:t>,</w:t>
      </w:r>
      <w:r w:rsidR="00DE6820" w:rsidRPr="00827E8B">
        <w:t xml:space="preserve"> the TDG recommended </w:t>
      </w:r>
      <w:r>
        <w:t>the following</w:t>
      </w:r>
      <w:r w:rsidR="00827E8B">
        <w:t>:</w:t>
      </w:r>
    </w:p>
    <w:p w14:paraId="0A173681" w14:textId="77777777" w:rsidR="00827E8B" w:rsidRDefault="00827E8B" w:rsidP="00DE6820"/>
    <w:p w14:paraId="2C87F682" w14:textId="414CF20E" w:rsidR="00827E8B" w:rsidRDefault="0043291A" w:rsidP="00D45E70">
      <w:pPr>
        <w:pStyle w:val="ListParagraph"/>
        <w:numPr>
          <w:ilvl w:val="0"/>
          <w:numId w:val="17"/>
        </w:numPr>
        <w:rPr>
          <w:rFonts w:ascii="Arial" w:hAnsi="Arial" w:cs="Arial"/>
          <w:sz w:val="24"/>
          <w:szCs w:val="24"/>
        </w:rPr>
      </w:pPr>
      <w:r>
        <w:rPr>
          <w:rFonts w:ascii="Arial" w:hAnsi="Arial" w:cs="Arial"/>
          <w:sz w:val="24"/>
          <w:szCs w:val="24"/>
        </w:rPr>
        <w:t>Report the f</w:t>
      </w:r>
      <w:r w:rsidR="00827E8B">
        <w:rPr>
          <w:rFonts w:ascii="Arial" w:hAnsi="Arial" w:cs="Arial"/>
          <w:sz w:val="24"/>
          <w:szCs w:val="24"/>
        </w:rPr>
        <w:t>ive-year graduation rate for the Class of 2017</w:t>
      </w:r>
      <w:r>
        <w:rPr>
          <w:rFonts w:ascii="Arial" w:hAnsi="Arial" w:cs="Arial"/>
          <w:sz w:val="24"/>
          <w:szCs w:val="24"/>
        </w:rPr>
        <w:t>,</w:t>
      </w:r>
      <w:r w:rsidR="00827E8B">
        <w:rPr>
          <w:rFonts w:ascii="Arial" w:hAnsi="Arial" w:cs="Arial"/>
          <w:sz w:val="24"/>
          <w:szCs w:val="24"/>
        </w:rPr>
        <w:t xml:space="preserve"> for informational purposes only, in the 2018 Dashboard, and</w:t>
      </w:r>
    </w:p>
    <w:p w14:paraId="7238BBCA" w14:textId="77777777" w:rsidR="00827E8B" w:rsidRDefault="00827E8B" w:rsidP="00827E8B">
      <w:pPr>
        <w:pStyle w:val="ListParagraph"/>
        <w:rPr>
          <w:rFonts w:ascii="Arial" w:hAnsi="Arial" w:cs="Arial"/>
          <w:sz w:val="24"/>
          <w:szCs w:val="24"/>
        </w:rPr>
      </w:pPr>
    </w:p>
    <w:p w14:paraId="7EED9E55" w14:textId="742975F0" w:rsidR="00DE6820" w:rsidRPr="00827E8B" w:rsidRDefault="0043291A" w:rsidP="00D45E70">
      <w:pPr>
        <w:pStyle w:val="ListParagraph"/>
        <w:numPr>
          <w:ilvl w:val="0"/>
          <w:numId w:val="17"/>
        </w:numPr>
        <w:rPr>
          <w:rFonts w:ascii="Arial" w:hAnsi="Arial" w:cs="Arial"/>
          <w:sz w:val="24"/>
          <w:szCs w:val="24"/>
        </w:rPr>
      </w:pPr>
      <w:r>
        <w:rPr>
          <w:rFonts w:ascii="Arial" w:hAnsi="Arial" w:cs="Arial"/>
          <w:sz w:val="24"/>
          <w:szCs w:val="24"/>
        </w:rPr>
        <w:t>Revisit a</w:t>
      </w:r>
      <w:r w:rsidR="00827E8B">
        <w:rPr>
          <w:rFonts w:ascii="Arial" w:hAnsi="Arial" w:cs="Arial"/>
          <w:sz w:val="24"/>
          <w:szCs w:val="24"/>
        </w:rPr>
        <w:t xml:space="preserve">dditional options (e.g., simple and weighted average of four- and five-year graduate rates, boosting the four-year graduation cohort rate by providing credit for five-year graduates from previous cohort) </w:t>
      </w:r>
      <w:r w:rsidR="00CD4A86">
        <w:rPr>
          <w:rFonts w:ascii="Arial" w:hAnsi="Arial" w:cs="Arial"/>
          <w:sz w:val="24"/>
          <w:szCs w:val="24"/>
        </w:rPr>
        <w:t xml:space="preserve">for </w:t>
      </w:r>
      <w:r w:rsidR="00CD4A86" w:rsidRPr="00CD4A86">
        <w:rPr>
          <w:rFonts w:ascii="Arial" w:hAnsi="Arial" w:cs="Arial"/>
          <w:sz w:val="24"/>
          <w:szCs w:val="24"/>
        </w:rPr>
        <w:t xml:space="preserve">incorporating the five-year rate into the performance determination </w:t>
      </w:r>
      <w:r w:rsidR="00CD4A86">
        <w:rPr>
          <w:rFonts w:ascii="Arial" w:hAnsi="Arial" w:cs="Arial"/>
          <w:sz w:val="24"/>
          <w:szCs w:val="24"/>
        </w:rPr>
        <w:t xml:space="preserve">for the Dashboard </w:t>
      </w:r>
      <w:r w:rsidR="00DE6820" w:rsidRPr="00827E8B">
        <w:rPr>
          <w:rFonts w:ascii="Arial" w:hAnsi="Arial" w:cs="Arial"/>
          <w:sz w:val="24"/>
          <w:szCs w:val="24"/>
        </w:rPr>
        <w:t xml:space="preserve">after the five-year </w:t>
      </w:r>
      <w:r w:rsidR="004F7322" w:rsidRPr="00827E8B">
        <w:rPr>
          <w:rFonts w:ascii="Arial" w:hAnsi="Arial" w:cs="Arial"/>
          <w:sz w:val="24"/>
          <w:szCs w:val="24"/>
        </w:rPr>
        <w:t xml:space="preserve">cohort graduation </w:t>
      </w:r>
      <w:r w:rsidR="00DE6820" w:rsidRPr="00827E8B">
        <w:rPr>
          <w:rFonts w:ascii="Arial" w:hAnsi="Arial" w:cs="Arial"/>
          <w:sz w:val="24"/>
          <w:szCs w:val="24"/>
        </w:rPr>
        <w:t xml:space="preserve">is available </w:t>
      </w:r>
      <w:r w:rsidR="004F7322" w:rsidRPr="00827E8B">
        <w:rPr>
          <w:rFonts w:ascii="Arial" w:hAnsi="Arial" w:cs="Arial"/>
          <w:sz w:val="24"/>
          <w:szCs w:val="24"/>
        </w:rPr>
        <w:t xml:space="preserve">for the </w:t>
      </w:r>
      <w:r w:rsidR="00827E8B" w:rsidRPr="00827E8B">
        <w:rPr>
          <w:rFonts w:ascii="Arial" w:hAnsi="Arial" w:cs="Arial"/>
          <w:sz w:val="24"/>
          <w:szCs w:val="24"/>
        </w:rPr>
        <w:t>C</w:t>
      </w:r>
      <w:r w:rsidR="004F7322" w:rsidRPr="00827E8B">
        <w:rPr>
          <w:rFonts w:ascii="Arial" w:hAnsi="Arial" w:cs="Arial"/>
          <w:sz w:val="24"/>
          <w:szCs w:val="24"/>
        </w:rPr>
        <w:t>lass of 201</w:t>
      </w:r>
      <w:r w:rsidR="00CC428C">
        <w:rPr>
          <w:rFonts w:ascii="Arial" w:hAnsi="Arial" w:cs="Arial"/>
          <w:sz w:val="24"/>
          <w:szCs w:val="24"/>
        </w:rPr>
        <w:t>8</w:t>
      </w:r>
      <w:r w:rsidR="004F7322" w:rsidRPr="00827E8B">
        <w:rPr>
          <w:rFonts w:ascii="Arial" w:hAnsi="Arial" w:cs="Arial"/>
          <w:sz w:val="24"/>
          <w:szCs w:val="24"/>
        </w:rPr>
        <w:t xml:space="preserve"> </w:t>
      </w:r>
      <w:r w:rsidR="00DE6820" w:rsidRPr="00827E8B">
        <w:rPr>
          <w:rFonts w:ascii="Arial" w:hAnsi="Arial" w:cs="Arial"/>
          <w:sz w:val="24"/>
          <w:szCs w:val="24"/>
        </w:rPr>
        <w:t xml:space="preserve">and simulations </w:t>
      </w:r>
      <w:r w:rsidR="00827E8B" w:rsidRPr="00827E8B">
        <w:rPr>
          <w:rFonts w:ascii="Arial" w:hAnsi="Arial" w:cs="Arial"/>
          <w:sz w:val="24"/>
          <w:szCs w:val="24"/>
        </w:rPr>
        <w:t>can be</w:t>
      </w:r>
      <w:r w:rsidR="00DE6820" w:rsidRPr="00827E8B">
        <w:rPr>
          <w:rFonts w:ascii="Arial" w:hAnsi="Arial" w:cs="Arial"/>
          <w:sz w:val="24"/>
          <w:szCs w:val="24"/>
        </w:rPr>
        <w:t xml:space="preserve"> </w:t>
      </w:r>
      <w:r w:rsidR="004F7322" w:rsidRPr="00827E8B">
        <w:rPr>
          <w:rFonts w:ascii="Arial" w:hAnsi="Arial" w:cs="Arial"/>
          <w:sz w:val="24"/>
          <w:szCs w:val="24"/>
        </w:rPr>
        <w:t>produced</w:t>
      </w:r>
      <w:r w:rsidR="00A45973">
        <w:rPr>
          <w:rFonts w:ascii="Arial" w:hAnsi="Arial" w:cs="Arial"/>
          <w:sz w:val="24"/>
          <w:szCs w:val="24"/>
        </w:rPr>
        <w:t>.</w:t>
      </w:r>
      <w:r w:rsidR="004F7322" w:rsidRPr="00827E8B">
        <w:rPr>
          <w:rFonts w:ascii="Arial" w:hAnsi="Arial" w:cs="Arial"/>
          <w:sz w:val="24"/>
          <w:szCs w:val="24"/>
        </w:rPr>
        <w:t xml:space="preserve"> </w:t>
      </w:r>
      <w:r w:rsidR="00DE6820" w:rsidRPr="00827E8B">
        <w:rPr>
          <w:rFonts w:ascii="Arial" w:hAnsi="Arial" w:cs="Arial"/>
          <w:sz w:val="24"/>
          <w:szCs w:val="24"/>
        </w:rPr>
        <w:t xml:space="preserve"> </w:t>
      </w:r>
    </w:p>
    <w:p w14:paraId="3AEF2A0C" w14:textId="77777777" w:rsidR="00312D00" w:rsidRDefault="00312D00">
      <w:pPr>
        <w:spacing w:after="160" w:line="259" w:lineRule="auto"/>
        <w:sectPr w:rsidR="00312D00" w:rsidSect="00BB765F">
          <w:headerReference w:type="default" r:id="rId27"/>
          <w:footerReference w:type="default" r:id="rId28"/>
          <w:headerReference w:type="first" r:id="rId29"/>
          <w:pgSz w:w="12240" w:h="15840"/>
          <w:pgMar w:top="720" w:right="1440" w:bottom="1440" w:left="1440" w:header="720" w:footer="720" w:gutter="0"/>
          <w:pgNumType w:start="1"/>
          <w:cols w:space="720"/>
          <w:docGrid w:linePitch="326"/>
        </w:sectPr>
      </w:pPr>
    </w:p>
    <w:p w14:paraId="14AD13A1" w14:textId="0200046E" w:rsidR="00CA64F8" w:rsidRDefault="00CA64F8" w:rsidP="00CA64F8">
      <w:pPr>
        <w:pStyle w:val="Heading2"/>
        <w:spacing w:after="240"/>
        <w:rPr>
          <w:sz w:val="32"/>
          <w:szCs w:val="32"/>
        </w:rPr>
      </w:pPr>
      <w:r w:rsidRPr="00CA64F8">
        <w:rPr>
          <w:sz w:val="32"/>
          <w:szCs w:val="32"/>
        </w:rPr>
        <w:lastRenderedPageBreak/>
        <w:t>Attachment 2: Proposed Methodology for</w:t>
      </w:r>
      <w:r w:rsidR="00D2596B">
        <w:rPr>
          <w:sz w:val="32"/>
          <w:szCs w:val="32"/>
        </w:rPr>
        <w:t xml:space="preserve"> the</w:t>
      </w:r>
      <w:r w:rsidRPr="00CA64F8">
        <w:rPr>
          <w:sz w:val="32"/>
          <w:szCs w:val="32"/>
        </w:rPr>
        <w:t xml:space="preserve"> Chronic Absenteeism Indicator</w:t>
      </w:r>
    </w:p>
    <w:p w14:paraId="5A03798A" w14:textId="6BD68753" w:rsidR="00CA64F8" w:rsidRDefault="00CA64F8" w:rsidP="00CA64F8">
      <w:pPr>
        <w:spacing w:after="240"/>
        <w:rPr>
          <w:rFonts w:cs="Arial"/>
        </w:rPr>
      </w:pPr>
      <w:r w:rsidRPr="006A23F5">
        <w:rPr>
          <w:rFonts w:cs="Arial"/>
        </w:rPr>
        <w:t xml:space="preserve">California’s new multiple measures accountability and continuous improvement system was developed to align with the priorities of the Local Control Funding Formula </w:t>
      </w:r>
      <w:r w:rsidR="00861130">
        <w:rPr>
          <w:rFonts w:cs="Arial"/>
        </w:rPr>
        <w:t xml:space="preserve">(LCFF) </w:t>
      </w:r>
      <w:r w:rsidRPr="006A23F5">
        <w:rPr>
          <w:rFonts w:cs="Arial"/>
        </w:rPr>
        <w:t>and to meet the Every Student Succeeds Act (ESSA)</w:t>
      </w:r>
      <w:r w:rsidR="00861130">
        <w:rPr>
          <w:rFonts w:cs="Arial"/>
        </w:rPr>
        <w:t xml:space="preserve"> </w:t>
      </w:r>
      <w:r w:rsidR="00861130" w:rsidRPr="006A23F5">
        <w:rPr>
          <w:rFonts w:cs="Arial"/>
        </w:rPr>
        <w:t>requirements</w:t>
      </w:r>
      <w:r w:rsidRPr="006A23F5">
        <w:rPr>
          <w:rFonts w:cs="Arial"/>
        </w:rPr>
        <w:t xml:space="preserve">. Chronic absenteeism is a metric identified as part of </w:t>
      </w:r>
      <w:r w:rsidR="00861130">
        <w:rPr>
          <w:rFonts w:cs="Arial"/>
        </w:rPr>
        <w:t xml:space="preserve">LCFF </w:t>
      </w:r>
      <w:r w:rsidRPr="006A23F5">
        <w:rPr>
          <w:rFonts w:cs="Arial"/>
        </w:rPr>
        <w:t>Prior</w:t>
      </w:r>
      <w:r w:rsidR="0043291A">
        <w:rPr>
          <w:rFonts w:cs="Arial"/>
        </w:rPr>
        <w:t>ity 5 (Pupil Engagement)</w:t>
      </w:r>
      <w:r w:rsidRPr="006A23F5">
        <w:rPr>
          <w:rFonts w:cs="Arial"/>
        </w:rPr>
        <w:t xml:space="preserve"> and</w:t>
      </w:r>
      <w:r w:rsidR="0043291A">
        <w:rPr>
          <w:rFonts w:cs="Arial"/>
        </w:rPr>
        <w:t>,</w:t>
      </w:r>
      <w:r w:rsidRPr="006A23F5">
        <w:rPr>
          <w:rFonts w:cs="Arial"/>
        </w:rPr>
        <w:t xml:space="preserve"> under the ESSA, states are required to collect data to identify students who are chronically absent and report chronic absenteeism rates for schools in the</w:t>
      </w:r>
      <w:r w:rsidR="00207C1D">
        <w:rPr>
          <w:rFonts w:cs="Arial"/>
        </w:rPr>
        <w:t xml:space="preserve"> ESSA</w:t>
      </w:r>
      <w:r w:rsidRPr="006A23F5">
        <w:rPr>
          <w:rFonts w:cs="Arial"/>
        </w:rPr>
        <w:t xml:space="preserve"> </w:t>
      </w:r>
      <w:r w:rsidR="0043291A">
        <w:rPr>
          <w:rFonts w:cs="Arial"/>
        </w:rPr>
        <w:t>State Report Card (Section 1111[h][1][C][viii]</w:t>
      </w:r>
      <w:r w:rsidRPr="006A23F5">
        <w:rPr>
          <w:rFonts w:cs="Arial"/>
        </w:rPr>
        <w:t xml:space="preserve">). </w:t>
      </w:r>
    </w:p>
    <w:p w14:paraId="7522C67F" w14:textId="753A550B" w:rsidR="00CA64F8" w:rsidRDefault="00CA64F8" w:rsidP="0043291A">
      <w:pPr>
        <w:spacing w:after="240"/>
        <w:rPr>
          <w:rFonts w:cs="Arial"/>
        </w:rPr>
      </w:pPr>
      <w:r w:rsidRPr="006A23F5">
        <w:rPr>
          <w:rFonts w:cs="Arial"/>
        </w:rPr>
        <w:t>For purposes of the Local Control and Accountability Plan, student</w:t>
      </w:r>
      <w:r w:rsidR="00CD4A86">
        <w:rPr>
          <w:rFonts w:cs="Arial"/>
        </w:rPr>
        <w:t>s</w:t>
      </w:r>
      <w:r w:rsidRPr="006A23F5">
        <w:rPr>
          <w:rFonts w:cs="Arial"/>
        </w:rPr>
        <w:t xml:space="preserve"> who </w:t>
      </w:r>
      <w:r w:rsidR="00CD4A86">
        <w:rPr>
          <w:rFonts w:cs="Arial"/>
        </w:rPr>
        <w:t>are</w:t>
      </w:r>
      <w:r w:rsidRPr="006A23F5">
        <w:rPr>
          <w:rFonts w:cs="Arial"/>
        </w:rPr>
        <w:t xml:space="preserve"> absent </w:t>
      </w:r>
      <w:r w:rsidRPr="006A23F5">
        <w:rPr>
          <w:rFonts w:cs="Arial"/>
          <w:szCs w:val="22"/>
        </w:rPr>
        <w:t xml:space="preserve">10 percent or more </w:t>
      </w:r>
      <w:r w:rsidRPr="006A23F5">
        <w:rPr>
          <w:rFonts w:cs="Arial"/>
        </w:rPr>
        <w:t xml:space="preserve">of the </w:t>
      </w:r>
      <w:r w:rsidR="00CD4A86">
        <w:rPr>
          <w:rFonts w:cs="Arial"/>
        </w:rPr>
        <w:t xml:space="preserve">instructional </w:t>
      </w:r>
      <w:r w:rsidRPr="006A23F5">
        <w:rPr>
          <w:rFonts w:cs="Arial"/>
        </w:rPr>
        <w:t>days they were expected to attend</w:t>
      </w:r>
      <w:r w:rsidRPr="006A23F5">
        <w:rPr>
          <w:rFonts w:cs="Arial"/>
          <w:szCs w:val="22"/>
        </w:rPr>
        <w:t xml:space="preserve"> </w:t>
      </w:r>
      <w:r w:rsidR="0043291A">
        <w:rPr>
          <w:rFonts w:cs="Arial"/>
          <w:szCs w:val="22"/>
        </w:rPr>
        <w:t>are</w:t>
      </w:r>
      <w:r w:rsidRPr="006A23F5">
        <w:rPr>
          <w:rFonts w:cs="Arial"/>
          <w:szCs w:val="22"/>
        </w:rPr>
        <w:t xml:space="preserve"> defined as </w:t>
      </w:r>
      <w:r w:rsidRPr="006A23F5">
        <w:rPr>
          <w:rFonts w:cs="Arial"/>
        </w:rPr>
        <w:t>“chronically absent</w:t>
      </w:r>
      <w:r>
        <w:rPr>
          <w:rFonts w:cs="Arial"/>
        </w:rPr>
        <w:t>.</w:t>
      </w:r>
      <w:r w:rsidRPr="006A23F5">
        <w:rPr>
          <w:rFonts w:cs="Arial"/>
        </w:rPr>
        <w:t>”</w:t>
      </w:r>
      <w:r>
        <w:rPr>
          <w:rFonts w:cs="Arial"/>
        </w:rPr>
        <w:t xml:space="preserve"> </w:t>
      </w:r>
      <w:r w:rsidR="00F33084">
        <w:rPr>
          <w:rFonts w:cs="Arial"/>
        </w:rPr>
        <w:t>C</w:t>
      </w:r>
      <w:r>
        <w:rPr>
          <w:rFonts w:cs="Arial"/>
        </w:rPr>
        <w:t xml:space="preserve">hronic absenteeism </w:t>
      </w:r>
      <w:r w:rsidR="00F33084">
        <w:rPr>
          <w:rFonts w:cs="Arial"/>
        </w:rPr>
        <w:t xml:space="preserve">data </w:t>
      </w:r>
      <w:r>
        <w:rPr>
          <w:rFonts w:cs="Arial"/>
        </w:rPr>
        <w:t xml:space="preserve">is collected through the California Longitudinal Pupil Achievement Data System. This data was collected for the first time at the </w:t>
      </w:r>
      <w:r w:rsidR="0043291A">
        <w:rPr>
          <w:rFonts w:cs="Arial"/>
        </w:rPr>
        <w:t>end of the 2016–17 school year.</w:t>
      </w:r>
    </w:p>
    <w:p w14:paraId="1365B06E" w14:textId="28D0BF88" w:rsidR="00CA64F8" w:rsidRDefault="00CA64F8" w:rsidP="0043291A">
      <w:pPr>
        <w:spacing w:after="240"/>
        <w:rPr>
          <w:rFonts w:cs="Arial"/>
        </w:rPr>
      </w:pPr>
      <w:r>
        <w:rPr>
          <w:rFonts w:cs="Arial"/>
        </w:rPr>
        <w:t xml:space="preserve">California Department of Education (CDE) staff conducted multiple analyses to determine the data quality and identify any potential </w:t>
      </w:r>
      <w:r w:rsidR="00861130">
        <w:rPr>
          <w:rFonts w:cs="Arial"/>
        </w:rPr>
        <w:t>issues</w:t>
      </w:r>
      <w:r>
        <w:rPr>
          <w:rFonts w:cs="Arial"/>
        </w:rPr>
        <w:t xml:space="preserve">. The analyses indicated that the data was of high quality and could be used in the 2018 California School Dashboard (Dashboard). As a result of the analyses, the CDE met with the Technical Design Group (TDG) in June 2018 to </w:t>
      </w:r>
      <w:r w:rsidR="00861130">
        <w:rPr>
          <w:rFonts w:cs="Arial"/>
        </w:rPr>
        <w:t xml:space="preserve">explore </w:t>
      </w:r>
      <w:r>
        <w:rPr>
          <w:rFonts w:cs="Arial"/>
        </w:rPr>
        <w:t xml:space="preserve">the </w:t>
      </w:r>
      <w:r w:rsidR="00861130">
        <w:rPr>
          <w:rFonts w:cs="Arial"/>
        </w:rPr>
        <w:t>most valid</w:t>
      </w:r>
      <w:r>
        <w:rPr>
          <w:rFonts w:cs="Arial"/>
        </w:rPr>
        <w:t xml:space="preserve"> methodology for calculating the Chronic Absenteeism Indicator. Two sets of simulations were reviewed, using data for students in Kindergarten through grade eight. No </w:t>
      </w:r>
      <w:r w:rsidR="00CD4A86">
        <w:rPr>
          <w:rFonts w:cs="Arial"/>
        </w:rPr>
        <w:t xml:space="preserve">Dashboard Alternative School Status </w:t>
      </w:r>
      <w:r>
        <w:rPr>
          <w:rFonts w:cs="Arial"/>
        </w:rPr>
        <w:t>schools were included in the simulations. Students were included in the denominator if they attended the school or</w:t>
      </w:r>
      <w:r w:rsidR="0043291A">
        <w:rPr>
          <w:rFonts w:cs="Arial"/>
        </w:rPr>
        <w:t xml:space="preserve"> district for at least one day.</w:t>
      </w:r>
    </w:p>
    <w:p w14:paraId="68B7EF01" w14:textId="6F65AA2B" w:rsidR="00CA64F8" w:rsidRDefault="00CA64F8" w:rsidP="0043291A">
      <w:pPr>
        <w:spacing w:after="240"/>
        <w:rPr>
          <w:rFonts w:cs="Arial"/>
        </w:rPr>
      </w:pPr>
      <w:r>
        <w:rPr>
          <w:rFonts w:cs="Arial"/>
        </w:rPr>
        <w:t>The two simulation</w:t>
      </w:r>
      <w:r w:rsidR="0043291A">
        <w:rPr>
          <w:rFonts w:cs="Arial"/>
        </w:rPr>
        <w:t>s used different methodologies.</w:t>
      </w:r>
    </w:p>
    <w:p w14:paraId="320A1F4C" w14:textId="2CEB7441" w:rsidR="00CA64F8" w:rsidRPr="009360F1" w:rsidRDefault="00CA64F8" w:rsidP="00D45E70">
      <w:pPr>
        <w:pStyle w:val="ListParagraph"/>
        <w:numPr>
          <w:ilvl w:val="0"/>
          <w:numId w:val="21"/>
        </w:numPr>
        <w:spacing w:after="240"/>
        <w:ind w:left="720"/>
        <w:rPr>
          <w:rFonts w:ascii="Arial" w:hAnsi="Arial" w:cs="Arial"/>
          <w:sz w:val="24"/>
          <w:szCs w:val="24"/>
        </w:rPr>
      </w:pPr>
      <w:r w:rsidRPr="009360F1">
        <w:rPr>
          <w:rFonts w:ascii="Arial" w:hAnsi="Arial" w:cs="Arial"/>
          <w:i/>
          <w:sz w:val="24"/>
          <w:szCs w:val="24"/>
        </w:rPr>
        <w:t xml:space="preserve">First </w:t>
      </w:r>
      <w:r w:rsidRPr="00F33084">
        <w:rPr>
          <w:rFonts w:ascii="Arial" w:hAnsi="Arial" w:cs="Arial"/>
          <w:i/>
          <w:sz w:val="24"/>
          <w:szCs w:val="24"/>
        </w:rPr>
        <w:t>methodology</w:t>
      </w:r>
      <w:r w:rsidRPr="009360F1">
        <w:rPr>
          <w:rFonts w:ascii="Arial" w:hAnsi="Arial" w:cs="Arial"/>
          <w:i/>
          <w:sz w:val="24"/>
          <w:szCs w:val="24"/>
        </w:rPr>
        <w:t>:</w:t>
      </w:r>
    </w:p>
    <w:p w14:paraId="495F6B2B" w14:textId="77777777" w:rsidR="00CA64F8" w:rsidRPr="009360F1" w:rsidRDefault="00CA64F8" w:rsidP="00D45E70">
      <w:pPr>
        <w:pStyle w:val="ListParagraph"/>
        <w:numPr>
          <w:ilvl w:val="0"/>
          <w:numId w:val="8"/>
        </w:numPr>
        <w:spacing w:after="240"/>
        <w:ind w:left="1440"/>
        <w:rPr>
          <w:rFonts w:ascii="Arial" w:hAnsi="Arial" w:cs="Arial"/>
          <w:sz w:val="24"/>
          <w:szCs w:val="24"/>
        </w:rPr>
      </w:pPr>
      <w:r w:rsidRPr="009360F1">
        <w:rPr>
          <w:rFonts w:ascii="Arial" w:hAnsi="Arial" w:cs="Arial"/>
          <w:sz w:val="24"/>
          <w:szCs w:val="24"/>
        </w:rPr>
        <w:t>Only included students who were enrolled for at least 31 instructional days, and</w:t>
      </w:r>
    </w:p>
    <w:p w14:paraId="3F663C88" w14:textId="77777777" w:rsidR="009360F1" w:rsidRPr="009360F1" w:rsidRDefault="00CA64F8" w:rsidP="00D45E70">
      <w:pPr>
        <w:pStyle w:val="ListParagraph"/>
        <w:numPr>
          <w:ilvl w:val="0"/>
          <w:numId w:val="8"/>
        </w:numPr>
        <w:spacing w:after="240"/>
        <w:ind w:left="1440"/>
        <w:rPr>
          <w:rFonts w:ascii="Arial" w:hAnsi="Arial" w:cs="Arial"/>
          <w:sz w:val="24"/>
          <w:szCs w:val="24"/>
        </w:rPr>
      </w:pPr>
      <w:r w:rsidRPr="009360F1">
        <w:rPr>
          <w:rFonts w:ascii="Arial" w:hAnsi="Arial" w:cs="Arial"/>
          <w:sz w:val="24"/>
          <w:szCs w:val="24"/>
        </w:rPr>
        <w:t>Assigned the same weight to all students who met t</w:t>
      </w:r>
      <w:r w:rsidR="009360F1" w:rsidRPr="009360F1">
        <w:rPr>
          <w:rFonts w:ascii="Arial" w:hAnsi="Arial" w:cs="Arial"/>
          <w:sz w:val="24"/>
          <w:szCs w:val="24"/>
        </w:rPr>
        <w:t>he chronically absent criteria.</w:t>
      </w:r>
    </w:p>
    <w:p w14:paraId="1A3E41ED" w14:textId="3B0BDBBE" w:rsidR="009360F1" w:rsidRPr="009360F1" w:rsidRDefault="00CA64F8" w:rsidP="00D45E70">
      <w:pPr>
        <w:pStyle w:val="ListParagraph"/>
        <w:numPr>
          <w:ilvl w:val="0"/>
          <w:numId w:val="21"/>
        </w:numPr>
        <w:spacing w:after="240"/>
        <w:ind w:left="720"/>
        <w:rPr>
          <w:rFonts w:ascii="Arial" w:hAnsi="Arial" w:cs="Arial"/>
          <w:sz w:val="24"/>
          <w:szCs w:val="24"/>
        </w:rPr>
      </w:pPr>
      <w:r w:rsidRPr="009360F1">
        <w:rPr>
          <w:rFonts w:ascii="Arial" w:hAnsi="Arial" w:cs="Arial"/>
          <w:i/>
          <w:sz w:val="24"/>
          <w:szCs w:val="24"/>
        </w:rPr>
        <w:t xml:space="preserve">Second </w:t>
      </w:r>
      <w:r w:rsidR="008607F9" w:rsidRPr="009360F1">
        <w:rPr>
          <w:rFonts w:ascii="Arial" w:hAnsi="Arial" w:cs="Arial"/>
          <w:i/>
          <w:sz w:val="24"/>
          <w:szCs w:val="24"/>
        </w:rPr>
        <w:t>methodology</w:t>
      </w:r>
      <w:r w:rsidRPr="009360F1">
        <w:rPr>
          <w:rFonts w:ascii="Arial" w:hAnsi="Arial" w:cs="Arial"/>
          <w:i/>
          <w:sz w:val="24"/>
          <w:szCs w:val="24"/>
        </w:rPr>
        <w:t>:</w:t>
      </w:r>
    </w:p>
    <w:p w14:paraId="1D7B321D" w14:textId="01A69180" w:rsidR="009360F1" w:rsidRPr="009360F1" w:rsidRDefault="00CA64F8" w:rsidP="00D45E70">
      <w:pPr>
        <w:pStyle w:val="ListParagraph"/>
        <w:numPr>
          <w:ilvl w:val="0"/>
          <w:numId w:val="9"/>
        </w:numPr>
        <w:spacing w:after="240"/>
        <w:ind w:left="1440"/>
        <w:rPr>
          <w:rFonts w:ascii="Arial" w:hAnsi="Arial" w:cs="Arial"/>
          <w:sz w:val="24"/>
          <w:szCs w:val="24"/>
        </w:rPr>
      </w:pPr>
      <w:r w:rsidRPr="009360F1">
        <w:rPr>
          <w:rFonts w:ascii="Arial" w:hAnsi="Arial" w:cs="Arial"/>
          <w:sz w:val="24"/>
          <w:szCs w:val="24"/>
        </w:rPr>
        <w:t>Assign different weights to chronically absent students based on whether they were enrolled at the school less than or more than ha</w:t>
      </w:r>
      <w:r w:rsidR="009360F1" w:rsidRPr="009360F1">
        <w:rPr>
          <w:rFonts w:ascii="Arial" w:hAnsi="Arial" w:cs="Arial"/>
          <w:sz w:val="24"/>
          <w:szCs w:val="24"/>
        </w:rPr>
        <w:t>lf the instructional days.</w:t>
      </w:r>
    </w:p>
    <w:p w14:paraId="4CECECB1" w14:textId="168C9527" w:rsidR="00CD4A86" w:rsidRPr="009360F1" w:rsidRDefault="00CA64F8" w:rsidP="00D45E70">
      <w:pPr>
        <w:pStyle w:val="ListParagraph"/>
        <w:numPr>
          <w:ilvl w:val="1"/>
          <w:numId w:val="9"/>
        </w:numPr>
        <w:spacing w:after="240"/>
        <w:ind w:left="2160"/>
        <w:rPr>
          <w:rFonts w:ascii="Arial" w:hAnsi="Arial" w:cs="Arial"/>
          <w:sz w:val="24"/>
          <w:szCs w:val="24"/>
        </w:rPr>
      </w:pPr>
      <w:r w:rsidRPr="009360F1">
        <w:rPr>
          <w:rFonts w:ascii="Arial" w:hAnsi="Arial" w:cs="Arial"/>
          <w:sz w:val="24"/>
          <w:szCs w:val="24"/>
        </w:rPr>
        <w:t>Those students enrolled for more than 50 percent of the instructional days were assigned full weight.</w:t>
      </w:r>
    </w:p>
    <w:p w14:paraId="631D1242" w14:textId="65DC861D" w:rsidR="00CA64F8" w:rsidRPr="009360F1" w:rsidRDefault="00CA64F8" w:rsidP="00D45E70">
      <w:pPr>
        <w:pStyle w:val="ListParagraph"/>
        <w:numPr>
          <w:ilvl w:val="1"/>
          <w:numId w:val="9"/>
        </w:numPr>
        <w:spacing w:after="240"/>
        <w:ind w:left="2160"/>
        <w:rPr>
          <w:rFonts w:ascii="Arial" w:hAnsi="Arial" w:cs="Arial"/>
          <w:sz w:val="24"/>
          <w:szCs w:val="24"/>
        </w:rPr>
      </w:pPr>
      <w:r w:rsidRPr="009360F1">
        <w:rPr>
          <w:rFonts w:ascii="Arial" w:hAnsi="Arial" w:cs="Arial"/>
          <w:sz w:val="24"/>
          <w:szCs w:val="24"/>
        </w:rPr>
        <w:lastRenderedPageBreak/>
        <w:t>T</w:t>
      </w:r>
      <w:r w:rsidR="009360F1">
        <w:rPr>
          <w:rFonts w:ascii="Arial" w:hAnsi="Arial" w:cs="Arial"/>
          <w:sz w:val="24"/>
          <w:szCs w:val="24"/>
        </w:rPr>
        <w:t>hose students enrolled equal to or less than</w:t>
      </w:r>
      <w:r w:rsidRPr="009360F1">
        <w:rPr>
          <w:rFonts w:ascii="Arial" w:hAnsi="Arial" w:cs="Arial"/>
          <w:sz w:val="24"/>
          <w:szCs w:val="24"/>
        </w:rPr>
        <w:t xml:space="preserve"> half of the instructional days were given a reduced weight based on the number of instructions days enrolled divided by half of the number of instruction days. (Example: The number of instructional days is 180. If a student was enrolled for 35 of those instructional days, the weight for the student would be given in the numerator is 38.9</w:t>
      </w:r>
      <w:r w:rsidR="00861130" w:rsidRPr="009360F1">
        <w:rPr>
          <w:rFonts w:ascii="Arial" w:hAnsi="Arial" w:cs="Arial"/>
          <w:sz w:val="24"/>
          <w:szCs w:val="24"/>
        </w:rPr>
        <w:t xml:space="preserve"> percent</w:t>
      </w:r>
      <w:r w:rsidRPr="009360F1">
        <w:rPr>
          <w:rFonts w:ascii="Arial" w:hAnsi="Arial" w:cs="Arial"/>
          <w:sz w:val="24"/>
          <w:szCs w:val="24"/>
        </w:rPr>
        <w:t xml:space="preserve"> [35/90].)</w:t>
      </w:r>
    </w:p>
    <w:p w14:paraId="6D524C89" w14:textId="77777777" w:rsidR="00CA64F8" w:rsidRPr="002D3C2A" w:rsidRDefault="00CA64F8" w:rsidP="0043291A">
      <w:pPr>
        <w:spacing w:after="240"/>
        <w:rPr>
          <w:rFonts w:cs="Arial"/>
        </w:rPr>
      </w:pPr>
      <w:r w:rsidRPr="002D3C2A">
        <w:rPr>
          <w:rFonts w:cs="Arial"/>
        </w:rPr>
        <w:t xml:space="preserve">The two methodologies produced different results. </w:t>
      </w:r>
    </w:p>
    <w:p w14:paraId="37B74C29" w14:textId="45AD9CF0" w:rsidR="00CA64F8" w:rsidRPr="00786DFA" w:rsidRDefault="00CA64F8" w:rsidP="00D45E70">
      <w:pPr>
        <w:pStyle w:val="ListParagraph"/>
        <w:numPr>
          <w:ilvl w:val="0"/>
          <w:numId w:val="2"/>
        </w:numPr>
        <w:spacing w:after="240"/>
        <w:rPr>
          <w:rFonts w:ascii="Arial" w:hAnsi="Arial" w:cs="Arial"/>
          <w:sz w:val="24"/>
          <w:szCs w:val="24"/>
        </w:rPr>
      </w:pPr>
      <w:r w:rsidRPr="00786DFA">
        <w:rPr>
          <w:rFonts w:ascii="Arial" w:hAnsi="Arial" w:cs="Arial"/>
          <w:sz w:val="24"/>
          <w:szCs w:val="24"/>
        </w:rPr>
        <w:t>The first methodology, based on a minimum enro</w:t>
      </w:r>
      <w:r w:rsidR="009360F1">
        <w:rPr>
          <w:rFonts w:ascii="Arial" w:hAnsi="Arial" w:cs="Arial"/>
          <w:sz w:val="24"/>
          <w:szCs w:val="24"/>
        </w:rPr>
        <w:t>llment of 31 instructional days</w:t>
      </w:r>
      <w:r w:rsidRPr="00786DFA">
        <w:rPr>
          <w:rFonts w:ascii="Arial" w:hAnsi="Arial" w:cs="Arial"/>
          <w:sz w:val="24"/>
          <w:szCs w:val="24"/>
        </w:rPr>
        <w:t xml:space="preserve">, yielded the following mean chronic absenteeism rates: </w:t>
      </w:r>
    </w:p>
    <w:p w14:paraId="05E17178" w14:textId="77777777" w:rsidR="00CA64F8" w:rsidRPr="00786DFA" w:rsidRDefault="00CA64F8" w:rsidP="00D45E70">
      <w:pPr>
        <w:pStyle w:val="ListParagraph"/>
        <w:numPr>
          <w:ilvl w:val="0"/>
          <w:numId w:val="1"/>
        </w:numPr>
        <w:spacing w:after="240"/>
        <w:ind w:left="1440"/>
        <w:rPr>
          <w:rFonts w:ascii="Arial" w:hAnsi="Arial" w:cs="Arial"/>
          <w:sz w:val="24"/>
          <w:szCs w:val="24"/>
        </w:rPr>
      </w:pPr>
      <w:r w:rsidRPr="002D3C2A">
        <w:rPr>
          <w:rFonts w:ascii="Arial" w:hAnsi="Arial" w:cs="Arial"/>
          <w:sz w:val="24"/>
          <w:szCs w:val="24"/>
        </w:rPr>
        <w:t xml:space="preserve">LEAs (including charter schools): </w:t>
      </w:r>
      <w:r w:rsidRPr="00786DFA">
        <w:rPr>
          <w:rFonts w:ascii="Arial" w:hAnsi="Arial" w:cs="Arial"/>
          <w:sz w:val="24"/>
          <w:szCs w:val="24"/>
        </w:rPr>
        <w:t>8.7 percent</w:t>
      </w:r>
    </w:p>
    <w:p w14:paraId="5F86FCC1" w14:textId="1B8E843E" w:rsidR="00CA64F8" w:rsidRPr="009360F1" w:rsidRDefault="00CA64F8" w:rsidP="00D45E70">
      <w:pPr>
        <w:pStyle w:val="ListParagraph"/>
        <w:numPr>
          <w:ilvl w:val="0"/>
          <w:numId w:val="1"/>
        </w:numPr>
        <w:spacing w:after="240"/>
        <w:ind w:left="1440"/>
        <w:rPr>
          <w:rFonts w:ascii="Arial" w:hAnsi="Arial" w:cs="Arial"/>
          <w:sz w:val="24"/>
          <w:szCs w:val="24"/>
        </w:rPr>
      </w:pPr>
      <w:r w:rsidRPr="00786DFA">
        <w:rPr>
          <w:rFonts w:ascii="Arial" w:hAnsi="Arial" w:cs="Arial"/>
          <w:sz w:val="24"/>
          <w:szCs w:val="24"/>
        </w:rPr>
        <w:t>Schools: 8.9 percent</w:t>
      </w:r>
    </w:p>
    <w:p w14:paraId="589B619C" w14:textId="77777777" w:rsidR="00CA64F8" w:rsidRPr="00786DFA" w:rsidRDefault="00CA64F8" w:rsidP="00D45E70">
      <w:pPr>
        <w:pStyle w:val="ListParagraph"/>
        <w:numPr>
          <w:ilvl w:val="0"/>
          <w:numId w:val="2"/>
        </w:numPr>
        <w:spacing w:after="240"/>
        <w:rPr>
          <w:rFonts w:ascii="Arial" w:hAnsi="Arial" w:cs="Arial"/>
          <w:sz w:val="24"/>
          <w:szCs w:val="24"/>
        </w:rPr>
      </w:pPr>
      <w:r w:rsidRPr="00786DFA">
        <w:rPr>
          <w:rFonts w:ascii="Arial" w:hAnsi="Arial" w:cs="Arial"/>
          <w:sz w:val="24"/>
          <w:szCs w:val="24"/>
        </w:rPr>
        <w:t>The second methodology, which assigns varying weights to students based on their enrolled instructional days, yielded the following mean chronic absenteeism rates:</w:t>
      </w:r>
    </w:p>
    <w:p w14:paraId="03D17C9B" w14:textId="77777777" w:rsidR="00CA64F8" w:rsidRPr="00786DFA" w:rsidRDefault="00CA64F8" w:rsidP="00D45E70">
      <w:pPr>
        <w:pStyle w:val="ListParagraph"/>
        <w:numPr>
          <w:ilvl w:val="0"/>
          <w:numId w:val="3"/>
        </w:numPr>
        <w:spacing w:after="240"/>
        <w:ind w:left="1440"/>
        <w:rPr>
          <w:rFonts w:ascii="Arial" w:hAnsi="Arial" w:cs="Arial"/>
          <w:sz w:val="24"/>
          <w:szCs w:val="24"/>
        </w:rPr>
      </w:pPr>
      <w:r w:rsidRPr="00786DFA">
        <w:rPr>
          <w:rFonts w:ascii="Arial" w:hAnsi="Arial" w:cs="Arial"/>
          <w:sz w:val="24"/>
          <w:szCs w:val="24"/>
        </w:rPr>
        <w:t>LEAs (including charter schools): 9.4 percent</w:t>
      </w:r>
    </w:p>
    <w:p w14:paraId="16A5EFBF" w14:textId="77777777" w:rsidR="00CA64F8" w:rsidRPr="00786DFA" w:rsidRDefault="00CA64F8" w:rsidP="00D45E70">
      <w:pPr>
        <w:pStyle w:val="ListParagraph"/>
        <w:numPr>
          <w:ilvl w:val="0"/>
          <w:numId w:val="3"/>
        </w:numPr>
        <w:spacing w:after="240"/>
        <w:ind w:left="1440"/>
        <w:rPr>
          <w:rFonts w:ascii="Arial" w:hAnsi="Arial" w:cs="Arial"/>
          <w:sz w:val="24"/>
          <w:szCs w:val="24"/>
        </w:rPr>
      </w:pPr>
      <w:r w:rsidRPr="00786DFA">
        <w:rPr>
          <w:rFonts w:ascii="Arial" w:hAnsi="Arial" w:cs="Arial"/>
          <w:sz w:val="24"/>
          <w:szCs w:val="24"/>
        </w:rPr>
        <w:t>Schools: 9.7 percent</w:t>
      </w:r>
    </w:p>
    <w:p w14:paraId="46A57E21" w14:textId="2012609C" w:rsidR="00DE75DF" w:rsidRPr="009360F1" w:rsidRDefault="00CA64F8" w:rsidP="009360F1">
      <w:pPr>
        <w:spacing w:after="240"/>
        <w:rPr>
          <w:rFonts w:cs="Arial"/>
        </w:rPr>
        <w:sectPr w:rsidR="00DE75DF" w:rsidRPr="009360F1" w:rsidSect="0043291A">
          <w:headerReference w:type="default" r:id="rId30"/>
          <w:headerReference w:type="first" r:id="rId31"/>
          <w:pgSz w:w="12240" w:h="15840"/>
          <w:pgMar w:top="720" w:right="1440" w:bottom="1440" w:left="1440" w:header="720" w:footer="720" w:gutter="0"/>
          <w:pgNumType w:start="1"/>
          <w:cols w:space="720"/>
          <w:docGrid w:linePitch="326"/>
        </w:sectPr>
      </w:pPr>
      <w:r>
        <w:rPr>
          <w:rFonts w:cs="Arial"/>
        </w:rPr>
        <w:t xml:space="preserve">The TDG recommended the first methodology, which yielded lower chronic absenteeism rates for both LEAs and schools. Both methodologies were presented to the California Practitioners Advisory Group (CPAG) at their August 2018 meeting. </w:t>
      </w:r>
      <w:r w:rsidR="00787C0A">
        <w:rPr>
          <w:rFonts w:cs="Arial"/>
        </w:rPr>
        <w:t xml:space="preserve">CPAG </w:t>
      </w:r>
      <w:r w:rsidR="008607F9">
        <w:rPr>
          <w:rFonts w:cs="Arial"/>
        </w:rPr>
        <w:t>m</w:t>
      </w:r>
      <w:r>
        <w:rPr>
          <w:rFonts w:cs="Arial"/>
        </w:rPr>
        <w:t xml:space="preserve">embers </w:t>
      </w:r>
      <w:r w:rsidR="008607F9">
        <w:rPr>
          <w:rFonts w:cs="Arial"/>
        </w:rPr>
        <w:t>had an in-depth discussion regarding chronic absenteeism and e</w:t>
      </w:r>
      <w:r>
        <w:rPr>
          <w:rFonts w:cs="Arial"/>
        </w:rPr>
        <w:t>ncouraged the CDE to</w:t>
      </w:r>
      <w:r w:rsidR="008607F9">
        <w:rPr>
          <w:rFonts w:cs="Arial"/>
        </w:rPr>
        <w:t xml:space="preserve"> use less technical terminology and to</w:t>
      </w:r>
      <w:r>
        <w:rPr>
          <w:rFonts w:cs="Arial"/>
        </w:rPr>
        <w:t xml:space="preserve"> </w:t>
      </w:r>
      <w:r w:rsidR="008607F9">
        <w:rPr>
          <w:rFonts w:cs="Arial"/>
        </w:rPr>
        <w:t xml:space="preserve">consider </w:t>
      </w:r>
      <w:r>
        <w:rPr>
          <w:rFonts w:cs="Arial"/>
        </w:rPr>
        <w:t>provid</w:t>
      </w:r>
      <w:r w:rsidR="008607F9">
        <w:rPr>
          <w:rFonts w:cs="Arial"/>
        </w:rPr>
        <w:t>ing</w:t>
      </w:r>
      <w:r>
        <w:rPr>
          <w:rFonts w:cs="Arial"/>
        </w:rPr>
        <w:t xml:space="preserve"> a Webinar on Chronic Absenteeism before the public release</w:t>
      </w:r>
      <w:r w:rsidR="009360F1">
        <w:rPr>
          <w:rFonts w:cs="Arial"/>
        </w:rPr>
        <w:t xml:space="preserve"> of the Dashboard.</w:t>
      </w:r>
    </w:p>
    <w:p w14:paraId="4AC29D81" w14:textId="6FCBE920" w:rsidR="00F50B38" w:rsidRPr="00786DFA" w:rsidRDefault="00CA64F8" w:rsidP="009360F1">
      <w:pPr>
        <w:pStyle w:val="Heading2"/>
        <w:spacing w:before="0" w:after="240"/>
        <w:rPr>
          <w:rFonts w:cs="Arial"/>
          <w:sz w:val="32"/>
          <w:szCs w:val="32"/>
        </w:rPr>
      </w:pPr>
      <w:r>
        <w:rPr>
          <w:sz w:val="32"/>
          <w:szCs w:val="32"/>
        </w:rPr>
        <w:lastRenderedPageBreak/>
        <w:t xml:space="preserve">Attachment 3: </w:t>
      </w:r>
      <w:r w:rsidR="00F50B38" w:rsidRPr="00786DFA">
        <w:rPr>
          <w:sz w:val="32"/>
          <w:szCs w:val="32"/>
        </w:rPr>
        <w:t>Proposed New Measures for Inclusion in the College/Career Indicator</w:t>
      </w:r>
      <w:r w:rsidR="000522F2">
        <w:rPr>
          <w:sz w:val="32"/>
          <w:szCs w:val="32"/>
        </w:rPr>
        <w:t xml:space="preserve"> </w:t>
      </w:r>
    </w:p>
    <w:p w14:paraId="13BB39E2" w14:textId="7AA2069E" w:rsidR="000522F2" w:rsidRDefault="00787C0A" w:rsidP="009360F1">
      <w:pPr>
        <w:spacing w:after="240"/>
        <w:rPr>
          <w:rFonts w:cs="Arial"/>
        </w:rPr>
      </w:pPr>
      <w:r>
        <w:t xml:space="preserve">With the adoption of the College/Career Indicator (CCI) in 2016, the California Department of Education (CDE) committed to building out the CCI to include additional career </w:t>
      </w:r>
      <w:r w:rsidR="00453B80">
        <w:t xml:space="preserve">and college </w:t>
      </w:r>
      <w:r>
        <w:t xml:space="preserve">measures. The measures proposed in this attachment were developed in consultation with </w:t>
      </w:r>
      <w:r w:rsidR="00F50B38" w:rsidRPr="00AC5E4E">
        <w:t>the</w:t>
      </w:r>
      <w:r w:rsidR="001D7BCB">
        <w:t xml:space="preserve"> </w:t>
      </w:r>
      <w:r w:rsidR="00F50B38" w:rsidRPr="00AC5E4E">
        <w:t>CCI Work Group</w:t>
      </w:r>
      <w:r w:rsidR="00F33084">
        <w:t>.</w:t>
      </w:r>
      <w:r>
        <w:t xml:space="preserve"> </w:t>
      </w:r>
      <w:r w:rsidR="00F50B38">
        <w:t xml:space="preserve">The CCI Work Group </w:t>
      </w:r>
      <w:r w:rsidR="000522F2">
        <w:t>reviewed four new proposed CCI measures for inclusion in the 2018 Dashboard</w:t>
      </w:r>
      <w:r>
        <w:t xml:space="preserve"> that are based on data collected in the California Longitudinal Pupil Achievement Data System (CALPADS)</w:t>
      </w:r>
      <w:r w:rsidR="000522F2">
        <w:t xml:space="preserve">. </w:t>
      </w:r>
    </w:p>
    <w:p w14:paraId="091ABCA0" w14:textId="79BD770A" w:rsidR="00F50B38" w:rsidRPr="009360F1" w:rsidRDefault="00F50B38" w:rsidP="00D45E70">
      <w:pPr>
        <w:pStyle w:val="ListParagraph"/>
        <w:numPr>
          <w:ilvl w:val="0"/>
          <w:numId w:val="12"/>
        </w:numPr>
        <w:spacing w:after="240"/>
        <w:rPr>
          <w:rFonts w:ascii="Arial" w:hAnsi="Arial" w:cs="Arial"/>
          <w:bCs/>
          <w:sz w:val="24"/>
          <w:szCs w:val="24"/>
        </w:rPr>
      </w:pPr>
      <w:r w:rsidRPr="009360F1">
        <w:rPr>
          <w:rFonts w:ascii="Arial" w:hAnsi="Arial" w:cs="Arial"/>
          <w:b/>
          <w:sz w:val="24"/>
          <w:szCs w:val="24"/>
        </w:rPr>
        <w:t>State Seal of Biliteracy (SSB)</w:t>
      </w:r>
      <w:r w:rsidRPr="009360F1">
        <w:rPr>
          <w:rFonts w:ascii="Arial" w:hAnsi="Arial" w:cs="Arial"/>
          <w:sz w:val="24"/>
          <w:szCs w:val="24"/>
        </w:rPr>
        <w:t xml:space="preserve">: </w:t>
      </w:r>
      <w:r w:rsidR="00BA55E6" w:rsidRPr="009360F1">
        <w:rPr>
          <w:rFonts w:ascii="Arial" w:hAnsi="Arial" w:cs="Arial"/>
          <w:sz w:val="24"/>
          <w:szCs w:val="24"/>
        </w:rPr>
        <w:t>B</w:t>
      </w:r>
      <w:r w:rsidR="00BA55E6" w:rsidRPr="009360F1">
        <w:rPr>
          <w:rFonts w:ascii="Arial" w:hAnsi="Arial" w:cs="Arial"/>
          <w:color w:val="000000"/>
          <w:sz w:val="24"/>
          <w:szCs w:val="24"/>
          <w:lang w:val="en"/>
        </w:rPr>
        <w:t xml:space="preserve">iliteracy is increasingly important to employment in an international and global context. Therefore, California passed legislation to make the </w:t>
      </w:r>
      <w:r w:rsidR="0072104A" w:rsidRPr="009360F1">
        <w:rPr>
          <w:rFonts w:ascii="Arial" w:hAnsi="Arial" w:cs="Arial"/>
          <w:sz w:val="24"/>
          <w:szCs w:val="24"/>
        </w:rPr>
        <w:t xml:space="preserve">SSB effective </w:t>
      </w:r>
      <w:r w:rsidR="00BA55E6" w:rsidRPr="009360F1">
        <w:rPr>
          <w:rFonts w:ascii="Arial" w:hAnsi="Arial" w:cs="Arial"/>
          <w:sz w:val="24"/>
          <w:szCs w:val="24"/>
        </w:rPr>
        <w:t xml:space="preserve">on </w:t>
      </w:r>
      <w:r w:rsidR="0072104A" w:rsidRPr="009360F1">
        <w:rPr>
          <w:rFonts w:ascii="Arial" w:hAnsi="Arial" w:cs="Arial"/>
          <w:sz w:val="24"/>
          <w:szCs w:val="24"/>
        </w:rPr>
        <w:t>January 1, 2012 to recognize s</w:t>
      </w:r>
      <w:r w:rsidRPr="009360F1">
        <w:rPr>
          <w:rFonts w:ascii="Arial" w:hAnsi="Arial" w:cs="Arial"/>
          <w:sz w:val="24"/>
          <w:szCs w:val="24"/>
        </w:rPr>
        <w:t xml:space="preserve">tudents </w:t>
      </w:r>
      <w:r w:rsidR="0072104A" w:rsidRPr="009360F1">
        <w:rPr>
          <w:rFonts w:ascii="Arial" w:hAnsi="Arial" w:cs="Arial"/>
          <w:sz w:val="24"/>
          <w:szCs w:val="24"/>
        </w:rPr>
        <w:t xml:space="preserve">who </w:t>
      </w:r>
      <w:r w:rsidRPr="009360F1">
        <w:rPr>
          <w:rFonts w:ascii="Arial" w:hAnsi="Arial" w:cs="Arial"/>
          <w:sz w:val="24"/>
          <w:szCs w:val="24"/>
        </w:rPr>
        <w:t xml:space="preserve">demonstrate proficiency in </w:t>
      </w:r>
      <w:r w:rsidR="0072104A" w:rsidRPr="009360F1">
        <w:rPr>
          <w:rFonts w:ascii="Arial" w:hAnsi="Arial" w:cs="Arial"/>
          <w:sz w:val="24"/>
          <w:szCs w:val="24"/>
        </w:rPr>
        <w:t xml:space="preserve">speaking, reading, and writing in at least </w:t>
      </w:r>
      <w:r w:rsidRPr="009360F1">
        <w:rPr>
          <w:rFonts w:ascii="Arial" w:hAnsi="Arial" w:cs="Arial"/>
          <w:sz w:val="24"/>
          <w:szCs w:val="24"/>
        </w:rPr>
        <w:t xml:space="preserve">one </w:t>
      </w:r>
      <w:r w:rsidR="00BA55E6" w:rsidRPr="009360F1">
        <w:rPr>
          <w:rFonts w:ascii="Arial" w:hAnsi="Arial" w:cs="Arial"/>
          <w:sz w:val="24"/>
          <w:szCs w:val="24"/>
        </w:rPr>
        <w:t xml:space="preserve">or </w:t>
      </w:r>
      <w:r w:rsidRPr="009360F1">
        <w:rPr>
          <w:rFonts w:ascii="Arial" w:hAnsi="Arial" w:cs="Arial"/>
          <w:sz w:val="24"/>
          <w:szCs w:val="24"/>
        </w:rPr>
        <w:t>language</w:t>
      </w:r>
      <w:r w:rsidR="00BA55E6" w:rsidRPr="009360F1">
        <w:rPr>
          <w:rFonts w:ascii="Arial" w:hAnsi="Arial" w:cs="Arial"/>
          <w:sz w:val="24"/>
          <w:szCs w:val="24"/>
        </w:rPr>
        <w:t>s in addition to English</w:t>
      </w:r>
      <w:r w:rsidRPr="009360F1">
        <w:rPr>
          <w:rFonts w:ascii="Arial" w:hAnsi="Arial" w:cs="Arial"/>
          <w:sz w:val="24"/>
          <w:szCs w:val="24"/>
        </w:rPr>
        <w:t>.</w:t>
      </w:r>
      <w:r w:rsidR="00CA64F8" w:rsidRPr="009360F1">
        <w:rPr>
          <w:rFonts w:ascii="Arial" w:hAnsi="Arial" w:cs="Arial"/>
          <w:sz w:val="24"/>
          <w:szCs w:val="24"/>
        </w:rPr>
        <w:t xml:space="preserve"> </w:t>
      </w:r>
      <w:r w:rsidR="0072104A" w:rsidRPr="009360F1">
        <w:rPr>
          <w:rFonts w:ascii="Arial" w:hAnsi="Arial" w:cs="Arial"/>
          <w:color w:val="000000"/>
          <w:sz w:val="24"/>
          <w:szCs w:val="24"/>
          <w:lang w:val="en"/>
        </w:rPr>
        <w:t xml:space="preserve">SSB data was collected for the first time in CALPADS for 2016–17 school year. </w:t>
      </w:r>
      <w:r w:rsidR="00CA64F8" w:rsidRPr="009360F1">
        <w:rPr>
          <w:rFonts w:ascii="Arial" w:hAnsi="Arial" w:cs="Arial"/>
          <w:sz w:val="24"/>
          <w:szCs w:val="24"/>
        </w:rPr>
        <w:t>Note: The SSB is a measure of both college and career preparedness.</w:t>
      </w:r>
    </w:p>
    <w:p w14:paraId="61C307AF" w14:textId="46C18A7D" w:rsidR="00F50B38" w:rsidRPr="000522F2" w:rsidRDefault="00F50B38" w:rsidP="00D45E70">
      <w:pPr>
        <w:pStyle w:val="ListParagraph"/>
        <w:numPr>
          <w:ilvl w:val="0"/>
          <w:numId w:val="12"/>
        </w:numPr>
        <w:spacing w:after="240"/>
        <w:rPr>
          <w:rFonts w:ascii="Arial" w:hAnsi="Arial" w:cs="Arial"/>
          <w:sz w:val="24"/>
          <w:szCs w:val="24"/>
        </w:rPr>
      </w:pPr>
      <w:r w:rsidRPr="000522F2">
        <w:rPr>
          <w:rFonts w:ascii="Arial" w:hAnsi="Arial" w:cs="Arial"/>
          <w:b/>
          <w:color w:val="000000"/>
          <w:sz w:val="24"/>
          <w:szCs w:val="24"/>
          <w:lang w:val="en"/>
        </w:rPr>
        <w:t>Golden State Seal Merit Diploma (GSSMD)</w:t>
      </w:r>
      <w:r w:rsidRPr="000522F2">
        <w:rPr>
          <w:rFonts w:ascii="Arial" w:hAnsi="Arial" w:cs="Arial"/>
          <w:color w:val="000000"/>
          <w:sz w:val="24"/>
          <w:szCs w:val="24"/>
          <w:lang w:val="en"/>
        </w:rPr>
        <w:t xml:space="preserve">: </w:t>
      </w:r>
      <w:r w:rsidR="00207C1D">
        <w:rPr>
          <w:rFonts w:ascii="Arial" w:hAnsi="Arial" w:cs="Arial"/>
          <w:color w:val="000000"/>
          <w:sz w:val="24"/>
          <w:szCs w:val="24"/>
          <w:lang w:val="en"/>
        </w:rPr>
        <w:t>To earn the GSSMD, s</w:t>
      </w:r>
      <w:r w:rsidRPr="000522F2">
        <w:rPr>
          <w:rFonts w:ascii="Arial" w:hAnsi="Arial" w:cs="Arial"/>
          <w:color w:val="000000"/>
          <w:sz w:val="24"/>
          <w:szCs w:val="24"/>
          <w:lang w:val="en"/>
        </w:rPr>
        <w:t>tudents</w:t>
      </w:r>
      <w:r w:rsidR="00207C1D">
        <w:rPr>
          <w:rFonts w:ascii="Arial" w:hAnsi="Arial" w:cs="Arial"/>
          <w:color w:val="000000"/>
          <w:sz w:val="24"/>
          <w:szCs w:val="24"/>
          <w:lang w:val="en"/>
        </w:rPr>
        <w:t xml:space="preserve"> must</w:t>
      </w:r>
      <w:r w:rsidRPr="000522F2">
        <w:rPr>
          <w:rFonts w:ascii="Arial" w:hAnsi="Arial" w:cs="Arial"/>
          <w:color w:val="000000"/>
          <w:sz w:val="24"/>
          <w:szCs w:val="24"/>
          <w:lang w:val="en"/>
        </w:rPr>
        <w:t xml:space="preserve"> demonstrate mastery in at least six subject areas: English language arts/literacy (ELA), mathematics, science, U.S. history, and two additional subject areas of the student’s choosing.</w:t>
      </w:r>
      <w:r w:rsidR="00CA64F8">
        <w:rPr>
          <w:rFonts w:ascii="Arial" w:hAnsi="Arial" w:cs="Arial"/>
          <w:color w:val="000000"/>
          <w:sz w:val="24"/>
          <w:szCs w:val="24"/>
          <w:lang w:val="en"/>
        </w:rPr>
        <w:t xml:space="preserve"> </w:t>
      </w:r>
      <w:r w:rsidR="00CC428C">
        <w:rPr>
          <w:rFonts w:ascii="Arial" w:hAnsi="Arial" w:cs="Arial"/>
          <w:color w:val="000000"/>
          <w:sz w:val="24"/>
          <w:szCs w:val="24"/>
          <w:lang w:val="en"/>
        </w:rPr>
        <w:t xml:space="preserve">Mastery is demonstrated by earning a grade of B or B+ (depending on the subject) or earning a qualifying score on select assessments. </w:t>
      </w:r>
      <w:r w:rsidR="00BA55E6">
        <w:rPr>
          <w:rFonts w:ascii="Arial" w:hAnsi="Arial" w:cs="Arial"/>
          <w:color w:val="000000"/>
          <w:sz w:val="24"/>
          <w:szCs w:val="24"/>
          <w:lang w:val="en"/>
        </w:rPr>
        <w:t xml:space="preserve">GSSMD data was collected for the first time in CALPADS for 2016–17 school year. </w:t>
      </w:r>
      <w:r w:rsidR="00CA64F8">
        <w:rPr>
          <w:rFonts w:ascii="Arial" w:hAnsi="Arial" w:cs="Arial"/>
          <w:color w:val="000000"/>
          <w:sz w:val="24"/>
          <w:szCs w:val="24"/>
          <w:lang w:val="en"/>
        </w:rPr>
        <w:t>Note: The GSSMD is a measure of college preparedness.</w:t>
      </w:r>
    </w:p>
    <w:p w14:paraId="4C4400A7" w14:textId="1CFCE39E" w:rsidR="000522F2" w:rsidRPr="009360F1" w:rsidRDefault="00F50B38" w:rsidP="00453B80">
      <w:pPr>
        <w:pStyle w:val="ListParagraph"/>
        <w:numPr>
          <w:ilvl w:val="0"/>
          <w:numId w:val="12"/>
        </w:numPr>
        <w:spacing w:after="240"/>
        <w:rPr>
          <w:rFonts w:ascii="Arial" w:hAnsi="Arial" w:cs="Arial"/>
          <w:sz w:val="24"/>
          <w:szCs w:val="24"/>
        </w:rPr>
      </w:pPr>
      <w:r w:rsidRPr="009360F1">
        <w:rPr>
          <w:rFonts w:ascii="Arial" w:hAnsi="Arial" w:cs="Arial"/>
          <w:b/>
          <w:color w:val="000000"/>
          <w:sz w:val="24"/>
          <w:szCs w:val="24"/>
          <w:lang w:val="en"/>
        </w:rPr>
        <w:t>Leadership/Military Science</w:t>
      </w:r>
      <w:r w:rsidRPr="009360F1">
        <w:rPr>
          <w:rFonts w:ascii="Arial" w:hAnsi="Arial" w:cs="Arial"/>
          <w:color w:val="000000"/>
          <w:sz w:val="24"/>
          <w:szCs w:val="24"/>
          <w:lang w:val="en"/>
        </w:rPr>
        <w:t xml:space="preserve">: </w:t>
      </w:r>
      <w:r w:rsidR="00207C1D">
        <w:rPr>
          <w:rFonts w:ascii="Arial" w:hAnsi="Arial" w:cs="Arial"/>
          <w:color w:val="000000"/>
          <w:sz w:val="24"/>
          <w:szCs w:val="24"/>
          <w:lang w:val="en"/>
        </w:rPr>
        <w:t>Reserve Officer Training Corps (</w:t>
      </w:r>
      <w:r w:rsidR="009360F1">
        <w:rPr>
          <w:rFonts w:ascii="Arial" w:hAnsi="Arial" w:cs="Arial"/>
          <w:sz w:val="24"/>
          <w:szCs w:val="24"/>
        </w:rPr>
        <w:t>ROTC</w:t>
      </w:r>
      <w:r w:rsidR="00207C1D">
        <w:rPr>
          <w:rFonts w:ascii="Arial" w:hAnsi="Arial" w:cs="Arial"/>
          <w:sz w:val="24"/>
          <w:szCs w:val="24"/>
        </w:rPr>
        <w:t>)</w:t>
      </w:r>
      <w:r w:rsidR="009360F1">
        <w:rPr>
          <w:rFonts w:ascii="Arial" w:hAnsi="Arial" w:cs="Arial"/>
          <w:sz w:val="24"/>
          <w:szCs w:val="24"/>
        </w:rPr>
        <w:t xml:space="preserve"> opens up a viable and well-</w:t>
      </w:r>
      <w:r w:rsidR="00340762" w:rsidRPr="009360F1">
        <w:rPr>
          <w:rFonts w:ascii="Arial" w:hAnsi="Arial" w:cs="Arial"/>
          <w:sz w:val="24"/>
          <w:szCs w:val="24"/>
        </w:rPr>
        <w:t xml:space="preserve">respected career opportunity for students. If a student passes the military’s academic requirement (e.g. pass the </w:t>
      </w:r>
      <w:r w:rsidR="009360F1">
        <w:rPr>
          <w:rFonts w:ascii="Arial" w:hAnsi="Arial" w:cs="Arial"/>
          <w:sz w:val="24"/>
          <w:szCs w:val="24"/>
        </w:rPr>
        <w:t>Armed Services Vocational Aptitude Battery</w:t>
      </w:r>
      <w:r w:rsidR="00340762" w:rsidRPr="009360F1">
        <w:rPr>
          <w:rFonts w:ascii="Arial" w:hAnsi="Arial" w:cs="Arial"/>
          <w:sz w:val="24"/>
          <w:szCs w:val="24"/>
        </w:rPr>
        <w:t>), completes two years of ROTC</w:t>
      </w:r>
      <w:r w:rsidR="009807E0" w:rsidRPr="009360F1">
        <w:rPr>
          <w:rFonts w:ascii="Arial" w:hAnsi="Arial" w:cs="Arial"/>
          <w:sz w:val="24"/>
          <w:szCs w:val="24"/>
        </w:rPr>
        <w:t>,</w:t>
      </w:r>
      <w:r w:rsidR="00340762" w:rsidRPr="009360F1">
        <w:rPr>
          <w:rFonts w:ascii="Arial" w:hAnsi="Arial" w:cs="Arial"/>
          <w:sz w:val="24"/>
          <w:szCs w:val="24"/>
        </w:rPr>
        <w:t xml:space="preserve"> and enlists, the military provides the student with an advanced rank. The advanced rank translates into work experience credit</w:t>
      </w:r>
      <w:r w:rsidR="009360F1">
        <w:rPr>
          <w:rFonts w:ascii="Arial" w:hAnsi="Arial" w:cs="Arial"/>
          <w:sz w:val="24"/>
          <w:szCs w:val="24"/>
        </w:rPr>
        <w:t>. For example, the Army, Air Force, and M</w:t>
      </w:r>
      <w:r w:rsidR="00D45E70">
        <w:rPr>
          <w:rFonts w:ascii="Arial" w:hAnsi="Arial" w:cs="Arial"/>
          <w:sz w:val="24"/>
          <w:szCs w:val="24"/>
        </w:rPr>
        <w:t>arine Corps provides six</w:t>
      </w:r>
      <w:r w:rsidR="00340762" w:rsidRPr="009360F1">
        <w:rPr>
          <w:rFonts w:ascii="Arial" w:hAnsi="Arial" w:cs="Arial"/>
          <w:sz w:val="24"/>
          <w:szCs w:val="24"/>
        </w:rPr>
        <w:t xml:space="preserve"> months o</w:t>
      </w:r>
      <w:r w:rsidR="00D45E70">
        <w:rPr>
          <w:rFonts w:ascii="Arial" w:hAnsi="Arial" w:cs="Arial"/>
          <w:sz w:val="24"/>
          <w:szCs w:val="24"/>
        </w:rPr>
        <w:t>f credit and the Navy provides nine</w:t>
      </w:r>
      <w:r w:rsidR="00340762" w:rsidRPr="009360F1">
        <w:rPr>
          <w:rFonts w:ascii="Arial" w:hAnsi="Arial" w:cs="Arial"/>
          <w:sz w:val="24"/>
          <w:szCs w:val="24"/>
        </w:rPr>
        <w:t xml:space="preserve"> months of credit. </w:t>
      </w:r>
      <w:r w:rsidR="009807E0" w:rsidRPr="009360F1">
        <w:rPr>
          <w:rFonts w:ascii="Arial" w:hAnsi="Arial" w:cs="Arial"/>
          <w:sz w:val="24"/>
          <w:szCs w:val="24"/>
        </w:rPr>
        <w:t>In ROTC courses, s</w:t>
      </w:r>
      <w:r w:rsidRPr="009360F1">
        <w:rPr>
          <w:rFonts w:ascii="Arial" w:hAnsi="Arial" w:cs="Arial"/>
          <w:color w:val="000000"/>
          <w:sz w:val="24"/>
          <w:szCs w:val="24"/>
        </w:rPr>
        <w:t>tudents participate in a physical conditioning program aimed at promoting military values and military precision in group activities, such as rifle corps or marching squad. (Note: For secondary students, this course also brings together information from other subject areas, and relates these skills and knowledge to a military setting. Examples include engine mechanics, electricity or electronics, and aviation technique</w:t>
      </w:r>
      <w:r w:rsidR="00207C1D">
        <w:rPr>
          <w:rFonts w:ascii="Arial" w:hAnsi="Arial" w:cs="Arial"/>
          <w:color w:val="000000"/>
          <w:sz w:val="24"/>
          <w:szCs w:val="24"/>
        </w:rPr>
        <w:t>s</w:t>
      </w:r>
      <w:r w:rsidRPr="009360F1">
        <w:rPr>
          <w:rFonts w:ascii="Arial" w:hAnsi="Arial" w:cs="Arial"/>
          <w:color w:val="000000"/>
          <w:sz w:val="24"/>
          <w:szCs w:val="24"/>
        </w:rPr>
        <w:t>.)</w:t>
      </w:r>
      <w:r w:rsidR="00CA64F8" w:rsidRPr="009360F1">
        <w:rPr>
          <w:rFonts w:ascii="Arial" w:hAnsi="Arial" w:cs="Arial"/>
          <w:color w:val="000000"/>
          <w:sz w:val="24"/>
          <w:szCs w:val="24"/>
        </w:rPr>
        <w:t xml:space="preserve"> Note: The ROTC is a measure of career preparedness.</w:t>
      </w:r>
    </w:p>
    <w:p w14:paraId="28843041" w14:textId="442E2485" w:rsidR="000522F2" w:rsidRPr="00F94B01" w:rsidRDefault="000522F2" w:rsidP="00453B80">
      <w:pPr>
        <w:pStyle w:val="ListParagraph"/>
        <w:numPr>
          <w:ilvl w:val="0"/>
          <w:numId w:val="12"/>
        </w:numPr>
        <w:spacing w:after="240"/>
        <w:rPr>
          <w:rFonts w:ascii="Arial" w:hAnsi="Arial" w:cs="Arial"/>
          <w:sz w:val="24"/>
          <w:szCs w:val="24"/>
        </w:rPr>
      </w:pPr>
      <w:r w:rsidRPr="00F94B01">
        <w:rPr>
          <w:rFonts w:ascii="Arial" w:hAnsi="Arial" w:cs="Arial"/>
          <w:b/>
          <w:color w:val="000000"/>
          <w:sz w:val="24"/>
          <w:szCs w:val="24"/>
          <w:lang w:val="en"/>
        </w:rPr>
        <w:t>Articulated C</w:t>
      </w:r>
      <w:r w:rsidR="00F94B01" w:rsidRPr="00F94B01">
        <w:rPr>
          <w:rFonts w:ascii="Arial" w:hAnsi="Arial" w:cs="Arial"/>
          <w:b/>
          <w:color w:val="000000"/>
          <w:sz w:val="24"/>
          <w:szCs w:val="24"/>
          <w:lang w:val="en"/>
        </w:rPr>
        <w:t>areer Technical Education (CTE) Courses</w:t>
      </w:r>
      <w:r w:rsidRPr="00F94B01">
        <w:rPr>
          <w:rFonts w:ascii="Arial" w:hAnsi="Arial" w:cs="Arial"/>
          <w:sz w:val="24"/>
          <w:szCs w:val="24"/>
        </w:rPr>
        <w:t>:</w:t>
      </w:r>
      <w:r w:rsidR="00F94B01">
        <w:rPr>
          <w:rFonts w:ascii="Arial" w:hAnsi="Arial" w:cs="Arial"/>
          <w:sz w:val="24"/>
          <w:szCs w:val="24"/>
        </w:rPr>
        <w:t xml:space="preserve"> </w:t>
      </w:r>
      <w:r w:rsidR="00F94B01" w:rsidRPr="00F94B01">
        <w:rPr>
          <w:rFonts w:ascii="Arial" w:hAnsi="Arial" w:cs="Arial"/>
          <w:sz w:val="24"/>
          <w:szCs w:val="24"/>
        </w:rPr>
        <w:t xml:space="preserve">An articulated course is a course in a CTE pathway that, if passed, will allow the student to enroll directly in an intermediate-level course at the college with which the articulation </w:t>
      </w:r>
      <w:r w:rsidR="00F94B01" w:rsidRPr="00F94B01">
        <w:rPr>
          <w:rFonts w:ascii="Arial" w:hAnsi="Arial" w:cs="Arial"/>
          <w:sz w:val="24"/>
          <w:szCs w:val="24"/>
        </w:rPr>
        <w:lastRenderedPageBreak/>
        <w:t>agreement is held.</w:t>
      </w:r>
      <w:r w:rsidR="00CA64F8" w:rsidRPr="00F94B01">
        <w:rPr>
          <w:rFonts w:ascii="Arial" w:hAnsi="Arial" w:cs="Arial"/>
          <w:sz w:val="24"/>
          <w:szCs w:val="24"/>
        </w:rPr>
        <w:t xml:space="preserve"> Note: The Articulated CTE is a measure of career preparedness.</w:t>
      </w:r>
    </w:p>
    <w:p w14:paraId="41CCFC3C" w14:textId="3F058771" w:rsidR="00F50B38" w:rsidRDefault="000522F2" w:rsidP="00453B80">
      <w:pPr>
        <w:spacing w:after="240"/>
        <w:rPr>
          <w:rFonts w:cs="Arial"/>
        </w:rPr>
      </w:pPr>
      <w:r w:rsidRPr="00BE0112">
        <w:rPr>
          <w:rFonts w:cs="Arial"/>
        </w:rPr>
        <w:t xml:space="preserve">As </w:t>
      </w:r>
      <w:r w:rsidR="00BC7A5C">
        <w:rPr>
          <w:rFonts w:cs="Arial"/>
        </w:rPr>
        <w:t xml:space="preserve">is </w:t>
      </w:r>
      <w:r w:rsidRPr="00BE0112">
        <w:rPr>
          <w:rFonts w:cs="Arial"/>
        </w:rPr>
        <w:t xml:space="preserve">done with current CCI measures, </w:t>
      </w:r>
      <w:r>
        <w:rPr>
          <w:rFonts w:cs="Arial"/>
        </w:rPr>
        <w:t xml:space="preserve">each </w:t>
      </w:r>
      <w:r w:rsidRPr="00BE0112">
        <w:rPr>
          <w:rFonts w:cs="Arial"/>
        </w:rPr>
        <w:t>new</w:t>
      </w:r>
      <w:r>
        <w:rPr>
          <w:rFonts w:cs="Arial"/>
        </w:rPr>
        <w:t xml:space="preserve"> proposed </w:t>
      </w:r>
      <w:r w:rsidRPr="00BE0112">
        <w:rPr>
          <w:rFonts w:cs="Arial"/>
        </w:rPr>
        <w:t>measure w</w:t>
      </w:r>
      <w:r>
        <w:rPr>
          <w:rFonts w:cs="Arial"/>
        </w:rPr>
        <w:t>as</w:t>
      </w:r>
      <w:r w:rsidRPr="00BE0112">
        <w:rPr>
          <w:rFonts w:cs="Arial"/>
        </w:rPr>
        <w:t xml:space="preserve"> evaluated against performance on the Smarter Balanced Summative Assessment</w:t>
      </w:r>
      <w:r w:rsidR="009807E0">
        <w:rPr>
          <w:rFonts w:cs="Arial"/>
        </w:rPr>
        <w:t xml:space="preserve"> for </w:t>
      </w:r>
      <w:r w:rsidR="00BC7A5C">
        <w:rPr>
          <w:rFonts w:cs="Arial"/>
        </w:rPr>
        <w:t>ELA</w:t>
      </w:r>
      <w:r w:rsidR="009807E0">
        <w:rPr>
          <w:rFonts w:cs="Arial"/>
        </w:rPr>
        <w:t xml:space="preserve"> and mathematics</w:t>
      </w:r>
      <w:r w:rsidRPr="00BE0112">
        <w:rPr>
          <w:rFonts w:cs="Arial"/>
        </w:rPr>
        <w:t xml:space="preserve"> </w:t>
      </w:r>
      <w:r>
        <w:rPr>
          <w:rFonts w:cs="Arial"/>
        </w:rPr>
        <w:t>to determine its appropriateness and placement criteria</w:t>
      </w:r>
      <w:r w:rsidR="00D919D9">
        <w:rPr>
          <w:rFonts w:cs="Arial"/>
        </w:rPr>
        <w:t xml:space="preserve">, as </w:t>
      </w:r>
      <w:r w:rsidR="00D919D9" w:rsidRPr="00560A48">
        <w:rPr>
          <w:rFonts w:cs="Arial"/>
        </w:rPr>
        <w:t xml:space="preserve">shown in </w:t>
      </w:r>
      <w:r w:rsidR="00560A48" w:rsidRPr="00560A48">
        <w:rPr>
          <w:rFonts w:cs="Arial"/>
        </w:rPr>
        <w:t>Tables 1 through 8</w:t>
      </w:r>
      <w:r w:rsidRPr="00560A48">
        <w:rPr>
          <w:rFonts w:cs="Arial"/>
        </w:rPr>
        <w:t>.</w:t>
      </w:r>
      <w:r>
        <w:rPr>
          <w:rFonts w:cs="Arial"/>
        </w:rPr>
        <w:t xml:space="preserve"> </w:t>
      </w:r>
    </w:p>
    <w:p w14:paraId="688BF788" w14:textId="0B608DB0" w:rsidR="00F33EA6" w:rsidRPr="00BA55E6" w:rsidRDefault="00F33EA6" w:rsidP="009360F1">
      <w:pPr>
        <w:pStyle w:val="Heading3"/>
        <w:spacing w:before="0" w:after="240"/>
        <w:rPr>
          <w:rFonts w:ascii="Arial" w:hAnsi="Arial" w:cs="Arial"/>
          <w:b/>
          <w:color w:val="auto"/>
          <w:sz w:val="28"/>
          <w:szCs w:val="28"/>
        </w:rPr>
      </w:pPr>
      <w:r w:rsidRPr="00BA55E6">
        <w:rPr>
          <w:rFonts w:ascii="Arial" w:hAnsi="Arial" w:cs="Arial"/>
          <w:b/>
          <w:color w:val="auto"/>
          <w:sz w:val="28"/>
          <w:szCs w:val="28"/>
        </w:rPr>
        <w:t xml:space="preserve">State Seal of </w:t>
      </w:r>
      <w:proofErr w:type="spellStart"/>
      <w:r w:rsidRPr="00BA55E6">
        <w:rPr>
          <w:rFonts w:ascii="Arial" w:hAnsi="Arial" w:cs="Arial"/>
          <w:b/>
          <w:color w:val="auto"/>
          <w:sz w:val="28"/>
          <w:szCs w:val="28"/>
        </w:rPr>
        <w:t>Bilitearcy</w:t>
      </w:r>
      <w:proofErr w:type="spellEnd"/>
    </w:p>
    <w:p w14:paraId="6FF551BA" w14:textId="14C4B22C" w:rsidR="00F50B38" w:rsidRPr="00BB765F" w:rsidRDefault="00F50B38" w:rsidP="00BB765F">
      <w:pPr>
        <w:spacing w:before="240" w:after="240"/>
        <w:rPr>
          <w:b/>
        </w:rPr>
      </w:pPr>
      <w:r w:rsidRPr="00BB765F">
        <w:rPr>
          <w:b/>
        </w:rPr>
        <w:t xml:space="preserve">Table 1: Performance on the ELA Smarter Balanced Summative Assessments for Students with and without the SSB </w:t>
      </w:r>
    </w:p>
    <w:tbl>
      <w:tblPr>
        <w:tblStyle w:val="TableGrid"/>
        <w:tblW w:w="5000" w:type="pct"/>
        <w:tblLook w:val="04A0" w:firstRow="1" w:lastRow="0" w:firstColumn="1" w:lastColumn="0" w:noHBand="0" w:noVBand="1"/>
        <w:tblDescription w:val="Performance on the ELA Smarter Balanced Summative Assessments for Students with and without the SSB "/>
      </w:tblPr>
      <w:tblGrid>
        <w:gridCol w:w="1339"/>
        <w:gridCol w:w="1709"/>
        <w:gridCol w:w="1810"/>
        <w:gridCol w:w="1569"/>
        <w:gridCol w:w="1838"/>
        <w:gridCol w:w="1085"/>
      </w:tblGrid>
      <w:tr w:rsidR="00F50B38" w14:paraId="58F3835B" w14:textId="77777777" w:rsidTr="00BC7A5C">
        <w:trPr>
          <w:trHeight w:val="792"/>
          <w:tblHeader/>
        </w:trPr>
        <w:tc>
          <w:tcPr>
            <w:tcW w:w="716" w:type="pct"/>
            <w:shd w:val="clear" w:color="auto" w:fill="D9D9D9" w:themeFill="background1" w:themeFillShade="D9"/>
            <w:vAlign w:val="center"/>
          </w:tcPr>
          <w:p w14:paraId="314D34CC" w14:textId="0E0E65A9" w:rsidR="00F50B38" w:rsidRPr="00BA55E6" w:rsidRDefault="00F50B38" w:rsidP="00BC7A5C">
            <w:pPr>
              <w:jc w:val="center"/>
              <w:rPr>
                <w:rFonts w:cs="Arial"/>
                <w:b/>
              </w:rPr>
            </w:pPr>
            <w:r w:rsidRPr="00BA55E6">
              <w:rPr>
                <w:rFonts w:cs="Arial"/>
                <w:b/>
              </w:rPr>
              <w:t>SSB</w:t>
            </w:r>
          </w:p>
        </w:tc>
        <w:tc>
          <w:tcPr>
            <w:tcW w:w="914" w:type="pct"/>
            <w:shd w:val="clear" w:color="auto" w:fill="D9D9D9" w:themeFill="background1" w:themeFillShade="D9"/>
            <w:vAlign w:val="center"/>
          </w:tcPr>
          <w:p w14:paraId="79EF430F" w14:textId="77777777" w:rsidR="00F50B38" w:rsidRPr="00BA55E6" w:rsidRDefault="00F50B38" w:rsidP="00BC7A5C">
            <w:pPr>
              <w:jc w:val="center"/>
              <w:rPr>
                <w:rFonts w:cs="Arial"/>
                <w:b/>
              </w:rPr>
            </w:pPr>
            <w:r w:rsidRPr="00BA55E6">
              <w:rPr>
                <w:rFonts w:cs="Arial"/>
                <w:b/>
              </w:rPr>
              <w:t>ELA Standard Not Met</w:t>
            </w:r>
          </w:p>
        </w:tc>
        <w:tc>
          <w:tcPr>
            <w:tcW w:w="968" w:type="pct"/>
            <w:shd w:val="clear" w:color="auto" w:fill="D9D9D9" w:themeFill="background1" w:themeFillShade="D9"/>
            <w:vAlign w:val="center"/>
          </w:tcPr>
          <w:p w14:paraId="6AEC8531" w14:textId="77777777" w:rsidR="00F50B38" w:rsidRPr="00BA55E6" w:rsidRDefault="00F50B38" w:rsidP="00BC7A5C">
            <w:pPr>
              <w:jc w:val="center"/>
              <w:rPr>
                <w:rFonts w:cs="Arial"/>
                <w:b/>
              </w:rPr>
            </w:pPr>
            <w:r w:rsidRPr="00BA55E6">
              <w:rPr>
                <w:rFonts w:cs="Arial"/>
                <w:b/>
              </w:rPr>
              <w:t>ELA Standard Nearly Met</w:t>
            </w:r>
          </w:p>
        </w:tc>
        <w:tc>
          <w:tcPr>
            <w:tcW w:w="839" w:type="pct"/>
            <w:shd w:val="clear" w:color="auto" w:fill="D9D9D9" w:themeFill="background1" w:themeFillShade="D9"/>
            <w:vAlign w:val="center"/>
          </w:tcPr>
          <w:p w14:paraId="0EBE94A0" w14:textId="77777777" w:rsidR="00F50B38" w:rsidRPr="00BA55E6" w:rsidRDefault="00F50B38" w:rsidP="00BC7A5C">
            <w:pPr>
              <w:jc w:val="center"/>
              <w:rPr>
                <w:rFonts w:cs="Arial"/>
                <w:b/>
              </w:rPr>
            </w:pPr>
            <w:r w:rsidRPr="00BA55E6">
              <w:rPr>
                <w:rFonts w:cs="Arial"/>
                <w:b/>
              </w:rPr>
              <w:t>ELA Standard Met</w:t>
            </w:r>
          </w:p>
        </w:tc>
        <w:tc>
          <w:tcPr>
            <w:tcW w:w="983" w:type="pct"/>
            <w:shd w:val="clear" w:color="auto" w:fill="D9D9D9" w:themeFill="background1" w:themeFillShade="D9"/>
            <w:vAlign w:val="center"/>
          </w:tcPr>
          <w:p w14:paraId="40588049" w14:textId="77777777" w:rsidR="00F50B38" w:rsidRPr="00BA55E6" w:rsidRDefault="00F50B38" w:rsidP="00BC7A5C">
            <w:pPr>
              <w:jc w:val="center"/>
              <w:rPr>
                <w:rFonts w:cs="Arial"/>
                <w:b/>
              </w:rPr>
            </w:pPr>
            <w:r w:rsidRPr="00BA55E6">
              <w:rPr>
                <w:rFonts w:cs="Arial"/>
                <w:b/>
              </w:rPr>
              <w:t>ELA Standard Exceeded</w:t>
            </w:r>
          </w:p>
        </w:tc>
        <w:tc>
          <w:tcPr>
            <w:tcW w:w="580" w:type="pct"/>
            <w:shd w:val="clear" w:color="auto" w:fill="D9D9D9" w:themeFill="background1" w:themeFillShade="D9"/>
            <w:vAlign w:val="center"/>
          </w:tcPr>
          <w:p w14:paraId="1E3E5946" w14:textId="77777777" w:rsidR="00F50B38" w:rsidRPr="00BA55E6" w:rsidRDefault="00F50B38" w:rsidP="00BC7A5C">
            <w:pPr>
              <w:jc w:val="center"/>
              <w:rPr>
                <w:rFonts w:cs="Arial"/>
                <w:b/>
              </w:rPr>
            </w:pPr>
            <w:r w:rsidRPr="00BA55E6">
              <w:rPr>
                <w:rFonts w:cs="Arial"/>
                <w:b/>
              </w:rPr>
              <w:t>Total</w:t>
            </w:r>
          </w:p>
        </w:tc>
      </w:tr>
      <w:tr w:rsidR="00F50B38" w14:paraId="7027CA0D" w14:textId="77777777" w:rsidTr="00BC7A5C">
        <w:trPr>
          <w:trHeight w:val="792"/>
        </w:trPr>
        <w:tc>
          <w:tcPr>
            <w:tcW w:w="716" w:type="pct"/>
            <w:vAlign w:val="center"/>
          </w:tcPr>
          <w:p w14:paraId="11032B5A" w14:textId="77777777" w:rsidR="00F50B38" w:rsidRDefault="00F50B38" w:rsidP="00BC7A5C">
            <w:pPr>
              <w:jc w:val="center"/>
              <w:rPr>
                <w:rFonts w:cs="Arial"/>
              </w:rPr>
            </w:pPr>
            <w:r>
              <w:rPr>
                <w:rFonts w:cs="Arial"/>
              </w:rPr>
              <w:t>Earned SSB</w:t>
            </w:r>
          </w:p>
        </w:tc>
        <w:tc>
          <w:tcPr>
            <w:tcW w:w="914" w:type="pct"/>
            <w:vAlign w:val="center"/>
          </w:tcPr>
          <w:p w14:paraId="595EAF7A" w14:textId="5229D83C" w:rsidR="001D7BCB" w:rsidRDefault="00F50B38" w:rsidP="00BC7A5C">
            <w:pPr>
              <w:jc w:val="center"/>
              <w:rPr>
                <w:rFonts w:cs="Arial"/>
              </w:rPr>
            </w:pPr>
            <w:r w:rsidRPr="00F87065">
              <w:rPr>
                <w:rFonts w:cs="Arial"/>
              </w:rPr>
              <w:t>337</w:t>
            </w:r>
          </w:p>
          <w:p w14:paraId="41A2E7BF" w14:textId="207EC62C" w:rsidR="00F50B38" w:rsidRDefault="00F50B38" w:rsidP="00BC7A5C">
            <w:pPr>
              <w:jc w:val="center"/>
              <w:rPr>
                <w:rFonts w:cs="Arial"/>
              </w:rPr>
            </w:pPr>
            <w:r w:rsidRPr="00F87065">
              <w:rPr>
                <w:rFonts w:cs="Arial"/>
              </w:rPr>
              <w:t>(0.8%)</w:t>
            </w:r>
          </w:p>
        </w:tc>
        <w:tc>
          <w:tcPr>
            <w:tcW w:w="968" w:type="pct"/>
            <w:vAlign w:val="center"/>
          </w:tcPr>
          <w:p w14:paraId="3A853A36" w14:textId="2A595C00" w:rsidR="001D7BCB" w:rsidRDefault="00F50B38" w:rsidP="00BC7A5C">
            <w:pPr>
              <w:jc w:val="center"/>
              <w:rPr>
                <w:rFonts w:cs="Arial"/>
              </w:rPr>
            </w:pPr>
            <w:r>
              <w:rPr>
                <w:rFonts w:cs="Arial"/>
              </w:rPr>
              <w:t>1,590</w:t>
            </w:r>
          </w:p>
          <w:p w14:paraId="21A1723D" w14:textId="2416F43F" w:rsidR="00F50B38" w:rsidRDefault="00F50B38" w:rsidP="00BC7A5C">
            <w:pPr>
              <w:jc w:val="center"/>
              <w:rPr>
                <w:rFonts w:cs="Arial"/>
              </w:rPr>
            </w:pPr>
            <w:r>
              <w:rPr>
                <w:rFonts w:cs="Arial"/>
              </w:rPr>
              <w:t>(3.9%)</w:t>
            </w:r>
          </w:p>
        </w:tc>
        <w:tc>
          <w:tcPr>
            <w:tcW w:w="839" w:type="pct"/>
            <w:vAlign w:val="center"/>
          </w:tcPr>
          <w:p w14:paraId="1FA4EB6E" w14:textId="412B3C8C" w:rsidR="001D7BCB" w:rsidRDefault="00F50B38" w:rsidP="00BC7A5C">
            <w:pPr>
              <w:jc w:val="center"/>
              <w:rPr>
                <w:rFonts w:cs="Arial"/>
              </w:rPr>
            </w:pPr>
            <w:r>
              <w:rPr>
                <w:rFonts w:cs="Arial"/>
              </w:rPr>
              <w:t>16,064</w:t>
            </w:r>
          </w:p>
          <w:p w14:paraId="49A85E8F" w14:textId="14E8ACEF" w:rsidR="00F50B38" w:rsidRDefault="00F50B38" w:rsidP="00BC7A5C">
            <w:pPr>
              <w:jc w:val="center"/>
              <w:rPr>
                <w:rFonts w:cs="Arial"/>
              </w:rPr>
            </w:pPr>
            <w:r>
              <w:rPr>
                <w:rFonts w:cs="Arial"/>
              </w:rPr>
              <w:t>(39.0%)</w:t>
            </w:r>
          </w:p>
        </w:tc>
        <w:tc>
          <w:tcPr>
            <w:tcW w:w="983" w:type="pct"/>
            <w:vAlign w:val="center"/>
          </w:tcPr>
          <w:p w14:paraId="3D3F1BB9" w14:textId="32BEAAD1" w:rsidR="001D7BCB" w:rsidRDefault="00F50B38" w:rsidP="00BC7A5C">
            <w:pPr>
              <w:jc w:val="center"/>
              <w:rPr>
                <w:rFonts w:cs="Arial"/>
              </w:rPr>
            </w:pPr>
            <w:r>
              <w:rPr>
                <w:rFonts w:cs="Arial"/>
              </w:rPr>
              <w:t>23,163</w:t>
            </w:r>
          </w:p>
          <w:p w14:paraId="5B4069F7" w14:textId="39176C50" w:rsidR="00F50B38" w:rsidRDefault="00F50B38" w:rsidP="00BC7A5C">
            <w:pPr>
              <w:jc w:val="center"/>
              <w:rPr>
                <w:rFonts w:cs="Arial"/>
              </w:rPr>
            </w:pPr>
            <w:r>
              <w:rPr>
                <w:rFonts w:cs="Arial"/>
              </w:rPr>
              <w:t>(56.3%)</w:t>
            </w:r>
          </w:p>
        </w:tc>
        <w:tc>
          <w:tcPr>
            <w:tcW w:w="580" w:type="pct"/>
            <w:vAlign w:val="center"/>
          </w:tcPr>
          <w:p w14:paraId="512E16A6" w14:textId="77777777" w:rsidR="00F50B38" w:rsidRDefault="00F50B38" w:rsidP="00BC7A5C">
            <w:pPr>
              <w:jc w:val="center"/>
              <w:rPr>
                <w:rFonts w:cs="Arial"/>
              </w:rPr>
            </w:pPr>
            <w:r>
              <w:rPr>
                <w:rFonts w:cs="Arial"/>
              </w:rPr>
              <w:t>41,154</w:t>
            </w:r>
          </w:p>
        </w:tc>
      </w:tr>
      <w:tr w:rsidR="00F50B38" w14:paraId="2A8E66F9" w14:textId="77777777" w:rsidTr="00BC7A5C">
        <w:trPr>
          <w:trHeight w:val="792"/>
        </w:trPr>
        <w:tc>
          <w:tcPr>
            <w:tcW w:w="716" w:type="pct"/>
            <w:vAlign w:val="center"/>
          </w:tcPr>
          <w:p w14:paraId="417F3634" w14:textId="77777777" w:rsidR="00F50B38" w:rsidRDefault="00F50B38" w:rsidP="00BC7A5C">
            <w:pPr>
              <w:jc w:val="center"/>
              <w:rPr>
                <w:rFonts w:cs="Arial"/>
              </w:rPr>
            </w:pPr>
            <w:r>
              <w:rPr>
                <w:rFonts w:cs="Arial"/>
              </w:rPr>
              <w:t>Did Not Earn SSB</w:t>
            </w:r>
          </w:p>
        </w:tc>
        <w:tc>
          <w:tcPr>
            <w:tcW w:w="914" w:type="pct"/>
            <w:vAlign w:val="center"/>
          </w:tcPr>
          <w:p w14:paraId="484F4EDE" w14:textId="77777777" w:rsidR="00F50B38" w:rsidRDefault="00F50B38" w:rsidP="00BC7A5C">
            <w:pPr>
              <w:jc w:val="center"/>
              <w:rPr>
                <w:rFonts w:cs="Arial"/>
              </w:rPr>
            </w:pPr>
            <w:r>
              <w:rPr>
                <w:rFonts w:cs="Arial"/>
              </w:rPr>
              <w:t>73,872 (19.6%)</w:t>
            </w:r>
          </w:p>
        </w:tc>
        <w:tc>
          <w:tcPr>
            <w:tcW w:w="968" w:type="pct"/>
            <w:vAlign w:val="center"/>
          </w:tcPr>
          <w:p w14:paraId="25917CA8" w14:textId="77777777" w:rsidR="00F50B38" w:rsidRDefault="00F50B38" w:rsidP="00BC7A5C">
            <w:pPr>
              <w:jc w:val="center"/>
              <w:rPr>
                <w:rFonts w:cs="Arial"/>
              </w:rPr>
            </w:pPr>
            <w:r>
              <w:rPr>
                <w:rFonts w:cs="Arial"/>
              </w:rPr>
              <w:t>91,460 (24.2%)</w:t>
            </w:r>
          </w:p>
        </w:tc>
        <w:tc>
          <w:tcPr>
            <w:tcW w:w="839" w:type="pct"/>
            <w:vAlign w:val="center"/>
          </w:tcPr>
          <w:p w14:paraId="596802FC" w14:textId="77777777" w:rsidR="00F50B38" w:rsidRDefault="00F50B38" w:rsidP="00BC7A5C">
            <w:pPr>
              <w:jc w:val="center"/>
              <w:rPr>
                <w:rFonts w:cs="Arial"/>
              </w:rPr>
            </w:pPr>
            <w:r>
              <w:rPr>
                <w:rFonts w:cs="Arial"/>
              </w:rPr>
              <w:t>125,495 (33.2%)</w:t>
            </w:r>
          </w:p>
        </w:tc>
        <w:tc>
          <w:tcPr>
            <w:tcW w:w="983" w:type="pct"/>
            <w:vAlign w:val="center"/>
          </w:tcPr>
          <w:p w14:paraId="6CDD3D8A" w14:textId="57ABD33D" w:rsidR="005D39E9" w:rsidRDefault="00F50B38" w:rsidP="00BC7A5C">
            <w:pPr>
              <w:jc w:val="center"/>
              <w:rPr>
                <w:rFonts w:cs="Arial"/>
              </w:rPr>
            </w:pPr>
            <w:r>
              <w:rPr>
                <w:rFonts w:cs="Arial"/>
              </w:rPr>
              <w:t>86,724</w:t>
            </w:r>
          </w:p>
          <w:p w14:paraId="0647621B" w14:textId="7E8EB5C4" w:rsidR="00F50B38" w:rsidRDefault="00F50B38" w:rsidP="00BC7A5C">
            <w:pPr>
              <w:jc w:val="center"/>
              <w:rPr>
                <w:rFonts w:cs="Arial"/>
              </w:rPr>
            </w:pPr>
            <w:r>
              <w:rPr>
                <w:rFonts w:cs="Arial"/>
              </w:rPr>
              <w:t>(23.0%)</w:t>
            </w:r>
          </w:p>
        </w:tc>
        <w:tc>
          <w:tcPr>
            <w:tcW w:w="580" w:type="pct"/>
            <w:vAlign w:val="center"/>
          </w:tcPr>
          <w:p w14:paraId="7B8B5024" w14:textId="77777777" w:rsidR="00F50B38" w:rsidRDefault="00F50B38" w:rsidP="00BC7A5C">
            <w:pPr>
              <w:jc w:val="center"/>
              <w:rPr>
                <w:rFonts w:cs="Arial"/>
              </w:rPr>
            </w:pPr>
            <w:r>
              <w:rPr>
                <w:rFonts w:cs="Arial"/>
              </w:rPr>
              <w:t>377,551</w:t>
            </w:r>
          </w:p>
        </w:tc>
      </w:tr>
    </w:tbl>
    <w:p w14:paraId="0F02B697" w14:textId="5425995B" w:rsidR="00D919D9" w:rsidRPr="00BB765F" w:rsidRDefault="00D919D9" w:rsidP="00BB765F">
      <w:pPr>
        <w:spacing w:before="240" w:after="240"/>
        <w:rPr>
          <w:b/>
        </w:rPr>
      </w:pPr>
      <w:r w:rsidRPr="00BB765F">
        <w:rPr>
          <w:b/>
        </w:rPr>
        <w:t xml:space="preserve">Table 2: Performance on the Mathematics Smarter Balanced Summative Assessments for Students with and without the SSB </w:t>
      </w:r>
    </w:p>
    <w:tbl>
      <w:tblPr>
        <w:tblStyle w:val="TableGrid"/>
        <w:tblW w:w="5000" w:type="pct"/>
        <w:tblLook w:val="04A0" w:firstRow="1" w:lastRow="0" w:firstColumn="1" w:lastColumn="0" w:noHBand="0" w:noVBand="1"/>
        <w:tblDescription w:val="Performance on the Mathematics Smarter Balanced Summative Assessments for Students with and without the SSB"/>
      </w:tblPr>
      <w:tblGrid>
        <w:gridCol w:w="1322"/>
        <w:gridCol w:w="1715"/>
        <w:gridCol w:w="1810"/>
        <w:gridCol w:w="1578"/>
        <w:gridCol w:w="1840"/>
        <w:gridCol w:w="1085"/>
      </w:tblGrid>
      <w:tr w:rsidR="00D919D9" w14:paraId="62E4F3C1" w14:textId="77777777" w:rsidTr="00BC7A5C">
        <w:trPr>
          <w:trHeight w:val="792"/>
          <w:tblHeader/>
        </w:trPr>
        <w:tc>
          <w:tcPr>
            <w:tcW w:w="707" w:type="pct"/>
            <w:shd w:val="clear" w:color="auto" w:fill="D9D9D9" w:themeFill="background1" w:themeFillShade="D9"/>
            <w:vAlign w:val="center"/>
          </w:tcPr>
          <w:p w14:paraId="76237387" w14:textId="7D4C035A" w:rsidR="00D919D9" w:rsidRPr="00BA55E6" w:rsidRDefault="00D919D9" w:rsidP="00BC7A5C">
            <w:pPr>
              <w:jc w:val="center"/>
              <w:rPr>
                <w:rFonts w:cs="Arial"/>
                <w:b/>
              </w:rPr>
            </w:pPr>
            <w:r w:rsidRPr="00BA55E6">
              <w:rPr>
                <w:rFonts w:cs="Arial"/>
                <w:b/>
              </w:rPr>
              <w:t>SSB</w:t>
            </w:r>
          </w:p>
        </w:tc>
        <w:tc>
          <w:tcPr>
            <w:tcW w:w="917" w:type="pct"/>
            <w:shd w:val="clear" w:color="auto" w:fill="D9D9D9" w:themeFill="background1" w:themeFillShade="D9"/>
            <w:vAlign w:val="center"/>
          </w:tcPr>
          <w:p w14:paraId="4913F67B" w14:textId="77777777" w:rsidR="00D919D9" w:rsidRPr="00BA55E6" w:rsidRDefault="00D919D9" w:rsidP="00BC7A5C">
            <w:pPr>
              <w:jc w:val="center"/>
              <w:rPr>
                <w:rFonts w:cs="Arial"/>
                <w:b/>
              </w:rPr>
            </w:pPr>
            <w:r w:rsidRPr="00BA55E6">
              <w:rPr>
                <w:rFonts w:cs="Arial"/>
                <w:b/>
              </w:rPr>
              <w:t>Math Standard Not Met</w:t>
            </w:r>
          </w:p>
        </w:tc>
        <w:tc>
          <w:tcPr>
            <w:tcW w:w="968" w:type="pct"/>
            <w:shd w:val="clear" w:color="auto" w:fill="D9D9D9" w:themeFill="background1" w:themeFillShade="D9"/>
            <w:vAlign w:val="center"/>
          </w:tcPr>
          <w:p w14:paraId="1DE3B104" w14:textId="77777777" w:rsidR="00D919D9" w:rsidRPr="00BA55E6" w:rsidRDefault="00D919D9" w:rsidP="00BC7A5C">
            <w:pPr>
              <w:jc w:val="center"/>
              <w:rPr>
                <w:rFonts w:cs="Arial"/>
                <w:b/>
              </w:rPr>
            </w:pPr>
            <w:r w:rsidRPr="00BA55E6">
              <w:rPr>
                <w:rFonts w:cs="Arial"/>
                <w:b/>
              </w:rPr>
              <w:t>Math Standard Nearly Met</w:t>
            </w:r>
          </w:p>
        </w:tc>
        <w:tc>
          <w:tcPr>
            <w:tcW w:w="844" w:type="pct"/>
            <w:shd w:val="clear" w:color="auto" w:fill="D9D9D9" w:themeFill="background1" w:themeFillShade="D9"/>
            <w:vAlign w:val="center"/>
          </w:tcPr>
          <w:p w14:paraId="430AA23F" w14:textId="77777777" w:rsidR="00D919D9" w:rsidRPr="00BA55E6" w:rsidRDefault="00D919D9" w:rsidP="00BC7A5C">
            <w:pPr>
              <w:jc w:val="center"/>
              <w:rPr>
                <w:rFonts w:cs="Arial"/>
                <w:b/>
              </w:rPr>
            </w:pPr>
            <w:r w:rsidRPr="00BA55E6">
              <w:rPr>
                <w:rFonts w:cs="Arial"/>
                <w:b/>
              </w:rPr>
              <w:t>Math Standard Met</w:t>
            </w:r>
          </w:p>
        </w:tc>
        <w:tc>
          <w:tcPr>
            <w:tcW w:w="984" w:type="pct"/>
            <w:shd w:val="clear" w:color="auto" w:fill="D9D9D9" w:themeFill="background1" w:themeFillShade="D9"/>
            <w:vAlign w:val="center"/>
          </w:tcPr>
          <w:p w14:paraId="09FF22C8" w14:textId="77777777" w:rsidR="00D919D9" w:rsidRPr="00BA55E6" w:rsidRDefault="00D919D9" w:rsidP="00BC7A5C">
            <w:pPr>
              <w:jc w:val="center"/>
              <w:rPr>
                <w:rFonts w:cs="Arial"/>
                <w:b/>
              </w:rPr>
            </w:pPr>
            <w:r w:rsidRPr="00BA55E6">
              <w:rPr>
                <w:rFonts w:cs="Arial"/>
                <w:b/>
              </w:rPr>
              <w:t>Math Standard Exceeded</w:t>
            </w:r>
          </w:p>
        </w:tc>
        <w:tc>
          <w:tcPr>
            <w:tcW w:w="580" w:type="pct"/>
            <w:shd w:val="clear" w:color="auto" w:fill="D9D9D9" w:themeFill="background1" w:themeFillShade="D9"/>
            <w:vAlign w:val="center"/>
          </w:tcPr>
          <w:p w14:paraId="1BE6089B" w14:textId="77777777" w:rsidR="00D919D9" w:rsidRPr="00BA55E6" w:rsidRDefault="00D919D9" w:rsidP="00BC7A5C">
            <w:pPr>
              <w:jc w:val="center"/>
              <w:rPr>
                <w:rFonts w:cs="Arial"/>
                <w:b/>
              </w:rPr>
            </w:pPr>
            <w:r w:rsidRPr="00BA55E6">
              <w:rPr>
                <w:rFonts w:cs="Arial"/>
                <w:b/>
              </w:rPr>
              <w:t>Total</w:t>
            </w:r>
          </w:p>
        </w:tc>
      </w:tr>
      <w:tr w:rsidR="00D919D9" w14:paraId="55A7DA8C" w14:textId="77777777" w:rsidTr="00BC7A5C">
        <w:trPr>
          <w:trHeight w:val="792"/>
        </w:trPr>
        <w:tc>
          <w:tcPr>
            <w:tcW w:w="707" w:type="pct"/>
            <w:vAlign w:val="center"/>
          </w:tcPr>
          <w:p w14:paraId="04681DF7" w14:textId="77777777" w:rsidR="00D919D9" w:rsidRDefault="00D919D9" w:rsidP="00BC7A5C">
            <w:pPr>
              <w:jc w:val="center"/>
              <w:rPr>
                <w:rFonts w:cs="Arial"/>
              </w:rPr>
            </w:pPr>
            <w:r>
              <w:rPr>
                <w:rFonts w:cs="Arial"/>
              </w:rPr>
              <w:t>Earned SSB</w:t>
            </w:r>
          </w:p>
        </w:tc>
        <w:tc>
          <w:tcPr>
            <w:tcW w:w="917" w:type="pct"/>
            <w:vAlign w:val="center"/>
          </w:tcPr>
          <w:p w14:paraId="295240F5" w14:textId="76EAB701" w:rsidR="00D919D9" w:rsidRDefault="00D919D9" w:rsidP="00BC7A5C">
            <w:pPr>
              <w:jc w:val="center"/>
              <w:rPr>
                <w:rFonts w:cs="Arial"/>
              </w:rPr>
            </w:pPr>
            <w:r w:rsidRPr="00D87FEC">
              <w:t>3,969</w:t>
            </w:r>
          </w:p>
          <w:p w14:paraId="5392C1A2" w14:textId="77777777" w:rsidR="00D919D9" w:rsidRPr="00D87FEC" w:rsidRDefault="00D919D9" w:rsidP="00BC7A5C">
            <w:pPr>
              <w:jc w:val="center"/>
              <w:rPr>
                <w:rFonts w:cs="Arial"/>
              </w:rPr>
            </w:pPr>
            <w:r w:rsidRPr="00D87FEC">
              <w:rPr>
                <w:rFonts w:cs="Arial"/>
              </w:rPr>
              <w:t>(</w:t>
            </w:r>
            <w:r>
              <w:rPr>
                <w:rFonts w:cs="Arial"/>
              </w:rPr>
              <w:t>9.7</w:t>
            </w:r>
            <w:r w:rsidRPr="00D87FEC">
              <w:rPr>
                <w:rFonts w:cs="Arial"/>
              </w:rPr>
              <w:t>%)</w:t>
            </w:r>
          </w:p>
        </w:tc>
        <w:tc>
          <w:tcPr>
            <w:tcW w:w="968" w:type="pct"/>
            <w:vAlign w:val="center"/>
          </w:tcPr>
          <w:p w14:paraId="401B3A65" w14:textId="257B8B64" w:rsidR="00D919D9" w:rsidRDefault="00D919D9" w:rsidP="00BC7A5C">
            <w:pPr>
              <w:jc w:val="center"/>
              <w:rPr>
                <w:rFonts w:cs="Arial"/>
              </w:rPr>
            </w:pPr>
            <w:r w:rsidRPr="00D87FEC">
              <w:t>9,493</w:t>
            </w:r>
          </w:p>
          <w:p w14:paraId="6F9C06A9" w14:textId="77777777" w:rsidR="00D919D9" w:rsidRPr="00D87FEC" w:rsidRDefault="00D919D9" w:rsidP="00BC7A5C">
            <w:pPr>
              <w:jc w:val="center"/>
              <w:rPr>
                <w:rFonts w:cs="Arial"/>
              </w:rPr>
            </w:pPr>
            <w:r w:rsidRPr="00D87FEC">
              <w:rPr>
                <w:rFonts w:cs="Arial"/>
              </w:rPr>
              <w:t>(</w:t>
            </w:r>
            <w:r>
              <w:rPr>
                <w:rFonts w:cs="Arial"/>
              </w:rPr>
              <w:t>23.2</w:t>
            </w:r>
            <w:r w:rsidRPr="00D87FEC">
              <w:rPr>
                <w:rFonts w:cs="Arial"/>
              </w:rPr>
              <w:t>%)</w:t>
            </w:r>
          </w:p>
        </w:tc>
        <w:tc>
          <w:tcPr>
            <w:tcW w:w="844" w:type="pct"/>
            <w:vAlign w:val="center"/>
          </w:tcPr>
          <w:p w14:paraId="4FB876A8" w14:textId="77777777" w:rsidR="00D919D9" w:rsidRPr="00D87FEC" w:rsidRDefault="00D919D9" w:rsidP="00BC7A5C">
            <w:pPr>
              <w:jc w:val="center"/>
            </w:pPr>
            <w:r w:rsidRPr="00D87FEC">
              <w:t>13,577</w:t>
            </w:r>
          </w:p>
          <w:p w14:paraId="72ACEF35" w14:textId="77777777" w:rsidR="00D919D9" w:rsidRPr="00D87FEC" w:rsidRDefault="00D919D9" w:rsidP="00BC7A5C">
            <w:pPr>
              <w:jc w:val="center"/>
              <w:rPr>
                <w:rFonts w:cs="Arial"/>
              </w:rPr>
            </w:pPr>
            <w:r w:rsidRPr="00D87FEC">
              <w:rPr>
                <w:rFonts w:cs="Arial"/>
              </w:rPr>
              <w:t>(</w:t>
            </w:r>
            <w:r>
              <w:rPr>
                <w:rFonts w:cs="Arial"/>
              </w:rPr>
              <w:t>33.1</w:t>
            </w:r>
            <w:r w:rsidRPr="00D87FEC">
              <w:rPr>
                <w:rFonts w:cs="Arial"/>
              </w:rPr>
              <w:t>%)</w:t>
            </w:r>
          </w:p>
        </w:tc>
        <w:tc>
          <w:tcPr>
            <w:tcW w:w="984" w:type="pct"/>
            <w:vAlign w:val="center"/>
          </w:tcPr>
          <w:p w14:paraId="6F61BED6" w14:textId="77777777" w:rsidR="00D919D9" w:rsidRPr="00D87FEC" w:rsidRDefault="00D919D9" w:rsidP="00BC7A5C">
            <w:pPr>
              <w:jc w:val="center"/>
            </w:pPr>
            <w:r w:rsidRPr="00D87FEC">
              <w:t>13,938</w:t>
            </w:r>
          </w:p>
          <w:p w14:paraId="13E2F7E1" w14:textId="77777777" w:rsidR="00D919D9" w:rsidRPr="00D87FEC" w:rsidRDefault="00D919D9" w:rsidP="00BC7A5C">
            <w:pPr>
              <w:jc w:val="center"/>
              <w:rPr>
                <w:rFonts w:cs="Arial"/>
              </w:rPr>
            </w:pPr>
            <w:r w:rsidRPr="00D87FEC">
              <w:rPr>
                <w:rFonts w:cs="Arial"/>
              </w:rPr>
              <w:t>(</w:t>
            </w:r>
            <w:r>
              <w:rPr>
                <w:rFonts w:cs="Arial"/>
              </w:rPr>
              <w:t>34.0</w:t>
            </w:r>
            <w:r w:rsidRPr="00D87FEC">
              <w:rPr>
                <w:rFonts w:cs="Arial"/>
              </w:rPr>
              <w:t>%)</w:t>
            </w:r>
          </w:p>
        </w:tc>
        <w:tc>
          <w:tcPr>
            <w:tcW w:w="580" w:type="pct"/>
            <w:vAlign w:val="center"/>
          </w:tcPr>
          <w:p w14:paraId="054C2804" w14:textId="77777777" w:rsidR="00D919D9" w:rsidRPr="00D87FEC" w:rsidRDefault="00D919D9" w:rsidP="00BC7A5C">
            <w:pPr>
              <w:jc w:val="center"/>
              <w:rPr>
                <w:rFonts w:cs="Arial"/>
              </w:rPr>
            </w:pPr>
            <w:r>
              <w:t>40,977</w:t>
            </w:r>
          </w:p>
        </w:tc>
      </w:tr>
      <w:tr w:rsidR="00D919D9" w14:paraId="5F937548" w14:textId="77777777" w:rsidTr="00BC7A5C">
        <w:trPr>
          <w:trHeight w:val="792"/>
        </w:trPr>
        <w:tc>
          <w:tcPr>
            <w:tcW w:w="707" w:type="pct"/>
            <w:vAlign w:val="center"/>
          </w:tcPr>
          <w:p w14:paraId="2378166F" w14:textId="77777777" w:rsidR="00D919D9" w:rsidRDefault="00D919D9" w:rsidP="00BC7A5C">
            <w:pPr>
              <w:jc w:val="center"/>
              <w:rPr>
                <w:rFonts w:cs="Arial"/>
              </w:rPr>
            </w:pPr>
            <w:r>
              <w:rPr>
                <w:rFonts w:cs="Arial"/>
              </w:rPr>
              <w:t>Did Not Earn SSB</w:t>
            </w:r>
          </w:p>
        </w:tc>
        <w:tc>
          <w:tcPr>
            <w:tcW w:w="917" w:type="pct"/>
            <w:vAlign w:val="center"/>
          </w:tcPr>
          <w:p w14:paraId="5101778A" w14:textId="77777777" w:rsidR="00D919D9" w:rsidRPr="00D87FEC" w:rsidRDefault="00D919D9" w:rsidP="00BC7A5C">
            <w:pPr>
              <w:jc w:val="center"/>
              <w:rPr>
                <w:rFonts w:cs="Arial"/>
              </w:rPr>
            </w:pPr>
            <w:r w:rsidRPr="00D87FEC">
              <w:t>170,555</w:t>
            </w:r>
            <w:r w:rsidRPr="00D87FEC">
              <w:rPr>
                <w:rFonts w:cs="Arial"/>
              </w:rPr>
              <w:t xml:space="preserve"> (</w:t>
            </w:r>
            <w:r>
              <w:rPr>
                <w:rFonts w:cs="Arial"/>
              </w:rPr>
              <w:t>45.4</w:t>
            </w:r>
            <w:r w:rsidRPr="00D87FEC">
              <w:rPr>
                <w:rFonts w:cs="Arial"/>
              </w:rPr>
              <w:t>%)</w:t>
            </w:r>
          </w:p>
        </w:tc>
        <w:tc>
          <w:tcPr>
            <w:tcW w:w="968" w:type="pct"/>
            <w:vAlign w:val="center"/>
          </w:tcPr>
          <w:p w14:paraId="4053D375" w14:textId="77777777" w:rsidR="00D919D9" w:rsidRPr="00D87FEC" w:rsidRDefault="00D919D9" w:rsidP="00BC7A5C">
            <w:pPr>
              <w:jc w:val="center"/>
            </w:pPr>
            <w:r w:rsidRPr="00D87FEC">
              <w:t>94,660</w:t>
            </w:r>
          </w:p>
          <w:p w14:paraId="6AE3FFAD" w14:textId="77777777" w:rsidR="00D919D9" w:rsidRPr="00D87FEC" w:rsidRDefault="00D919D9" w:rsidP="00BC7A5C">
            <w:pPr>
              <w:jc w:val="center"/>
              <w:rPr>
                <w:rFonts w:cs="Arial"/>
              </w:rPr>
            </w:pPr>
            <w:r w:rsidRPr="00D87FEC">
              <w:rPr>
                <w:rFonts w:cs="Arial"/>
              </w:rPr>
              <w:t>(</w:t>
            </w:r>
            <w:r>
              <w:rPr>
                <w:rFonts w:cs="Arial"/>
              </w:rPr>
              <w:t>25.2</w:t>
            </w:r>
            <w:r w:rsidRPr="00D87FEC">
              <w:rPr>
                <w:rFonts w:cs="Arial"/>
              </w:rPr>
              <w:t>%)</w:t>
            </w:r>
          </w:p>
        </w:tc>
        <w:tc>
          <w:tcPr>
            <w:tcW w:w="844" w:type="pct"/>
            <w:vAlign w:val="center"/>
          </w:tcPr>
          <w:p w14:paraId="47D47753" w14:textId="77777777" w:rsidR="00D919D9" w:rsidRPr="00D87FEC" w:rsidRDefault="00D919D9" w:rsidP="00BC7A5C">
            <w:pPr>
              <w:jc w:val="center"/>
            </w:pPr>
            <w:r w:rsidRPr="00D87FEC">
              <w:t>70,874</w:t>
            </w:r>
          </w:p>
          <w:p w14:paraId="3CF27F26" w14:textId="77777777" w:rsidR="00D919D9" w:rsidRPr="00D87FEC" w:rsidRDefault="00D919D9" w:rsidP="00BC7A5C">
            <w:pPr>
              <w:jc w:val="center"/>
              <w:rPr>
                <w:rFonts w:cs="Arial"/>
              </w:rPr>
            </w:pPr>
            <w:r w:rsidRPr="00D87FEC">
              <w:rPr>
                <w:rFonts w:cs="Arial"/>
              </w:rPr>
              <w:t>(</w:t>
            </w:r>
            <w:r>
              <w:rPr>
                <w:rFonts w:cs="Arial"/>
              </w:rPr>
              <w:t>18.9</w:t>
            </w:r>
            <w:r w:rsidRPr="00D87FEC">
              <w:rPr>
                <w:rFonts w:cs="Arial"/>
              </w:rPr>
              <w:t>%)</w:t>
            </w:r>
          </w:p>
        </w:tc>
        <w:tc>
          <w:tcPr>
            <w:tcW w:w="984" w:type="pct"/>
            <w:vAlign w:val="center"/>
          </w:tcPr>
          <w:p w14:paraId="3E04A008" w14:textId="77777777" w:rsidR="00D919D9" w:rsidRPr="00D87FEC" w:rsidRDefault="00D919D9" w:rsidP="00BC7A5C">
            <w:pPr>
              <w:jc w:val="center"/>
            </w:pPr>
            <w:r w:rsidRPr="00D87FEC">
              <w:t>39,887</w:t>
            </w:r>
          </w:p>
          <w:p w14:paraId="527C3AD5" w14:textId="77777777" w:rsidR="00D919D9" w:rsidRPr="00D87FEC" w:rsidRDefault="00D919D9" w:rsidP="00BC7A5C">
            <w:pPr>
              <w:jc w:val="center"/>
              <w:rPr>
                <w:rFonts w:cs="Arial"/>
              </w:rPr>
            </w:pPr>
            <w:r w:rsidRPr="00D87FEC">
              <w:rPr>
                <w:rFonts w:cs="Arial"/>
              </w:rPr>
              <w:t>(</w:t>
            </w:r>
            <w:r>
              <w:rPr>
                <w:rFonts w:cs="Arial"/>
              </w:rPr>
              <w:t>10.6</w:t>
            </w:r>
            <w:r w:rsidRPr="00D87FEC">
              <w:rPr>
                <w:rFonts w:cs="Arial"/>
              </w:rPr>
              <w:t>%)</w:t>
            </w:r>
          </w:p>
        </w:tc>
        <w:tc>
          <w:tcPr>
            <w:tcW w:w="580" w:type="pct"/>
            <w:vAlign w:val="center"/>
          </w:tcPr>
          <w:p w14:paraId="02E9D4C0" w14:textId="77777777" w:rsidR="00D919D9" w:rsidRPr="00D87FEC" w:rsidRDefault="00D919D9" w:rsidP="00BC7A5C">
            <w:pPr>
              <w:jc w:val="center"/>
              <w:rPr>
                <w:rFonts w:cs="Arial"/>
              </w:rPr>
            </w:pPr>
            <w:r>
              <w:t>375,976</w:t>
            </w:r>
          </w:p>
        </w:tc>
      </w:tr>
    </w:tbl>
    <w:p w14:paraId="0DFD48CA" w14:textId="567D614E" w:rsidR="00D919D9" w:rsidRPr="00D919D9" w:rsidRDefault="00D919D9" w:rsidP="00BC7A5C">
      <w:pPr>
        <w:pStyle w:val="Heading4"/>
        <w:spacing w:before="240" w:after="240"/>
        <w:rPr>
          <w:rFonts w:ascii="Arial" w:hAnsi="Arial" w:cs="Arial"/>
          <w:b/>
          <w:i w:val="0"/>
          <w:color w:val="auto"/>
        </w:rPr>
      </w:pPr>
      <w:r w:rsidRPr="00D919D9">
        <w:rPr>
          <w:rFonts w:ascii="Arial" w:hAnsi="Arial" w:cs="Arial"/>
          <w:b/>
          <w:i w:val="0"/>
          <w:color w:val="auto"/>
        </w:rPr>
        <w:t>Proposed Placement Criteria</w:t>
      </w:r>
      <w:r w:rsidR="00F33EA6">
        <w:rPr>
          <w:rFonts w:ascii="Arial" w:hAnsi="Arial" w:cs="Arial"/>
          <w:b/>
          <w:i w:val="0"/>
          <w:color w:val="auto"/>
        </w:rPr>
        <w:t xml:space="preserve"> for the SSB</w:t>
      </w:r>
    </w:p>
    <w:p w14:paraId="0E73C94B" w14:textId="6C9DC98D" w:rsidR="00F50B38" w:rsidRDefault="00F50B38" w:rsidP="009360F1">
      <w:pPr>
        <w:spacing w:after="240"/>
        <w:rPr>
          <w:rFonts w:cs="Arial"/>
        </w:rPr>
      </w:pPr>
      <w:r>
        <w:rPr>
          <w:rFonts w:cs="Arial"/>
        </w:rPr>
        <w:t xml:space="preserve">Based on these </w:t>
      </w:r>
      <w:r w:rsidR="00D919D9">
        <w:rPr>
          <w:rFonts w:cs="Arial"/>
        </w:rPr>
        <w:t>data</w:t>
      </w:r>
      <w:r w:rsidR="001D7BCB">
        <w:rPr>
          <w:rFonts w:cs="Arial"/>
        </w:rPr>
        <w:t xml:space="preserve"> and the requirement that students must score </w:t>
      </w:r>
      <w:r w:rsidR="00BC7A5C">
        <w:rPr>
          <w:rFonts w:cs="Arial"/>
        </w:rPr>
        <w:t>“</w:t>
      </w:r>
      <w:r w:rsidR="001D7BCB">
        <w:rPr>
          <w:rFonts w:cs="Arial"/>
        </w:rPr>
        <w:t>Standard Met</w:t>
      </w:r>
      <w:r w:rsidR="00BC7A5C">
        <w:rPr>
          <w:rFonts w:cs="Arial"/>
        </w:rPr>
        <w:t>”</w:t>
      </w:r>
      <w:r w:rsidR="001D7BCB">
        <w:rPr>
          <w:rFonts w:cs="Arial"/>
        </w:rPr>
        <w:t xml:space="preserve"> on the ELA Smarter Balanced Assessment to earn an SSB,</w:t>
      </w:r>
      <w:r>
        <w:rPr>
          <w:rFonts w:cs="Arial"/>
        </w:rPr>
        <w:t xml:space="preserve"> the CCI Work Group recommended that the following placement criteria be applied for this measure:</w:t>
      </w:r>
    </w:p>
    <w:p w14:paraId="0AFDEF48" w14:textId="6E111808" w:rsidR="00F50B38" w:rsidRPr="00CA64F8" w:rsidRDefault="00BC7A5C" w:rsidP="00BC7A5C">
      <w:pPr>
        <w:pStyle w:val="ListParagraph"/>
        <w:numPr>
          <w:ilvl w:val="0"/>
          <w:numId w:val="15"/>
        </w:numPr>
        <w:spacing w:after="240"/>
        <w:ind w:left="720"/>
        <w:rPr>
          <w:rFonts w:ascii="Arial" w:hAnsi="Arial" w:cs="Arial"/>
          <w:sz w:val="24"/>
          <w:szCs w:val="24"/>
        </w:rPr>
      </w:pPr>
      <w:r>
        <w:rPr>
          <w:rFonts w:ascii="Arial" w:hAnsi="Arial" w:cs="Arial"/>
          <w:b/>
          <w:sz w:val="24"/>
          <w:szCs w:val="24"/>
        </w:rPr>
        <w:t>“</w:t>
      </w:r>
      <w:r w:rsidR="00F50B38" w:rsidRPr="00CA64F8">
        <w:rPr>
          <w:rFonts w:ascii="Arial" w:hAnsi="Arial" w:cs="Arial"/>
          <w:b/>
          <w:sz w:val="24"/>
          <w:szCs w:val="24"/>
        </w:rPr>
        <w:t>Prepared</w:t>
      </w:r>
      <w:r>
        <w:rPr>
          <w:rFonts w:ascii="Arial" w:hAnsi="Arial" w:cs="Arial"/>
          <w:b/>
          <w:sz w:val="24"/>
          <w:szCs w:val="24"/>
        </w:rPr>
        <w:t>”</w:t>
      </w:r>
      <w:r w:rsidR="00F50B38" w:rsidRPr="00CA64F8">
        <w:rPr>
          <w:rFonts w:ascii="Arial" w:hAnsi="Arial" w:cs="Arial"/>
          <w:b/>
          <w:sz w:val="24"/>
          <w:szCs w:val="24"/>
        </w:rPr>
        <w:t xml:space="preserve"> Level</w:t>
      </w:r>
      <w:r w:rsidR="00F50B38" w:rsidRPr="00CA64F8">
        <w:rPr>
          <w:rFonts w:ascii="Arial" w:hAnsi="Arial" w:cs="Arial"/>
          <w:sz w:val="24"/>
          <w:szCs w:val="24"/>
        </w:rPr>
        <w:t xml:space="preserve">: Student earns the SSB </w:t>
      </w:r>
      <w:r w:rsidR="00F50B38" w:rsidRPr="00CA64F8">
        <w:rPr>
          <w:rFonts w:ascii="Arial" w:hAnsi="Arial" w:cs="Arial"/>
          <w:b/>
          <w:sz w:val="24"/>
          <w:szCs w:val="24"/>
        </w:rPr>
        <w:t xml:space="preserve">and </w:t>
      </w:r>
      <w:r w:rsidR="00F50B38" w:rsidRPr="00CA64F8">
        <w:rPr>
          <w:rFonts w:ascii="Arial" w:hAnsi="Arial" w:cs="Arial"/>
          <w:sz w:val="24"/>
          <w:szCs w:val="24"/>
        </w:rPr>
        <w:t>scores</w:t>
      </w:r>
    </w:p>
    <w:p w14:paraId="4AD15700" w14:textId="77777777" w:rsidR="00F50B38" w:rsidRPr="00CA64F8" w:rsidRDefault="00F50B38" w:rsidP="00D45E70">
      <w:pPr>
        <w:pStyle w:val="ListParagraph"/>
        <w:numPr>
          <w:ilvl w:val="0"/>
          <w:numId w:val="14"/>
        </w:numPr>
        <w:spacing w:after="240"/>
        <w:rPr>
          <w:rFonts w:ascii="Arial" w:hAnsi="Arial" w:cs="Arial"/>
          <w:sz w:val="24"/>
          <w:szCs w:val="24"/>
        </w:rPr>
      </w:pPr>
      <w:r w:rsidRPr="00CA64F8">
        <w:rPr>
          <w:rFonts w:ascii="Arial" w:hAnsi="Arial" w:cs="Arial"/>
          <w:sz w:val="24"/>
          <w:szCs w:val="24"/>
        </w:rPr>
        <w:t>At least “Standard Met” on ELA and</w:t>
      </w:r>
    </w:p>
    <w:p w14:paraId="5C037D88" w14:textId="133C1396" w:rsidR="00F50B38" w:rsidRPr="00CA64F8" w:rsidRDefault="00F50B38" w:rsidP="00D45E70">
      <w:pPr>
        <w:pStyle w:val="ListParagraph"/>
        <w:numPr>
          <w:ilvl w:val="0"/>
          <w:numId w:val="14"/>
        </w:numPr>
        <w:spacing w:after="240"/>
        <w:rPr>
          <w:rFonts w:ascii="Arial" w:hAnsi="Arial" w:cs="Arial"/>
          <w:sz w:val="24"/>
          <w:szCs w:val="24"/>
        </w:rPr>
      </w:pPr>
      <w:r w:rsidRPr="00CA64F8">
        <w:rPr>
          <w:rFonts w:ascii="Arial" w:hAnsi="Arial" w:cs="Arial"/>
          <w:sz w:val="24"/>
          <w:szCs w:val="24"/>
        </w:rPr>
        <w:t>At least “Standard Nearly Met” on mathematics</w:t>
      </w:r>
    </w:p>
    <w:p w14:paraId="128510E9" w14:textId="36B465FA" w:rsidR="00A36D03" w:rsidRDefault="00BC7A5C" w:rsidP="00BC7A5C">
      <w:pPr>
        <w:pStyle w:val="ListParagraph"/>
        <w:numPr>
          <w:ilvl w:val="0"/>
          <w:numId w:val="13"/>
        </w:numPr>
        <w:spacing w:after="240"/>
        <w:ind w:left="720"/>
        <w:rPr>
          <w:rFonts w:ascii="Arial" w:hAnsi="Arial" w:cs="Arial"/>
          <w:sz w:val="24"/>
          <w:szCs w:val="24"/>
        </w:rPr>
      </w:pPr>
      <w:r>
        <w:rPr>
          <w:rFonts w:ascii="Arial" w:hAnsi="Arial" w:cs="Arial"/>
          <w:b/>
          <w:sz w:val="24"/>
          <w:szCs w:val="24"/>
        </w:rPr>
        <w:lastRenderedPageBreak/>
        <w:t>“</w:t>
      </w:r>
      <w:r w:rsidR="00F50B38" w:rsidRPr="00CA64F8">
        <w:rPr>
          <w:rFonts w:ascii="Arial" w:hAnsi="Arial" w:cs="Arial"/>
          <w:b/>
          <w:sz w:val="24"/>
          <w:szCs w:val="24"/>
        </w:rPr>
        <w:t>Approaching Prepared</w:t>
      </w:r>
      <w:r>
        <w:rPr>
          <w:rFonts w:ascii="Arial" w:hAnsi="Arial" w:cs="Arial"/>
          <w:b/>
          <w:sz w:val="24"/>
          <w:szCs w:val="24"/>
        </w:rPr>
        <w:t>” Level</w:t>
      </w:r>
      <w:r w:rsidR="00F50B38" w:rsidRPr="00CA64F8">
        <w:rPr>
          <w:rFonts w:ascii="Arial" w:hAnsi="Arial" w:cs="Arial"/>
          <w:sz w:val="24"/>
          <w:szCs w:val="24"/>
        </w:rPr>
        <w:t xml:space="preserve">: Students earns the SSB </w:t>
      </w:r>
      <w:r w:rsidR="00A36D03">
        <w:rPr>
          <w:rFonts w:ascii="Arial" w:hAnsi="Arial" w:cs="Arial"/>
          <w:sz w:val="24"/>
          <w:szCs w:val="24"/>
        </w:rPr>
        <w:t>and scores</w:t>
      </w:r>
    </w:p>
    <w:p w14:paraId="791EFFFF" w14:textId="1F5FE502" w:rsidR="00F50B38" w:rsidRPr="00CA64F8" w:rsidRDefault="00A36D03" w:rsidP="00BC7A5C">
      <w:pPr>
        <w:pStyle w:val="ListParagraph"/>
        <w:numPr>
          <w:ilvl w:val="1"/>
          <w:numId w:val="13"/>
        </w:numPr>
        <w:spacing w:after="240"/>
        <w:ind w:left="1440"/>
        <w:rPr>
          <w:rFonts w:ascii="Arial" w:hAnsi="Arial" w:cs="Arial"/>
          <w:sz w:val="24"/>
          <w:szCs w:val="24"/>
        </w:rPr>
      </w:pPr>
      <w:r w:rsidRPr="00A36D03">
        <w:rPr>
          <w:rFonts w:ascii="Arial" w:hAnsi="Arial" w:cs="Arial"/>
          <w:sz w:val="24"/>
          <w:szCs w:val="24"/>
        </w:rPr>
        <w:t xml:space="preserve">At least </w:t>
      </w:r>
      <w:r>
        <w:rPr>
          <w:rFonts w:ascii="Arial" w:hAnsi="Arial" w:cs="Arial"/>
          <w:sz w:val="24"/>
          <w:szCs w:val="24"/>
        </w:rPr>
        <w:t>“</w:t>
      </w:r>
      <w:r w:rsidRPr="00A36D03">
        <w:rPr>
          <w:rFonts w:ascii="Arial" w:hAnsi="Arial" w:cs="Arial"/>
          <w:sz w:val="24"/>
          <w:szCs w:val="24"/>
        </w:rPr>
        <w:t>Standard Met</w:t>
      </w:r>
      <w:r>
        <w:rPr>
          <w:rFonts w:ascii="Arial" w:hAnsi="Arial" w:cs="Arial"/>
          <w:sz w:val="24"/>
          <w:szCs w:val="24"/>
        </w:rPr>
        <w:t>”</w:t>
      </w:r>
      <w:r w:rsidRPr="00A36D03">
        <w:rPr>
          <w:rFonts w:ascii="Arial" w:hAnsi="Arial" w:cs="Arial"/>
          <w:sz w:val="24"/>
          <w:szCs w:val="24"/>
        </w:rPr>
        <w:t xml:space="preserve"> on ELA</w:t>
      </w:r>
      <w:r>
        <w:rPr>
          <w:rFonts w:ascii="Arial" w:hAnsi="Arial" w:cs="Arial"/>
          <w:b/>
          <w:sz w:val="24"/>
          <w:szCs w:val="24"/>
        </w:rPr>
        <w:t xml:space="preserve"> </w:t>
      </w:r>
      <w:r w:rsidR="00F50B38" w:rsidRPr="00CA64F8">
        <w:rPr>
          <w:rFonts w:ascii="Arial" w:hAnsi="Arial" w:cs="Arial"/>
          <w:sz w:val="24"/>
          <w:szCs w:val="24"/>
        </w:rPr>
        <w:t xml:space="preserve">(i.e., the </w:t>
      </w:r>
      <w:r>
        <w:rPr>
          <w:rFonts w:ascii="Arial" w:hAnsi="Arial" w:cs="Arial"/>
          <w:sz w:val="24"/>
          <w:szCs w:val="24"/>
        </w:rPr>
        <w:t>mathematics criteria is removed)</w:t>
      </w:r>
    </w:p>
    <w:p w14:paraId="354FD352" w14:textId="6673C979" w:rsidR="00D919D9" w:rsidRDefault="00F50B38" w:rsidP="009360F1">
      <w:pPr>
        <w:spacing w:after="240"/>
        <w:rPr>
          <w:rFonts w:cs="Arial"/>
        </w:rPr>
      </w:pPr>
      <w:r>
        <w:rPr>
          <w:rFonts w:cs="Arial"/>
        </w:rPr>
        <w:t>Based on the proposed placement criteria for this measure, 35,982 students (7.5 percent) in the class of 2017 would earn the prepared level on the CCI (duplicative count).</w:t>
      </w:r>
    </w:p>
    <w:p w14:paraId="749FE563" w14:textId="7439CEC2" w:rsidR="00D919D9" w:rsidRPr="00D919D9" w:rsidRDefault="00D919D9" w:rsidP="009360F1">
      <w:pPr>
        <w:pStyle w:val="Heading4"/>
        <w:spacing w:before="0" w:after="240"/>
        <w:rPr>
          <w:rFonts w:ascii="Arial" w:hAnsi="Arial" w:cs="Arial"/>
          <w:b/>
          <w:i w:val="0"/>
          <w:color w:val="auto"/>
        </w:rPr>
      </w:pPr>
      <w:r>
        <w:rPr>
          <w:rFonts w:ascii="Arial" w:hAnsi="Arial" w:cs="Arial"/>
          <w:b/>
          <w:i w:val="0"/>
          <w:color w:val="auto"/>
        </w:rPr>
        <w:t>Stakeholder Feedback</w:t>
      </w:r>
      <w:r w:rsidR="00F33EA6">
        <w:rPr>
          <w:rFonts w:ascii="Arial" w:hAnsi="Arial" w:cs="Arial"/>
          <w:b/>
          <w:i w:val="0"/>
          <w:color w:val="auto"/>
        </w:rPr>
        <w:t xml:space="preserve"> </w:t>
      </w:r>
    </w:p>
    <w:p w14:paraId="7640FF3F" w14:textId="1443B4A1" w:rsidR="00D919D9" w:rsidRPr="00F33EA6" w:rsidRDefault="00F50B38" w:rsidP="009360F1">
      <w:pPr>
        <w:spacing w:after="240"/>
        <w:rPr>
          <w:rFonts w:cs="Arial"/>
        </w:rPr>
      </w:pPr>
      <w:r>
        <w:rPr>
          <w:rFonts w:cs="Arial"/>
        </w:rPr>
        <w:t xml:space="preserve">This information was shared with the California Task Force on Alternative Schools (Task Force), </w:t>
      </w:r>
      <w:r w:rsidR="00F33EA6">
        <w:rPr>
          <w:rFonts w:cs="Arial"/>
        </w:rPr>
        <w:t xml:space="preserve">the Local Control Funding Formula (LCFF) Stakeholder Group, </w:t>
      </w:r>
      <w:r>
        <w:rPr>
          <w:rFonts w:cs="Arial"/>
        </w:rPr>
        <w:t xml:space="preserve">the California Practitioners Advisory Group (CPAG), </w:t>
      </w:r>
      <w:r w:rsidR="00D919D9">
        <w:rPr>
          <w:rFonts w:cs="Arial"/>
        </w:rPr>
        <w:t>and the TDG</w:t>
      </w:r>
      <w:r>
        <w:rPr>
          <w:rFonts w:cs="Arial"/>
        </w:rPr>
        <w:t xml:space="preserve">. </w:t>
      </w:r>
      <w:r w:rsidR="00D919D9">
        <w:rPr>
          <w:rFonts w:cs="Arial"/>
        </w:rPr>
        <w:t xml:space="preserve">Their feedback appears </w:t>
      </w:r>
      <w:r w:rsidR="00D919D9" w:rsidRPr="00F33EA6">
        <w:rPr>
          <w:rFonts w:cs="Arial"/>
        </w:rPr>
        <w:t>below:</w:t>
      </w:r>
    </w:p>
    <w:p w14:paraId="526ACA07" w14:textId="3815881A" w:rsidR="00F50B38" w:rsidRPr="00F33EA6" w:rsidRDefault="00F50B38" w:rsidP="00BC7A5C">
      <w:pPr>
        <w:pStyle w:val="ListParagraph"/>
        <w:numPr>
          <w:ilvl w:val="0"/>
          <w:numId w:val="13"/>
        </w:numPr>
        <w:spacing w:after="240"/>
        <w:ind w:left="720"/>
        <w:rPr>
          <w:rFonts w:ascii="Arial" w:hAnsi="Arial" w:cs="Arial"/>
          <w:sz w:val="24"/>
          <w:szCs w:val="24"/>
        </w:rPr>
      </w:pPr>
      <w:r w:rsidRPr="00F33EA6">
        <w:rPr>
          <w:rFonts w:ascii="Arial" w:hAnsi="Arial" w:cs="Arial"/>
          <w:sz w:val="24"/>
          <w:szCs w:val="24"/>
        </w:rPr>
        <w:t>The Task Force supported the prop</w:t>
      </w:r>
      <w:r w:rsidR="00BC7A5C">
        <w:rPr>
          <w:rFonts w:ascii="Arial" w:hAnsi="Arial" w:cs="Arial"/>
          <w:sz w:val="24"/>
          <w:szCs w:val="24"/>
        </w:rPr>
        <w:t>osed criteria for the “Prepared” l</w:t>
      </w:r>
      <w:r w:rsidRPr="00F33EA6">
        <w:rPr>
          <w:rFonts w:ascii="Arial" w:hAnsi="Arial" w:cs="Arial"/>
          <w:sz w:val="24"/>
          <w:szCs w:val="24"/>
        </w:rPr>
        <w:t xml:space="preserve">evel and the inclusion of the SSB in the CCI. </w:t>
      </w:r>
    </w:p>
    <w:p w14:paraId="01B35B70" w14:textId="645A1A0E" w:rsidR="00D919D9" w:rsidRPr="00F33EA6" w:rsidRDefault="00F50B38" w:rsidP="00BC7A5C">
      <w:pPr>
        <w:pStyle w:val="ListParagraph"/>
        <w:numPr>
          <w:ilvl w:val="0"/>
          <w:numId w:val="13"/>
        </w:numPr>
        <w:spacing w:after="240"/>
        <w:ind w:left="720"/>
        <w:rPr>
          <w:rFonts w:ascii="Arial" w:hAnsi="Arial" w:cs="Arial"/>
          <w:sz w:val="24"/>
          <w:szCs w:val="24"/>
        </w:rPr>
      </w:pPr>
      <w:r w:rsidRPr="00F33EA6">
        <w:rPr>
          <w:rFonts w:ascii="Arial" w:hAnsi="Arial" w:cs="Arial"/>
          <w:sz w:val="24"/>
          <w:szCs w:val="24"/>
        </w:rPr>
        <w:t xml:space="preserve">Initially, the CDE did not propose any criteria for the </w:t>
      </w:r>
      <w:r w:rsidR="00BC7A5C">
        <w:rPr>
          <w:rFonts w:ascii="Arial" w:hAnsi="Arial" w:cs="Arial"/>
          <w:sz w:val="24"/>
          <w:szCs w:val="24"/>
        </w:rPr>
        <w:t>“</w:t>
      </w:r>
      <w:r w:rsidRPr="00F33EA6">
        <w:rPr>
          <w:rFonts w:ascii="Arial" w:hAnsi="Arial" w:cs="Arial"/>
          <w:sz w:val="24"/>
          <w:szCs w:val="24"/>
        </w:rPr>
        <w:t>Approaching Prepared</w:t>
      </w:r>
      <w:r w:rsidR="00BC7A5C">
        <w:rPr>
          <w:rFonts w:ascii="Arial" w:hAnsi="Arial" w:cs="Arial"/>
          <w:sz w:val="24"/>
          <w:szCs w:val="24"/>
        </w:rPr>
        <w:t>”</w:t>
      </w:r>
      <w:r w:rsidRPr="00F33EA6">
        <w:rPr>
          <w:rFonts w:ascii="Arial" w:hAnsi="Arial" w:cs="Arial"/>
          <w:sz w:val="24"/>
          <w:szCs w:val="24"/>
        </w:rPr>
        <w:t xml:space="preserve"> level. However, based on feedback from one member of the LCFF stakeholder group, an </w:t>
      </w:r>
      <w:r w:rsidR="00BC7A5C">
        <w:rPr>
          <w:rFonts w:ascii="Arial" w:hAnsi="Arial" w:cs="Arial"/>
          <w:sz w:val="24"/>
          <w:szCs w:val="24"/>
        </w:rPr>
        <w:t>“</w:t>
      </w:r>
      <w:r w:rsidRPr="00F33EA6">
        <w:rPr>
          <w:rFonts w:ascii="Arial" w:hAnsi="Arial" w:cs="Arial"/>
          <w:sz w:val="24"/>
          <w:szCs w:val="24"/>
        </w:rPr>
        <w:t>Approaching Prepared</w:t>
      </w:r>
      <w:r w:rsidR="00BC7A5C">
        <w:rPr>
          <w:rFonts w:ascii="Arial" w:hAnsi="Arial" w:cs="Arial"/>
          <w:sz w:val="24"/>
          <w:szCs w:val="24"/>
        </w:rPr>
        <w:t>”</w:t>
      </w:r>
      <w:r w:rsidRPr="00F33EA6">
        <w:rPr>
          <w:rFonts w:ascii="Arial" w:hAnsi="Arial" w:cs="Arial"/>
          <w:sz w:val="24"/>
          <w:szCs w:val="24"/>
        </w:rPr>
        <w:t xml:space="preserve"> criteria has been added for consideration. </w:t>
      </w:r>
    </w:p>
    <w:p w14:paraId="39EBF54E" w14:textId="77777777" w:rsidR="00F33EA6" w:rsidRPr="00A36D03" w:rsidRDefault="00F33EA6" w:rsidP="00BC7A5C">
      <w:pPr>
        <w:pStyle w:val="ListParagraph"/>
        <w:numPr>
          <w:ilvl w:val="0"/>
          <w:numId w:val="13"/>
        </w:numPr>
        <w:spacing w:after="240"/>
        <w:ind w:left="720"/>
        <w:rPr>
          <w:rFonts w:ascii="Arial" w:hAnsi="Arial" w:cs="Arial"/>
          <w:sz w:val="24"/>
          <w:szCs w:val="24"/>
        </w:rPr>
      </w:pPr>
      <w:r w:rsidRPr="00F33EA6">
        <w:rPr>
          <w:rFonts w:ascii="Arial" w:hAnsi="Arial" w:cs="Arial"/>
          <w:sz w:val="24"/>
          <w:szCs w:val="24"/>
        </w:rPr>
        <w:t xml:space="preserve">A majority of CPAG members supported the inclusion of the SSB in the CCI. However, some members voiced concerns regarding the inclusion of the “Standard Nearly Met” on mathematics requirement and recommended that it be </w:t>
      </w:r>
      <w:r w:rsidRPr="00A36D03">
        <w:rPr>
          <w:rFonts w:ascii="Arial" w:hAnsi="Arial" w:cs="Arial"/>
          <w:sz w:val="24"/>
          <w:szCs w:val="24"/>
        </w:rPr>
        <w:t xml:space="preserve">removed. </w:t>
      </w:r>
    </w:p>
    <w:p w14:paraId="375102FA" w14:textId="281143EE" w:rsidR="00F33EA6" w:rsidRPr="00A36D03" w:rsidRDefault="00F33EA6" w:rsidP="00BC7A5C">
      <w:pPr>
        <w:pStyle w:val="ListParagraph"/>
        <w:numPr>
          <w:ilvl w:val="0"/>
          <w:numId w:val="13"/>
        </w:numPr>
        <w:spacing w:after="240"/>
        <w:ind w:left="720"/>
        <w:rPr>
          <w:rFonts w:ascii="Arial" w:hAnsi="Arial" w:cs="Arial"/>
          <w:sz w:val="24"/>
          <w:szCs w:val="24"/>
        </w:rPr>
      </w:pPr>
      <w:r w:rsidRPr="00A36D03">
        <w:rPr>
          <w:rFonts w:ascii="Arial" w:hAnsi="Arial" w:cs="Arial"/>
          <w:sz w:val="24"/>
          <w:szCs w:val="24"/>
        </w:rPr>
        <w:t xml:space="preserve">The TDG </w:t>
      </w:r>
      <w:r w:rsidR="00A36D03" w:rsidRPr="00A36D03">
        <w:rPr>
          <w:rFonts w:ascii="Arial" w:hAnsi="Arial" w:cs="Arial"/>
          <w:sz w:val="24"/>
          <w:szCs w:val="24"/>
        </w:rPr>
        <w:t>support</w:t>
      </w:r>
      <w:r w:rsidR="000A76C7">
        <w:rPr>
          <w:rFonts w:ascii="Arial" w:hAnsi="Arial" w:cs="Arial"/>
          <w:sz w:val="24"/>
          <w:szCs w:val="24"/>
        </w:rPr>
        <w:t>ed</w:t>
      </w:r>
      <w:r w:rsidR="00A36D03" w:rsidRPr="00A36D03">
        <w:rPr>
          <w:rFonts w:ascii="Arial" w:hAnsi="Arial" w:cs="Arial"/>
          <w:sz w:val="24"/>
          <w:szCs w:val="24"/>
        </w:rPr>
        <w:t xml:space="preserve"> the inclusion of the SSB in the CCI and indicated </w:t>
      </w:r>
      <w:r w:rsidR="000A76C7">
        <w:rPr>
          <w:rFonts w:ascii="Arial" w:hAnsi="Arial" w:cs="Arial"/>
          <w:sz w:val="24"/>
          <w:szCs w:val="24"/>
        </w:rPr>
        <w:t xml:space="preserve">that </w:t>
      </w:r>
      <w:r w:rsidR="00A36D03" w:rsidRPr="00A36D03">
        <w:rPr>
          <w:rFonts w:ascii="Arial" w:hAnsi="Arial" w:cs="Arial"/>
          <w:sz w:val="24"/>
          <w:szCs w:val="24"/>
        </w:rPr>
        <w:t xml:space="preserve">it was important to keep the additional criteria of the ELA and mathematics </w:t>
      </w:r>
      <w:r w:rsidR="000A76C7">
        <w:rPr>
          <w:rFonts w:ascii="Arial" w:hAnsi="Arial" w:cs="Arial"/>
          <w:sz w:val="24"/>
          <w:szCs w:val="24"/>
        </w:rPr>
        <w:t xml:space="preserve">in order </w:t>
      </w:r>
      <w:r w:rsidR="00A36D03" w:rsidRPr="00A36D03">
        <w:rPr>
          <w:rFonts w:ascii="Arial" w:hAnsi="Arial" w:cs="Arial"/>
          <w:sz w:val="24"/>
          <w:szCs w:val="24"/>
        </w:rPr>
        <w:t xml:space="preserve">to align with the criteria adopted for the </w:t>
      </w:r>
      <w:r w:rsidR="00BC7A5C">
        <w:rPr>
          <w:rFonts w:ascii="Arial" w:hAnsi="Arial" w:cs="Arial"/>
          <w:sz w:val="24"/>
          <w:szCs w:val="24"/>
        </w:rPr>
        <w:t>CTE</w:t>
      </w:r>
      <w:r w:rsidR="000A76C7">
        <w:rPr>
          <w:rFonts w:ascii="Arial" w:hAnsi="Arial" w:cs="Arial"/>
          <w:sz w:val="24"/>
          <w:szCs w:val="24"/>
        </w:rPr>
        <w:t xml:space="preserve"> P</w:t>
      </w:r>
      <w:r w:rsidR="00A36D03" w:rsidRPr="00A36D03">
        <w:rPr>
          <w:rFonts w:ascii="Arial" w:hAnsi="Arial" w:cs="Arial"/>
          <w:sz w:val="24"/>
          <w:szCs w:val="24"/>
        </w:rPr>
        <w:t xml:space="preserve">athway </w:t>
      </w:r>
      <w:r w:rsidR="000A76C7">
        <w:rPr>
          <w:rFonts w:ascii="Arial" w:hAnsi="Arial" w:cs="Arial"/>
          <w:sz w:val="24"/>
          <w:szCs w:val="24"/>
        </w:rPr>
        <w:t>C</w:t>
      </w:r>
      <w:r w:rsidR="00A36D03">
        <w:rPr>
          <w:rFonts w:ascii="Arial" w:hAnsi="Arial" w:cs="Arial"/>
          <w:sz w:val="24"/>
          <w:szCs w:val="24"/>
        </w:rPr>
        <w:t xml:space="preserve">ompletion </w:t>
      </w:r>
      <w:r w:rsidR="00A36D03" w:rsidRPr="00A36D03">
        <w:rPr>
          <w:rFonts w:ascii="Arial" w:hAnsi="Arial" w:cs="Arial"/>
          <w:sz w:val="24"/>
          <w:szCs w:val="24"/>
        </w:rPr>
        <w:t>and the a-g measures</w:t>
      </w:r>
      <w:r w:rsidRPr="00A36D03">
        <w:rPr>
          <w:rFonts w:ascii="Arial" w:hAnsi="Arial" w:cs="Arial"/>
          <w:sz w:val="24"/>
          <w:szCs w:val="24"/>
        </w:rPr>
        <w:t xml:space="preserve">. </w:t>
      </w:r>
    </w:p>
    <w:p w14:paraId="2CC2DAF2" w14:textId="77777777" w:rsidR="00340762" w:rsidRPr="00BA55E6" w:rsidRDefault="00340762" w:rsidP="009360F1">
      <w:pPr>
        <w:pStyle w:val="Heading3"/>
        <w:spacing w:before="0" w:after="240"/>
        <w:rPr>
          <w:rFonts w:ascii="Arial" w:hAnsi="Arial" w:cs="Arial"/>
          <w:b/>
          <w:color w:val="auto"/>
          <w:sz w:val="28"/>
          <w:szCs w:val="28"/>
        </w:rPr>
      </w:pPr>
      <w:r w:rsidRPr="00BA55E6">
        <w:rPr>
          <w:rFonts w:ascii="Arial" w:hAnsi="Arial" w:cs="Arial"/>
          <w:b/>
          <w:color w:val="auto"/>
          <w:sz w:val="28"/>
          <w:szCs w:val="28"/>
        </w:rPr>
        <w:t>Golden State Seal Merit Diploma</w:t>
      </w:r>
    </w:p>
    <w:p w14:paraId="54E1771F" w14:textId="25FBCF99" w:rsidR="00F50B38" w:rsidRPr="00BB765F" w:rsidRDefault="00F50B38" w:rsidP="00BB765F">
      <w:pPr>
        <w:spacing w:before="240" w:after="240"/>
        <w:rPr>
          <w:b/>
        </w:rPr>
      </w:pPr>
      <w:r w:rsidRPr="00BB765F">
        <w:rPr>
          <w:b/>
        </w:rPr>
        <w:t xml:space="preserve">Table </w:t>
      </w:r>
      <w:r w:rsidR="00F33EA6" w:rsidRPr="00BB765F">
        <w:rPr>
          <w:b/>
        </w:rPr>
        <w:t>3</w:t>
      </w:r>
      <w:r w:rsidRPr="00BB765F">
        <w:rPr>
          <w:b/>
        </w:rPr>
        <w:t xml:space="preserve">: Performance on the </w:t>
      </w:r>
      <w:r w:rsidR="004B026D" w:rsidRPr="00BB765F">
        <w:rPr>
          <w:b/>
        </w:rPr>
        <w:t xml:space="preserve">ELA </w:t>
      </w:r>
      <w:r w:rsidRPr="00BB765F">
        <w:rPr>
          <w:b/>
        </w:rPr>
        <w:t>Smarter Balanced Summative Assessments for Students with and without the GSSMD</w:t>
      </w:r>
    </w:p>
    <w:tbl>
      <w:tblPr>
        <w:tblStyle w:val="TableGrid"/>
        <w:tblW w:w="5000" w:type="pct"/>
        <w:tblLook w:val="04A0" w:firstRow="1" w:lastRow="0" w:firstColumn="1" w:lastColumn="0" w:noHBand="0" w:noVBand="1"/>
        <w:tblDescription w:val="Performance on the ELA Smarter Balanced Summative Assessments for Students with and without the GSSMD"/>
      </w:tblPr>
      <w:tblGrid>
        <w:gridCol w:w="1495"/>
        <w:gridCol w:w="1672"/>
        <w:gridCol w:w="1763"/>
        <w:gridCol w:w="1541"/>
        <w:gridCol w:w="1795"/>
        <w:gridCol w:w="1084"/>
      </w:tblGrid>
      <w:tr w:rsidR="00F50B38" w14:paraId="3910C207" w14:textId="77777777" w:rsidTr="00BC7A5C">
        <w:trPr>
          <w:trHeight w:val="792"/>
          <w:tblHeader/>
        </w:trPr>
        <w:tc>
          <w:tcPr>
            <w:tcW w:w="800" w:type="pct"/>
            <w:shd w:val="clear" w:color="auto" w:fill="D9D9D9" w:themeFill="background1" w:themeFillShade="D9"/>
            <w:vAlign w:val="center"/>
          </w:tcPr>
          <w:p w14:paraId="68A3C82F" w14:textId="551FCEC0" w:rsidR="00F50B38" w:rsidRPr="00BC7A5C" w:rsidRDefault="00F50B38" w:rsidP="00BC7A5C">
            <w:pPr>
              <w:jc w:val="center"/>
              <w:rPr>
                <w:rFonts w:cs="Arial"/>
                <w:b/>
              </w:rPr>
            </w:pPr>
            <w:r w:rsidRPr="00BC7A5C">
              <w:rPr>
                <w:rFonts w:cs="Arial"/>
                <w:b/>
              </w:rPr>
              <w:t>GSSMD</w:t>
            </w:r>
          </w:p>
        </w:tc>
        <w:tc>
          <w:tcPr>
            <w:tcW w:w="894" w:type="pct"/>
            <w:shd w:val="clear" w:color="auto" w:fill="D9D9D9" w:themeFill="background1" w:themeFillShade="D9"/>
            <w:vAlign w:val="center"/>
          </w:tcPr>
          <w:p w14:paraId="6E43B0CD" w14:textId="77777777" w:rsidR="00F50B38" w:rsidRPr="00BC7A5C" w:rsidRDefault="00F50B38" w:rsidP="00BC7A5C">
            <w:pPr>
              <w:jc w:val="center"/>
              <w:rPr>
                <w:rFonts w:cs="Arial"/>
                <w:b/>
              </w:rPr>
            </w:pPr>
            <w:r w:rsidRPr="00BC7A5C">
              <w:rPr>
                <w:rFonts w:cs="Arial"/>
                <w:b/>
              </w:rPr>
              <w:t>ELA Standard Not Met</w:t>
            </w:r>
          </w:p>
        </w:tc>
        <w:tc>
          <w:tcPr>
            <w:tcW w:w="943" w:type="pct"/>
            <w:shd w:val="clear" w:color="auto" w:fill="D9D9D9" w:themeFill="background1" w:themeFillShade="D9"/>
            <w:vAlign w:val="center"/>
          </w:tcPr>
          <w:p w14:paraId="35E2A0BC" w14:textId="77777777" w:rsidR="00F50B38" w:rsidRPr="00BC7A5C" w:rsidRDefault="00F50B38" w:rsidP="00BC7A5C">
            <w:pPr>
              <w:jc w:val="center"/>
              <w:rPr>
                <w:rFonts w:cs="Arial"/>
                <w:b/>
              </w:rPr>
            </w:pPr>
            <w:r w:rsidRPr="00BC7A5C">
              <w:rPr>
                <w:rFonts w:cs="Arial"/>
                <w:b/>
              </w:rPr>
              <w:t>ELA Standard Nearly Met</w:t>
            </w:r>
          </w:p>
        </w:tc>
        <w:tc>
          <w:tcPr>
            <w:tcW w:w="824" w:type="pct"/>
            <w:shd w:val="clear" w:color="auto" w:fill="D9D9D9" w:themeFill="background1" w:themeFillShade="D9"/>
            <w:vAlign w:val="center"/>
          </w:tcPr>
          <w:p w14:paraId="523D144D" w14:textId="77777777" w:rsidR="00F50B38" w:rsidRPr="00BC7A5C" w:rsidRDefault="00F50B38" w:rsidP="00BC7A5C">
            <w:pPr>
              <w:jc w:val="center"/>
              <w:rPr>
                <w:rFonts w:cs="Arial"/>
                <w:b/>
              </w:rPr>
            </w:pPr>
            <w:r w:rsidRPr="00BC7A5C">
              <w:rPr>
                <w:rFonts w:cs="Arial"/>
                <w:b/>
              </w:rPr>
              <w:t>ELA Standard Met</w:t>
            </w:r>
          </w:p>
        </w:tc>
        <w:tc>
          <w:tcPr>
            <w:tcW w:w="960" w:type="pct"/>
            <w:shd w:val="clear" w:color="auto" w:fill="D9D9D9" w:themeFill="background1" w:themeFillShade="D9"/>
            <w:vAlign w:val="center"/>
          </w:tcPr>
          <w:p w14:paraId="0C40BD2B" w14:textId="77777777" w:rsidR="00F50B38" w:rsidRPr="00BC7A5C" w:rsidRDefault="00F50B38" w:rsidP="00BC7A5C">
            <w:pPr>
              <w:jc w:val="center"/>
              <w:rPr>
                <w:rFonts w:cs="Arial"/>
                <w:b/>
              </w:rPr>
            </w:pPr>
            <w:r w:rsidRPr="00BC7A5C">
              <w:rPr>
                <w:rFonts w:cs="Arial"/>
                <w:b/>
              </w:rPr>
              <w:t>ELA Standard Exceeded</w:t>
            </w:r>
          </w:p>
        </w:tc>
        <w:tc>
          <w:tcPr>
            <w:tcW w:w="580" w:type="pct"/>
            <w:shd w:val="clear" w:color="auto" w:fill="D9D9D9" w:themeFill="background1" w:themeFillShade="D9"/>
            <w:vAlign w:val="center"/>
          </w:tcPr>
          <w:p w14:paraId="2AA5E361" w14:textId="77777777" w:rsidR="00F50B38" w:rsidRPr="00BC7A5C" w:rsidRDefault="00F50B38" w:rsidP="00BC7A5C">
            <w:pPr>
              <w:jc w:val="center"/>
              <w:rPr>
                <w:rFonts w:cs="Arial"/>
                <w:b/>
              </w:rPr>
            </w:pPr>
            <w:r w:rsidRPr="00BC7A5C">
              <w:rPr>
                <w:rFonts w:cs="Arial"/>
                <w:b/>
              </w:rPr>
              <w:t>Total</w:t>
            </w:r>
          </w:p>
        </w:tc>
      </w:tr>
      <w:tr w:rsidR="00F50B38" w14:paraId="5AF668BB" w14:textId="77777777" w:rsidTr="00BC7A5C">
        <w:trPr>
          <w:trHeight w:val="792"/>
        </w:trPr>
        <w:tc>
          <w:tcPr>
            <w:tcW w:w="800" w:type="pct"/>
            <w:vAlign w:val="center"/>
          </w:tcPr>
          <w:p w14:paraId="52F04C73" w14:textId="77777777" w:rsidR="00F50B38" w:rsidRPr="00BC7A5C" w:rsidRDefault="00F50B38" w:rsidP="00BC7A5C">
            <w:pPr>
              <w:jc w:val="center"/>
              <w:rPr>
                <w:rFonts w:cs="Arial"/>
              </w:rPr>
            </w:pPr>
            <w:r w:rsidRPr="00BC7A5C">
              <w:rPr>
                <w:rFonts w:cs="Arial"/>
              </w:rPr>
              <w:t>Earned GSSMD</w:t>
            </w:r>
          </w:p>
        </w:tc>
        <w:tc>
          <w:tcPr>
            <w:tcW w:w="894" w:type="pct"/>
            <w:vAlign w:val="center"/>
          </w:tcPr>
          <w:p w14:paraId="72ECA4E5" w14:textId="6FAEF3DC" w:rsidR="001D7BCB" w:rsidRDefault="00F50B38" w:rsidP="00BC7A5C">
            <w:pPr>
              <w:jc w:val="center"/>
              <w:rPr>
                <w:rFonts w:cs="Arial"/>
              </w:rPr>
            </w:pPr>
            <w:r>
              <w:rPr>
                <w:rFonts w:cs="Arial"/>
              </w:rPr>
              <w:t>1,567</w:t>
            </w:r>
          </w:p>
          <w:p w14:paraId="67B1C3AC" w14:textId="7B7EC82B" w:rsidR="00F50B38" w:rsidRDefault="00F50B38" w:rsidP="00BC7A5C">
            <w:pPr>
              <w:jc w:val="center"/>
              <w:rPr>
                <w:rFonts w:cs="Arial"/>
              </w:rPr>
            </w:pPr>
            <w:r>
              <w:rPr>
                <w:rFonts w:cs="Arial"/>
              </w:rPr>
              <w:t>(1.7%)</w:t>
            </w:r>
          </w:p>
        </w:tc>
        <w:tc>
          <w:tcPr>
            <w:tcW w:w="943" w:type="pct"/>
            <w:vAlign w:val="center"/>
          </w:tcPr>
          <w:p w14:paraId="49D217E0" w14:textId="25CE317D" w:rsidR="001D7BCB" w:rsidRDefault="00F50B38" w:rsidP="00BC7A5C">
            <w:pPr>
              <w:jc w:val="center"/>
              <w:rPr>
                <w:rFonts w:cs="Arial"/>
              </w:rPr>
            </w:pPr>
            <w:r>
              <w:rPr>
                <w:rFonts w:cs="Arial"/>
              </w:rPr>
              <w:t>4,911</w:t>
            </w:r>
          </w:p>
          <w:p w14:paraId="29AC8CE8" w14:textId="1BEAC8C4" w:rsidR="00F50B38" w:rsidRDefault="00F50B38" w:rsidP="00BC7A5C">
            <w:pPr>
              <w:jc w:val="center"/>
              <w:rPr>
                <w:rFonts w:cs="Arial"/>
              </w:rPr>
            </w:pPr>
            <w:r>
              <w:rPr>
                <w:rFonts w:cs="Arial"/>
              </w:rPr>
              <w:t>(5.4%)</w:t>
            </w:r>
          </w:p>
        </w:tc>
        <w:tc>
          <w:tcPr>
            <w:tcW w:w="824" w:type="pct"/>
            <w:vAlign w:val="center"/>
          </w:tcPr>
          <w:p w14:paraId="79F26060" w14:textId="724D57E8" w:rsidR="001D7BCB" w:rsidRDefault="00F50B38" w:rsidP="00BC7A5C">
            <w:pPr>
              <w:jc w:val="center"/>
              <w:rPr>
                <w:rFonts w:cs="Arial"/>
              </w:rPr>
            </w:pPr>
            <w:r>
              <w:rPr>
                <w:rFonts w:cs="Arial"/>
              </w:rPr>
              <w:t>29,071</w:t>
            </w:r>
          </w:p>
          <w:p w14:paraId="5BA65794" w14:textId="62683A02" w:rsidR="00F50B38" w:rsidRDefault="00F50B38" w:rsidP="00BC7A5C">
            <w:pPr>
              <w:jc w:val="center"/>
              <w:rPr>
                <w:rFonts w:cs="Arial"/>
              </w:rPr>
            </w:pPr>
            <w:r>
              <w:rPr>
                <w:rFonts w:cs="Arial"/>
              </w:rPr>
              <w:t>(31.9%)</w:t>
            </w:r>
          </w:p>
        </w:tc>
        <w:tc>
          <w:tcPr>
            <w:tcW w:w="960" w:type="pct"/>
            <w:vAlign w:val="center"/>
          </w:tcPr>
          <w:p w14:paraId="538657BC" w14:textId="1C3254C5" w:rsidR="001D7BCB" w:rsidRDefault="00F50B38" w:rsidP="00BC7A5C">
            <w:pPr>
              <w:jc w:val="center"/>
              <w:rPr>
                <w:rFonts w:cs="Arial"/>
              </w:rPr>
            </w:pPr>
            <w:r>
              <w:rPr>
                <w:rFonts w:cs="Arial"/>
              </w:rPr>
              <w:t>55,657</w:t>
            </w:r>
          </w:p>
          <w:p w14:paraId="177AA48E" w14:textId="63E0AE8C" w:rsidR="00F50B38" w:rsidRDefault="00F50B38" w:rsidP="00BC7A5C">
            <w:pPr>
              <w:jc w:val="center"/>
              <w:rPr>
                <w:rFonts w:cs="Arial"/>
              </w:rPr>
            </w:pPr>
            <w:r>
              <w:rPr>
                <w:rFonts w:cs="Arial"/>
              </w:rPr>
              <w:t>(61.0%)</w:t>
            </w:r>
          </w:p>
        </w:tc>
        <w:tc>
          <w:tcPr>
            <w:tcW w:w="580" w:type="pct"/>
            <w:vAlign w:val="center"/>
          </w:tcPr>
          <w:p w14:paraId="5707A29E" w14:textId="77777777" w:rsidR="00F50B38" w:rsidRDefault="00F50B38" w:rsidP="00BC7A5C">
            <w:pPr>
              <w:jc w:val="center"/>
              <w:rPr>
                <w:rFonts w:cs="Arial"/>
              </w:rPr>
            </w:pPr>
            <w:r>
              <w:rPr>
                <w:rFonts w:cs="Arial"/>
              </w:rPr>
              <w:t>91,206</w:t>
            </w:r>
          </w:p>
        </w:tc>
      </w:tr>
      <w:tr w:rsidR="00F50B38" w14:paraId="0DC786B9" w14:textId="77777777" w:rsidTr="00BC7A5C">
        <w:trPr>
          <w:trHeight w:val="854"/>
        </w:trPr>
        <w:tc>
          <w:tcPr>
            <w:tcW w:w="800" w:type="pct"/>
            <w:vAlign w:val="center"/>
          </w:tcPr>
          <w:p w14:paraId="3A1CA5E6" w14:textId="77777777" w:rsidR="00F50B38" w:rsidRPr="00BC7A5C" w:rsidRDefault="00F50B38" w:rsidP="00BC7A5C">
            <w:pPr>
              <w:jc w:val="center"/>
              <w:rPr>
                <w:rFonts w:cs="Arial"/>
              </w:rPr>
            </w:pPr>
            <w:r w:rsidRPr="00BC7A5C">
              <w:rPr>
                <w:rFonts w:cs="Arial"/>
              </w:rPr>
              <w:t>Did Not Earn GSSMD</w:t>
            </w:r>
          </w:p>
        </w:tc>
        <w:tc>
          <w:tcPr>
            <w:tcW w:w="894" w:type="pct"/>
            <w:vAlign w:val="center"/>
          </w:tcPr>
          <w:p w14:paraId="78154BD5" w14:textId="77777777" w:rsidR="00F50B38" w:rsidRDefault="00F50B38" w:rsidP="00BC7A5C">
            <w:pPr>
              <w:jc w:val="center"/>
              <w:rPr>
                <w:rFonts w:cs="Arial"/>
              </w:rPr>
            </w:pPr>
            <w:r>
              <w:rPr>
                <w:rFonts w:cs="Arial"/>
              </w:rPr>
              <w:t>72,642 (22.2%)</w:t>
            </w:r>
          </w:p>
        </w:tc>
        <w:tc>
          <w:tcPr>
            <w:tcW w:w="943" w:type="pct"/>
            <w:vAlign w:val="center"/>
          </w:tcPr>
          <w:p w14:paraId="640B1E11" w14:textId="77777777" w:rsidR="00F50B38" w:rsidRDefault="00F50B38" w:rsidP="00BC7A5C">
            <w:pPr>
              <w:jc w:val="center"/>
              <w:rPr>
                <w:rFonts w:cs="Arial"/>
              </w:rPr>
            </w:pPr>
            <w:r>
              <w:rPr>
                <w:rFonts w:cs="Arial"/>
              </w:rPr>
              <w:t>88,139 (26.9%)</w:t>
            </w:r>
          </w:p>
        </w:tc>
        <w:tc>
          <w:tcPr>
            <w:tcW w:w="824" w:type="pct"/>
            <w:vAlign w:val="center"/>
          </w:tcPr>
          <w:p w14:paraId="198D5D67" w14:textId="77777777" w:rsidR="00F50B38" w:rsidRDefault="00F50B38" w:rsidP="00BC7A5C">
            <w:pPr>
              <w:jc w:val="center"/>
              <w:rPr>
                <w:rFonts w:cs="Arial"/>
              </w:rPr>
            </w:pPr>
            <w:r>
              <w:rPr>
                <w:rFonts w:cs="Arial"/>
              </w:rPr>
              <w:t>112,488 (34.3%)</w:t>
            </w:r>
          </w:p>
        </w:tc>
        <w:tc>
          <w:tcPr>
            <w:tcW w:w="960" w:type="pct"/>
            <w:vAlign w:val="center"/>
          </w:tcPr>
          <w:p w14:paraId="6C4FDF7D" w14:textId="1F2BC2CF" w:rsidR="005D39E9" w:rsidRDefault="00F50B38" w:rsidP="00BC7A5C">
            <w:pPr>
              <w:jc w:val="center"/>
              <w:rPr>
                <w:rFonts w:cs="Arial"/>
              </w:rPr>
            </w:pPr>
            <w:r>
              <w:rPr>
                <w:rFonts w:cs="Arial"/>
              </w:rPr>
              <w:t>54,230</w:t>
            </w:r>
          </w:p>
          <w:p w14:paraId="5F44E91F" w14:textId="4F3DB060" w:rsidR="00F50B38" w:rsidRDefault="00F50B38" w:rsidP="00BC7A5C">
            <w:pPr>
              <w:jc w:val="center"/>
              <w:rPr>
                <w:rFonts w:cs="Arial"/>
              </w:rPr>
            </w:pPr>
            <w:r>
              <w:rPr>
                <w:rFonts w:cs="Arial"/>
              </w:rPr>
              <w:t>(16.6%)</w:t>
            </w:r>
          </w:p>
        </w:tc>
        <w:tc>
          <w:tcPr>
            <w:tcW w:w="580" w:type="pct"/>
            <w:vAlign w:val="center"/>
          </w:tcPr>
          <w:p w14:paraId="71B026A5" w14:textId="77777777" w:rsidR="00F50B38" w:rsidRDefault="00F50B38" w:rsidP="00BC7A5C">
            <w:pPr>
              <w:jc w:val="center"/>
              <w:rPr>
                <w:rFonts w:cs="Arial"/>
              </w:rPr>
            </w:pPr>
            <w:r>
              <w:rPr>
                <w:rFonts w:cs="Arial"/>
              </w:rPr>
              <w:t>327,499</w:t>
            </w:r>
          </w:p>
        </w:tc>
      </w:tr>
    </w:tbl>
    <w:p w14:paraId="1757CFD3" w14:textId="67460B2E" w:rsidR="00F33EA6" w:rsidRPr="00BB765F" w:rsidRDefault="00F33EA6" w:rsidP="00BB765F">
      <w:pPr>
        <w:spacing w:before="240" w:after="240"/>
        <w:rPr>
          <w:b/>
        </w:rPr>
      </w:pPr>
      <w:r w:rsidRPr="00BB765F">
        <w:rPr>
          <w:b/>
        </w:rPr>
        <w:lastRenderedPageBreak/>
        <w:t xml:space="preserve">Table 4: Performance on the Mathematics Smarter Balanced Summative Assessments for Students with and without the GSSMD </w:t>
      </w:r>
    </w:p>
    <w:tbl>
      <w:tblPr>
        <w:tblStyle w:val="TableGrid1"/>
        <w:tblW w:w="5000" w:type="pct"/>
        <w:tblLook w:val="04A0" w:firstRow="1" w:lastRow="0" w:firstColumn="1" w:lastColumn="0" w:noHBand="0" w:noVBand="1"/>
        <w:tblDescription w:val="Performance on the Mathematics Smarter Balanced Summative Assessments for Students with and without the GSSMD "/>
      </w:tblPr>
      <w:tblGrid>
        <w:gridCol w:w="1479"/>
        <w:gridCol w:w="1676"/>
        <w:gridCol w:w="1763"/>
        <w:gridCol w:w="1550"/>
        <w:gridCol w:w="1797"/>
        <w:gridCol w:w="1085"/>
      </w:tblGrid>
      <w:tr w:rsidR="00F33EA6" w:rsidRPr="00F33EA6" w14:paraId="7D3D3734" w14:textId="77777777" w:rsidTr="00BC7A5C">
        <w:trPr>
          <w:trHeight w:val="792"/>
          <w:tblHeader/>
        </w:trPr>
        <w:tc>
          <w:tcPr>
            <w:tcW w:w="791" w:type="pct"/>
            <w:shd w:val="clear" w:color="auto" w:fill="D9D9D9" w:themeFill="background1" w:themeFillShade="D9"/>
            <w:vAlign w:val="center"/>
          </w:tcPr>
          <w:p w14:paraId="1ECC940B" w14:textId="079ED20B" w:rsidR="00F33EA6" w:rsidRPr="00BC7A5C" w:rsidRDefault="001D7BCB" w:rsidP="00BC7A5C">
            <w:pPr>
              <w:jc w:val="center"/>
              <w:rPr>
                <w:rFonts w:cs="Arial"/>
                <w:b/>
              </w:rPr>
            </w:pPr>
            <w:r w:rsidRPr="00BC7A5C">
              <w:rPr>
                <w:rFonts w:cs="Arial"/>
                <w:b/>
              </w:rPr>
              <w:t>GSSMD</w:t>
            </w:r>
          </w:p>
        </w:tc>
        <w:tc>
          <w:tcPr>
            <w:tcW w:w="896" w:type="pct"/>
            <w:shd w:val="clear" w:color="auto" w:fill="D9D9D9" w:themeFill="background1" w:themeFillShade="D9"/>
            <w:vAlign w:val="center"/>
          </w:tcPr>
          <w:p w14:paraId="29581AED" w14:textId="77777777" w:rsidR="00F33EA6" w:rsidRPr="00BC7A5C" w:rsidRDefault="00F33EA6" w:rsidP="00BC7A5C">
            <w:pPr>
              <w:jc w:val="center"/>
              <w:rPr>
                <w:rFonts w:cs="Arial"/>
                <w:b/>
              </w:rPr>
            </w:pPr>
            <w:r w:rsidRPr="00BC7A5C">
              <w:rPr>
                <w:rFonts w:cs="Arial"/>
                <w:b/>
              </w:rPr>
              <w:t>Math Standard Not Met</w:t>
            </w:r>
          </w:p>
        </w:tc>
        <w:tc>
          <w:tcPr>
            <w:tcW w:w="943" w:type="pct"/>
            <w:shd w:val="clear" w:color="auto" w:fill="D9D9D9" w:themeFill="background1" w:themeFillShade="D9"/>
            <w:vAlign w:val="center"/>
          </w:tcPr>
          <w:p w14:paraId="340DC107" w14:textId="77777777" w:rsidR="00F33EA6" w:rsidRPr="00BC7A5C" w:rsidRDefault="00F33EA6" w:rsidP="00BC7A5C">
            <w:pPr>
              <w:jc w:val="center"/>
              <w:rPr>
                <w:rFonts w:cs="Arial"/>
                <w:b/>
              </w:rPr>
            </w:pPr>
            <w:r w:rsidRPr="00BC7A5C">
              <w:rPr>
                <w:rFonts w:cs="Arial"/>
                <w:b/>
              </w:rPr>
              <w:t>Math Standard Nearly Met</w:t>
            </w:r>
          </w:p>
        </w:tc>
        <w:tc>
          <w:tcPr>
            <w:tcW w:w="829" w:type="pct"/>
            <w:shd w:val="clear" w:color="auto" w:fill="D9D9D9" w:themeFill="background1" w:themeFillShade="D9"/>
            <w:vAlign w:val="center"/>
          </w:tcPr>
          <w:p w14:paraId="0EB2F599" w14:textId="77777777" w:rsidR="00F33EA6" w:rsidRPr="00BC7A5C" w:rsidRDefault="00F33EA6" w:rsidP="00BC7A5C">
            <w:pPr>
              <w:jc w:val="center"/>
              <w:rPr>
                <w:rFonts w:cs="Arial"/>
                <w:b/>
              </w:rPr>
            </w:pPr>
            <w:r w:rsidRPr="00BC7A5C">
              <w:rPr>
                <w:rFonts w:cs="Arial"/>
                <w:b/>
              </w:rPr>
              <w:t>Math Standard Met</w:t>
            </w:r>
          </w:p>
        </w:tc>
        <w:tc>
          <w:tcPr>
            <w:tcW w:w="961" w:type="pct"/>
            <w:shd w:val="clear" w:color="auto" w:fill="D9D9D9" w:themeFill="background1" w:themeFillShade="D9"/>
            <w:vAlign w:val="center"/>
          </w:tcPr>
          <w:p w14:paraId="0284B013" w14:textId="77777777" w:rsidR="00F33EA6" w:rsidRPr="00BC7A5C" w:rsidRDefault="00F33EA6" w:rsidP="00BC7A5C">
            <w:pPr>
              <w:jc w:val="center"/>
              <w:rPr>
                <w:rFonts w:cs="Arial"/>
                <w:b/>
              </w:rPr>
            </w:pPr>
            <w:r w:rsidRPr="00BC7A5C">
              <w:rPr>
                <w:rFonts w:cs="Arial"/>
                <w:b/>
              </w:rPr>
              <w:t>Math Standard Exceeded</w:t>
            </w:r>
          </w:p>
        </w:tc>
        <w:tc>
          <w:tcPr>
            <w:tcW w:w="580" w:type="pct"/>
            <w:shd w:val="clear" w:color="auto" w:fill="D9D9D9" w:themeFill="background1" w:themeFillShade="D9"/>
            <w:vAlign w:val="center"/>
          </w:tcPr>
          <w:p w14:paraId="376372F0" w14:textId="77777777" w:rsidR="00F33EA6" w:rsidRPr="00BC7A5C" w:rsidRDefault="00F33EA6" w:rsidP="00BC7A5C">
            <w:pPr>
              <w:jc w:val="center"/>
              <w:rPr>
                <w:rFonts w:cs="Arial"/>
                <w:b/>
              </w:rPr>
            </w:pPr>
            <w:r w:rsidRPr="00BC7A5C">
              <w:rPr>
                <w:rFonts w:cs="Arial"/>
                <w:b/>
              </w:rPr>
              <w:t>Total</w:t>
            </w:r>
          </w:p>
        </w:tc>
      </w:tr>
      <w:tr w:rsidR="00F33EA6" w:rsidRPr="00F33EA6" w14:paraId="700AD304" w14:textId="77777777" w:rsidTr="00BC7A5C">
        <w:trPr>
          <w:trHeight w:val="792"/>
        </w:trPr>
        <w:tc>
          <w:tcPr>
            <w:tcW w:w="791" w:type="pct"/>
            <w:vAlign w:val="center"/>
          </w:tcPr>
          <w:p w14:paraId="307BCAD1" w14:textId="77777777" w:rsidR="00F33EA6" w:rsidRPr="00F33EA6" w:rsidRDefault="00F33EA6" w:rsidP="00BC7A5C">
            <w:pPr>
              <w:jc w:val="center"/>
              <w:rPr>
                <w:rFonts w:cs="Arial"/>
              </w:rPr>
            </w:pPr>
            <w:r w:rsidRPr="00F33EA6">
              <w:rPr>
                <w:rFonts w:cs="Arial"/>
              </w:rPr>
              <w:t>Earned GSSMD</w:t>
            </w:r>
          </w:p>
        </w:tc>
        <w:tc>
          <w:tcPr>
            <w:tcW w:w="896" w:type="pct"/>
            <w:vAlign w:val="center"/>
          </w:tcPr>
          <w:p w14:paraId="18207065" w14:textId="77777777" w:rsidR="00F33EA6" w:rsidRPr="00F33EA6" w:rsidRDefault="00F33EA6" w:rsidP="00BC7A5C">
            <w:pPr>
              <w:jc w:val="center"/>
            </w:pPr>
            <w:r w:rsidRPr="00F33EA6">
              <w:rPr>
                <w:bCs/>
              </w:rPr>
              <w:t>5,915</w:t>
            </w:r>
          </w:p>
          <w:p w14:paraId="2F849C92" w14:textId="77777777" w:rsidR="00F33EA6" w:rsidRPr="00F33EA6" w:rsidRDefault="00F33EA6" w:rsidP="00BC7A5C">
            <w:pPr>
              <w:jc w:val="center"/>
            </w:pPr>
            <w:r w:rsidRPr="00F33EA6">
              <w:rPr>
                <w:bCs/>
              </w:rPr>
              <w:t>(6.5%)</w:t>
            </w:r>
          </w:p>
        </w:tc>
        <w:tc>
          <w:tcPr>
            <w:tcW w:w="943" w:type="pct"/>
            <w:vAlign w:val="center"/>
          </w:tcPr>
          <w:p w14:paraId="0D776AA1" w14:textId="77777777" w:rsidR="00F33EA6" w:rsidRPr="00F33EA6" w:rsidRDefault="00F33EA6" w:rsidP="00BC7A5C">
            <w:pPr>
              <w:jc w:val="center"/>
            </w:pPr>
            <w:r w:rsidRPr="00F33EA6">
              <w:rPr>
                <w:bCs/>
              </w:rPr>
              <w:t>14,260</w:t>
            </w:r>
          </w:p>
          <w:p w14:paraId="394250F2" w14:textId="77777777" w:rsidR="00F33EA6" w:rsidRPr="00F33EA6" w:rsidRDefault="00F33EA6" w:rsidP="00BC7A5C">
            <w:pPr>
              <w:jc w:val="center"/>
            </w:pPr>
            <w:r w:rsidRPr="00F33EA6">
              <w:rPr>
                <w:bCs/>
              </w:rPr>
              <w:t>(15.7%)</w:t>
            </w:r>
          </w:p>
        </w:tc>
        <w:tc>
          <w:tcPr>
            <w:tcW w:w="829" w:type="pct"/>
            <w:vAlign w:val="center"/>
          </w:tcPr>
          <w:p w14:paraId="40281F11" w14:textId="77777777" w:rsidR="00F33EA6" w:rsidRPr="00F33EA6" w:rsidRDefault="00F33EA6" w:rsidP="00BC7A5C">
            <w:pPr>
              <w:jc w:val="center"/>
            </w:pPr>
            <w:r w:rsidRPr="00F33EA6">
              <w:rPr>
                <w:bCs/>
              </w:rPr>
              <w:t>36,258</w:t>
            </w:r>
          </w:p>
          <w:p w14:paraId="5E3CB022" w14:textId="77777777" w:rsidR="00F33EA6" w:rsidRPr="00F33EA6" w:rsidRDefault="00F33EA6" w:rsidP="00BC7A5C">
            <w:pPr>
              <w:jc w:val="center"/>
            </w:pPr>
            <w:r w:rsidRPr="00F33EA6">
              <w:rPr>
                <w:bCs/>
              </w:rPr>
              <w:t>(39.8%)</w:t>
            </w:r>
          </w:p>
        </w:tc>
        <w:tc>
          <w:tcPr>
            <w:tcW w:w="961" w:type="pct"/>
            <w:vAlign w:val="center"/>
          </w:tcPr>
          <w:p w14:paraId="593DE3D6" w14:textId="77777777" w:rsidR="00F33EA6" w:rsidRPr="00F33EA6" w:rsidRDefault="00F33EA6" w:rsidP="00BC7A5C">
            <w:pPr>
              <w:jc w:val="center"/>
            </w:pPr>
            <w:r w:rsidRPr="00F33EA6">
              <w:rPr>
                <w:bCs/>
              </w:rPr>
              <w:t>34,645</w:t>
            </w:r>
          </w:p>
          <w:p w14:paraId="365A80A1" w14:textId="77777777" w:rsidR="00F33EA6" w:rsidRPr="00F33EA6" w:rsidRDefault="00F33EA6" w:rsidP="00BC7A5C">
            <w:pPr>
              <w:jc w:val="center"/>
            </w:pPr>
            <w:r w:rsidRPr="00F33EA6">
              <w:rPr>
                <w:bCs/>
              </w:rPr>
              <w:t>(38.0%)</w:t>
            </w:r>
          </w:p>
        </w:tc>
        <w:tc>
          <w:tcPr>
            <w:tcW w:w="580" w:type="pct"/>
            <w:vAlign w:val="center"/>
          </w:tcPr>
          <w:p w14:paraId="49056BF1" w14:textId="77777777" w:rsidR="00F33EA6" w:rsidRPr="00F33EA6" w:rsidRDefault="00F33EA6" w:rsidP="00BC7A5C">
            <w:pPr>
              <w:jc w:val="center"/>
              <w:rPr>
                <w:rFonts w:cs="Arial"/>
              </w:rPr>
            </w:pPr>
            <w:r w:rsidRPr="00F33EA6">
              <w:rPr>
                <w:bCs/>
              </w:rPr>
              <w:t>91,078</w:t>
            </w:r>
          </w:p>
        </w:tc>
      </w:tr>
      <w:tr w:rsidR="00F33EA6" w:rsidRPr="00F33EA6" w14:paraId="12A11460" w14:textId="77777777" w:rsidTr="00BC7A5C">
        <w:trPr>
          <w:trHeight w:val="792"/>
        </w:trPr>
        <w:tc>
          <w:tcPr>
            <w:tcW w:w="791" w:type="pct"/>
            <w:vAlign w:val="center"/>
          </w:tcPr>
          <w:p w14:paraId="6A4E31D1" w14:textId="77777777" w:rsidR="00F33EA6" w:rsidRPr="00F33EA6" w:rsidRDefault="00F33EA6" w:rsidP="00BC7A5C">
            <w:pPr>
              <w:jc w:val="center"/>
              <w:rPr>
                <w:rFonts w:cs="Arial"/>
              </w:rPr>
            </w:pPr>
            <w:r w:rsidRPr="00F33EA6">
              <w:rPr>
                <w:rFonts w:cs="Arial"/>
              </w:rPr>
              <w:t>Did Not Earn GSSMD</w:t>
            </w:r>
          </w:p>
        </w:tc>
        <w:tc>
          <w:tcPr>
            <w:tcW w:w="896" w:type="pct"/>
            <w:vAlign w:val="center"/>
          </w:tcPr>
          <w:p w14:paraId="54DA1862" w14:textId="77777777" w:rsidR="00F33EA6" w:rsidRPr="00F33EA6" w:rsidRDefault="00F33EA6" w:rsidP="00BC7A5C">
            <w:pPr>
              <w:jc w:val="center"/>
            </w:pPr>
            <w:r w:rsidRPr="00F33EA6">
              <w:t>168,609</w:t>
            </w:r>
          </w:p>
          <w:p w14:paraId="4DE6524D" w14:textId="77777777" w:rsidR="00F33EA6" w:rsidRPr="00F33EA6" w:rsidRDefault="00F33EA6" w:rsidP="00BC7A5C">
            <w:pPr>
              <w:jc w:val="center"/>
            </w:pPr>
            <w:r w:rsidRPr="00F33EA6">
              <w:t>(51.7%)</w:t>
            </w:r>
          </w:p>
        </w:tc>
        <w:tc>
          <w:tcPr>
            <w:tcW w:w="943" w:type="pct"/>
            <w:vAlign w:val="center"/>
          </w:tcPr>
          <w:p w14:paraId="17F020A1" w14:textId="77777777" w:rsidR="00F33EA6" w:rsidRPr="00F33EA6" w:rsidRDefault="00F33EA6" w:rsidP="00BC7A5C">
            <w:pPr>
              <w:jc w:val="center"/>
            </w:pPr>
            <w:r w:rsidRPr="00F33EA6">
              <w:t>89,893</w:t>
            </w:r>
          </w:p>
          <w:p w14:paraId="72206CFE" w14:textId="77777777" w:rsidR="00F33EA6" w:rsidRPr="00F33EA6" w:rsidRDefault="00F33EA6" w:rsidP="00BC7A5C">
            <w:pPr>
              <w:jc w:val="center"/>
            </w:pPr>
            <w:r w:rsidRPr="00F33EA6">
              <w:t>(27.6%)</w:t>
            </w:r>
          </w:p>
        </w:tc>
        <w:tc>
          <w:tcPr>
            <w:tcW w:w="829" w:type="pct"/>
            <w:vAlign w:val="center"/>
          </w:tcPr>
          <w:p w14:paraId="6102486E" w14:textId="77777777" w:rsidR="00F33EA6" w:rsidRPr="00F33EA6" w:rsidRDefault="00F33EA6" w:rsidP="00BC7A5C">
            <w:pPr>
              <w:jc w:val="center"/>
            </w:pPr>
            <w:r w:rsidRPr="00F33EA6">
              <w:t>48,193</w:t>
            </w:r>
          </w:p>
          <w:p w14:paraId="2FA17D0D" w14:textId="77777777" w:rsidR="00F33EA6" w:rsidRPr="00F33EA6" w:rsidRDefault="00F33EA6" w:rsidP="00BC7A5C">
            <w:pPr>
              <w:jc w:val="center"/>
            </w:pPr>
            <w:r w:rsidRPr="00F33EA6">
              <w:t>(14.8%)</w:t>
            </w:r>
          </w:p>
        </w:tc>
        <w:tc>
          <w:tcPr>
            <w:tcW w:w="961" w:type="pct"/>
            <w:vAlign w:val="center"/>
          </w:tcPr>
          <w:p w14:paraId="61473470" w14:textId="77777777" w:rsidR="00F33EA6" w:rsidRPr="00F33EA6" w:rsidRDefault="00F33EA6" w:rsidP="00BC7A5C">
            <w:pPr>
              <w:jc w:val="center"/>
            </w:pPr>
            <w:r w:rsidRPr="00F33EA6">
              <w:t>19,180</w:t>
            </w:r>
          </w:p>
          <w:p w14:paraId="03B388EE" w14:textId="77777777" w:rsidR="00F33EA6" w:rsidRPr="00F33EA6" w:rsidRDefault="00F33EA6" w:rsidP="00BC7A5C">
            <w:pPr>
              <w:jc w:val="center"/>
            </w:pPr>
            <w:r w:rsidRPr="00F33EA6">
              <w:t>(5.9%)</w:t>
            </w:r>
          </w:p>
        </w:tc>
        <w:tc>
          <w:tcPr>
            <w:tcW w:w="580" w:type="pct"/>
            <w:vAlign w:val="center"/>
          </w:tcPr>
          <w:p w14:paraId="1998B694" w14:textId="77777777" w:rsidR="00F33EA6" w:rsidRPr="00F33EA6" w:rsidRDefault="00F33EA6" w:rsidP="00BC7A5C">
            <w:pPr>
              <w:jc w:val="center"/>
            </w:pPr>
            <w:r w:rsidRPr="00F33EA6">
              <w:t>325,875</w:t>
            </w:r>
          </w:p>
        </w:tc>
      </w:tr>
    </w:tbl>
    <w:p w14:paraId="1462E701" w14:textId="6F242B60" w:rsidR="00F50B38" w:rsidRPr="00CA64F8" w:rsidRDefault="00F50B38" w:rsidP="00BC7A5C">
      <w:pPr>
        <w:spacing w:before="240" w:after="240"/>
        <w:rPr>
          <w:rFonts w:cs="Arial"/>
        </w:rPr>
      </w:pPr>
      <w:r>
        <w:rPr>
          <w:rFonts w:cs="Arial"/>
        </w:rPr>
        <w:t xml:space="preserve">Based on these </w:t>
      </w:r>
      <w:r w:rsidR="009807E0">
        <w:rPr>
          <w:rFonts w:cs="Arial"/>
        </w:rPr>
        <w:t>data</w:t>
      </w:r>
      <w:r>
        <w:rPr>
          <w:rFonts w:cs="Arial"/>
        </w:rPr>
        <w:t xml:space="preserve">, the CCI Work Group recommended that the following </w:t>
      </w:r>
      <w:r w:rsidRPr="00CA64F8">
        <w:rPr>
          <w:rFonts w:cs="Arial"/>
        </w:rPr>
        <w:t>placement criteria be applied for this measure:</w:t>
      </w:r>
    </w:p>
    <w:p w14:paraId="3144D879" w14:textId="4C27F363" w:rsidR="00F50B38" w:rsidRPr="00CA64F8" w:rsidRDefault="00BC7A5C" w:rsidP="00D45E70">
      <w:pPr>
        <w:pStyle w:val="ListParagraph"/>
        <w:numPr>
          <w:ilvl w:val="0"/>
          <w:numId w:val="13"/>
        </w:numPr>
        <w:spacing w:after="240"/>
        <w:rPr>
          <w:rFonts w:ascii="Arial" w:hAnsi="Arial" w:cs="Arial"/>
          <w:sz w:val="24"/>
          <w:szCs w:val="24"/>
        </w:rPr>
      </w:pPr>
      <w:r>
        <w:rPr>
          <w:rFonts w:ascii="Arial" w:hAnsi="Arial" w:cs="Arial"/>
          <w:b/>
          <w:sz w:val="24"/>
          <w:szCs w:val="24"/>
        </w:rPr>
        <w:t>“</w:t>
      </w:r>
      <w:r w:rsidR="00F50B38" w:rsidRPr="00CA64F8">
        <w:rPr>
          <w:rFonts w:ascii="Arial" w:hAnsi="Arial" w:cs="Arial"/>
          <w:b/>
          <w:sz w:val="24"/>
          <w:szCs w:val="24"/>
        </w:rPr>
        <w:t>Prepared</w:t>
      </w:r>
      <w:r>
        <w:rPr>
          <w:rFonts w:ascii="Arial" w:hAnsi="Arial" w:cs="Arial"/>
          <w:b/>
          <w:sz w:val="24"/>
          <w:szCs w:val="24"/>
        </w:rPr>
        <w:t>”</w:t>
      </w:r>
      <w:r w:rsidR="00F50B38" w:rsidRPr="00CA64F8">
        <w:rPr>
          <w:rFonts w:ascii="Arial" w:hAnsi="Arial" w:cs="Arial"/>
          <w:b/>
          <w:sz w:val="24"/>
          <w:szCs w:val="24"/>
        </w:rPr>
        <w:t xml:space="preserve"> Level</w:t>
      </w:r>
      <w:r w:rsidR="00F50B38" w:rsidRPr="00CA64F8">
        <w:rPr>
          <w:rFonts w:ascii="Arial" w:hAnsi="Arial" w:cs="Arial"/>
          <w:sz w:val="24"/>
          <w:szCs w:val="24"/>
        </w:rPr>
        <w:t>: Student earns the GSSMD: Stand-alone measure</w:t>
      </w:r>
    </w:p>
    <w:p w14:paraId="359F340A" w14:textId="0F6F3DE6" w:rsidR="00F50B38" w:rsidRPr="00CA64F8" w:rsidRDefault="00BC7A5C" w:rsidP="00D45E70">
      <w:pPr>
        <w:pStyle w:val="ListParagraph"/>
        <w:numPr>
          <w:ilvl w:val="0"/>
          <w:numId w:val="13"/>
        </w:numPr>
        <w:spacing w:after="240"/>
        <w:ind w:left="806"/>
        <w:rPr>
          <w:rFonts w:ascii="Arial" w:hAnsi="Arial" w:cs="Arial"/>
          <w:sz w:val="24"/>
          <w:szCs w:val="24"/>
        </w:rPr>
      </w:pPr>
      <w:r>
        <w:rPr>
          <w:rFonts w:ascii="Arial" w:hAnsi="Arial" w:cs="Arial"/>
          <w:b/>
          <w:sz w:val="24"/>
          <w:szCs w:val="24"/>
        </w:rPr>
        <w:t>“</w:t>
      </w:r>
      <w:r w:rsidR="00F50B38" w:rsidRPr="00CA64F8">
        <w:rPr>
          <w:rFonts w:ascii="Arial" w:hAnsi="Arial" w:cs="Arial"/>
          <w:b/>
          <w:sz w:val="24"/>
          <w:szCs w:val="24"/>
        </w:rPr>
        <w:t>Approaching Prepared</w:t>
      </w:r>
      <w:r>
        <w:rPr>
          <w:rFonts w:ascii="Arial" w:hAnsi="Arial" w:cs="Arial"/>
          <w:b/>
          <w:sz w:val="24"/>
          <w:szCs w:val="24"/>
        </w:rPr>
        <w:t>” Level</w:t>
      </w:r>
      <w:r w:rsidR="00F50B38" w:rsidRPr="00CA64F8">
        <w:rPr>
          <w:rFonts w:ascii="Arial" w:hAnsi="Arial" w:cs="Arial"/>
          <w:sz w:val="24"/>
          <w:szCs w:val="24"/>
        </w:rPr>
        <w:t xml:space="preserve">: Do not include any criteria for </w:t>
      </w:r>
      <w:r>
        <w:rPr>
          <w:rFonts w:ascii="Arial" w:hAnsi="Arial" w:cs="Arial"/>
          <w:sz w:val="24"/>
          <w:szCs w:val="24"/>
        </w:rPr>
        <w:t>“</w:t>
      </w:r>
      <w:r w:rsidR="00F50B38" w:rsidRPr="00CA64F8">
        <w:rPr>
          <w:rFonts w:ascii="Arial" w:hAnsi="Arial" w:cs="Arial"/>
          <w:sz w:val="24"/>
          <w:szCs w:val="24"/>
        </w:rPr>
        <w:t>Approaching Prepared</w:t>
      </w:r>
      <w:r>
        <w:rPr>
          <w:rFonts w:ascii="Arial" w:hAnsi="Arial" w:cs="Arial"/>
          <w:sz w:val="24"/>
          <w:szCs w:val="24"/>
        </w:rPr>
        <w:t>”</w:t>
      </w:r>
    </w:p>
    <w:p w14:paraId="379C20ED" w14:textId="44C11E74" w:rsidR="00F50B38" w:rsidRDefault="00F50B38" w:rsidP="009360F1">
      <w:pPr>
        <w:spacing w:after="240"/>
        <w:rPr>
          <w:rFonts w:cs="Arial"/>
        </w:rPr>
      </w:pPr>
      <w:r w:rsidRPr="00DF228C">
        <w:rPr>
          <w:rFonts w:cs="Arial"/>
        </w:rPr>
        <w:t xml:space="preserve">Based on the proposed placement criteria for this measure, </w:t>
      </w:r>
      <w:r>
        <w:rPr>
          <w:rFonts w:cs="Arial"/>
        </w:rPr>
        <w:t>12,206</w:t>
      </w:r>
      <w:r w:rsidR="006F712F" w:rsidRPr="006F712F">
        <w:rPr>
          <w:rFonts w:cs="Arial"/>
        </w:rPr>
        <w:t xml:space="preserve"> </w:t>
      </w:r>
      <w:r w:rsidR="006F712F">
        <w:rPr>
          <w:rFonts w:cs="Arial"/>
        </w:rPr>
        <w:t>students</w:t>
      </w:r>
      <w:r>
        <w:rPr>
          <w:rFonts w:cs="Arial"/>
        </w:rPr>
        <w:t xml:space="preserve"> (2.5</w:t>
      </w:r>
      <w:r w:rsidR="004A5AA9">
        <w:rPr>
          <w:rFonts w:cs="Arial"/>
        </w:rPr>
        <w:t xml:space="preserve"> percent</w:t>
      </w:r>
      <w:r>
        <w:rPr>
          <w:rFonts w:cs="Arial"/>
        </w:rPr>
        <w:t xml:space="preserve">) </w:t>
      </w:r>
      <w:r w:rsidR="00BC7A5C">
        <w:rPr>
          <w:rFonts w:cs="Arial"/>
        </w:rPr>
        <w:t>in</w:t>
      </w:r>
      <w:r w:rsidRPr="00DF228C">
        <w:rPr>
          <w:rFonts w:cs="Arial"/>
        </w:rPr>
        <w:t xml:space="preserve"> the class of 2017 would earn the </w:t>
      </w:r>
      <w:r w:rsidR="00BC7A5C">
        <w:rPr>
          <w:rFonts w:cs="Arial"/>
        </w:rPr>
        <w:t>“</w:t>
      </w:r>
      <w:r w:rsidRPr="00DF228C">
        <w:rPr>
          <w:rFonts w:cs="Arial"/>
        </w:rPr>
        <w:t>Prepared</w:t>
      </w:r>
      <w:r w:rsidR="00BC7A5C">
        <w:rPr>
          <w:rFonts w:cs="Arial"/>
        </w:rPr>
        <w:t>”</w:t>
      </w:r>
      <w:r w:rsidRPr="00DF228C">
        <w:rPr>
          <w:rFonts w:cs="Arial"/>
        </w:rPr>
        <w:t xml:space="preserve"> level on the CCI</w:t>
      </w:r>
      <w:r>
        <w:rPr>
          <w:rFonts w:cs="Arial"/>
        </w:rPr>
        <w:t xml:space="preserve"> (duplicative count).</w:t>
      </w:r>
    </w:p>
    <w:p w14:paraId="0FF7DF33" w14:textId="2982F0DB" w:rsidR="00F33EA6" w:rsidRPr="00D919D9" w:rsidRDefault="009807E0" w:rsidP="009360F1">
      <w:pPr>
        <w:pStyle w:val="Heading4"/>
        <w:spacing w:before="0" w:after="240"/>
        <w:rPr>
          <w:rFonts w:ascii="Arial" w:hAnsi="Arial" w:cs="Arial"/>
          <w:b/>
          <w:i w:val="0"/>
          <w:color w:val="auto"/>
        </w:rPr>
      </w:pPr>
      <w:r>
        <w:rPr>
          <w:rFonts w:ascii="Arial" w:hAnsi="Arial" w:cs="Arial"/>
          <w:b/>
          <w:i w:val="0"/>
          <w:color w:val="auto"/>
        </w:rPr>
        <w:t xml:space="preserve">Stakeholder Feedback </w:t>
      </w:r>
    </w:p>
    <w:p w14:paraId="227945FB" w14:textId="77777777" w:rsidR="00F33EA6" w:rsidRDefault="00F50B38" w:rsidP="009360F1">
      <w:pPr>
        <w:spacing w:after="240" w:line="259" w:lineRule="auto"/>
        <w:rPr>
          <w:rFonts w:cs="Arial"/>
        </w:rPr>
      </w:pPr>
      <w:r>
        <w:rPr>
          <w:rFonts w:cs="Arial"/>
        </w:rPr>
        <w:t>This information was shared with the</w:t>
      </w:r>
      <w:r w:rsidR="00F33EA6">
        <w:rPr>
          <w:rFonts w:cs="Arial"/>
        </w:rPr>
        <w:t xml:space="preserve"> </w:t>
      </w:r>
      <w:r>
        <w:rPr>
          <w:rFonts w:cs="Arial"/>
        </w:rPr>
        <w:t xml:space="preserve">Task Force, </w:t>
      </w:r>
      <w:r w:rsidR="00F33EA6">
        <w:rPr>
          <w:rFonts w:cs="Arial"/>
        </w:rPr>
        <w:t>the</w:t>
      </w:r>
      <w:r>
        <w:rPr>
          <w:rFonts w:cs="Arial"/>
        </w:rPr>
        <w:t xml:space="preserve"> LCFF </w:t>
      </w:r>
      <w:r w:rsidR="00F33EA6">
        <w:rPr>
          <w:rFonts w:cs="Arial"/>
        </w:rPr>
        <w:t>S</w:t>
      </w:r>
      <w:r>
        <w:rPr>
          <w:rFonts w:cs="Arial"/>
        </w:rPr>
        <w:t xml:space="preserve">takeholder </w:t>
      </w:r>
      <w:r w:rsidR="00F33EA6">
        <w:rPr>
          <w:rFonts w:cs="Arial"/>
        </w:rPr>
        <w:t>G</w:t>
      </w:r>
      <w:r>
        <w:rPr>
          <w:rFonts w:cs="Arial"/>
        </w:rPr>
        <w:t>roup</w:t>
      </w:r>
      <w:r w:rsidR="00F33EA6">
        <w:rPr>
          <w:rFonts w:cs="Arial"/>
        </w:rPr>
        <w:t>, CPAG and TDG</w:t>
      </w:r>
      <w:r>
        <w:rPr>
          <w:rFonts w:cs="Arial"/>
        </w:rPr>
        <w:t xml:space="preserve">. </w:t>
      </w:r>
      <w:r w:rsidR="00F33EA6">
        <w:rPr>
          <w:rFonts w:cs="Arial"/>
        </w:rPr>
        <w:t>Their feedback appears below:</w:t>
      </w:r>
    </w:p>
    <w:p w14:paraId="35F97DC0" w14:textId="77777777" w:rsidR="00F33EA6" w:rsidRPr="00F33EA6" w:rsidRDefault="00F50B38" w:rsidP="00D45E70">
      <w:pPr>
        <w:pStyle w:val="ListParagraph"/>
        <w:numPr>
          <w:ilvl w:val="0"/>
          <w:numId w:val="18"/>
        </w:numPr>
        <w:spacing w:after="240" w:line="259" w:lineRule="auto"/>
        <w:rPr>
          <w:rFonts w:ascii="Arial" w:hAnsi="Arial" w:cs="Arial"/>
          <w:sz w:val="24"/>
          <w:szCs w:val="24"/>
        </w:rPr>
      </w:pPr>
      <w:r w:rsidRPr="00F33EA6">
        <w:rPr>
          <w:rFonts w:ascii="Arial" w:hAnsi="Arial" w:cs="Arial"/>
          <w:sz w:val="24"/>
          <w:szCs w:val="24"/>
        </w:rPr>
        <w:t>The Task Force members supported the proposed criteria and the inclusion of the GSSMD in the CCI.</w:t>
      </w:r>
    </w:p>
    <w:p w14:paraId="1683AE36" w14:textId="7A85973C" w:rsidR="00F33EA6" w:rsidRPr="00F33EA6" w:rsidRDefault="00F33EA6" w:rsidP="00D45E70">
      <w:pPr>
        <w:pStyle w:val="ListParagraph"/>
        <w:numPr>
          <w:ilvl w:val="0"/>
          <w:numId w:val="18"/>
        </w:numPr>
        <w:spacing w:after="240" w:line="259" w:lineRule="auto"/>
        <w:rPr>
          <w:rFonts w:ascii="Arial" w:hAnsi="Arial" w:cs="Arial"/>
          <w:sz w:val="24"/>
          <w:szCs w:val="24"/>
        </w:rPr>
      </w:pPr>
      <w:r w:rsidRPr="00F33EA6">
        <w:rPr>
          <w:rFonts w:ascii="Arial" w:hAnsi="Arial" w:cs="Arial"/>
          <w:sz w:val="24"/>
          <w:szCs w:val="24"/>
        </w:rPr>
        <w:t xml:space="preserve">One member of the LCFF voiced concern that there was no proposed criteria for </w:t>
      </w:r>
      <w:r w:rsidR="00BC7A5C">
        <w:rPr>
          <w:rFonts w:ascii="Arial" w:hAnsi="Arial" w:cs="Arial"/>
          <w:sz w:val="24"/>
          <w:szCs w:val="24"/>
        </w:rPr>
        <w:t>“Approaching P</w:t>
      </w:r>
      <w:r w:rsidRPr="00F33EA6">
        <w:rPr>
          <w:rFonts w:ascii="Arial" w:hAnsi="Arial" w:cs="Arial"/>
          <w:sz w:val="24"/>
          <w:szCs w:val="24"/>
        </w:rPr>
        <w:t>repared</w:t>
      </w:r>
      <w:r w:rsidR="00BC7A5C">
        <w:rPr>
          <w:rFonts w:ascii="Arial" w:hAnsi="Arial" w:cs="Arial"/>
          <w:sz w:val="24"/>
          <w:szCs w:val="24"/>
        </w:rPr>
        <w:t>”</w:t>
      </w:r>
      <w:r w:rsidRPr="00F33EA6">
        <w:rPr>
          <w:rFonts w:ascii="Arial" w:hAnsi="Arial" w:cs="Arial"/>
          <w:sz w:val="24"/>
          <w:szCs w:val="24"/>
        </w:rPr>
        <w:t xml:space="preserve">. </w:t>
      </w:r>
    </w:p>
    <w:p w14:paraId="175A90B8" w14:textId="77777777" w:rsidR="00F33EA6" w:rsidRPr="00F33EA6" w:rsidRDefault="00F50B38" w:rsidP="00D45E70">
      <w:pPr>
        <w:pStyle w:val="ListParagraph"/>
        <w:numPr>
          <w:ilvl w:val="0"/>
          <w:numId w:val="18"/>
        </w:numPr>
        <w:spacing w:after="240" w:line="259" w:lineRule="auto"/>
        <w:rPr>
          <w:rFonts w:ascii="Arial" w:hAnsi="Arial" w:cs="Arial"/>
          <w:sz w:val="24"/>
          <w:szCs w:val="24"/>
        </w:rPr>
      </w:pPr>
      <w:r w:rsidRPr="00F33EA6">
        <w:rPr>
          <w:rFonts w:ascii="Arial" w:hAnsi="Arial" w:cs="Arial"/>
          <w:sz w:val="24"/>
          <w:szCs w:val="24"/>
        </w:rPr>
        <w:t xml:space="preserve">Several CPAG members supported the inclusion of GSSMD in the CCI, stating that earning a GSSMD is highly valued by students. </w:t>
      </w:r>
    </w:p>
    <w:p w14:paraId="7BA7EDE6" w14:textId="002BE7A8" w:rsidR="00F50B38" w:rsidRPr="00A36D03" w:rsidRDefault="00F33EA6" w:rsidP="00D45E70">
      <w:pPr>
        <w:pStyle w:val="ListParagraph"/>
        <w:numPr>
          <w:ilvl w:val="0"/>
          <w:numId w:val="18"/>
        </w:numPr>
        <w:spacing w:after="240" w:line="259" w:lineRule="auto"/>
        <w:rPr>
          <w:rFonts w:ascii="Arial" w:hAnsi="Arial" w:cs="Arial"/>
          <w:sz w:val="24"/>
          <w:szCs w:val="24"/>
        </w:rPr>
      </w:pPr>
      <w:r w:rsidRPr="00A36D03">
        <w:rPr>
          <w:rFonts w:ascii="Arial" w:hAnsi="Arial" w:cs="Arial"/>
          <w:sz w:val="24"/>
          <w:szCs w:val="24"/>
        </w:rPr>
        <w:t>T</w:t>
      </w:r>
      <w:r w:rsidR="00F50B38" w:rsidRPr="00A36D03">
        <w:rPr>
          <w:rFonts w:ascii="Arial" w:hAnsi="Arial" w:cs="Arial"/>
          <w:sz w:val="24"/>
          <w:szCs w:val="24"/>
        </w:rPr>
        <w:t>he TDG</w:t>
      </w:r>
      <w:r w:rsidR="00A36D03" w:rsidRPr="00A36D03">
        <w:rPr>
          <w:rFonts w:ascii="Arial" w:hAnsi="Arial" w:cs="Arial"/>
          <w:sz w:val="24"/>
          <w:szCs w:val="24"/>
        </w:rPr>
        <w:t xml:space="preserve"> supported the proposed criteria and the inclusion of the GSSMD in the CCI. Members were comfortable with not having an </w:t>
      </w:r>
      <w:r w:rsidR="00BC7A5C">
        <w:rPr>
          <w:rFonts w:ascii="Arial" w:hAnsi="Arial" w:cs="Arial"/>
          <w:sz w:val="24"/>
          <w:szCs w:val="24"/>
        </w:rPr>
        <w:t>“</w:t>
      </w:r>
      <w:r w:rsidR="000A76C7">
        <w:rPr>
          <w:rFonts w:ascii="Arial" w:hAnsi="Arial" w:cs="Arial"/>
          <w:sz w:val="24"/>
          <w:szCs w:val="24"/>
        </w:rPr>
        <w:t>A</w:t>
      </w:r>
      <w:r w:rsidR="00A36D03" w:rsidRPr="00A36D03">
        <w:rPr>
          <w:rFonts w:ascii="Arial" w:hAnsi="Arial" w:cs="Arial"/>
          <w:sz w:val="24"/>
          <w:szCs w:val="24"/>
        </w:rPr>
        <w:t xml:space="preserve">pproaching </w:t>
      </w:r>
      <w:r w:rsidR="000A76C7">
        <w:rPr>
          <w:rFonts w:ascii="Arial" w:hAnsi="Arial" w:cs="Arial"/>
          <w:sz w:val="24"/>
          <w:szCs w:val="24"/>
        </w:rPr>
        <w:t>P</w:t>
      </w:r>
      <w:r w:rsidR="00A36D03" w:rsidRPr="00A36D03">
        <w:rPr>
          <w:rFonts w:ascii="Arial" w:hAnsi="Arial" w:cs="Arial"/>
          <w:sz w:val="24"/>
          <w:szCs w:val="24"/>
        </w:rPr>
        <w:t>repared</w:t>
      </w:r>
      <w:r w:rsidR="00BC7A5C">
        <w:rPr>
          <w:rFonts w:ascii="Arial" w:hAnsi="Arial" w:cs="Arial"/>
          <w:sz w:val="24"/>
          <w:szCs w:val="24"/>
        </w:rPr>
        <w:t>”</w:t>
      </w:r>
      <w:r w:rsidR="00A36D03" w:rsidRPr="00A36D03">
        <w:rPr>
          <w:rFonts w:ascii="Arial" w:hAnsi="Arial" w:cs="Arial"/>
          <w:sz w:val="24"/>
          <w:szCs w:val="24"/>
        </w:rPr>
        <w:t xml:space="preserve"> criterion.</w:t>
      </w:r>
    </w:p>
    <w:p w14:paraId="06057B10" w14:textId="5906AB07" w:rsidR="00340762" w:rsidRPr="00BA55E6" w:rsidRDefault="00340762" w:rsidP="009360F1">
      <w:pPr>
        <w:pStyle w:val="Heading3"/>
        <w:spacing w:before="0" w:after="240"/>
        <w:rPr>
          <w:rFonts w:ascii="Arial" w:hAnsi="Arial" w:cs="Arial"/>
          <w:b/>
          <w:color w:val="auto"/>
          <w:sz w:val="28"/>
          <w:szCs w:val="28"/>
        </w:rPr>
      </w:pPr>
      <w:r w:rsidRPr="00BA55E6">
        <w:rPr>
          <w:rFonts w:ascii="Arial" w:hAnsi="Arial" w:cs="Arial"/>
          <w:b/>
          <w:color w:val="auto"/>
          <w:sz w:val="28"/>
          <w:szCs w:val="28"/>
        </w:rPr>
        <w:lastRenderedPageBreak/>
        <w:t>Leadership/Military Science</w:t>
      </w:r>
      <w:r w:rsidR="00F33084">
        <w:rPr>
          <w:rFonts w:ascii="Arial" w:hAnsi="Arial" w:cs="Arial"/>
          <w:b/>
          <w:color w:val="auto"/>
          <w:sz w:val="28"/>
          <w:szCs w:val="28"/>
        </w:rPr>
        <w:t xml:space="preserve">: </w:t>
      </w:r>
      <w:r w:rsidR="00F33084" w:rsidRPr="00F33084">
        <w:rPr>
          <w:rFonts w:ascii="Arial" w:hAnsi="Arial" w:cs="Arial"/>
          <w:b/>
          <w:color w:val="auto"/>
          <w:sz w:val="28"/>
          <w:szCs w:val="28"/>
          <w:lang w:val="en"/>
        </w:rPr>
        <w:t>Reserve Officer Training Corps (</w:t>
      </w:r>
      <w:r w:rsidR="00F33084" w:rsidRPr="00F33084">
        <w:rPr>
          <w:rFonts w:ascii="Arial" w:hAnsi="Arial" w:cs="Arial"/>
          <w:b/>
          <w:color w:val="auto"/>
          <w:sz w:val="28"/>
          <w:szCs w:val="28"/>
        </w:rPr>
        <w:t>ROTC)</w:t>
      </w:r>
    </w:p>
    <w:p w14:paraId="745E8D88" w14:textId="5EAD71B1" w:rsidR="00F50B38" w:rsidRPr="00BB765F" w:rsidRDefault="00F50B38" w:rsidP="00BB765F">
      <w:pPr>
        <w:spacing w:before="240" w:after="240"/>
        <w:rPr>
          <w:b/>
        </w:rPr>
      </w:pPr>
      <w:r w:rsidRPr="00BB765F">
        <w:rPr>
          <w:b/>
        </w:rPr>
        <w:t xml:space="preserve">Table </w:t>
      </w:r>
      <w:r w:rsidR="009807E0" w:rsidRPr="00BB765F">
        <w:rPr>
          <w:b/>
        </w:rPr>
        <w:t>5</w:t>
      </w:r>
      <w:r w:rsidRPr="00BB765F">
        <w:rPr>
          <w:b/>
        </w:rPr>
        <w:t xml:space="preserve">: Performance on the </w:t>
      </w:r>
      <w:r w:rsidR="004B026D" w:rsidRPr="00BB765F">
        <w:rPr>
          <w:b/>
        </w:rPr>
        <w:t xml:space="preserve">ELA </w:t>
      </w:r>
      <w:r w:rsidRPr="00BB765F">
        <w:rPr>
          <w:b/>
        </w:rPr>
        <w:t>Smarter Balanced Summative Assessments for Students with 1, 2, 3, and 4 Years of ROTC</w:t>
      </w:r>
    </w:p>
    <w:tbl>
      <w:tblPr>
        <w:tblStyle w:val="TableGrid"/>
        <w:tblW w:w="5000" w:type="pct"/>
        <w:tblLook w:val="04A0" w:firstRow="1" w:lastRow="0" w:firstColumn="1" w:lastColumn="0" w:noHBand="0" w:noVBand="1"/>
        <w:tblDescription w:val="Performance on the ELA Smarter Balanced Summative Assessments for Students with 1, 2, 3, and 4 Years of ROTC"/>
      </w:tblPr>
      <w:tblGrid>
        <w:gridCol w:w="1365"/>
        <w:gridCol w:w="1767"/>
        <w:gridCol w:w="1896"/>
        <w:gridCol w:w="1590"/>
        <w:gridCol w:w="1915"/>
        <w:gridCol w:w="817"/>
      </w:tblGrid>
      <w:tr w:rsidR="00F50B38" w14:paraId="34222289" w14:textId="77777777" w:rsidTr="00BC7A5C">
        <w:trPr>
          <w:trHeight w:val="792"/>
          <w:tblHeader/>
        </w:trPr>
        <w:tc>
          <w:tcPr>
            <w:tcW w:w="730" w:type="pct"/>
            <w:shd w:val="clear" w:color="auto" w:fill="D9D9D9" w:themeFill="background1" w:themeFillShade="D9"/>
            <w:vAlign w:val="center"/>
          </w:tcPr>
          <w:p w14:paraId="6A6899B5" w14:textId="77777777" w:rsidR="00F50B38" w:rsidRPr="00BC7A5C" w:rsidRDefault="00F50B38" w:rsidP="00BC7A5C">
            <w:pPr>
              <w:jc w:val="center"/>
              <w:rPr>
                <w:rFonts w:cs="Arial"/>
                <w:b/>
              </w:rPr>
            </w:pPr>
            <w:r w:rsidRPr="00BC7A5C">
              <w:rPr>
                <w:rFonts w:cs="Arial"/>
                <w:b/>
              </w:rPr>
              <w:t># Years of ROTC</w:t>
            </w:r>
          </w:p>
        </w:tc>
        <w:tc>
          <w:tcPr>
            <w:tcW w:w="945" w:type="pct"/>
            <w:shd w:val="clear" w:color="auto" w:fill="D9D9D9" w:themeFill="background1" w:themeFillShade="D9"/>
            <w:vAlign w:val="center"/>
          </w:tcPr>
          <w:p w14:paraId="49DDA5F8" w14:textId="77777777" w:rsidR="00F50B38" w:rsidRPr="00BC7A5C" w:rsidRDefault="00F50B38" w:rsidP="00BC7A5C">
            <w:pPr>
              <w:jc w:val="center"/>
              <w:rPr>
                <w:rFonts w:cs="Arial"/>
                <w:b/>
              </w:rPr>
            </w:pPr>
            <w:r w:rsidRPr="00BC7A5C">
              <w:rPr>
                <w:rFonts w:cs="Arial"/>
                <w:b/>
              </w:rPr>
              <w:t>ELA Standard Not Met</w:t>
            </w:r>
          </w:p>
        </w:tc>
        <w:tc>
          <w:tcPr>
            <w:tcW w:w="1014" w:type="pct"/>
            <w:shd w:val="clear" w:color="auto" w:fill="D9D9D9" w:themeFill="background1" w:themeFillShade="D9"/>
            <w:vAlign w:val="center"/>
          </w:tcPr>
          <w:p w14:paraId="5735068A" w14:textId="77777777" w:rsidR="00F50B38" w:rsidRPr="00BC7A5C" w:rsidRDefault="00F50B38" w:rsidP="00BC7A5C">
            <w:pPr>
              <w:jc w:val="center"/>
              <w:rPr>
                <w:rFonts w:cs="Arial"/>
                <w:b/>
              </w:rPr>
            </w:pPr>
            <w:r w:rsidRPr="00BC7A5C">
              <w:rPr>
                <w:rFonts w:cs="Arial"/>
                <w:b/>
              </w:rPr>
              <w:t>ELA Standard Nearly Met</w:t>
            </w:r>
          </w:p>
        </w:tc>
        <w:tc>
          <w:tcPr>
            <w:tcW w:w="850" w:type="pct"/>
            <w:shd w:val="clear" w:color="auto" w:fill="D9D9D9" w:themeFill="background1" w:themeFillShade="D9"/>
            <w:vAlign w:val="center"/>
          </w:tcPr>
          <w:p w14:paraId="2848C81B" w14:textId="77777777" w:rsidR="00F50B38" w:rsidRPr="00BC7A5C" w:rsidRDefault="00F50B38" w:rsidP="00BC7A5C">
            <w:pPr>
              <w:jc w:val="center"/>
              <w:rPr>
                <w:rFonts w:cs="Arial"/>
                <w:b/>
              </w:rPr>
            </w:pPr>
            <w:r w:rsidRPr="00BC7A5C">
              <w:rPr>
                <w:rFonts w:cs="Arial"/>
                <w:b/>
              </w:rPr>
              <w:t>ELA Standard Met</w:t>
            </w:r>
          </w:p>
        </w:tc>
        <w:tc>
          <w:tcPr>
            <w:tcW w:w="1024" w:type="pct"/>
            <w:shd w:val="clear" w:color="auto" w:fill="D9D9D9" w:themeFill="background1" w:themeFillShade="D9"/>
            <w:vAlign w:val="center"/>
          </w:tcPr>
          <w:p w14:paraId="0B3183D6" w14:textId="77777777" w:rsidR="00F50B38" w:rsidRPr="00BC7A5C" w:rsidRDefault="00F50B38" w:rsidP="00BC7A5C">
            <w:pPr>
              <w:jc w:val="center"/>
              <w:rPr>
                <w:rFonts w:cs="Arial"/>
                <w:b/>
              </w:rPr>
            </w:pPr>
            <w:r w:rsidRPr="00BC7A5C">
              <w:rPr>
                <w:rFonts w:cs="Arial"/>
                <w:b/>
              </w:rPr>
              <w:t>ELA Standard Exceeded</w:t>
            </w:r>
          </w:p>
        </w:tc>
        <w:tc>
          <w:tcPr>
            <w:tcW w:w="437" w:type="pct"/>
            <w:shd w:val="clear" w:color="auto" w:fill="D9D9D9" w:themeFill="background1" w:themeFillShade="D9"/>
            <w:vAlign w:val="center"/>
          </w:tcPr>
          <w:p w14:paraId="059B5BEC" w14:textId="77777777" w:rsidR="00F50B38" w:rsidRPr="00BC7A5C" w:rsidRDefault="00F50B38" w:rsidP="00BC7A5C">
            <w:pPr>
              <w:jc w:val="center"/>
              <w:rPr>
                <w:rFonts w:cs="Arial"/>
                <w:b/>
              </w:rPr>
            </w:pPr>
            <w:r w:rsidRPr="00BC7A5C">
              <w:rPr>
                <w:rFonts w:cs="Arial"/>
                <w:b/>
              </w:rPr>
              <w:t>Total</w:t>
            </w:r>
          </w:p>
        </w:tc>
      </w:tr>
      <w:tr w:rsidR="00F50B38" w14:paraId="5D20403B" w14:textId="77777777" w:rsidTr="00BC7A5C">
        <w:trPr>
          <w:trHeight w:val="792"/>
        </w:trPr>
        <w:tc>
          <w:tcPr>
            <w:tcW w:w="730" w:type="pct"/>
            <w:vAlign w:val="center"/>
          </w:tcPr>
          <w:p w14:paraId="1C93A548" w14:textId="77777777" w:rsidR="00F50B38" w:rsidRDefault="00F50B38" w:rsidP="00BC7A5C">
            <w:pPr>
              <w:jc w:val="center"/>
              <w:rPr>
                <w:rFonts w:cs="Arial"/>
              </w:rPr>
            </w:pPr>
            <w:r>
              <w:rPr>
                <w:rFonts w:cs="Arial"/>
              </w:rPr>
              <w:t>1 Year</w:t>
            </w:r>
          </w:p>
        </w:tc>
        <w:tc>
          <w:tcPr>
            <w:tcW w:w="945" w:type="pct"/>
            <w:vAlign w:val="center"/>
          </w:tcPr>
          <w:p w14:paraId="673887E1" w14:textId="77777777" w:rsidR="00F50B38" w:rsidRDefault="00F50B38" w:rsidP="00BC7A5C">
            <w:pPr>
              <w:jc w:val="center"/>
              <w:rPr>
                <w:rFonts w:cs="Arial"/>
              </w:rPr>
            </w:pPr>
            <w:r>
              <w:rPr>
                <w:rFonts w:cs="Arial"/>
              </w:rPr>
              <w:t>1,302 (28.2%)</w:t>
            </w:r>
          </w:p>
        </w:tc>
        <w:tc>
          <w:tcPr>
            <w:tcW w:w="1014" w:type="pct"/>
            <w:vAlign w:val="center"/>
          </w:tcPr>
          <w:p w14:paraId="7EC1C2F0" w14:textId="77777777" w:rsidR="00F50B38" w:rsidRDefault="00F50B38" w:rsidP="00BC7A5C">
            <w:pPr>
              <w:jc w:val="center"/>
              <w:rPr>
                <w:rFonts w:cs="Arial"/>
              </w:rPr>
            </w:pPr>
            <w:r>
              <w:rPr>
                <w:rFonts w:cs="Arial"/>
              </w:rPr>
              <w:t>1,259 (27.3%)</w:t>
            </w:r>
          </w:p>
        </w:tc>
        <w:tc>
          <w:tcPr>
            <w:tcW w:w="850" w:type="pct"/>
            <w:vAlign w:val="center"/>
          </w:tcPr>
          <w:p w14:paraId="6A606938" w14:textId="77777777" w:rsidR="00F50B38" w:rsidRDefault="00F50B38" w:rsidP="00BC7A5C">
            <w:pPr>
              <w:jc w:val="center"/>
              <w:rPr>
                <w:rFonts w:cs="Arial"/>
              </w:rPr>
            </w:pPr>
            <w:r>
              <w:rPr>
                <w:rFonts w:cs="Arial"/>
              </w:rPr>
              <w:t>1,374 (29.8%)</w:t>
            </w:r>
          </w:p>
        </w:tc>
        <w:tc>
          <w:tcPr>
            <w:tcW w:w="1024" w:type="pct"/>
            <w:vAlign w:val="center"/>
          </w:tcPr>
          <w:p w14:paraId="0FB18940" w14:textId="77777777" w:rsidR="00F50B38" w:rsidRDefault="00F50B38" w:rsidP="00BC7A5C">
            <w:pPr>
              <w:jc w:val="center"/>
              <w:rPr>
                <w:rFonts w:cs="Arial"/>
              </w:rPr>
            </w:pPr>
            <w:r>
              <w:rPr>
                <w:rFonts w:cs="Arial"/>
              </w:rPr>
              <w:t>674 (14.6%)</w:t>
            </w:r>
          </w:p>
        </w:tc>
        <w:tc>
          <w:tcPr>
            <w:tcW w:w="437" w:type="pct"/>
            <w:vAlign w:val="center"/>
          </w:tcPr>
          <w:p w14:paraId="28EB120D" w14:textId="77777777" w:rsidR="00F50B38" w:rsidRDefault="00F50B38" w:rsidP="00BC7A5C">
            <w:pPr>
              <w:jc w:val="center"/>
              <w:rPr>
                <w:rFonts w:cs="Arial"/>
              </w:rPr>
            </w:pPr>
            <w:r>
              <w:rPr>
                <w:rFonts w:cs="Arial"/>
              </w:rPr>
              <w:t>4,609</w:t>
            </w:r>
          </w:p>
        </w:tc>
      </w:tr>
      <w:tr w:rsidR="00F50B38" w14:paraId="700E6C35" w14:textId="77777777" w:rsidTr="00BC7A5C">
        <w:trPr>
          <w:trHeight w:val="792"/>
        </w:trPr>
        <w:tc>
          <w:tcPr>
            <w:tcW w:w="730" w:type="pct"/>
            <w:vAlign w:val="center"/>
          </w:tcPr>
          <w:p w14:paraId="394D0A86" w14:textId="77777777" w:rsidR="00F50B38" w:rsidRDefault="00F50B38" w:rsidP="00BC7A5C">
            <w:pPr>
              <w:jc w:val="center"/>
              <w:rPr>
                <w:rFonts w:cs="Arial"/>
              </w:rPr>
            </w:pPr>
            <w:r>
              <w:rPr>
                <w:rFonts w:cs="Arial"/>
              </w:rPr>
              <w:t>2 Years</w:t>
            </w:r>
          </w:p>
        </w:tc>
        <w:tc>
          <w:tcPr>
            <w:tcW w:w="945" w:type="pct"/>
            <w:vAlign w:val="center"/>
          </w:tcPr>
          <w:p w14:paraId="5B999084" w14:textId="77777777" w:rsidR="00F50B38" w:rsidRDefault="00F50B38" w:rsidP="00BC7A5C">
            <w:pPr>
              <w:jc w:val="center"/>
              <w:rPr>
                <w:rFonts w:cs="Arial"/>
              </w:rPr>
            </w:pPr>
            <w:r>
              <w:rPr>
                <w:rFonts w:cs="Arial"/>
              </w:rPr>
              <w:t>497 (21.5%)</w:t>
            </w:r>
          </w:p>
        </w:tc>
        <w:tc>
          <w:tcPr>
            <w:tcW w:w="1014" w:type="pct"/>
            <w:vAlign w:val="center"/>
          </w:tcPr>
          <w:p w14:paraId="2D4A0FFD" w14:textId="77777777" w:rsidR="00F50B38" w:rsidRDefault="00F50B38" w:rsidP="00BC7A5C">
            <w:pPr>
              <w:jc w:val="center"/>
              <w:rPr>
                <w:rFonts w:cs="Arial"/>
              </w:rPr>
            </w:pPr>
            <w:r>
              <w:rPr>
                <w:rFonts w:cs="Arial"/>
              </w:rPr>
              <w:t>635 (27.5%)</w:t>
            </w:r>
          </w:p>
        </w:tc>
        <w:tc>
          <w:tcPr>
            <w:tcW w:w="850" w:type="pct"/>
            <w:vAlign w:val="center"/>
          </w:tcPr>
          <w:p w14:paraId="0D54364E" w14:textId="77777777" w:rsidR="00F50B38" w:rsidRDefault="00F50B38" w:rsidP="00BC7A5C">
            <w:pPr>
              <w:jc w:val="center"/>
              <w:rPr>
                <w:rFonts w:cs="Arial"/>
              </w:rPr>
            </w:pPr>
            <w:r>
              <w:rPr>
                <w:rFonts w:cs="Arial"/>
              </w:rPr>
              <w:t>747 (32.4%)</w:t>
            </w:r>
          </w:p>
        </w:tc>
        <w:tc>
          <w:tcPr>
            <w:tcW w:w="1024" w:type="pct"/>
            <w:vAlign w:val="center"/>
          </w:tcPr>
          <w:p w14:paraId="72B3F632" w14:textId="77777777" w:rsidR="00F50B38" w:rsidRDefault="00F50B38" w:rsidP="00BC7A5C">
            <w:pPr>
              <w:jc w:val="center"/>
              <w:rPr>
                <w:rFonts w:cs="Arial"/>
              </w:rPr>
            </w:pPr>
            <w:r>
              <w:rPr>
                <w:rFonts w:cs="Arial"/>
              </w:rPr>
              <w:t>429 (18.6%)</w:t>
            </w:r>
          </w:p>
        </w:tc>
        <w:tc>
          <w:tcPr>
            <w:tcW w:w="437" w:type="pct"/>
            <w:vAlign w:val="center"/>
          </w:tcPr>
          <w:p w14:paraId="7CF8CE47" w14:textId="77777777" w:rsidR="00F50B38" w:rsidRDefault="00F50B38" w:rsidP="00BC7A5C">
            <w:pPr>
              <w:jc w:val="center"/>
              <w:rPr>
                <w:rFonts w:cs="Arial"/>
              </w:rPr>
            </w:pPr>
            <w:r>
              <w:rPr>
                <w:rFonts w:cs="Arial"/>
              </w:rPr>
              <w:t>2,308</w:t>
            </w:r>
          </w:p>
        </w:tc>
      </w:tr>
      <w:tr w:rsidR="00F50B38" w14:paraId="301D70E7" w14:textId="77777777" w:rsidTr="00BC7A5C">
        <w:trPr>
          <w:trHeight w:val="792"/>
        </w:trPr>
        <w:tc>
          <w:tcPr>
            <w:tcW w:w="730" w:type="pct"/>
            <w:vAlign w:val="center"/>
          </w:tcPr>
          <w:p w14:paraId="745A152D" w14:textId="77777777" w:rsidR="00F50B38" w:rsidRDefault="00F50B38" w:rsidP="00BC7A5C">
            <w:pPr>
              <w:jc w:val="center"/>
              <w:rPr>
                <w:rFonts w:cs="Arial"/>
              </w:rPr>
            </w:pPr>
            <w:r>
              <w:rPr>
                <w:rFonts w:cs="Arial"/>
              </w:rPr>
              <w:t>3 Years</w:t>
            </w:r>
          </w:p>
        </w:tc>
        <w:tc>
          <w:tcPr>
            <w:tcW w:w="945" w:type="pct"/>
            <w:vAlign w:val="center"/>
          </w:tcPr>
          <w:p w14:paraId="3EEB5D27" w14:textId="77777777" w:rsidR="00F50B38" w:rsidRDefault="00F50B38" w:rsidP="00BC7A5C">
            <w:pPr>
              <w:jc w:val="center"/>
              <w:rPr>
                <w:rFonts w:cs="Arial"/>
              </w:rPr>
            </w:pPr>
            <w:r>
              <w:rPr>
                <w:rFonts w:cs="Arial"/>
              </w:rPr>
              <w:t>246 (21.1%)</w:t>
            </w:r>
          </w:p>
        </w:tc>
        <w:tc>
          <w:tcPr>
            <w:tcW w:w="1014" w:type="pct"/>
            <w:vAlign w:val="center"/>
          </w:tcPr>
          <w:p w14:paraId="66617A1B" w14:textId="77777777" w:rsidR="00F50B38" w:rsidRDefault="00F50B38" w:rsidP="00BC7A5C">
            <w:pPr>
              <w:jc w:val="center"/>
              <w:rPr>
                <w:rFonts w:cs="Arial"/>
              </w:rPr>
            </w:pPr>
            <w:r>
              <w:rPr>
                <w:rFonts w:cs="Arial"/>
              </w:rPr>
              <w:t>295 (25.3%)</w:t>
            </w:r>
          </w:p>
        </w:tc>
        <w:tc>
          <w:tcPr>
            <w:tcW w:w="850" w:type="pct"/>
            <w:vAlign w:val="center"/>
          </w:tcPr>
          <w:p w14:paraId="44964EF3" w14:textId="77777777" w:rsidR="00F50B38" w:rsidRDefault="00F50B38" w:rsidP="00BC7A5C">
            <w:pPr>
              <w:jc w:val="center"/>
              <w:rPr>
                <w:rFonts w:cs="Arial"/>
              </w:rPr>
            </w:pPr>
            <w:r>
              <w:rPr>
                <w:rFonts w:cs="Arial"/>
              </w:rPr>
              <w:t>385 (33.0%)</w:t>
            </w:r>
          </w:p>
        </w:tc>
        <w:tc>
          <w:tcPr>
            <w:tcW w:w="1024" w:type="pct"/>
            <w:vAlign w:val="center"/>
          </w:tcPr>
          <w:p w14:paraId="555FA4C1" w14:textId="77777777" w:rsidR="00F50B38" w:rsidRDefault="00F50B38" w:rsidP="00BC7A5C">
            <w:pPr>
              <w:jc w:val="center"/>
              <w:rPr>
                <w:rFonts w:cs="Arial"/>
              </w:rPr>
            </w:pPr>
            <w:r>
              <w:rPr>
                <w:rFonts w:cs="Arial"/>
              </w:rPr>
              <w:t>240 (20.5%)</w:t>
            </w:r>
          </w:p>
        </w:tc>
        <w:tc>
          <w:tcPr>
            <w:tcW w:w="437" w:type="pct"/>
            <w:vAlign w:val="center"/>
          </w:tcPr>
          <w:p w14:paraId="51407035" w14:textId="77777777" w:rsidR="00F50B38" w:rsidRDefault="00F50B38" w:rsidP="00BC7A5C">
            <w:pPr>
              <w:jc w:val="center"/>
              <w:rPr>
                <w:rFonts w:cs="Arial"/>
              </w:rPr>
            </w:pPr>
            <w:r>
              <w:rPr>
                <w:rFonts w:cs="Arial"/>
              </w:rPr>
              <w:t>1,166</w:t>
            </w:r>
          </w:p>
        </w:tc>
      </w:tr>
      <w:tr w:rsidR="00F50B38" w14:paraId="6FA78812" w14:textId="77777777" w:rsidTr="00BC7A5C">
        <w:trPr>
          <w:trHeight w:val="792"/>
        </w:trPr>
        <w:tc>
          <w:tcPr>
            <w:tcW w:w="730" w:type="pct"/>
            <w:vAlign w:val="center"/>
          </w:tcPr>
          <w:p w14:paraId="74812AFA" w14:textId="77777777" w:rsidR="00F50B38" w:rsidRDefault="00F50B38" w:rsidP="00BC7A5C">
            <w:pPr>
              <w:jc w:val="center"/>
              <w:rPr>
                <w:rFonts w:cs="Arial"/>
              </w:rPr>
            </w:pPr>
            <w:r>
              <w:rPr>
                <w:rFonts w:cs="Arial"/>
              </w:rPr>
              <w:t>4 Years</w:t>
            </w:r>
          </w:p>
        </w:tc>
        <w:tc>
          <w:tcPr>
            <w:tcW w:w="945" w:type="pct"/>
            <w:vAlign w:val="center"/>
          </w:tcPr>
          <w:p w14:paraId="1A5AA997" w14:textId="77777777" w:rsidR="00F50B38" w:rsidRDefault="00F50B38" w:rsidP="00BC7A5C">
            <w:pPr>
              <w:jc w:val="center"/>
              <w:rPr>
                <w:rFonts w:cs="Arial"/>
              </w:rPr>
            </w:pPr>
            <w:r>
              <w:rPr>
                <w:rFonts w:cs="Arial"/>
              </w:rPr>
              <w:t>171 (12.5%)</w:t>
            </w:r>
          </w:p>
        </w:tc>
        <w:tc>
          <w:tcPr>
            <w:tcW w:w="1014" w:type="pct"/>
            <w:vAlign w:val="center"/>
          </w:tcPr>
          <w:p w14:paraId="2328C792" w14:textId="77777777" w:rsidR="00F50B38" w:rsidRDefault="00F50B38" w:rsidP="00BC7A5C">
            <w:pPr>
              <w:jc w:val="center"/>
              <w:rPr>
                <w:rFonts w:cs="Arial"/>
              </w:rPr>
            </w:pPr>
            <w:r>
              <w:rPr>
                <w:rFonts w:cs="Arial"/>
              </w:rPr>
              <w:t>307 (22.5%)</w:t>
            </w:r>
          </w:p>
        </w:tc>
        <w:tc>
          <w:tcPr>
            <w:tcW w:w="850" w:type="pct"/>
            <w:vAlign w:val="center"/>
          </w:tcPr>
          <w:p w14:paraId="6E7CEAFA" w14:textId="77777777" w:rsidR="00F50B38" w:rsidRDefault="00F50B38" w:rsidP="00BC7A5C">
            <w:pPr>
              <w:jc w:val="center"/>
              <w:rPr>
                <w:rFonts w:cs="Arial"/>
              </w:rPr>
            </w:pPr>
            <w:r>
              <w:rPr>
                <w:rFonts w:cs="Arial"/>
              </w:rPr>
              <w:t>537 (39.4%)</w:t>
            </w:r>
          </w:p>
        </w:tc>
        <w:tc>
          <w:tcPr>
            <w:tcW w:w="1024" w:type="pct"/>
            <w:vAlign w:val="center"/>
          </w:tcPr>
          <w:p w14:paraId="494F68D6" w14:textId="77777777" w:rsidR="00F50B38" w:rsidRDefault="00F50B38" w:rsidP="00BC7A5C">
            <w:pPr>
              <w:jc w:val="center"/>
              <w:rPr>
                <w:rFonts w:cs="Arial"/>
              </w:rPr>
            </w:pPr>
            <w:r>
              <w:rPr>
                <w:rFonts w:cs="Arial"/>
              </w:rPr>
              <w:t>348 (25.5%)</w:t>
            </w:r>
          </w:p>
        </w:tc>
        <w:tc>
          <w:tcPr>
            <w:tcW w:w="437" w:type="pct"/>
            <w:vAlign w:val="center"/>
          </w:tcPr>
          <w:p w14:paraId="0675C8DD" w14:textId="77777777" w:rsidR="00F50B38" w:rsidRDefault="00F50B38" w:rsidP="00BC7A5C">
            <w:pPr>
              <w:jc w:val="center"/>
              <w:rPr>
                <w:rFonts w:cs="Arial"/>
              </w:rPr>
            </w:pPr>
            <w:r>
              <w:rPr>
                <w:rFonts w:cs="Arial"/>
              </w:rPr>
              <w:t>1,363</w:t>
            </w:r>
          </w:p>
        </w:tc>
      </w:tr>
    </w:tbl>
    <w:p w14:paraId="2A62BE7A" w14:textId="6FC51C63" w:rsidR="009807E0" w:rsidRPr="00BB765F" w:rsidRDefault="009807E0" w:rsidP="00BB765F">
      <w:pPr>
        <w:spacing w:before="240" w:after="240"/>
        <w:rPr>
          <w:b/>
        </w:rPr>
      </w:pPr>
      <w:r w:rsidRPr="00BB765F">
        <w:rPr>
          <w:b/>
        </w:rPr>
        <w:t xml:space="preserve">Table 6: Performance on the Mathematics Smarter Balanced Summative Assessments for Students Completing 1, 2, 3, and 4 Years of ROTC </w:t>
      </w:r>
    </w:p>
    <w:tbl>
      <w:tblPr>
        <w:tblStyle w:val="TableGrid"/>
        <w:tblW w:w="9805" w:type="dxa"/>
        <w:tblLook w:val="04A0" w:firstRow="1" w:lastRow="0" w:firstColumn="1" w:lastColumn="0" w:noHBand="0" w:noVBand="1"/>
        <w:tblDescription w:val="Performance on the Mathematics Smarter Balanced Summative Assessments for Students Completing 1, 2, 3, and 4 Years of ROTC"/>
      </w:tblPr>
      <w:tblGrid>
        <w:gridCol w:w="1345"/>
        <w:gridCol w:w="1799"/>
        <w:gridCol w:w="1799"/>
        <w:gridCol w:w="1889"/>
        <w:gridCol w:w="1889"/>
        <w:gridCol w:w="1084"/>
      </w:tblGrid>
      <w:tr w:rsidR="009807E0" w14:paraId="5BAADF79" w14:textId="77777777" w:rsidTr="00BC7A5C">
        <w:trPr>
          <w:trHeight w:val="792"/>
          <w:tblHeader/>
        </w:trPr>
        <w:tc>
          <w:tcPr>
            <w:tcW w:w="1345" w:type="dxa"/>
            <w:shd w:val="clear" w:color="auto" w:fill="D9D9D9" w:themeFill="background1" w:themeFillShade="D9"/>
            <w:vAlign w:val="center"/>
          </w:tcPr>
          <w:p w14:paraId="2932180D" w14:textId="77777777" w:rsidR="009807E0" w:rsidRPr="00BC7A5C" w:rsidRDefault="009807E0" w:rsidP="00BC7A5C">
            <w:pPr>
              <w:jc w:val="center"/>
              <w:rPr>
                <w:rFonts w:cs="Arial"/>
                <w:b/>
              </w:rPr>
            </w:pPr>
            <w:r w:rsidRPr="00BC7A5C">
              <w:rPr>
                <w:rFonts w:cs="Arial"/>
                <w:b/>
              </w:rPr>
              <w:t># Years of ROTC</w:t>
            </w:r>
          </w:p>
        </w:tc>
        <w:tc>
          <w:tcPr>
            <w:tcW w:w="1799" w:type="dxa"/>
            <w:shd w:val="clear" w:color="auto" w:fill="D9D9D9" w:themeFill="background1" w:themeFillShade="D9"/>
            <w:vAlign w:val="center"/>
          </w:tcPr>
          <w:p w14:paraId="01D17A60" w14:textId="77777777" w:rsidR="009807E0" w:rsidRPr="00BC7A5C" w:rsidRDefault="009807E0" w:rsidP="00BC7A5C">
            <w:pPr>
              <w:jc w:val="center"/>
              <w:rPr>
                <w:rFonts w:cs="Arial"/>
                <w:b/>
              </w:rPr>
            </w:pPr>
            <w:r w:rsidRPr="00BC7A5C">
              <w:rPr>
                <w:rFonts w:cs="Arial"/>
                <w:b/>
              </w:rPr>
              <w:t>Math Standard Not Met</w:t>
            </w:r>
          </w:p>
        </w:tc>
        <w:tc>
          <w:tcPr>
            <w:tcW w:w="1799" w:type="dxa"/>
            <w:shd w:val="clear" w:color="auto" w:fill="D9D9D9" w:themeFill="background1" w:themeFillShade="D9"/>
            <w:vAlign w:val="center"/>
          </w:tcPr>
          <w:p w14:paraId="5C506B92" w14:textId="77777777" w:rsidR="009807E0" w:rsidRPr="00BC7A5C" w:rsidRDefault="009807E0" w:rsidP="00BC7A5C">
            <w:pPr>
              <w:jc w:val="center"/>
              <w:rPr>
                <w:rFonts w:cs="Arial"/>
                <w:b/>
              </w:rPr>
            </w:pPr>
            <w:r w:rsidRPr="00BC7A5C">
              <w:rPr>
                <w:rFonts w:cs="Arial"/>
                <w:b/>
              </w:rPr>
              <w:t>Math Standard Nearly Met</w:t>
            </w:r>
          </w:p>
        </w:tc>
        <w:tc>
          <w:tcPr>
            <w:tcW w:w="1889" w:type="dxa"/>
            <w:shd w:val="clear" w:color="auto" w:fill="D9D9D9" w:themeFill="background1" w:themeFillShade="D9"/>
            <w:vAlign w:val="center"/>
          </w:tcPr>
          <w:p w14:paraId="143BB0D0" w14:textId="77777777" w:rsidR="009807E0" w:rsidRPr="00BC7A5C" w:rsidRDefault="009807E0" w:rsidP="00BC7A5C">
            <w:pPr>
              <w:jc w:val="center"/>
              <w:rPr>
                <w:rFonts w:cs="Arial"/>
                <w:b/>
              </w:rPr>
            </w:pPr>
            <w:r w:rsidRPr="00BC7A5C">
              <w:rPr>
                <w:rFonts w:cs="Arial"/>
                <w:b/>
              </w:rPr>
              <w:t>Math Standard Met</w:t>
            </w:r>
          </w:p>
        </w:tc>
        <w:tc>
          <w:tcPr>
            <w:tcW w:w="1889" w:type="dxa"/>
            <w:shd w:val="clear" w:color="auto" w:fill="D9D9D9" w:themeFill="background1" w:themeFillShade="D9"/>
            <w:vAlign w:val="center"/>
          </w:tcPr>
          <w:p w14:paraId="50FACDD7" w14:textId="77777777" w:rsidR="009807E0" w:rsidRPr="00BC7A5C" w:rsidRDefault="009807E0" w:rsidP="00BC7A5C">
            <w:pPr>
              <w:jc w:val="center"/>
              <w:rPr>
                <w:rFonts w:cs="Arial"/>
                <w:b/>
              </w:rPr>
            </w:pPr>
            <w:r w:rsidRPr="00BC7A5C">
              <w:rPr>
                <w:rFonts w:cs="Arial"/>
                <w:b/>
              </w:rPr>
              <w:t>Math Standard Exceeded</w:t>
            </w:r>
          </w:p>
        </w:tc>
        <w:tc>
          <w:tcPr>
            <w:tcW w:w="1084" w:type="dxa"/>
            <w:shd w:val="clear" w:color="auto" w:fill="D9D9D9" w:themeFill="background1" w:themeFillShade="D9"/>
            <w:vAlign w:val="center"/>
          </w:tcPr>
          <w:p w14:paraId="40B78660" w14:textId="77777777" w:rsidR="009807E0" w:rsidRPr="00BC7A5C" w:rsidRDefault="009807E0" w:rsidP="00BC7A5C">
            <w:pPr>
              <w:jc w:val="center"/>
              <w:rPr>
                <w:rFonts w:cs="Arial"/>
                <w:b/>
              </w:rPr>
            </w:pPr>
            <w:r w:rsidRPr="00BC7A5C">
              <w:rPr>
                <w:rFonts w:cs="Arial"/>
                <w:b/>
              </w:rPr>
              <w:t>Total</w:t>
            </w:r>
          </w:p>
        </w:tc>
      </w:tr>
      <w:tr w:rsidR="009807E0" w14:paraId="7359BF35" w14:textId="77777777" w:rsidTr="00BC7A5C">
        <w:trPr>
          <w:trHeight w:val="792"/>
        </w:trPr>
        <w:tc>
          <w:tcPr>
            <w:tcW w:w="1345" w:type="dxa"/>
            <w:vAlign w:val="center"/>
          </w:tcPr>
          <w:p w14:paraId="454C138D" w14:textId="77777777" w:rsidR="009807E0" w:rsidRDefault="009807E0" w:rsidP="00BC7A5C">
            <w:pPr>
              <w:jc w:val="center"/>
              <w:rPr>
                <w:rFonts w:cs="Arial"/>
              </w:rPr>
            </w:pPr>
            <w:r>
              <w:rPr>
                <w:rFonts w:cs="Arial"/>
              </w:rPr>
              <w:t>1 Year</w:t>
            </w:r>
          </w:p>
        </w:tc>
        <w:tc>
          <w:tcPr>
            <w:tcW w:w="1799" w:type="dxa"/>
            <w:vAlign w:val="center"/>
          </w:tcPr>
          <w:p w14:paraId="1296E5F6" w14:textId="77777777" w:rsidR="009807E0" w:rsidRPr="00043689" w:rsidRDefault="009807E0" w:rsidP="00BC7A5C">
            <w:pPr>
              <w:jc w:val="center"/>
            </w:pPr>
            <w:r w:rsidRPr="00043689">
              <w:rPr>
                <w:bCs/>
              </w:rPr>
              <w:t>2,651</w:t>
            </w:r>
          </w:p>
          <w:p w14:paraId="4200CAC2" w14:textId="77777777" w:rsidR="009807E0" w:rsidRPr="00043689" w:rsidRDefault="009807E0" w:rsidP="00BC7A5C">
            <w:pPr>
              <w:jc w:val="center"/>
            </w:pPr>
            <w:r w:rsidRPr="00043689">
              <w:rPr>
                <w:bCs/>
              </w:rPr>
              <w:t>(</w:t>
            </w:r>
            <w:r>
              <w:rPr>
                <w:bCs/>
              </w:rPr>
              <w:t>57.8</w:t>
            </w:r>
            <w:r w:rsidRPr="00043689">
              <w:rPr>
                <w:bCs/>
              </w:rPr>
              <w:t>%)</w:t>
            </w:r>
          </w:p>
        </w:tc>
        <w:tc>
          <w:tcPr>
            <w:tcW w:w="1799" w:type="dxa"/>
            <w:vAlign w:val="center"/>
          </w:tcPr>
          <w:p w14:paraId="336F5DC0" w14:textId="77777777" w:rsidR="009807E0" w:rsidRPr="00043689" w:rsidRDefault="009807E0" w:rsidP="00BC7A5C">
            <w:pPr>
              <w:jc w:val="center"/>
            </w:pPr>
            <w:r w:rsidRPr="00043689">
              <w:rPr>
                <w:bCs/>
              </w:rPr>
              <w:t>1,080</w:t>
            </w:r>
          </w:p>
          <w:p w14:paraId="526C7075" w14:textId="77777777" w:rsidR="009807E0" w:rsidRPr="00043689" w:rsidRDefault="009807E0" w:rsidP="00BC7A5C">
            <w:pPr>
              <w:jc w:val="center"/>
            </w:pPr>
            <w:r w:rsidRPr="00043689">
              <w:rPr>
                <w:bCs/>
              </w:rPr>
              <w:t>(</w:t>
            </w:r>
            <w:r>
              <w:rPr>
                <w:bCs/>
              </w:rPr>
              <w:t>23.5</w:t>
            </w:r>
            <w:r w:rsidRPr="00043689">
              <w:rPr>
                <w:bCs/>
              </w:rPr>
              <w:t>%)</w:t>
            </w:r>
          </w:p>
        </w:tc>
        <w:tc>
          <w:tcPr>
            <w:tcW w:w="1889" w:type="dxa"/>
            <w:vAlign w:val="center"/>
          </w:tcPr>
          <w:p w14:paraId="25230CF3" w14:textId="77777777" w:rsidR="009807E0" w:rsidRPr="00043689" w:rsidRDefault="009807E0" w:rsidP="00BC7A5C">
            <w:pPr>
              <w:jc w:val="center"/>
            </w:pPr>
            <w:r w:rsidRPr="00043689">
              <w:rPr>
                <w:bCs/>
              </w:rPr>
              <w:t>596</w:t>
            </w:r>
          </w:p>
          <w:p w14:paraId="4CB494F4" w14:textId="77777777" w:rsidR="009807E0" w:rsidRPr="00043689" w:rsidRDefault="009807E0" w:rsidP="00BC7A5C">
            <w:pPr>
              <w:jc w:val="center"/>
            </w:pPr>
            <w:r w:rsidRPr="00043689">
              <w:rPr>
                <w:bCs/>
              </w:rPr>
              <w:t>(</w:t>
            </w:r>
            <w:r>
              <w:rPr>
                <w:bCs/>
              </w:rPr>
              <w:t>13.0</w:t>
            </w:r>
            <w:r w:rsidRPr="00043689">
              <w:rPr>
                <w:bCs/>
              </w:rPr>
              <w:t>%)</w:t>
            </w:r>
          </w:p>
        </w:tc>
        <w:tc>
          <w:tcPr>
            <w:tcW w:w="1889" w:type="dxa"/>
            <w:vAlign w:val="center"/>
          </w:tcPr>
          <w:p w14:paraId="46C323D7" w14:textId="77777777" w:rsidR="009807E0" w:rsidRPr="00043689" w:rsidRDefault="009807E0" w:rsidP="00BC7A5C">
            <w:pPr>
              <w:jc w:val="center"/>
            </w:pPr>
            <w:r w:rsidRPr="00043689">
              <w:rPr>
                <w:bCs/>
              </w:rPr>
              <w:t>261</w:t>
            </w:r>
          </w:p>
          <w:p w14:paraId="4742C8B8" w14:textId="77777777" w:rsidR="009807E0" w:rsidRPr="00043689" w:rsidRDefault="009807E0" w:rsidP="00BC7A5C">
            <w:pPr>
              <w:jc w:val="center"/>
            </w:pPr>
            <w:r w:rsidRPr="00043689">
              <w:rPr>
                <w:bCs/>
              </w:rPr>
              <w:t>(</w:t>
            </w:r>
            <w:r>
              <w:rPr>
                <w:bCs/>
              </w:rPr>
              <w:t>5.7</w:t>
            </w:r>
            <w:r w:rsidRPr="00043689">
              <w:rPr>
                <w:bCs/>
              </w:rPr>
              <w:t>%)</w:t>
            </w:r>
          </w:p>
        </w:tc>
        <w:tc>
          <w:tcPr>
            <w:tcW w:w="1084" w:type="dxa"/>
            <w:vAlign w:val="center"/>
          </w:tcPr>
          <w:p w14:paraId="681B1DF9" w14:textId="77777777" w:rsidR="009807E0" w:rsidRPr="00043689" w:rsidRDefault="009807E0" w:rsidP="00BC7A5C">
            <w:pPr>
              <w:jc w:val="center"/>
              <w:rPr>
                <w:rFonts w:cs="Arial"/>
              </w:rPr>
            </w:pPr>
            <w:r>
              <w:rPr>
                <w:bCs/>
              </w:rPr>
              <w:t>4,588</w:t>
            </w:r>
          </w:p>
        </w:tc>
      </w:tr>
      <w:tr w:rsidR="009807E0" w14:paraId="31AC1A57" w14:textId="77777777" w:rsidTr="00BC7A5C">
        <w:trPr>
          <w:trHeight w:val="792"/>
        </w:trPr>
        <w:tc>
          <w:tcPr>
            <w:tcW w:w="1345" w:type="dxa"/>
            <w:vAlign w:val="center"/>
          </w:tcPr>
          <w:p w14:paraId="550947B8" w14:textId="77777777" w:rsidR="009807E0" w:rsidRDefault="009807E0" w:rsidP="00BC7A5C">
            <w:pPr>
              <w:jc w:val="center"/>
              <w:rPr>
                <w:rFonts w:cs="Arial"/>
              </w:rPr>
            </w:pPr>
            <w:r>
              <w:rPr>
                <w:rFonts w:cs="Arial"/>
              </w:rPr>
              <w:t>2 Years</w:t>
            </w:r>
          </w:p>
        </w:tc>
        <w:tc>
          <w:tcPr>
            <w:tcW w:w="1799" w:type="dxa"/>
            <w:vAlign w:val="center"/>
          </w:tcPr>
          <w:p w14:paraId="6011343C" w14:textId="77777777" w:rsidR="009807E0" w:rsidRPr="00043689" w:rsidRDefault="009807E0" w:rsidP="00BC7A5C">
            <w:pPr>
              <w:jc w:val="center"/>
            </w:pPr>
            <w:r w:rsidRPr="00043689">
              <w:t>1,119</w:t>
            </w:r>
          </w:p>
          <w:p w14:paraId="0F0DCC33" w14:textId="77777777" w:rsidR="009807E0" w:rsidRPr="00043689" w:rsidRDefault="009807E0" w:rsidP="00BC7A5C">
            <w:pPr>
              <w:jc w:val="center"/>
            </w:pPr>
            <w:r w:rsidRPr="00043689">
              <w:t>(</w:t>
            </w:r>
            <w:r>
              <w:t>48.8</w:t>
            </w:r>
            <w:r w:rsidRPr="00043689">
              <w:t>%)</w:t>
            </w:r>
          </w:p>
        </w:tc>
        <w:tc>
          <w:tcPr>
            <w:tcW w:w="1799" w:type="dxa"/>
            <w:vAlign w:val="center"/>
          </w:tcPr>
          <w:p w14:paraId="1F5F714F" w14:textId="77777777" w:rsidR="009807E0" w:rsidRPr="00043689" w:rsidRDefault="009807E0" w:rsidP="00BC7A5C">
            <w:pPr>
              <w:jc w:val="center"/>
            </w:pPr>
            <w:r w:rsidRPr="00043689">
              <w:t>610</w:t>
            </w:r>
          </w:p>
          <w:p w14:paraId="2B8AA0B1" w14:textId="77777777" w:rsidR="009807E0" w:rsidRPr="00043689" w:rsidRDefault="009807E0" w:rsidP="00BC7A5C">
            <w:pPr>
              <w:jc w:val="center"/>
            </w:pPr>
            <w:r w:rsidRPr="00043689">
              <w:t>(</w:t>
            </w:r>
            <w:r>
              <w:t>26.6</w:t>
            </w:r>
            <w:r w:rsidRPr="00043689">
              <w:t>%)</w:t>
            </w:r>
          </w:p>
        </w:tc>
        <w:tc>
          <w:tcPr>
            <w:tcW w:w="1889" w:type="dxa"/>
            <w:vAlign w:val="center"/>
          </w:tcPr>
          <w:p w14:paraId="00437A99" w14:textId="77777777" w:rsidR="009807E0" w:rsidRPr="00043689" w:rsidRDefault="009807E0" w:rsidP="00BC7A5C">
            <w:pPr>
              <w:jc w:val="center"/>
            </w:pPr>
            <w:r w:rsidRPr="00043689">
              <w:t>396</w:t>
            </w:r>
          </w:p>
          <w:p w14:paraId="37C30052" w14:textId="77777777" w:rsidR="009807E0" w:rsidRPr="00043689" w:rsidRDefault="009807E0" w:rsidP="00BC7A5C">
            <w:pPr>
              <w:jc w:val="center"/>
            </w:pPr>
            <w:r w:rsidRPr="00043689">
              <w:t>(</w:t>
            </w:r>
            <w:r>
              <w:t>17.3</w:t>
            </w:r>
            <w:r w:rsidRPr="00043689">
              <w:t>%)</w:t>
            </w:r>
          </w:p>
        </w:tc>
        <w:tc>
          <w:tcPr>
            <w:tcW w:w="1889" w:type="dxa"/>
            <w:vAlign w:val="center"/>
          </w:tcPr>
          <w:p w14:paraId="4EF0213B" w14:textId="77777777" w:rsidR="009807E0" w:rsidRPr="00043689" w:rsidRDefault="009807E0" w:rsidP="00BC7A5C">
            <w:pPr>
              <w:jc w:val="center"/>
            </w:pPr>
            <w:r w:rsidRPr="00043689">
              <w:t>170</w:t>
            </w:r>
          </w:p>
          <w:p w14:paraId="6D37BBAF" w14:textId="77777777" w:rsidR="009807E0" w:rsidRPr="00043689" w:rsidRDefault="009807E0" w:rsidP="00BC7A5C">
            <w:pPr>
              <w:jc w:val="center"/>
            </w:pPr>
            <w:r w:rsidRPr="00043689">
              <w:t>(</w:t>
            </w:r>
            <w:r>
              <w:t>7.4</w:t>
            </w:r>
            <w:r w:rsidRPr="00043689">
              <w:t>%)</w:t>
            </w:r>
          </w:p>
        </w:tc>
        <w:tc>
          <w:tcPr>
            <w:tcW w:w="1084" w:type="dxa"/>
            <w:vAlign w:val="center"/>
          </w:tcPr>
          <w:p w14:paraId="0E280DF5" w14:textId="77777777" w:rsidR="009807E0" w:rsidRPr="00043689" w:rsidRDefault="009807E0" w:rsidP="00BC7A5C">
            <w:pPr>
              <w:jc w:val="center"/>
            </w:pPr>
            <w:r>
              <w:t>2,295</w:t>
            </w:r>
          </w:p>
        </w:tc>
      </w:tr>
      <w:tr w:rsidR="009807E0" w14:paraId="1DB5246C" w14:textId="77777777" w:rsidTr="00BC7A5C">
        <w:trPr>
          <w:trHeight w:val="792"/>
        </w:trPr>
        <w:tc>
          <w:tcPr>
            <w:tcW w:w="1345" w:type="dxa"/>
            <w:vAlign w:val="center"/>
          </w:tcPr>
          <w:p w14:paraId="327B4722" w14:textId="77777777" w:rsidR="009807E0" w:rsidRDefault="009807E0" w:rsidP="00BC7A5C">
            <w:pPr>
              <w:jc w:val="center"/>
              <w:rPr>
                <w:rFonts w:cs="Arial"/>
              </w:rPr>
            </w:pPr>
            <w:r>
              <w:rPr>
                <w:rFonts w:cs="Arial"/>
              </w:rPr>
              <w:t>3 Years</w:t>
            </w:r>
          </w:p>
        </w:tc>
        <w:tc>
          <w:tcPr>
            <w:tcW w:w="1799" w:type="dxa"/>
            <w:vAlign w:val="center"/>
          </w:tcPr>
          <w:p w14:paraId="3E64C0CA" w14:textId="77777777" w:rsidR="009807E0" w:rsidRPr="00043689" w:rsidRDefault="009807E0" w:rsidP="00BC7A5C">
            <w:pPr>
              <w:jc w:val="center"/>
            </w:pPr>
            <w:r w:rsidRPr="00043689">
              <w:t>541</w:t>
            </w:r>
          </w:p>
          <w:p w14:paraId="3A44CC44" w14:textId="77777777" w:rsidR="009807E0" w:rsidRPr="00043689" w:rsidRDefault="009807E0" w:rsidP="00BC7A5C">
            <w:pPr>
              <w:jc w:val="center"/>
            </w:pPr>
            <w:r w:rsidRPr="00043689">
              <w:t>(</w:t>
            </w:r>
            <w:r>
              <w:t>46.5</w:t>
            </w:r>
            <w:r w:rsidRPr="00043689">
              <w:t>%)</w:t>
            </w:r>
          </w:p>
        </w:tc>
        <w:tc>
          <w:tcPr>
            <w:tcW w:w="1799" w:type="dxa"/>
            <w:vAlign w:val="center"/>
          </w:tcPr>
          <w:p w14:paraId="7C5D2018" w14:textId="77777777" w:rsidR="009807E0" w:rsidRPr="00043689" w:rsidRDefault="009807E0" w:rsidP="00BC7A5C">
            <w:pPr>
              <w:jc w:val="center"/>
            </w:pPr>
            <w:r w:rsidRPr="00043689">
              <w:t>283</w:t>
            </w:r>
          </w:p>
          <w:p w14:paraId="1BA53F4B" w14:textId="77777777" w:rsidR="009807E0" w:rsidRPr="00043689" w:rsidRDefault="009807E0" w:rsidP="00BC7A5C">
            <w:pPr>
              <w:jc w:val="center"/>
            </w:pPr>
            <w:r w:rsidRPr="00043689">
              <w:t>(</w:t>
            </w:r>
            <w:r>
              <w:t>24.3</w:t>
            </w:r>
            <w:r w:rsidRPr="00043689">
              <w:t>%)</w:t>
            </w:r>
          </w:p>
        </w:tc>
        <w:tc>
          <w:tcPr>
            <w:tcW w:w="1889" w:type="dxa"/>
            <w:vAlign w:val="center"/>
          </w:tcPr>
          <w:p w14:paraId="2D79DC6A" w14:textId="77777777" w:rsidR="009807E0" w:rsidRPr="00043689" w:rsidRDefault="009807E0" w:rsidP="00BC7A5C">
            <w:pPr>
              <w:jc w:val="center"/>
            </w:pPr>
            <w:r w:rsidRPr="00043689">
              <w:t>229</w:t>
            </w:r>
          </w:p>
          <w:p w14:paraId="3709A2E1" w14:textId="77777777" w:rsidR="009807E0" w:rsidRPr="00043689" w:rsidRDefault="009807E0" w:rsidP="00BC7A5C">
            <w:pPr>
              <w:jc w:val="center"/>
            </w:pPr>
            <w:r>
              <w:t>(19.7</w:t>
            </w:r>
            <w:r w:rsidRPr="00043689">
              <w:t>%)</w:t>
            </w:r>
          </w:p>
        </w:tc>
        <w:tc>
          <w:tcPr>
            <w:tcW w:w="1889" w:type="dxa"/>
            <w:vAlign w:val="center"/>
          </w:tcPr>
          <w:p w14:paraId="07BA5973" w14:textId="77777777" w:rsidR="009807E0" w:rsidRPr="00043689" w:rsidRDefault="009807E0" w:rsidP="00BC7A5C">
            <w:pPr>
              <w:jc w:val="center"/>
            </w:pPr>
            <w:r w:rsidRPr="00043689">
              <w:t>111</w:t>
            </w:r>
          </w:p>
          <w:p w14:paraId="13063DBD" w14:textId="77777777" w:rsidR="009807E0" w:rsidRPr="00043689" w:rsidRDefault="009807E0" w:rsidP="00BC7A5C">
            <w:pPr>
              <w:jc w:val="center"/>
            </w:pPr>
            <w:r w:rsidRPr="00043689">
              <w:t>(</w:t>
            </w:r>
            <w:r>
              <w:t>9.5</w:t>
            </w:r>
            <w:r w:rsidRPr="00043689">
              <w:t>%)</w:t>
            </w:r>
          </w:p>
        </w:tc>
        <w:tc>
          <w:tcPr>
            <w:tcW w:w="1084" w:type="dxa"/>
            <w:vAlign w:val="center"/>
          </w:tcPr>
          <w:p w14:paraId="717B2E89" w14:textId="77777777" w:rsidR="009807E0" w:rsidRPr="00043689" w:rsidRDefault="009807E0" w:rsidP="00BC7A5C">
            <w:pPr>
              <w:jc w:val="center"/>
            </w:pPr>
            <w:r>
              <w:t>1,164</w:t>
            </w:r>
          </w:p>
        </w:tc>
      </w:tr>
      <w:tr w:rsidR="009807E0" w14:paraId="600E82E6" w14:textId="77777777" w:rsidTr="00BC7A5C">
        <w:trPr>
          <w:trHeight w:val="792"/>
        </w:trPr>
        <w:tc>
          <w:tcPr>
            <w:tcW w:w="1345" w:type="dxa"/>
            <w:vAlign w:val="center"/>
          </w:tcPr>
          <w:p w14:paraId="49431761" w14:textId="77777777" w:rsidR="009807E0" w:rsidRDefault="009807E0" w:rsidP="00BC7A5C">
            <w:pPr>
              <w:jc w:val="center"/>
              <w:rPr>
                <w:rFonts w:cs="Arial"/>
              </w:rPr>
            </w:pPr>
            <w:r>
              <w:rPr>
                <w:rFonts w:cs="Arial"/>
              </w:rPr>
              <w:t>4 Years</w:t>
            </w:r>
          </w:p>
        </w:tc>
        <w:tc>
          <w:tcPr>
            <w:tcW w:w="1799" w:type="dxa"/>
            <w:vAlign w:val="center"/>
          </w:tcPr>
          <w:p w14:paraId="2DE4BD68" w14:textId="77777777" w:rsidR="009807E0" w:rsidRPr="00043689" w:rsidRDefault="009807E0" w:rsidP="00BC7A5C">
            <w:pPr>
              <w:jc w:val="center"/>
            </w:pPr>
            <w:r w:rsidRPr="00043689">
              <w:t>496</w:t>
            </w:r>
          </w:p>
          <w:p w14:paraId="3B42F81A" w14:textId="77777777" w:rsidR="009807E0" w:rsidRPr="00043689" w:rsidRDefault="009807E0" w:rsidP="00BC7A5C">
            <w:pPr>
              <w:jc w:val="center"/>
            </w:pPr>
            <w:r w:rsidRPr="00043689">
              <w:t>(</w:t>
            </w:r>
            <w:r>
              <w:t>36.7</w:t>
            </w:r>
            <w:r w:rsidRPr="00043689">
              <w:t>%)</w:t>
            </w:r>
          </w:p>
        </w:tc>
        <w:tc>
          <w:tcPr>
            <w:tcW w:w="1799" w:type="dxa"/>
            <w:vAlign w:val="center"/>
          </w:tcPr>
          <w:p w14:paraId="1334D590" w14:textId="77777777" w:rsidR="009807E0" w:rsidRPr="00043689" w:rsidRDefault="009807E0" w:rsidP="00BC7A5C">
            <w:pPr>
              <w:jc w:val="center"/>
            </w:pPr>
            <w:r w:rsidRPr="00043689">
              <w:t>386</w:t>
            </w:r>
          </w:p>
          <w:p w14:paraId="6CF1C02A" w14:textId="77777777" w:rsidR="009807E0" w:rsidRPr="00043689" w:rsidRDefault="009807E0" w:rsidP="00BC7A5C">
            <w:pPr>
              <w:jc w:val="center"/>
            </w:pPr>
            <w:r w:rsidRPr="00043689">
              <w:t>(</w:t>
            </w:r>
            <w:r>
              <w:t>28.6</w:t>
            </w:r>
            <w:r w:rsidRPr="00043689">
              <w:t>%)</w:t>
            </w:r>
          </w:p>
        </w:tc>
        <w:tc>
          <w:tcPr>
            <w:tcW w:w="1889" w:type="dxa"/>
            <w:vAlign w:val="center"/>
          </w:tcPr>
          <w:p w14:paraId="1165F6B5" w14:textId="77777777" w:rsidR="009807E0" w:rsidRPr="00043689" w:rsidRDefault="009807E0" w:rsidP="00BC7A5C">
            <w:pPr>
              <w:jc w:val="center"/>
            </w:pPr>
            <w:r w:rsidRPr="00043689">
              <w:t>301</w:t>
            </w:r>
          </w:p>
          <w:p w14:paraId="0FB64384" w14:textId="77777777" w:rsidR="009807E0" w:rsidRPr="00043689" w:rsidRDefault="009807E0" w:rsidP="00BC7A5C">
            <w:pPr>
              <w:jc w:val="center"/>
            </w:pPr>
            <w:r w:rsidRPr="00043689">
              <w:t>(</w:t>
            </w:r>
            <w:r>
              <w:t>22.3</w:t>
            </w:r>
            <w:r w:rsidRPr="00043689">
              <w:t>%)</w:t>
            </w:r>
          </w:p>
        </w:tc>
        <w:tc>
          <w:tcPr>
            <w:tcW w:w="1889" w:type="dxa"/>
            <w:vAlign w:val="center"/>
          </w:tcPr>
          <w:p w14:paraId="5E48D68C" w14:textId="77777777" w:rsidR="009807E0" w:rsidRPr="00043689" w:rsidRDefault="009807E0" w:rsidP="00BC7A5C">
            <w:pPr>
              <w:jc w:val="center"/>
            </w:pPr>
            <w:r w:rsidRPr="00043689">
              <w:t>169</w:t>
            </w:r>
          </w:p>
          <w:p w14:paraId="2B5BB085" w14:textId="77777777" w:rsidR="009807E0" w:rsidRPr="00043689" w:rsidRDefault="009807E0" w:rsidP="00BC7A5C">
            <w:pPr>
              <w:jc w:val="center"/>
            </w:pPr>
            <w:r w:rsidRPr="00043689">
              <w:t>(</w:t>
            </w:r>
            <w:r>
              <w:t>12.5</w:t>
            </w:r>
            <w:r w:rsidRPr="00043689">
              <w:t>%)</w:t>
            </w:r>
          </w:p>
        </w:tc>
        <w:tc>
          <w:tcPr>
            <w:tcW w:w="1084" w:type="dxa"/>
            <w:vAlign w:val="center"/>
          </w:tcPr>
          <w:p w14:paraId="778FBB39" w14:textId="77777777" w:rsidR="009807E0" w:rsidRPr="00043689" w:rsidRDefault="009807E0" w:rsidP="00BC7A5C">
            <w:pPr>
              <w:jc w:val="center"/>
            </w:pPr>
            <w:r w:rsidRPr="00043689">
              <w:t>1,3</w:t>
            </w:r>
            <w:r>
              <w:t>52</w:t>
            </w:r>
          </w:p>
        </w:tc>
      </w:tr>
    </w:tbl>
    <w:p w14:paraId="19EE01E5" w14:textId="6C7017DF" w:rsidR="009807E0" w:rsidRPr="00D919D9" w:rsidRDefault="009807E0" w:rsidP="00BC7A5C">
      <w:pPr>
        <w:pStyle w:val="Heading4"/>
        <w:spacing w:before="240" w:after="240"/>
        <w:rPr>
          <w:rFonts w:ascii="Arial" w:hAnsi="Arial" w:cs="Arial"/>
          <w:b/>
          <w:i w:val="0"/>
          <w:color w:val="auto"/>
        </w:rPr>
      </w:pPr>
      <w:r w:rsidRPr="00D919D9">
        <w:rPr>
          <w:rFonts w:ascii="Arial" w:hAnsi="Arial" w:cs="Arial"/>
          <w:b/>
          <w:i w:val="0"/>
          <w:color w:val="auto"/>
        </w:rPr>
        <w:t>Proposed Placement Criteria</w:t>
      </w:r>
      <w:r>
        <w:rPr>
          <w:rFonts w:ascii="Arial" w:hAnsi="Arial" w:cs="Arial"/>
          <w:b/>
          <w:i w:val="0"/>
          <w:color w:val="auto"/>
        </w:rPr>
        <w:t xml:space="preserve"> for the ROTC</w:t>
      </w:r>
    </w:p>
    <w:p w14:paraId="6C334543" w14:textId="2BC15863" w:rsidR="00F50B38" w:rsidRDefault="00340762" w:rsidP="00F33084">
      <w:pPr>
        <w:spacing w:after="240"/>
        <w:rPr>
          <w:rFonts w:cs="Arial"/>
        </w:rPr>
      </w:pPr>
      <w:r>
        <w:rPr>
          <w:rFonts w:cs="Arial"/>
        </w:rPr>
        <w:t xml:space="preserve">The data suggest that years of ROTC completion are correlated with higher performance on the Smarter Balanced Summative Assessments. </w:t>
      </w:r>
      <w:r w:rsidR="00F50B38">
        <w:rPr>
          <w:rFonts w:cs="Arial"/>
        </w:rPr>
        <w:t xml:space="preserve">Therefore, the CCI Work Group recommended that the following </w:t>
      </w:r>
      <w:r w:rsidR="00F50B38" w:rsidRPr="00CA64F8">
        <w:rPr>
          <w:rFonts w:cs="Arial"/>
        </w:rPr>
        <w:t>placement criteria be applied for this measure:</w:t>
      </w:r>
    </w:p>
    <w:p w14:paraId="05F51DDE" w14:textId="232273ED" w:rsidR="00F50B38" w:rsidRPr="00CA64F8" w:rsidRDefault="00BC7A5C" w:rsidP="00BC7A5C">
      <w:pPr>
        <w:pStyle w:val="ListParagraph"/>
        <w:numPr>
          <w:ilvl w:val="0"/>
          <w:numId w:val="13"/>
        </w:numPr>
        <w:spacing w:after="240"/>
        <w:ind w:left="720"/>
        <w:rPr>
          <w:rFonts w:ascii="Arial" w:hAnsi="Arial" w:cs="Arial"/>
          <w:sz w:val="24"/>
          <w:szCs w:val="24"/>
        </w:rPr>
      </w:pPr>
      <w:r>
        <w:rPr>
          <w:rFonts w:ascii="Arial" w:hAnsi="Arial" w:cs="Arial"/>
          <w:b/>
          <w:sz w:val="24"/>
          <w:szCs w:val="24"/>
        </w:rPr>
        <w:lastRenderedPageBreak/>
        <w:t>“</w:t>
      </w:r>
      <w:r w:rsidR="00F50B38" w:rsidRPr="00CA64F8">
        <w:rPr>
          <w:rFonts w:ascii="Arial" w:hAnsi="Arial" w:cs="Arial"/>
          <w:b/>
          <w:sz w:val="24"/>
          <w:szCs w:val="24"/>
        </w:rPr>
        <w:t>Prepared</w:t>
      </w:r>
      <w:r>
        <w:rPr>
          <w:rFonts w:ascii="Arial" w:hAnsi="Arial" w:cs="Arial"/>
          <w:b/>
          <w:sz w:val="24"/>
          <w:szCs w:val="24"/>
        </w:rPr>
        <w:t>”</w:t>
      </w:r>
      <w:r w:rsidR="00F50B38" w:rsidRPr="00CA64F8">
        <w:rPr>
          <w:rFonts w:ascii="Arial" w:hAnsi="Arial" w:cs="Arial"/>
          <w:b/>
          <w:sz w:val="24"/>
          <w:szCs w:val="24"/>
        </w:rPr>
        <w:t xml:space="preserve"> Level</w:t>
      </w:r>
      <w:r w:rsidR="00F50B38" w:rsidRPr="00CA64F8">
        <w:rPr>
          <w:rFonts w:ascii="Arial" w:hAnsi="Arial" w:cs="Arial"/>
          <w:sz w:val="24"/>
          <w:szCs w:val="24"/>
        </w:rPr>
        <w:t>: Student completes at least 2 years of ROTC and scores:</w:t>
      </w:r>
    </w:p>
    <w:p w14:paraId="2787914F" w14:textId="77777777" w:rsidR="00F50B38" w:rsidRPr="00CA64F8" w:rsidRDefault="00F50B38" w:rsidP="00BC7A5C">
      <w:pPr>
        <w:pStyle w:val="ListParagraph"/>
        <w:numPr>
          <w:ilvl w:val="1"/>
          <w:numId w:val="13"/>
        </w:numPr>
        <w:spacing w:after="240"/>
        <w:ind w:left="1440"/>
        <w:rPr>
          <w:rFonts w:ascii="Arial" w:hAnsi="Arial" w:cs="Arial"/>
          <w:sz w:val="24"/>
          <w:szCs w:val="24"/>
        </w:rPr>
      </w:pPr>
      <w:r w:rsidRPr="00CA64F8">
        <w:rPr>
          <w:rFonts w:ascii="Arial" w:hAnsi="Arial" w:cs="Arial"/>
          <w:sz w:val="24"/>
          <w:szCs w:val="24"/>
        </w:rPr>
        <w:t>At least “Standard Met” in ELA or math, and</w:t>
      </w:r>
      <w:r w:rsidRPr="00CA64F8">
        <w:rPr>
          <w:rFonts w:ascii="Arial" w:hAnsi="Arial" w:cs="Arial"/>
          <w:b/>
          <w:sz w:val="24"/>
          <w:szCs w:val="24"/>
        </w:rPr>
        <w:t xml:space="preserve"> </w:t>
      </w:r>
    </w:p>
    <w:p w14:paraId="16DE5E5E" w14:textId="77777777" w:rsidR="00F50B38" w:rsidRPr="00CA64F8" w:rsidRDefault="00F50B38" w:rsidP="00BC7A5C">
      <w:pPr>
        <w:pStyle w:val="ListParagraph"/>
        <w:numPr>
          <w:ilvl w:val="1"/>
          <w:numId w:val="13"/>
        </w:numPr>
        <w:spacing w:after="240"/>
        <w:ind w:left="1440"/>
        <w:rPr>
          <w:rFonts w:ascii="Arial" w:hAnsi="Arial" w:cs="Arial"/>
          <w:sz w:val="24"/>
          <w:szCs w:val="24"/>
        </w:rPr>
      </w:pPr>
      <w:r w:rsidRPr="00CA64F8">
        <w:rPr>
          <w:rFonts w:ascii="Arial" w:hAnsi="Arial" w:cs="Arial"/>
          <w:sz w:val="24"/>
          <w:szCs w:val="24"/>
        </w:rPr>
        <w:t>At least “Standard Nearly Met” in the other subject area</w:t>
      </w:r>
    </w:p>
    <w:p w14:paraId="2E776D06" w14:textId="64EBB98C" w:rsidR="00F50B38" w:rsidRPr="00CA64F8" w:rsidRDefault="00BC7A5C" w:rsidP="00D45E70">
      <w:pPr>
        <w:pStyle w:val="ListParagraph"/>
        <w:numPr>
          <w:ilvl w:val="0"/>
          <w:numId w:val="13"/>
        </w:numPr>
        <w:spacing w:after="240"/>
        <w:rPr>
          <w:rFonts w:ascii="Arial" w:hAnsi="Arial" w:cs="Arial"/>
          <w:sz w:val="24"/>
          <w:szCs w:val="24"/>
        </w:rPr>
      </w:pPr>
      <w:r>
        <w:rPr>
          <w:rFonts w:ascii="Arial" w:hAnsi="Arial" w:cs="Arial"/>
          <w:b/>
          <w:sz w:val="24"/>
          <w:szCs w:val="24"/>
        </w:rPr>
        <w:t>“</w:t>
      </w:r>
      <w:r w:rsidR="00F50B38" w:rsidRPr="00CA64F8">
        <w:rPr>
          <w:rFonts w:ascii="Arial" w:hAnsi="Arial" w:cs="Arial"/>
          <w:b/>
          <w:sz w:val="24"/>
          <w:szCs w:val="24"/>
        </w:rPr>
        <w:t>Approaching Prepared</w:t>
      </w:r>
      <w:r>
        <w:rPr>
          <w:rFonts w:ascii="Arial" w:hAnsi="Arial" w:cs="Arial"/>
          <w:b/>
          <w:sz w:val="24"/>
          <w:szCs w:val="24"/>
        </w:rPr>
        <w:t>” Level</w:t>
      </w:r>
      <w:r w:rsidR="00F50B38" w:rsidRPr="00CA64F8">
        <w:rPr>
          <w:rFonts w:ascii="Arial" w:hAnsi="Arial" w:cs="Arial"/>
          <w:sz w:val="24"/>
          <w:szCs w:val="24"/>
        </w:rPr>
        <w:t>: Student completed at least 2 years of ROTC</w:t>
      </w:r>
    </w:p>
    <w:p w14:paraId="369E5187" w14:textId="77777777" w:rsidR="00F50B38" w:rsidRPr="00DF228C" w:rsidRDefault="00F50B38" w:rsidP="009360F1">
      <w:pPr>
        <w:spacing w:after="240"/>
        <w:rPr>
          <w:rFonts w:cs="Arial"/>
        </w:rPr>
      </w:pPr>
      <w:r>
        <w:rPr>
          <w:rFonts w:cs="Arial"/>
        </w:rPr>
        <w:t>Based on the proposed placement criteria for this measure:</w:t>
      </w:r>
    </w:p>
    <w:p w14:paraId="065598A3" w14:textId="4E0F32DE" w:rsidR="00BA55E6" w:rsidRPr="006F712F" w:rsidRDefault="00F50B38" w:rsidP="00E53BC6">
      <w:pPr>
        <w:pStyle w:val="ListParagraph"/>
        <w:numPr>
          <w:ilvl w:val="0"/>
          <w:numId w:val="16"/>
        </w:numPr>
        <w:spacing w:after="240"/>
        <w:rPr>
          <w:rFonts w:ascii="Arial" w:hAnsi="Arial" w:cs="Arial"/>
          <w:sz w:val="24"/>
          <w:szCs w:val="24"/>
        </w:rPr>
      </w:pPr>
      <w:r w:rsidRPr="006F712F">
        <w:rPr>
          <w:rFonts w:ascii="Arial" w:hAnsi="Arial" w:cs="Arial"/>
          <w:sz w:val="24"/>
          <w:szCs w:val="24"/>
        </w:rPr>
        <w:t>2,236 students (0.5</w:t>
      </w:r>
      <w:r w:rsidR="006625C2" w:rsidRPr="006F712F">
        <w:rPr>
          <w:rFonts w:ascii="Arial" w:hAnsi="Arial" w:cs="Arial"/>
          <w:sz w:val="24"/>
          <w:szCs w:val="24"/>
        </w:rPr>
        <w:t xml:space="preserve"> percent</w:t>
      </w:r>
      <w:r w:rsidRPr="006F712F">
        <w:rPr>
          <w:rFonts w:ascii="Arial" w:hAnsi="Arial" w:cs="Arial"/>
          <w:sz w:val="24"/>
          <w:szCs w:val="24"/>
        </w:rPr>
        <w:t xml:space="preserve">) in the Class of 2017 would earn the </w:t>
      </w:r>
      <w:r w:rsidR="006F712F">
        <w:rPr>
          <w:rFonts w:ascii="Arial" w:hAnsi="Arial" w:cs="Arial"/>
          <w:sz w:val="24"/>
          <w:szCs w:val="24"/>
        </w:rPr>
        <w:t>“</w:t>
      </w:r>
      <w:r w:rsidRPr="006F712F">
        <w:rPr>
          <w:rFonts w:ascii="Arial" w:hAnsi="Arial" w:cs="Arial"/>
          <w:sz w:val="24"/>
          <w:szCs w:val="24"/>
        </w:rPr>
        <w:t>Prepared</w:t>
      </w:r>
      <w:r w:rsidR="006F712F">
        <w:rPr>
          <w:rFonts w:ascii="Arial" w:hAnsi="Arial" w:cs="Arial"/>
          <w:sz w:val="24"/>
          <w:szCs w:val="24"/>
        </w:rPr>
        <w:t>”</w:t>
      </w:r>
      <w:r w:rsidRPr="006F712F">
        <w:rPr>
          <w:rFonts w:ascii="Arial" w:hAnsi="Arial" w:cs="Arial"/>
          <w:sz w:val="24"/>
          <w:szCs w:val="24"/>
        </w:rPr>
        <w:t xml:space="preserve"> level on the CCI, and</w:t>
      </w:r>
    </w:p>
    <w:p w14:paraId="6E208C7E" w14:textId="1CC26E7A" w:rsidR="00F50B38" w:rsidRPr="009C6096" w:rsidRDefault="00F50B38" w:rsidP="00D45E70">
      <w:pPr>
        <w:pStyle w:val="ListParagraph"/>
        <w:numPr>
          <w:ilvl w:val="0"/>
          <w:numId w:val="16"/>
        </w:numPr>
        <w:spacing w:after="240"/>
        <w:rPr>
          <w:rFonts w:ascii="Arial" w:hAnsi="Arial" w:cs="Arial"/>
          <w:sz w:val="24"/>
          <w:szCs w:val="24"/>
        </w:rPr>
      </w:pPr>
      <w:r w:rsidRPr="009C6096">
        <w:rPr>
          <w:rFonts w:ascii="Arial" w:hAnsi="Arial" w:cs="Arial"/>
          <w:sz w:val="24"/>
          <w:szCs w:val="24"/>
        </w:rPr>
        <w:t>2,601 students (0.5</w:t>
      </w:r>
      <w:r w:rsidR="006625C2">
        <w:rPr>
          <w:rFonts w:ascii="Arial" w:hAnsi="Arial" w:cs="Arial"/>
          <w:sz w:val="24"/>
          <w:szCs w:val="24"/>
        </w:rPr>
        <w:t xml:space="preserve"> percent</w:t>
      </w:r>
      <w:r w:rsidRPr="009C6096">
        <w:rPr>
          <w:rFonts w:ascii="Arial" w:hAnsi="Arial" w:cs="Arial"/>
          <w:sz w:val="24"/>
          <w:szCs w:val="24"/>
        </w:rPr>
        <w:t xml:space="preserve">) in the Class of 2017 would earn the </w:t>
      </w:r>
      <w:r w:rsidR="006F712F">
        <w:rPr>
          <w:rFonts w:ascii="Arial" w:hAnsi="Arial" w:cs="Arial"/>
          <w:sz w:val="24"/>
          <w:szCs w:val="24"/>
        </w:rPr>
        <w:t>“</w:t>
      </w:r>
      <w:r w:rsidRPr="009C6096">
        <w:rPr>
          <w:rFonts w:ascii="Arial" w:hAnsi="Arial" w:cs="Arial"/>
          <w:sz w:val="24"/>
          <w:szCs w:val="24"/>
        </w:rPr>
        <w:t>Approaching Prepared level</w:t>
      </w:r>
      <w:r w:rsidR="006F712F">
        <w:rPr>
          <w:rFonts w:ascii="Arial" w:hAnsi="Arial" w:cs="Arial"/>
          <w:sz w:val="24"/>
          <w:szCs w:val="24"/>
        </w:rPr>
        <w:t>”</w:t>
      </w:r>
      <w:r w:rsidRPr="009C6096">
        <w:rPr>
          <w:rFonts w:ascii="Arial" w:hAnsi="Arial" w:cs="Arial"/>
          <w:sz w:val="24"/>
          <w:szCs w:val="24"/>
        </w:rPr>
        <w:t xml:space="preserve"> on the CCI</w:t>
      </w:r>
    </w:p>
    <w:p w14:paraId="64390B45" w14:textId="77777777" w:rsidR="009807E0" w:rsidRPr="00D919D9" w:rsidRDefault="009807E0" w:rsidP="009360F1">
      <w:pPr>
        <w:pStyle w:val="Heading4"/>
        <w:spacing w:before="0" w:after="240"/>
        <w:rPr>
          <w:rFonts w:ascii="Arial" w:hAnsi="Arial" w:cs="Arial"/>
          <w:b/>
          <w:i w:val="0"/>
          <w:color w:val="auto"/>
        </w:rPr>
      </w:pPr>
      <w:r>
        <w:rPr>
          <w:rFonts w:ascii="Arial" w:hAnsi="Arial" w:cs="Arial"/>
          <w:b/>
          <w:i w:val="0"/>
          <w:color w:val="auto"/>
        </w:rPr>
        <w:t xml:space="preserve">Stakeholder Feedback </w:t>
      </w:r>
    </w:p>
    <w:p w14:paraId="7B723C31" w14:textId="77777777" w:rsidR="009807E0" w:rsidRDefault="009807E0" w:rsidP="009360F1">
      <w:pPr>
        <w:spacing w:after="240" w:line="259" w:lineRule="auto"/>
        <w:rPr>
          <w:rFonts w:cs="Arial"/>
        </w:rPr>
      </w:pPr>
      <w:r>
        <w:rPr>
          <w:rFonts w:cs="Arial"/>
        </w:rPr>
        <w:t>This information was shared with the Task Force, the LCFF Stakeholder Group, CPAG and TDG. Their feedback appears below:</w:t>
      </w:r>
    </w:p>
    <w:p w14:paraId="43B842DE" w14:textId="77777777" w:rsidR="009807E0" w:rsidRDefault="00F50B38" w:rsidP="00D45E70">
      <w:pPr>
        <w:pStyle w:val="ListParagraph"/>
        <w:numPr>
          <w:ilvl w:val="0"/>
          <w:numId w:val="19"/>
        </w:numPr>
        <w:spacing w:after="240"/>
        <w:rPr>
          <w:rFonts w:ascii="Arial" w:hAnsi="Arial" w:cs="Arial"/>
          <w:sz w:val="24"/>
          <w:szCs w:val="24"/>
        </w:rPr>
      </w:pPr>
      <w:r w:rsidRPr="009807E0">
        <w:rPr>
          <w:rFonts w:ascii="Arial" w:hAnsi="Arial" w:cs="Arial"/>
          <w:sz w:val="24"/>
          <w:szCs w:val="24"/>
        </w:rPr>
        <w:t xml:space="preserve">The Task Force supported the proposed criteria and the inclusion of the ROTC. </w:t>
      </w:r>
    </w:p>
    <w:p w14:paraId="55DBA3A5" w14:textId="1FA99AD7" w:rsidR="009807E0" w:rsidRPr="006F712F" w:rsidRDefault="00F50B38" w:rsidP="00E53BC6">
      <w:pPr>
        <w:pStyle w:val="ListParagraph"/>
        <w:numPr>
          <w:ilvl w:val="0"/>
          <w:numId w:val="19"/>
        </w:numPr>
        <w:spacing w:after="240"/>
        <w:rPr>
          <w:rFonts w:ascii="Arial" w:hAnsi="Arial" w:cs="Arial"/>
          <w:sz w:val="24"/>
          <w:szCs w:val="24"/>
        </w:rPr>
      </w:pPr>
      <w:r w:rsidRPr="006F712F">
        <w:rPr>
          <w:rFonts w:ascii="Arial" w:hAnsi="Arial" w:cs="Arial"/>
          <w:sz w:val="24"/>
          <w:szCs w:val="24"/>
        </w:rPr>
        <w:t>CPAG members were not familiar enough with the ROTC program to provide feedback.</w:t>
      </w:r>
    </w:p>
    <w:p w14:paraId="240E51E2" w14:textId="49F96BA9" w:rsidR="00F50B38" w:rsidRPr="00A36D03" w:rsidRDefault="00F50B38" w:rsidP="00D45E70">
      <w:pPr>
        <w:pStyle w:val="ListParagraph"/>
        <w:numPr>
          <w:ilvl w:val="0"/>
          <w:numId w:val="19"/>
        </w:numPr>
        <w:spacing w:after="240"/>
        <w:rPr>
          <w:rFonts w:cs="Arial"/>
        </w:rPr>
      </w:pPr>
      <w:r w:rsidRPr="00A36D03">
        <w:rPr>
          <w:rFonts w:ascii="Arial" w:hAnsi="Arial" w:cs="Arial"/>
          <w:sz w:val="24"/>
          <w:szCs w:val="24"/>
        </w:rPr>
        <w:t xml:space="preserve">The TDG </w:t>
      </w:r>
      <w:r w:rsidR="00A36D03" w:rsidRPr="00A36D03">
        <w:rPr>
          <w:rFonts w:ascii="Arial" w:hAnsi="Arial" w:cs="Arial"/>
          <w:sz w:val="24"/>
          <w:szCs w:val="24"/>
        </w:rPr>
        <w:t>su</w:t>
      </w:r>
      <w:r w:rsidR="00A36D03" w:rsidRPr="009807E0">
        <w:rPr>
          <w:rFonts w:ascii="Arial" w:hAnsi="Arial" w:cs="Arial"/>
          <w:sz w:val="24"/>
          <w:szCs w:val="24"/>
        </w:rPr>
        <w:t>pported the proposed criteria and the inclusion of the ROTC</w:t>
      </w:r>
      <w:r w:rsidR="000A76C7">
        <w:rPr>
          <w:rFonts w:ascii="Arial" w:hAnsi="Arial" w:cs="Arial"/>
          <w:sz w:val="24"/>
          <w:szCs w:val="24"/>
        </w:rPr>
        <w:t xml:space="preserve"> in the CCI</w:t>
      </w:r>
      <w:r w:rsidR="00A36D03">
        <w:rPr>
          <w:rFonts w:ascii="Arial" w:hAnsi="Arial" w:cs="Arial"/>
          <w:sz w:val="24"/>
          <w:szCs w:val="24"/>
        </w:rPr>
        <w:t>.</w:t>
      </w:r>
    </w:p>
    <w:p w14:paraId="29B607D9" w14:textId="0DDF7E0F" w:rsidR="009807E0" w:rsidRPr="00BA55E6" w:rsidRDefault="009807E0" w:rsidP="009360F1">
      <w:pPr>
        <w:pStyle w:val="Heading3"/>
        <w:spacing w:before="0" w:after="240"/>
        <w:rPr>
          <w:rFonts w:ascii="Arial" w:hAnsi="Arial" w:cs="Arial"/>
          <w:b/>
          <w:color w:val="auto"/>
          <w:sz w:val="28"/>
          <w:szCs w:val="28"/>
        </w:rPr>
      </w:pPr>
      <w:r w:rsidRPr="00BA55E6">
        <w:rPr>
          <w:rFonts w:ascii="Arial" w:hAnsi="Arial" w:cs="Arial"/>
          <w:b/>
          <w:color w:val="auto"/>
          <w:sz w:val="28"/>
          <w:szCs w:val="28"/>
        </w:rPr>
        <w:t>Articulated CTE Courses</w:t>
      </w:r>
    </w:p>
    <w:p w14:paraId="235CCBA3" w14:textId="212DC6A7" w:rsidR="004B026D" w:rsidRDefault="004B026D" w:rsidP="009360F1">
      <w:pPr>
        <w:spacing w:after="240"/>
      </w:pPr>
      <w:r>
        <w:t>In order to determine whether CTE</w:t>
      </w:r>
      <w:r w:rsidR="005D39E9">
        <w:t xml:space="preserve"> pathways with articulated</w:t>
      </w:r>
      <w:r>
        <w:t xml:space="preserve"> courses are more rigorous than </w:t>
      </w:r>
      <w:r w:rsidR="005D39E9">
        <w:t xml:space="preserve">CTE pathway with no </w:t>
      </w:r>
      <w:r>
        <w:t>articulated courses, comparisons with Smarter Balanced performance w</w:t>
      </w:r>
      <w:r w:rsidR="006F712F">
        <w:t>ere made for both sets of data.</w:t>
      </w:r>
    </w:p>
    <w:p w14:paraId="027FB902" w14:textId="77777777" w:rsidR="00CC428C" w:rsidRDefault="00CC428C">
      <w:pPr>
        <w:spacing w:after="160" w:line="259" w:lineRule="auto"/>
        <w:rPr>
          <w:rFonts w:cs="Arial"/>
          <w:b/>
        </w:rPr>
      </w:pPr>
      <w:r>
        <w:rPr>
          <w:rFonts w:cs="Arial"/>
          <w:b/>
        </w:rPr>
        <w:br w:type="page"/>
      </w:r>
    </w:p>
    <w:p w14:paraId="73EC2C13" w14:textId="29CB977F" w:rsidR="009807E0" w:rsidRPr="004B026D" w:rsidRDefault="009807E0" w:rsidP="009360F1">
      <w:pPr>
        <w:spacing w:after="240"/>
        <w:rPr>
          <w:rFonts w:cs="Arial"/>
          <w:b/>
        </w:rPr>
      </w:pPr>
      <w:r w:rsidRPr="004B026D">
        <w:rPr>
          <w:rFonts w:cs="Arial"/>
          <w:b/>
        </w:rPr>
        <w:lastRenderedPageBreak/>
        <w:t xml:space="preserve">Table 7: Performance on the </w:t>
      </w:r>
      <w:r w:rsidR="004B026D" w:rsidRPr="004B026D">
        <w:rPr>
          <w:rFonts w:cs="Arial"/>
          <w:b/>
        </w:rPr>
        <w:t xml:space="preserve">ELA </w:t>
      </w:r>
      <w:r w:rsidRPr="004B026D">
        <w:rPr>
          <w:rFonts w:cs="Arial"/>
          <w:b/>
        </w:rPr>
        <w:t xml:space="preserve">Smarter Balanced Summative Assessments for </w:t>
      </w:r>
      <w:r w:rsidR="004B026D" w:rsidRPr="004B026D">
        <w:rPr>
          <w:rFonts w:cs="Arial"/>
          <w:b/>
        </w:rPr>
        <w:t>CTE Completers in CTE Courses</w:t>
      </w:r>
      <w:r w:rsidR="004B026D">
        <w:rPr>
          <w:rFonts w:cs="Arial"/>
          <w:b/>
        </w:rPr>
        <w:t xml:space="preserve"> </w:t>
      </w:r>
    </w:p>
    <w:tbl>
      <w:tblPr>
        <w:tblStyle w:val="TableGrid"/>
        <w:tblW w:w="9805" w:type="dxa"/>
        <w:tblLook w:val="04A0" w:firstRow="1" w:lastRow="0" w:firstColumn="1" w:lastColumn="0" w:noHBand="0" w:noVBand="1"/>
        <w:tblDescription w:val="Performance on the ELA Smarter Balanced Summative Assessments for CTE Completers in CTE Courses "/>
      </w:tblPr>
      <w:tblGrid>
        <w:gridCol w:w="2315"/>
        <w:gridCol w:w="1498"/>
        <w:gridCol w:w="1498"/>
        <w:gridCol w:w="1498"/>
        <w:gridCol w:w="1498"/>
        <w:gridCol w:w="1498"/>
      </w:tblGrid>
      <w:tr w:rsidR="004B026D" w14:paraId="0B336425" w14:textId="77777777" w:rsidTr="00BB765F">
        <w:trPr>
          <w:trHeight w:val="792"/>
          <w:tblHeader/>
        </w:trPr>
        <w:tc>
          <w:tcPr>
            <w:tcW w:w="2315" w:type="dxa"/>
            <w:shd w:val="clear" w:color="auto" w:fill="D9D9D9" w:themeFill="background1" w:themeFillShade="D9"/>
            <w:vAlign w:val="center"/>
          </w:tcPr>
          <w:p w14:paraId="4663D1CF" w14:textId="164C98E4" w:rsidR="009807E0" w:rsidRPr="006F712F" w:rsidRDefault="004B026D" w:rsidP="006F712F">
            <w:pPr>
              <w:jc w:val="center"/>
              <w:rPr>
                <w:rFonts w:cs="Arial"/>
                <w:b/>
              </w:rPr>
            </w:pPr>
            <w:r w:rsidRPr="006F712F">
              <w:rPr>
                <w:rFonts w:cs="Arial"/>
                <w:b/>
              </w:rPr>
              <w:t xml:space="preserve">CTE </w:t>
            </w:r>
            <w:r w:rsidR="00876931" w:rsidRPr="006F712F">
              <w:rPr>
                <w:rFonts w:cs="Arial"/>
                <w:b/>
              </w:rPr>
              <w:t>Pathway Completers</w:t>
            </w:r>
          </w:p>
        </w:tc>
        <w:tc>
          <w:tcPr>
            <w:tcW w:w="1498" w:type="dxa"/>
            <w:shd w:val="clear" w:color="auto" w:fill="D9D9D9" w:themeFill="background1" w:themeFillShade="D9"/>
            <w:vAlign w:val="center"/>
          </w:tcPr>
          <w:p w14:paraId="7E74C43E" w14:textId="77777777" w:rsidR="009807E0" w:rsidRPr="006F712F" w:rsidRDefault="009807E0" w:rsidP="006F712F">
            <w:pPr>
              <w:jc w:val="center"/>
              <w:rPr>
                <w:rFonts w:cs="Arial"/>
                <w:b/>
              </w:rPr>
            </w:pPr>
            <w:r w:rsidRPr="006F712F">
              <w:rPr>
                <w:rFonts w:cs="Arial"/>
                <w:b/>
              </w:rPr>
              <w:t>ELA Standard Not Met</w:t>
            </w:r>
          </w:p>
        </w:tc>
        <w:tc>
          <w:tcPr>
            <w:tcW w:w="1498" w:type="dxa"/>
            <w:shd w:val="clear" w:color="auto" w:fill="D9D9D9" w:themeFill="background1" w:themeFillShade="D9"/>
            <w:vAlign w:val="center"/>
          </w:tcPr>
          <w:p w14:paraId="60997AC1" w14:textId="77777777" w:rsidR="009807E0" w:rsidRPr="006F712F" w:rsidRDefault="009807E0" w:rsidP="006F712F">
            <w:pPr>
              <w:jc w:val="center"/>
              <w:rPr>
                <w:rFonts w:cs="Arial"/>
                <w:b/>
              </w:rPr>
            </w:pPr>
            <w:r w:rsidRPr="006F712F">
              <w:rPr>
                <w:rFonts w:cs="Arial"/>
                <w:b/>
              </w:rPr>
              <w:t>ELA Standard Nearly Met</w:t>
            </w:r>
          </w:p>
        </w:tc>
        <w:tc>
          <w:tcPr>
            <w:tcW w:w="1498" w:type="dxa"/>
            <w:shd w:val="clear" w:color="auto" w:fill="D9D9D9" w:themeFill="background1" w:themeFillShade="D9"/>
            <w:vAlign w:val="center"/>
          </w:tcPr>
          <w:p w14:paraId="7B071E3E" w14:textId="77777777" w:rsidR="009807E0" w:rsidRPr="006F712F" w:rsidRDefault="009807E0" w:rsidP="006F712F">
            <w:pPr>
              <w:jc w:val="center"/>
              <w:rPr>
                <w:rFonts w:cs="Arial"/>
                <w:b/>
              </w:rPr>
            </w:pPr>
            <w:r w:rsidRPr="006F712F">
              <w:rPr>
                <w:rFonts w:cs="Arial"/>
                <w:b/>
              </w:rPr>
              <w:t>ELA Standard Met</w:t>
            </w:r>
          </w:p>
        </w:tc>
        <w:tc>
          <w:tcPr>
            <w:tcW w:w="1498" w:type="dxa"/>
            <w:shd w:val="clear" w:color="auto" w:fill="D9D9D9" w:themeFill="background1" w:themeFillShade="D9"/>
            <w:vAlign w:val="center"/>
          </w:tcPr>
          <w:p w14:paraId="5B203273" w14:textId="77777777" w:rsidR="009807E0" w:rsidRPr="006F712F" w:rsidRDefault="009807E0" w:rsidP="006F712F">
            <w:pPr>
              <w:jc w:val="center"/>
              <w:rPr>
                <w:rFonts w:cs="Arial"/>
                <w:b/>
              </w:rPr>
            </w:pPr>
            <w:r w:rsidRPr="006F712F">
              <w:rPr>
                <w:rFonts w:cs="Arial"/>
                <w:b/>
              </w:rPr>
              <w:t>ELA Standard Exceeded</w:t>
            </w:r>
          </w:p>
        </w:tc>
        <w:tc>
          <w:tcPr>
            <w:tcW w:w="1498" w:type="dxa"/>
            <w:shd w:val="clear" w:color="auto" w:fill="D9D9D9" w:themeFill="background1" w:themeFillShade="D9"/>
            <w:vAlign w:val="center"/>
          </w:tcPr>
          <w:p w14:paraId="7D3C3E6A" w14:textId="77777777" w:rsidR="009807E0" w:rsidRPr="006F712F" w:rsidRDefault="009807E0" w:rsidP="006F712F">
            <w:pPr>
              <w:jc w:val="center"/>
              <w:rPr>
                <w:rFonts w:cs="Arial"/>
                <w:b/>
              </w:rPr>
            </w:pPr>
            <w:r w:rsidRPr="006F712F">
              <w:rPr>
                <w:rFonts w:cs="Arial"/>
                <w:b/>
              </w:rPr>
              <w:t>Total</w:t>
            </w:r>
          </w:p>
        </w:tc>
      </w:tr>
      <w:tr w:rsidR="004B026D" w14:paraId="3A318A8A" w14:textId="77777777" w:rsidTr="006F712F">
        <w:trPr>
          <w:trHeight w:val="792"/>
        </w:trPr>
        <w:tc>
          <w:tcPr>
            <w:tcW w:w="2315" w:type="dxa"/>
            <w:vAlign w:val="center"/>
          </w:tcPr>
          <w:p w14:paraId="4D9587D4" w14:textId="0BE19F11" w:rsidR="009807E0" w:rsidRDefault="00876931" w:rsidP="006F712F">
            <w:pPr>
              <w:jc w:val="center"/>
              <w:rPr>
                <w:rFonts w:cs="Arial"/>
              </w:rPr>
            </w:pPr>
            <w:r>
              <w:rPr>
                <w:rFonts w:cs="Arial"/>
              </w:rPr>
              <w:t xml:space="preserve">With </w:t>
            </w:r>
            <w:r w:rsidR="004B026D">
              <w:rPr>
                <w:rFonts w:cs="Arial"/>
              </w:rPr>
              <w:t>1 or more articulated courses</w:t>
            </w:r>
          </w:p>
        </w:tc>
        <w:tc>
          <w:tcPr>
            <w:tcW w:w="1498" w:type="dxa"/>
            <w:vAlign w:val="center"/>
          </w:tcPr>
          <w:p w14:paraId="7C88A62E" w14:textId="472BAD66" w:rsidR="009807E0" w:rsidRDefault="004B026D" w:rsidP="006F712F">
            <w:pPr>
              <w:jc w:val="center"/>
              <w:rPr>
                <w:rFonts w:cs="Arial"/>
              </w:rPr>
            </w:pPr>
            <w:r>
              <w:rPr>
                <w:rFonts w:cs="Arial"/>
              </w:rPr>
              <w:t>4,561 (16.8%)</w:t>
            </w:r>
          </w:p>
        </w:tc>
        <w:tc>
          <w:tcPr>
            <w:tcW w:w="1498" w:type="dxa"/>
            <w:vAlign w:val="center"/>
          </w:tcPr>
          <w:p w14:paraId="215C2E92" w14:textId="71A80448" w:rsidR="009807E0" w:rsidRDefault="004B026D" w:rsidP="006F712F">
            <w:pPr>
              <w:jc w:val="center"/>
              <w:rPr>
                <w:rFonts w:cs="Arial"/>
              </w:rPr>
            </w:pPr>
            <w:r>
              <w:rPr>
                <w:rFonts w:cs="Arial"/>
              </w:rPr>
              <w:t>7,128 (26.2%)</w:t>
            </w:r>
          </w:p>
        </w:tc>
        <w:tc>
          <w:tcPr>
            <w:tcW w:w="1498" w:type="dxa"/>
            <w:vAlign w:val="center"/>
          </w:tcPr>
          <w:p w14:paraId="68735441" w14:textId="55B94361" w:rsidR="009807E0" w:rsidRDefault="004B026D" w:rsidP="006F712F">
            <w:pPr>
              <w:jc w:val="center"/>
              <w:rPr>
                <w:rFonts w:cs="Arial"/>
              </w:rPr>
            </w:pPr>
            <w:r>
              <w:rPr>
                <w:rFonts w:cs="Arial"/>
              </w:rPr>
              <w:t>9,782 (36.0%)</w:t>
            </w:r>
          </w:p>
        </w:tc>
        <w:tc>
          <w:tcPr>
            <w:tcW w:w="1498" w:type="dxa"/>
            <w:vAlign w:val="center"/>
          </w:tcPr>
          <w:p w14:paraId="2B742AD0" w14:textId="3F5AB894" w:rsidR="009807E0" w:rsidRDefault="004B026D" w:rsidP="006F712F">
            <w:pPr>
              <w:jc w:val="center"/>
              <w:rPr>
                <w:rFonts w:cs="Arial"/>
              </w:rPr>
            </w:pPr>
            <w:r>
              <w:rPr>
                <w:rFonts w:cs="Arial"/>
              </w:rPr>
              <w:t>5,703 (21.0%)</w:t>
            </w:r>
          </w:p>
        </w:tc>
        <w:tc>
          <w:tcPr>
            <w:tcW w:w="1498" w:type="dxa"/>
            <w:vAlign w:val="center"/>
          </w:tcPr>
          <w:p w14:paraId="229B484E" w14:textId="1667E587" w:rsidR="009807E0" w:rsidRDefault="004B026D" w:rsidP="006F712F">
            <w:pPr>
              <w:jc w:val="center"/>
              <w:rPr>
                <w:rFonts w:cs="Arial"/>
              </w:rPr>
            </w:pPr>
            <w:r>
              <w:rPr>
                <w:rFonts w:cs="Arial"/>
              </w:rPr>
              <w:t>27,174</w:t>
            </w:r>
          </w:p>
        </w:tc>
      </w:tr>
      <w:tr w:rsidR="00876931" w14:paraId="02A82D90" w14:textId="77777777" w:rsidTr="006F712F">
        <w:trPr>
          <w:trHeight w:val="792"/>
        </w:trPr>
        <w:tc>
          <w:tcPr>
            <w:tcW w:w="2315" w:type="dxa"/>
            <w:vAlign w:val="center"/>
          </w:tcPr>
          <w:p w14:paraId="199C9E70" w14:textId="7119237F" w:rsidR="009807E0" w:rsidRDefault="00876931" w:rsidP="006F712F">
            <w:pPr>
              <w:jc w:val="center"/>
              <w:rPr>
                <w:rFonts w:cs="Arial"/>
              </w:rPr>
            </w:pPr>
            <w:r>
              <w:rPr>
                <w:rFonts w:cs="Arial"/>
              </w:rPr>
              <w:t xml:space="preserve">With no </w:t>
            </w:r>
            <w:r w:rsidR="004B026D">
              <w:rPr>
                <w:rFonts w:cs="Arial"/>
              </w:rPr>
              <w:t>articulated courses</w:t>
            </w:r>
          </w:p>
        </w:tc>
        <w:tc>
          <w:tcPr>
            <w:tcW w:w="1498" w:type="dxa"/>
            <w:vAlign w:val="center"/>
          </w:tcPr>
          <w:p w14:paraId="2876DB0C" w14:textId="00D839F1" w:rsidR="009807E0" w:rsidRDefault="004B026D" w:rsidP="006F712F">
            <w:pPr>
              <w:jc w:val="center"/>
              <w:rPr>
                <w:rFonts w:cs="Arial"/>
              </w:rPr>
            </w:pPr>
            <w:r>
              <w:rPr>
                <w:rFonts w:cs="Arial"/>
              </w:rPr>
              <w:t>5,479 (13.8%)</w:t>
            </w:r>
          </w:p>
        </w:tc>
        <w:tc>
          <w:tcPr>
            <w:tcW w:w="1498" w:type="dxa"/>
            <w:vAlign w:val="center"/>
          </w:tcPr>
          <w:p w14:paraId="53703B92" w14:textId="02D9E4BC" w:rsidR="00876931" w:rsidRDefault="004B026D" w:rsidP="006F712F">
            <w:pPr>
              <w:jc w:val="center"/>
              <w:rPr>
                <w:rFonts w:cs="Arial"/>
              </w:rPr>
            </w:pPr>
            <w:r>
              <w:rPr>
                <w:rFonts w:cs="Arial"/>
              </w:rPr>
              <w:t>9,203</w:t>
            </w:r>
          </w:p>
          <w:p w14:paraId="72BE2336" w14:textId="13AA2C34" w:rsidR="009807E0" w:rsidRDefault="004B026D" w:rsidP="006F712F">
            <w:pPr>
              <w:jc w:val="center"/>
              <w:rPr>
                <w:rFonts w:cs="Arial"/>
              </w:rPr>
            </w:pPr>
            <w:r>
              <w:rPr>
                <w:rFonts w:cs="Arial"/>
              </w:rPr>
              <w:t>(23.1%)</w:t>
            </w:r>
          </w:p>
        </w:tc>
        <w:tc>
          <w:tcPr>
            <w:tcW w:w="1498" w:type="dxa"/>
            <w:vAlign w:val="center"/>
          </w:tcPr>
          <w:p w14:paraId="0359D63E" w14:textId="0A9BAF65" w:rsidR="009807E0" w:rsidRDefault="004B026D" w:rsidP="006F712F">
            <w:pPr>
              <w:jc w:val="center"/>
              <w:rPr>
                <w:rFonts w:cs="Arial"/>
              </w:rPr>
            </w:pPr>
            <w:r>
              <w:rPr>
                <w:rFonts w:cs="Arial"/>
              </w:rPr>
              <w:t>14,850 (37.3%)</w:t>
            </w:r>
          </w:p>
        </w:tc>
        <w:tc>
          <w:tcPr>
            <w:tcW w:w="1498" w:type="dxa"/>
            <w:vAlign w:val="center"/>
          </w:tcPr>
          <w:p w14:paraId="287CB34F" w14:textId="11A47C9D" w:rsidR="009807E0" w:rsidRDefault="004B026D" w:rsidP="006F712F">
            <w:pPr>
              <w:jc w:val="center"/>
              <w:rPr>
                <w:rFonts w:cs="Arial"/>
              </w:rPr>
            </w:pPr>
            <w:r>
              <w:rPr>
                <w:rFonts w:cs="Arial"/>
              </w:rPr>
              <w:t>10,293 (25.8%)</w:t>
            </w:r>
          </w:p>
        </w:tc>
        <w:tc>
          <w:tcPr>
            <w:tcW w:w="1498" w:type="dxa"/>
            <w:vAlign w:val="center"/>
          </w:tcPr>
          <w:p w14:paraId="52F7ACAC" w14:textId="6E4D3FBD" w:rsidR="009807E0" w:rsidRDefault="004B026D" w:rsidP="006F712F">
            <w:pPr>
              <w:jc w:val="center"/>
              <w:rPr>
                <w:rFonts w:cs="Arial"/>
              </w:rPr>
            </w:pPr>
            <w:r>
              <w:rPr>
                <w:rFonts w:cs="Arial"/>
              </w:rPr>
              <w:t>39,825</w:t>
            </w:r>
          </w:p>
        </w:tc>
      </w:tr>
    </w:tbl>
    <w:p w14:paraId="646EF25B" w14:textId="1910B826" w:rsidR="004B026D" w:rsidRPr="00BB765F" w:rsidRDefault="004B026D" w:rsidP="00BB765F">
      <w:pPr>
        <w:spacing w:before="240" w:after="240"/>
        <w:rPr>
          <w:b/>
        </w:rPr>
      </w:pPr>
      <w:r w:rsidRPr="00BB765F">
        <w:rPr>
          <w:b/>
        </w:rPr>
        <w:t xml:space="preserve">Table 8: Performance on the Mathematics Smarter Balanced Summative Assessments for CTE Completers in CTE Courses </w:t>
      </w:r>
    </w:p>
    <w:tbl>
      <w:tblPr>
        <w:tblStyle w:val="TableGrid"/>
        <w:tblW w:w="9805" w:type="dxa"/>
        <w:tblLook w:val="04A0" w:firstRow="1" w:lastRow="0" w:firstColumn="1" w:lastColumn="0" w:noHBand="0" w:noVBand="1"/>
        <w:tblDescription w:val="Performance on the Mathematics Smarter Balanced Summative Assessments for CTE Completers in CTE Courses "/>
      </w:tblPr>
      <w:tblGrid>
        <w:gridCol w:w="2332"/>
        <w:gridCol w:w="1494"/>
        <w:gridCol w:w="1495"/>
        <w:gridCol w:w="1494"/>
        <w:gridCol w:w="1495"/>
        <w:gridCol w:w="1495"/>
      </w:tblGrid>
      <w:tr w:rsidR="004B026D" w14:paraId="0A555703" w14:textId="77777777" w:rsidTr="006F712F">
        <w:trPr>
          <w:trHeight w:val="792"/>
          <w:tblHeader/>
        </w:trPr>
        <w:tc>
          <w:tcPr>
            <w:tcW w:w="2332" w:type="dxa"/>
            <w:shd w:val="clear" w:color="auto" w:fill="D9D9D9" w:themeFill="background1" w:themeFillShade="D9"/>
            <w:vAlign w:val="center"/>
          </w:tcPr>
          <w:p w14:paraId="0F546DF2" w14:textId="68FDE285" w:rsidR="004B026D" w:rsidRPr="006F712F" w:rsidRDefault="004B026D" w:rsidP="006F712F">
            <w:pPr>
              <w:jc w:val="center"/>
              <w:rPr>
                <w:rFonts w:cs="Arial"/>
                <w:b/>
              </w:rPr>
            </w:pPr>
            <w:r w:rsidRPr="006F712F">
              <w:rPr>
                <w:rFonts w:cs="Arial"/>
                <w:b/>
              </w:rPr>
              <w:t>CTE</w:t>
            </w:r>
            <w:r w:rsidR="00876931" w:rsidRPr="006F712F">
              <w:rPr>
                <w:rFonts w:cs="Arial"/>
                <w:b/>
              </w:rPr>
              <w:t xml:space="preserve"> Pathway Completers</w:t>
            </w:r>
          </w:p>
        </w:tc>
        <w:tc>
          <w:tcPr>
            <w:tcW w:w="1494" w:type="dxa"/>
            <w:shd w:val="clear" w:color="auto" w:fill="D9D9D9" w:themeFill="background1" w:themeFillShade="D9"/>
            <w:vAlign w:val="center"/>
          </w:tcPr>
          <w:p w14:paraId="350A8B12" w14:textId="77777777" w:rsidR="004B026D" w:rsidRPr="006F712F" w:rsidRDefault="004B026D" w:rsidP="006F712F">
            <w:pPr>
              <w:jc w:val="center"/>
              <w:rPr>
                <w:rFonts w:cs="Arial"/>
                <w:b/>
              </w:rPr>
            </w:pPr>
            <w:r w:rsidRPr="006F712F">
              <w:rPr>
                <w:rFonts w:cs="Arial"/>
                <w:b/>
              </w:rPr>
              <w:t>Math Standard Not Met</w:t>
            </w:r>
          </w:p>
        </w:tc>
        <w:tc>
          <w:tcPr>
            <w:tcW w:w="1495" w:type="dxa"/>
            <w:shd w:val="clear" w:color="auto" w:fill="D9D9D9" w:themeFill="background1" w:themeFillShade="D9"/>
            <w:vAlign w:val="center"/>
          </w:tcPr>
          <w:p w14:paraId="7086072E" w14:textId="77777777" w:rsidR="004B026D" w:rsidRPr="006F712F" w:rsidRDefault="004B026D" w:rsidP="006F712F">
            <w:pPr>
              <w:jc w:val="center"/>
              <w:rPr>
                <w:rFonts w:cs="Arial"/>
                <w:b/>
              </w:rPr>
            </w:pPr>
            <w:r w:rsidRPr="006F712F">
              <w:rPr>
                <w:rFonts w:cs="Arial"/>
                <w:b/>
              </w:rPr>
              <w:t>Math Standard Nearly Met</w:t>
            </w:r>
          </w:p>
        </w:tc>
        <w:tc>
          <w:tcPr>
            <w:tcW w:w="1494" w:type="dxa"/>
            <w:shd w:val="clear" w:color="auto" w:fill="D9D9D9" w:themeFill="background1" w:themeFillShade="D9"/>
            <w:vAlign w:val="center"/>
          </w:tcPr>
          <w:p w14:paraId="60CE6127" w14:textId="77777777" w:rsidR="004B026D" w:rsidRPr="006F712F" w:rsidRDefault="004B026D" w:rsidP="006F712F">
            <w:pPr>
              <w:jc w:val="center"/>
              <w:rPr>
                <w:rFonts w:cs="Arial"/>
                <w:b/>
              </w:rPr>
            </w:pPr>
            <w:r w:rsidRPr="006F712F">
              <w:rPr>
                <w:rFonts w:cs="Arial"/>
                <w:b/>
              </w:rPr>
              <w:t>Math Standard Met</w:t>
            </w:r>
          </w:p>
        </w:tc>
        <w:tc>
          <w:tcPr>
            <w:tcW w:w="1495" w:type="dxa"/>
            <w:shd w:val="clear" w:color="auto" w:fill="D9D9D9" w:themeFill="background1" w:themeFillShade="D9"/>
            <w:vAlign w:val="center"/>
          </w:tcPr>
          <w:p w14:paraId="6871EF4E" w14:textId="77777777" w:rsidR="004B026D" w:rsidRPr="006F712F" w:rsidRDefault="004B026D" w:rsidP="006F712F">
            <w:pPr>
              <w:jc w:val="center"/>
              <w:rPr>
                <w:rFonts w:cs="Arial"/>
                <w:b/>
              </w:rPr>
            </w:pPr>
            <w:r w:rsidRPr="006F712F">
              <w:rPr>
                <w:rFonts w:cs="Arial"/>
                <w:b/>
              </w:rPr>
              <w:t>Math Standard Exceeded</w:t>
            </w:r>
          </w:p>
        </w:tc>
        <w:tc>
          <w:tcPr>
            <w:tcW w:w="1495" w:type="dxa"/>
            <w:shd w:val="clear" w:color="auto" w:fill="D9D9D9" w:themeFill="background1" w:themeFillShade="D9"/>
            <w:vAlign w:val="center"/>
          </w:tcPr>
          <w:p w14:paraId="75F670E1" w14:textId="77777777" w:rsidR="004B026D" w:rsidRPr="006F712F" w:rsidRDefault="004B026D" w:rsidP="006F712F">
            <w:pPr>
              <w:jc w:val="center"/>
              <w:rPr>
                <w:rFonts w:cs="Arial"/>
                <w:b/>
              </w:rPr>
            </w:pPr>
            <w:r w:rsidRPr="006F712F">
              <w:rPr>
                <w:rFonts w:cs="Arial"/>
                <w:b/>
              </w:rPr>
              <w:t>Total</w:t>
            </w:r>
          </w:p>
        </w:tc>
      </w:tr>
      <w:tr w:rsidR="004B026D" w14:paraId="7535BB7C" w14:textId="77777777" w:rsidTr="006F712F">
        <w:trPr>
          <w:trHeight w:val="792"/>
        </w:trPr>
        <w:tc>
          <w:tcPr>
            <w:tcW w:w="2332" w:type="dxa"/>
            <w:vAlign w:val="center"/>
          </w:tcPr>
          <w:p w14:paraId="06F7B787" w14:textId="08A90C23" w:rsidR="004B026D" w:rsidRDefault="00876931" w:rsidP="006F712F">
            <w:pPr>
              <w:jc w:val="center"/>
              <w:rPr>
                <w:rFonts w:cs="Arial"/>
              </w:rPr>
            </w:pPr>
            <w:r>
              <w:rPr>
                <w:rFonts w:cs="Arial"/>
              </w:rPr>
              <w:t xml:space="preserve">With </w:t>
            </w:r>
            <w:r w:rsidR="004B026D">
              <w:rPr>
                <w:rFonts w:cs="Arial"/>
              </w:rPr>
              <w:t>1 or more articulated courses</w:t>
            </w:r>
          </w:p>
        </w:tc>
        <w:tc>
          <w:tcPr>
            <w:tcW w:w="1494" w:type="dxa"/>
            <w:vAlign w:val="center"/>
          </w:tcPr>
          <w:p w14:paraId="68487AAD" w14:textId="77777777" w:rsidR="004B026D" w:rsidRPr="00445EAE" w:rsidRDefault="004B026D" w:rsidP="006F712F">
            <w:pPr>
              <w:jc w:val="center"/>
            </w:pPr>
            <w:r w:rsidRPr="00445EAE">
              <w:rPr>
                <w:bCs/>
              </w:rPr>
              <w:t>12,046</w:t>
            </w:r>
          </w:p>
          <w:p w14:paraId="3F97275F" w14:textId="77777777" w:rsidR="004B026D" w:rsidRPr="00445EAE" w:rsidRDefault="004B026D" w:rsidP="006F712F">
            <w:pPr>
              <w:jc w:val="center"/>
            </w:pPr>
            <w:r w:rsidRPr="00445EAE">
              <w:rPr>
                <w:bCs/>
              </w:rPr>
              <w:t>(</w:t>
            </w:r>
            <w:r>
              <w:rPr>
                <w:bCs/>
              </w:rPr>
              <w:t>44.5</w:t>
            </w:r>
            <w:r w:rsidRPr="00445EAE">
              <w:rPr>
                <w:bCs/>
              </w:rPr>
              <w:t>%)</w:t>
            </w:r>
          </w:p>
        </w:tc>
        <w:tc>
          <w:tcPr>
            <w:tcW w:w="1495" w:type="dxa"/>
            <w:vAlign w:val="center"/>
          </w:tcPr>
          <w:p w14:paraId="24CE5043" w14:textId="77777777" w:rsidR="004B026D" w:rsidRPr="00445EAE" w:rsidRDefault="004B026D" w:rsidP="006F712F">
            <w:pPr>
              <w:jc w:val="center"/>
            </w:pPr>
            <w:r w:rsidRPr="00445EAE">
              <w:rPr>
                <w:bCs/>
              </w:rPr>
              <w:t>7,466</w:t>
            </w:r>
          </w:p>
          <w:p w14:paraId="19E9F1A2" w14:textId="77777777" w:rsidR="004B026D" w:rsidRPr="00445EAE" w:rsidRDefault="004B026D" w:rsidP="006F712F">
            <w:pPr>
              <w:jc w:val="center"/>
            </w:pPr>
            <w:r w:rsidRPr="00445EAE">
              <w:rPr>
                <w:bCs/>
              </w:rPr>
              <w:t>(</w:t>
            </w:r>
            <w:r>
              <w:rPr>
                <w:bCs/>
              </w:rPr>
              <w:t>27.6</w:t>
            </w:r>
            <w:r w:rsidRPr="00445EAE">
              <w:rPr>
                <w:bCs/>
              </w:rPr>
              <w:t>%)</w:t>
            </w:r>
          </w:p>
        </w:tc>
        <w:tc>
          <w:tcPr>
            <w:tcW w:w="1494" w:type="dxa"/>
            <w:vAlign w:val="center"/>
          </w:tcPr>
          <w:p w14:paraId="3EE79EC8" w14:textId="77777777" w:rsidR="004B026D" w:rsidRPr="00445EAE" w:rsidRDefault="004B026D" w:rsidP="006F712F">
            <w:pPr>
              <w:jc w:val="center"/>
            </w:pPr>
            <w:r w:rsidRPr="00445EAE">
              <w:rPr>
                <w:bCs/>
              </w:rPr>
              <w:t>5,004</w:t>
            </w:r>
          </w:p>
          <w:p w14:paraId="56C32AB5" w14:textId="77777777" w:rsidR="004B026D" w:rsidRPr="00445EAE" w:rsidRDefault="004B026D" w:rsidP="006F712F">
            <w:pPr>
              <w:jc w:val="center"/>
            </w:pPr>
            <w:r w:rsidRPr="00445EAE">
              <w:rPr>
                <w:bCs/>
              </w:rPr>
              <w:t>(18.</w:t>
            </w:r>
            <w:r>
              <w:rPr>
                <w:bCs/>
              </w:rPr>
              <w:t>5</w:t>
            </w:r>
            <w:r w:rsidRPr="00445EAE">
              <w:rPr>
                <w:bCs/>
              </w:rPr>
              <w:t>%)</w:t>
            </w:r>
          </w:p>
        </w:tc>
        <w:tc>
          <w:tcPr>
            <w:tcW w:w="1495" w:type="dxa"/>
            <w:vAlign w:val="center"/>
          </w:tcPr>
          <w:p w14:paraId="184A499B" w14:textId="77777777" w:rsidR="004B026D" w:rsidRPr="00445EAE" w:rsidRDefault="004B026D" w:rsidP="006F712F">
            <w:pPr>
              <w:jc w:val="center"/>
            </w:pPr>
            <w:r w:rsidRPr="00445EAE">
              <w:rPr>
                <w:bCs/>
              </w:rPr>
              <w:t>2,575</w:t>
            </w:r>
          </w:p>
          <w:p w14:paraId="74F68FB4" w14:textId="77777777" w:rsidR="004B026D" w:rsidRPr="00445EAE" w:rsidRDefault="004B026D" w:rsidP="006F712F">
            <w:pPr>
              <w:jc w:val="center"/>
            </w:pPr>
            <w:r>
              <w:rPr>
                <w:bCs/>
              </w:rPr>
              <w:t>(9.5</w:t>
            </w:r>
            <w:r w:rsidRPr="00445EAE">
              <w:rPr>
                <w:bCs/>
              </w:rPr>
              <w:t>%)</w:t>
            </w:r>
          </w:p>
        </w:tc>
        <w:tc>
          <w:tcPr>
            <w:tcW w:w="1495" w:type="dxa"/>
            <w:vAlign w:val="center"/>
          </w:tcPr>
          <w:p w14:paraId="31F3E8C6" w14:textId="77777777" w:rsidR="004B026D" w:rsidRPr="00445EAE" w:rsidRDefault="004B026D" w:rsidP="006F712F">
            <w:pPr>
              <w:jc w:val="center"/>
              <w:rPr>
                <w:rFonts w:cs="Arial"/>
              </w:rPr>
            </w:pPr>
            <w:r w:rsidRPr="00445EAE">
              <w:rPr>
                <w:bCs/>
              </w:rPr>
              <w:t>27,</w:t>
            </w:r>
            <w:r>
              <w:rPr>
                <w:bCs/>
              </w:rPr>
              <w:t>091</w:t>
            </w:r>
          </w:p>
        </w:tc>
      </w:tr>
      <w:tr w:rsidR="004B026D" w14:paraId="6DC697C4" w14:textId="77777777" w:rsidTr="006F712F">
        <w:trPr>
          <w:trHeight w:val="792"/>
        </w:trPr>
        <w:tc>
          <w:tcPr>
            <w:tcW w:w="2332" w:type="dxa"/>
            <w:vAlign w:val="center"/>
          </w:tcPr>
          <w:p w14:paraId="29666FCC" w14:textId="544C3D89" w:rsidR="004B026D" w:rsidRDefault="00876931" w:rsidP="006F712F">
            <w:pPr>
              <w:jc w:val="center"/>
              <w:rPr>
                <w:rFonts w:cs="Arial"/>
              </w:rPr>
            </w:pPr>
            <w:r>
              <w:rPr>
                <w:rFonts w:cs="Arial"/>
              </w:rPr>
              <w:t xml:space="preserve">With no </w:t>
            </w:r>
            <w:r w:rsidR="004B026D">
              <w:rPr>
                <w:rFonts w:cs="Arial"/>
              </w:rPr>
              <w:t>articulated courses</w:t>
            </w:r>
          </w:p>
        </w:tc>
        <w:tc>
          <w:tcPr>
            <w:tcW w:w="1494" w:type="dxa"/>
            <w:vAlign w:val="center"/>
          </w:tcPr>
          <w:p w14:paraId="59DBA060" w14:textId="77777777" w:rsidR="004B026D" w:rsidRPr="00445EAE" w:rsidRDefault="004B026D" w:rsidP="006F712F">
            <w:pPr>
              <w:jc w:val="center"/>
            </w:pPr>
            <w:r w:rsidRPr="00445EAE">
              <w:t>15,577</w:t>
            </w:r>
          </w:p>
          <w:p w14:paraId="59A476B7" w14:textId="77777777" w:rsidR="004B026D" w:rsidRPr="00445EAE" w:rsidRDefault="004B026D" w:rsidP="006F712F">
            <w:pPr>
              <w:jc w:val="center"/>
            </w:pPr>
            <w:r w:rsidRPr="00445EAE">
              <w:t>(</w:t>
            </w:r>
            <w:r>
              <w:t>39.3</w:t>
            </w:r>
            <w:r w:rsidRPr="00445EAE">
              <w:t>%)</w:t>
            </w:r>
          </w:p>
        </w:tc>
        <w:tc>
          <w:tcPr>
            <w:tcW w:w="1495" w:type="dxa"/>
            <w:vAlign w:val="center"/>
          </w:tcPr>
          <w:p w14:paraId="156B1D47" w14:textId="77777777" w:rsidR="004B026D" w:rsidRPr="00445EAE" w:rsidRDefault="004B026D" w:rsidP="006F712F">
            <w:pPr>
              <w:jc w:val="center"/>
            </w:pPr>
            <w:r w:rsidRPr="00445EAE">
              <w:t>10,800</w:t>
            </w:r>
          </w:p>
          <w:p w14:paraId="494EFB9E" w14:textId="77777777" w:rsidR="004B026D" w:rsidRPr="00445EAE" w:rsidRDefault="004B026D" w:rsidP="006F712F">
            <w:pPr>
              <w:jc w:val="center"/>
            </w:pPr>
            <w:r w:rsidRPr="00445EAE">
              <w:t>(</w:t>
            </w:r>
            <w:r>
              <w:t>27.2</w:t>
            </w:r>
            <w:r w:rsidRPr="00445EAE">
              <w:t>%)</w:t>
            </w:r>
          </w:p>
        </w:tc>
        <w:tc>
          <w:tcPr>
            <w:tcW w:w="1494" w:type="dxa"/>
            <w:vAlign w:val="center"/>
          </w:tcPr>
          <w:p w14:paraId="7617B988" w14:textId="77777777" w:rsidR="004B026D" w:rsidRPr="00445EAE" w:rsidRDefault="004B026D" w:rsidP="006F712F">
            <w:pPr>
              <w:jc w:val="center"/>
            </w:pPr>
            <w:r w:rsidRPr="00445EAE">
              <w:t>8,395</w:t>
            </w:r>
          </w:p>
          <w:p w14:paraId="07358E25" w14:textId="77777777" w:rsidR="004B026D" w:rsidRPr="00445EAE" w:rsidRDefault="004B026D" w:rsidP="006F712F">
            <w:pPr>
              <w:jc w:val="center"/>
            </w:pPr>
            <w:r w:rsidRPr="00445EAE">
              <w:t>(</w:t>
            </w:r>
            <w:r>
              <w:t>21.2</w:t>
            </w:r>
            <w:r w:rsidRPr="00445EAE">
              <w:t>%)</w:t>
            </w:r>
          </w:p>
        </w:tc>
        <w:tc>
          <w:tcPr>
            <w:tcW w:w="1495" w:type="dxa"/>
            <w:vAlign w:val="center"/>
          </w:tcPr>
          <w:p w14:paraId="2C9ADF1C" w14:textId="77777777" w:rsidR="004B026D" w:rsidRPr="00445EAE" w:rsidRDefault="004B026D" w:rsidP="006F712F">
            <w:pPr>
              <w:jc w:val="center"/>
            </w:pPr>
            <w:r w:rsidRPr="00445EAE">
              <w:t>4,877</w:t>
            </w:r>
          </w:p>
          <w:p w14:paraId="4C6DFB74" w14:textId="77777777" w:rsidR="004B026D" w:rsidRPr="00445EAE" w:rsidRDefault="004B026D" w:rsidP="006F712F">
            <w:pPr>
              <w:jc w:val="center"/>
            </w:pPr>
            <w:r w:rsidRPr="00445EAE">
              <w:t>(</w:t>
            </w:r>
            <w:r>
              <w:t>12.3</w:t>
            </w:r>
            <w:r w:rsidRPr="00445EAE">
              <w:t>%)</w:t>
            </w:r>
          </w:p>
        </w:tc>
        <w:tc>
          <w:tcPr>
            <w:tcW w:w="1495" w:type="dxa"/>
            <w:vAlign w:val="center"/>
          </w:tcPr>
          <w:p w14:paraId="32547984" w14:textId="77777777" w:rsidR="004B026D" w:rsidRPr="00445EAE" w:rsidRDefault="004B026D" w:rsidP="006F712F">
            <w:pPr>
              <w:jc w:val="center"/>
            </w:pPr>
            <w:r>
              <w:t>39,649</w:t>
            </w:r>
          </w:p>
        </w:tc>
      </w:tr>
    </w:tbl>
    <w:p w14:paraId="50EE21AE" w14:textId="5A8EF8E2" w:rsidR="004B026D" w:rsidRPr="004B026D" w:rsidRDefault="004B026D" w:rsidP="006F712F">
      <w:pPr>
        <w:pStyle w:val="Heading4"/>
        <w:spacing w:before="240" w:after="240"/>
        <w:rPr>
          <w:rFonts w:ascii="Arial" w:hAnsi="Arial" w:cs="Arial"/>
          <w:b/>
          <w:i w:val="0"/>
          <w:color w:val="auto"/>
        </w:rPr>
      </w:pPr>
      <w:r w:rsidRPr="004B026D">
        <w:rPr>
          <w:rFonts w:ascii="Arial" w:hAnsi="Arial" w:cs="Arial"/>
          <w:b/>
          <w:i w:val="0"/>
          <w:color w:val="auto"/>
        </w:rPr>
        <w:t>Analysis of Results</w:t>
      </w:r>
    </w:p>
    <w:p w14:paraId="3B40D364" w14:textId="0B0D0448" w:rsidR="00D7604B" w:rsidRPr="00BA55E6" w:rsidRDefault="00D7604B" w:rsidP="009360F1">
      <w:pPr>
        <w:spacing w:after="240"/>
      </w:pPr>
      <w:r w:rsidRPr="00BA55E6">
        <w:t xml:space="preserve">Based on the data, the articulation of </w:t>
      </w:r>
      <w:r w:rsidR="004B026D" w:rsidRPr="00BA55E6">
        <w:t xml:space="preserve">CTE </w:t>
      </w:r>
      <w:r w:rsidRPr="00BA55E6">
        <w:t xml:space="preserve">courses </w:t>
      </w:r>
      <w:r w:rsidR="006625C2" w:rsidRPr="00BA55E6">
        <w:t xml:space="preserve">does not </w:t>
      </w:r>
      <w:r w:rsidRPr="00BA55E6">
        <w:t>provide a better measure of career and college preparedness than do non-articulated CTE courses. Therefore, the CDE does not recommend that this measure be added to the CCI.</w:t>
      </w:r>
    </w:p>
    <w:p w14:paraId="3FD53D37" w14:textId="356C3656" w:rsidR="00D7604B" w:rsidRPr="004B026D" w:rsidRDefault="00D7604B" w:rsidP="009360F1">
      <w:pPr>
        <w:pStyle w:val="Heading4"/>
        <w:spacing w:before="0" w:after="240"/>
        <w:rPr>
          <w:rFonts w:ascii="Arial" w:hAnsi="Arial" w:cs="Arial"/>
          <w:b/>
          <w:i w:val="0"/>
          <w:color w:val="auto"/>
        </w:rPr>
      </w:pPr>
      <w:r>
        <w:rPr>
          <w:rFonts w:ascii="Arial" w:hAnsi="Arial" w:cs="Arial"/>
          <w:b/>
          <w:i w:val="0"/>
          <w:color w:val="auto"/>
        </w:rPr>
        <w:t xml:space="preserve">Stakeholder Feedback </w:t>
      </w:r>
    </w:p>
    <w:p w14:paraId="59965E20" w14:textId="0254EFA0" w:rsidR="00CA64F8" w:rsidRPr="00CA64F8" w:rsidRDefault="00D7604B" w:rsidP="00F33084">
      <w:pPr>
        <w:spacing w:after="240"/>
        <w:rPr>
          <w:rFonts w:cs="Arial"/>
        </w:rPr>
      </w:pPr>
      <w:r>
        <w:rPr>
          <w:rFonts w:cs="Arial"/>
        </w:rPr>
        <w:t xml:space="preserve">This information was shared with the Task Force, the LCFF Stakeholder Group, CPAG and TDG. All groups agreed with the CDE recommendation to not </w:t>
      </w:r>
      <w:r w:rsidR="001B243F">
        <w:rPr>
          <w:rFonts w:cs="Arial"/>
        </w:rPr>
        <w:t>treat CTE pathways with articulate</w:t>
      </w:r>
      <w:r w:rsidR="00CC428C">
        <w:rPr>
          <w:rFonts w:cs="Arial"/>
        </w:rPr>
        <w:t>d</w:t>
      </w:r>
      <w:r w:rsidR="001B243F">
        <w:rPr>
          <w:rFonts w:cs="Arial"/>
        </w:rPr>
        <w:t xml:space="preserve"> courses any different than CTE pathways with no articulated course.</w:t>
      </w:r>
      <w:r>
        <w:rPr>
          <w:rFonts w:cs="Arial"/>
        </w:rPr>
        <w:t xml:space="preserve"> </w:t>
      </w:r>
    </w:p>
    <w:p w14:paraId="3C2F672C" w14:textId="77777777" w:rsidR="00F75F6C" w:rsidRDefault="00F75F6C" w:rsidP="009360F1">
      <w:pPr>
        <w:pStyle w:val="Heading2"/>
        <w:spacing w:before="0" w:after="240"/>
        <w:rPr>
          <w:sz w:val="32"/>
          <w:szCs w:val="32"/>
        </w:rPr>
        <w:sectPr w:rsidR="00F75F6C" w:rsidSect="009360F1">
          <w:headerReference w:type="default" r:id="rId32"/>
          <w:headerReference w:type="first" r:id="rId33"/>
          <w:pgSz w:w="12240" w:h="15840"/>
          <w:pgMar w:top="720" w:right="1440" w:bottom="1440" w:left="1440" w:header="720" w:footer="720" w:gutter="0"/>
          <w:pgNumType w:start="1"/>
          <w:cols w:space="720"/>
          <w:docGrid w:linePitch="326"/>
        </w:sectPr>
      </w:pPr>
    </w:p>
    <w:p w14:paraId="12C5D680" w14:textId="15D8E0A9" w:rsidR="00DE6820" w:rsidRDefault="00F94B01" w:rsidP="006F712F">
      <w:pPr>
        <w:pStyle w:val="Heading2"/>
        <w:spacing w:before="0" w:after="240"/>
        <w:rPr>
          <w:sz w:val="32"/>
          <w:szCs w:val="32"/>
        </w:rPr>
      </w:pPr>
      <w:r w:rsidRPr="00F94B01">
        <w:rPr>
          <w:sz w:val="32"/>
          <w:szCs w:val="32"/>
        </w:rPr>
        <w:lastRenderedPageBreak/>
        <w:t>Attachment 4: Proposed Cut Scores for the One-Year Graduation Rate</w:t>
      </w:r>
    </w:p>
    <w:p w14:paraId="46916817" w14:textId="5A83C7EF" w:rsidR="008D6A92" w:rsidRDefault="00FF08E6" w:rsidP="006F712F">
      <w:pPr>
        <w:tabs>
          <w:tab w:val="num" w:pos="720"/>
          <w:tab w:val="num" w:pos="1440"/>
        </w:tabs>
        <w:spacing w:after="240"/>
      </w:pPr>
      <w:r w:rsidRPr="008D6A92">
        <w:t>The</w:t>
      </w:r>
      <w:r w:rsidR="006F712F">
        <w:t xml:space="preserve"> California School Dashboard</w:t>
      </w:r>
      <w:r w:rsidRPr="008D6A92">
        <w:t xml:space="preserve"> </w:t>
      </w:r>
      <w:r w:rsidR="006F712F">
        <w:t>(</w:t>
      </w:r>
      <w:r w:rsidRPr="008D6A92">
        <w:t>Dashboard</w:t>
      </w:r>
      <w:r w:rsidR="006F712F">
        <w:t>)</w:t>
      </w:r>
      <w:r w:rsidRPr="008D6A92">
        <w:t xml:space="preserve"> currently uses </w:t>
      </w:r>
      <w:r w:rsidR="008D6A92">
        <w:t>the</w:t>
      </w:r>
      <w:r w:rsidRPr="008D6A92">
        <w:t xml:space="preserve"> </w:t>
      </w:r>
      <w:r w:rsidRPr="006F712F">
        <w:rPr>
          <w:b/>
          <w:bCs/>
        </w:rPr>
        <w:t>four-year</w:t>
      </w:r>
      <w:r w:rsidRPr="008D6A92">
        <w:rPr>
          <w:b/>
          <w:bCs/>
        </w:rPr>
        <w:t xml:space="preserve"> </w:t>
      </w:r>
      <w:r w:rsidRPr="008D6A92">
        <w:t xml:space="preserve">cohort graduation rate for the Graduation Rate Indicator for non-alternative schools. </w:t>
      </w:r>
      <w:r w:rsidR="008D6A92">
        <w:t xml:space="preserve">Because students in </w:t>
      </w:r>
      <w:r w:rsidR="001B243F">
        <w:t>Dashboard Alternative School Status (</w:t>
      </w:r>
      <w:r w:rsidR="008D6A92">
        <w:t>DASS</w:t>
      </w:r>
      <w:r w:rsidR="001B243F">
        <w:t>)</w:t>
      </w:r>
      <w:r w:rsidR="008D6A92">
        <w:t xml:space="preserve"> schools are highly mobile and credit deficient, using the four-year cohort is not an appropriate </w:t>
      </w:r>
      <w:r w:rsidR="00560A48">
        <w:t xml:space="preserve">measure of the impact that these schools </w:t>
      </w:r>
      <w:r w:rsidR="001B243F">
        <w:t>have</w:t>
      </w:r>
      <w:r w:rsidR="00560A48">
        <w:t xml:space="preserve"> on their students. T</w:t>
      </w:r>
      <w:r w:rsidR="008D6A92">
        <w:t xml:space="preserve">herefore, the </w:t>
      </w:r>
      <w:r w:rsidR="008D6A92" w:rsidRPr="008D6A92">
        <w:t>California Advisory Task Force for Alternative Schools (Task Force)</w:t>
      </w:r>
      <w:r w:rsidR="008D6A92">
        <w:t xml:space="preserve"> proposed the use of a </w:t>
      </w:r>
      <w:r w:rsidRPr="008D6A92">
        <w:rPr>
          <w:b/>
          <w:bCs/>
        </w:rPr>
        <w:t>one-year</w:t>
      </w:r>
      <w:r w:rsidRPr="008D6A92">
        <w:t xml:space="preserve"> graduation rate for DASS schools. </w:t>
      </w:r>
      <w:r w:rsidR="008D6A92">
        <w:t xml:space="preserve">The calculation methodology of the one-year rate was approved by the </w:t>
      </w:r>
      <w:r w:rsidR="006F712F">
        <w:t>State Board of Education (</w:t>
      </w:r>
      <w:r w:rsidR="008D6A92">
        <w:t>SBE</w:t>
      </w:r>
      <w:r w:rsidR="006F712F">
        <w:t>)</w:t>
      </w:r>
      <w:r w:rsidR="008D6A92">
        <w:t xml:space="preserve"> at their </w:t>
      </w:r>
      <w:r w:rsidR="00560A48" w:rsidRPr="00533BD4">
        <w:t>May 2018</w:t>
      </w:r>
      <w:r w:rsidR="00560A48">
        <w:t xml:space="preserve"> </w:t>
      </w:r>
      <w:r w:rsidR="006F712F">
        <w:t>meeting.</w:t>
      </w:r>
    </w:p>
    <w:p w14:paraId="229E3946" w14:textId="47EE569E" w:rsidR="00FF08E6" w:rsidRDefault="00FF08E6" w:rsidP="006F712F">
      <w:pPr>
        <w:tabs>
          <w:tab w:val="num" w:pos="720"/>
          <w:tab w:val="num" w:pos="1440"/>
        </w:tabs>
        <w:spacing w:after="240"/>
      </w:pPr>
      <w:r w:rsidRPr="00560A48">
        <w:t xml:space="preserve">The Task Force </w:t>
      </w:r>
      <w:r w:rsidR="001B243F">
        <w:t xml:space="preserve">also </w:t>
      </w:r>
      <w:r w:rsidRPr="00560A48">
        <w:t xml:space="preserve">recommended </w:t>
      </w:r>
      <w:r w:rsidR="001B243F">
        <w:t xml:space="preserve">that </w:t>
      </w:r>
      <w:r w:rsidRPr="00560A48">
        <w:t xml:space="preserve">Status and Change cut scores </w:t>
      </w:r>
      <w:r w:rsidR="001B243F">
        <w:t xml:space="preserve">be established </w:t>
      </w:r>
      <w:r w:rsidRPr="00560A48">
        <w:t>based on one-year results for graduating classes 2016 and 2017</w:t>
      </w:r>
      <w:r w:rsidR="00560A48">
        <w:t xml:space="preserve">. </w:t>
      </w:r>
      <w:r w:rsidRPr="00560A48">
        <w:t>For non-DASS schools, cut scores were set based on</w:t>
      </w:r>
      <w:r w:rsidR="006F712F">
        <w:t xml:space="preserve"> local educational agency</w:t>
      </w:r>
      <w:r w:rsidRPr="00560A48">
        <w:t xml:space="preserve"> </w:t>
      </w:r>
      <w:r w:rsidR="006F712F">
        <w:t>(</w:t>
      </w:r>
      <w:r w:rsidRPr="00560A48">
        <w:t>LEA</w:t>
      </w:r>
      <w:r w:rsidR="006F712F">
        <w:t>)-</w:t>
      </w:r>
      <w:r w:rsidRPr="00560A48">
        <w:t xml:space="preserve">level distributions. </w:t>
      </w:r>
      <w:r w:rsidR="00560A48">
        <w:t xml:space="preserve">However, the </w:t>
      </w:r>
      <w:r w:rsidRPr="00560A48">
        <w:t>cut scores</w:t>
      </w:r>
      <w:r w:rsidR="00560A48">
        <w:t xml:space="preserve"> for DASS schools were set </w:t>
      </w:r>
      <w:r w:rsidRPr="00560A48">
        <w:t>based on</w:t>
      </w:r>
      <w:r w:rsidR="001B243F">
        <w:t xml:space="preserve"> the DASS</w:t>
      </w:r>
      <w:r w:rsidRPr="00560A48">
        <w:t xml:space="preserve"> school-level distributions. </w:t>
      </w:r>
      <w:r w:rsidR="00560A48">
        <w:t>Tables 1 and 2</w:t>
      </w:r>
      <w:r>
        <w:t xml:space="preserve"> c</w:t>
      </w:r>
      <w:r w:rsidR="006F712F">
        <w:t>ontain the proposed cut scores.</w:t>
      </w:r>
    </w:p>
    <w:p w14:paraId="666B9332" w14:textId="3FDF7AF7" w:rsidR="00FF08E6" w:rsidRPr="00BB765F" w:rsidRDefault="00FF08E6" w:rsidP="00BB765F">
      <w:pPr>
        <w:spacing w:after="240"/>
        <w:rPr>
          <w:b/>
        </w:rPr>
      </w:pPr>
      <w:r w:rsidRPr="00BB765F">
        <w:rPr>
          <w:b/>
        </w:rPr>
        <w:t>Table 1: Proposed St</w:t>
      </w:r>
      <w:r w:rsidR="006F712F" w:rsidRPr="00BB765F">
        <w:rPr>
          <w:b/>
        </w:rPr>
        <w:t>atus Cut Scores</w:t>
      </w:r>
    </w:p>
    <w:tbl>
      <w:tblPr>
        <w:tblStyle w:val="TableGrid"/>
        <w:tblW w:w="5000" w:type="pct"/>
        <w:tblLook w:val="04A0" w:firstRow="1" w:lastRow="0" w:firstColumn="1" w:lastColumn="0" w:noHBand="0" w:noVBand="1"/>
        <w:tblDescription w:val="Proposed Status Cut Scores"/>
      </w:tblPr>
      <w:tblGrid>
        <w:gridCol w:w="2481"/>
        <w:gridCol w:w="6869"/>
      </w:tblGrid>
      <w:tr w:rsidR="00FF08E6" w14:paraId="45D27A7B" w14:textId="77777777" w:rsidTr="006F712F">
        <w:trPr>
          <w:tblHeader/>
        </w:trPr>
        <w:tc>
          <w:tcPr>
            <w:tcW w:w="1327" w:type="pct"/>
            <w:shd w:val="clear" w:color="auto" w:fill="D9D9D9" w:themeFill="background1" w:themeFillShade="D9"/>
            <w:vAlign w:val="center"/>
          </w:tcPr>
          <w:p w14:paraId="1223AC18" w14:textId="3162313E" w:rsidR="00FF08E6" w:rsidRDefault="00FF08E6" w:rsidP="006F712F">
            <w:pPr>
              <w:jc w:val="center"/>
            </w:pPr>
            <w:r w:rsidRPr="00FF08E6">
              <w:rPr>
                <w:rFonts w:cs="Arial"/>
                <w:b/>
                <w:bCs/>
                <w:kern w:val="24"/>
              </w:rPr>
              <w:t>Status Level</w:t>
            </w:r>
          </w:p>
        </w:tc>
        <w:tc>
          <w:tcPr>
            <w:tcW w:w="3673" w:type="pct"/>
            <w:shd w:val="clear" w:color="auto" w:fill="D9D9D9" w:themeFill="background1" w:themeFillShade="D9"/>
            <w:vAlign w:val="center"/>
          </w:tcPr>
          <w:p w14:paraId="7D8DD933" w14:textId="1F07F3D6" w:rsidR="00FF08E6" w:rsidRDefault="00FF08E6" w:rsidP="006F712F">
            <w:pPr>
              <w:jc w:val="center"/>
            </w:pPr>
            <w:r w:rsidRPr="00FF08E6">
              <w:rPr>
                <w:rFonts w:cs="Arial"/>
                <w:b/>
                <w:bCs/>
                <w:kern w:val="24"/>
              </w:rPr>
              <w:t>Recommended Status Cut Scores</w:t>
            </w:r>
          </w:p>
        </w:tc>
      </w:tr>
      <w:tr w:rsidR="00FF08E6" w14:paraId="4AC6402C" w14:textId="77777777" w:rsidTr="006F712F">
        <w:tc>
          <w:tcPr>
            <w:tcW w:w="1327" w:type="pct"/>
            <w:vAlign w:val="center"/>
          </w:tcPr>
          <w:p w14:paraId="36B18B63" w14:textId="79F316DE" w:rsidR="00FF08E6" w:rsidRDefault="00FF08E6" w:rsidP="006F712F">
            <w:pPr>
              <w:jc w:val="center"/>
            </w:pPr>
            <w:r w:rsidRPr="00FF08E6">
              <w:rPr>
                <w:rFonts w:cs="Arial"/>
                <w:color w:val="000000"/>
                <w:kern w:val="24"/>
              </w:rPr>
              <w:t>Very Low</w:t>
            </w:r>
          </w:p>
        </w:tc>
        <w:tc>
          <w:tcPr>
            <w:tcW w:w="3673" w:type="pct"/>
            <w:vAlign w:val="center"/>
          </w:tcPr>
          <w:p w14:paraId="543D3279" w14:textId="3E39F031" w:rsidR="00FF08E6" w:rsidRDefault="00FF08E6" w:rsidP="006F712F">
            <w:pPr>
              <w:jc w:val="center"/>
            </w:pPr>
            <w:r w:rsidRPr="00FF08E6">
              <w:rPr>
                <w:rFonts w:cs="Arial"/>
                <w:color w:val="000000"/>
                <w:kern w:val="24"/>
              </w:rPr>
              <w:t>Graduation rate is less than 67%</w:t>
            </w:r>
          </w:p>
        </w:tc>
      </w:tr>
      <w:tr w:rsidR="00FF08E6" w14:paraId="59A59FF5" w14:textId="77777777" w:rsidTr="006F712F">
        <w:tc>
          <w:tcPr>
            <w:tcW w:w="1327" w:type="pct"/>
            <w:vAlign w:val="center"/>
          </w:tcPr>
          <w:p w14:paraId="3298A742" w14:textId="771A1208" w:rsidR="00FF08E6" w:rsidRDefault="00FF08E6" w:rsidP="006F712F">
            <w:pPr>
              <w:jc w:val="center"/>
            </w:pPr>
            <w:r w:rsidRPr="00FF08E6">
              <w:rPr>
                <w:rFonts w:cs="Arial"/>
                <w:color w:val="000000"/>
                <w:kern w:val="24"/>
              </w:rPr>
              <w:t>Low</w:t>
            </w:r>
          </w:p>
        </w:tc>
        <w:tc>
          <w:tcPr>
            <w:tcW w:w="3673" w:type="pct"/>
            <w:vAlign w:val="center"/>
          </w:tcPr>
          <w:p w14:paraId="25556F90" w14:textId="3E32C01B" w:rsidR="00FF08E6" w:rsidRDefault="00FF08E6" w:rsidP="006F712F">
            <w:pPr>
              <w:jc w:val="center"/>
            </w:pPr>
            <w:r w:rsidRPr="00FF08E6">
              <w:rPr>
                <w:rFonts w:cs="Arial"/>
                <w:color w:val="000000"/>
                <w:kern w:val="24"/>
              </w:rPr>
              <w:t>Graduation rate is 67% to less than 70%</w:t>
            </w:r>
          </w:p>
        </w:tc>
      </w:tr>
      <w:tr w:rsidR="00FF08E6" w14:paraId="6766AF89" w14:textId="77777777" w:rsidTr="006F712F">
        <w:tc>
          <w:tcPr>
            <w:tcW w:w="1327" w:type="pct"/>
            <w:vAlign w:val="center"/>
          </w:tcPr>
          <w:p w14:paraId="41F66022" w14:textId="33E1A7C0" w:rsidR="00FF08E6" w:rsidRDefault="00FF08E6" w:rsidP="006F712F">
            <w:pPr>
              <w:jc w:val="center"/>
            </w:pPr>
            <w:r w:rsidRPr="00FF08E6">
              <w:rPr>
                <w:rFonts w:cs="Arial"/>
                <w:color w:val="000000"/>
                <w:kern w:val="24"/>
              </w:rPr>
              <w:t>Medium</w:t>
            </w:r>
          </w:p>
        </w:tc>
        <w:tc>
          <w:tcPr>
            <w:tcW w:w="3673" w:type="pct"/>
            <w:vAlign w:val="center"/>
          </w:tcPr>
          <w:p w14:paraId="23D2C1EF" w14:textId="72ED4C76" w:rsidR="00FF08E6" w:rsidRDefault="00FF08E6" w:rsidP="006F712F">
            <w:pPr>
              <w:jc w:val="center"/>
            </w:pPr>
            <w:r w:rsidRPr="00FF08E6">
              <w:rPr>
                <w:rFonts w:cs="Arial"/>
                <w:color w:val="000000"/>
                <w:kern w:val="24"/>
              </w:rPr>
              <w:t>Graduation rate is 70% to less than 80%</w:t>
            </w:r>
          </w:p>
        </w:tc>
      </w:tr>
      <w:tr w:rsidR="00FF08E6" w14:paraId="0A4D10A2" w14:textId="77777777" w:rsidTr="006F712F">
        <w:tc>
          <w:tcPr>
            <w:tcW w:w="1327" w:type="pct"/>
            <w:vAlign w:val="center"/>
          </w:tcPr>
          <w:p w14:paraId="69690012" w14:textId="20235D96" w:rsidR="00FF08E6" w:rsidRDefault="00FF08E6" w:rsidP="006F712F">
            <w:pPr>
              <w:jc w:val="center"/>
            </w:pPr>
            <w:r w:rsidRPr="00FF08E6">
              <w:rPr>
                <w:rFonts w:cs="Arial"/>
                <w:color w:val="000000"/>
                <w:kern w:val="24"/>
              </w:rPr>
              <w:t>High</w:t>
            </w:r>
          </w:p>
        </w:tc>
        <w:tc>
          <w:tcPr>
            <w:tcW w:w="3673" w:type="pct"/>
            <w:vAlign w:val="center"/>
          </w:tcPr>
          <w:p w14:paraId="7C34A28E" w14:textId="1D7DB608" w:rsidR="00FF08E6" w:rsidRDefault="00FF08E6" w:rsidP="006F712F">
            <w:pPr>
              <w:jc w:val="center"/>
            </w:pPr>
            <w:r w:rsidRPr="00FF08E6">
              <w:rPr>
                <w:rFonts w:cs="Arial"/>
                <w:color w:val="000000"/>
                <w:kern w:val="24"/>
              </w:rPr>
              <w:t>Graduation rate is 80% to less than 90%</w:t>
            </w:r>
          </w:p>
        </w:tc>
      </w:tr>
      <w:tr w:rsidR="00FF08E6" w14:paraId="06DBC9E6" w14:textId="77777777" w:rsidTr="006F712F">
        <w:tc>
          <w:tcPr>
            <w:tcW w:w="1327" w:type="pct"/>
            <w:vAlign w:val="center"/>
          </w:tcPr>
          <w:p w14:paraId="4983D1D2" w14:textId="36766F2E" w:rsidR="00FF08E6" w:rsidRDefault="00FF08E6" w:rsidP="006F712F">
            <w:pPr>
              <w:jc w:val="center"/>
            </w:pPr>
            <w:r w:rsidRPr="00FF08E6">
              <w:rPr>
                <w:rFonts w:cs="Arial"/>
                <w:color w:val="000000"/>
                <w:kern w:val="24"/>
              </w:rPr>
              <w:t>Very High</w:t>
            </w:r>
          </w:p>
        </w:tc>
        <w:tc>
          <w:tcPr>
            <w:tcW w:w="3673" w:type="pct"/>
            <w:vAlign w:val="center"/>
          </w:tcPr>
          <w:p w14:paraId="61153D41" w14:textId="47878E99" w:rsidR="00FF08E6" w:rsidRDefault="00FF08E6" w:rsidP="006F712F">
            <w:pPr>
              <w:jc w:val="center"/>
            </w:pPr>
            <w:r w:rsidRPr="00FF08E6">
              <w:rPr>
                <w:rFonts w:cs="Arial"/>
                <w:color w:val="000000"/>
                <w:kern w:val="24"/>
              </w:rPr>
              <w:t>Graduation rate is 90% or greater</w:t>
            </w:r>
          </w:p>
        </w:tc>
      </w:tr>
    </w:tbl>
    <w:p w14:paraId="02ACD5E7" w14:textId="4B1D1E04" w:rsidR="00FF08E6" w:rsidRPr="00BB765F" w:rsidRDefault="00FF08E6" w:rsidP="00BB765F">
      <w:pPr>
        <w:spacing w:before="240" w:after="240"/>
        <w:rPr>
          <w:b/>
        </w:rPr>
      </w:pPr>
      <w:r w:rsidRPr="00BB765F">
        <w:rPr>
          <w:b/>
        </w:rPr>
        <w:t xml:space="preserve">Table 2: Proposed Change Cut Scores </w:t>
      </w:r>
    </w:p>
    <w:tbl>
      <w:tblPr>
        <w:tblStyle w:val="TableGrid"/>
        <w:tblW w:w="5000" w:type="pct"/>
        <w:tblLook w:val="04A0" w:firstRow="1" w:lastRow="0" w:firstColumn="1" w:lastColumn="0" w:noHBand="0" w:noVBand="1"/>
        <w:tblDescription w:val="Proposed Change Cut Scores "/>
      </w:tblPr>
      <w:tblGrid>
        <w:gridCol w:w="2842"/>
        <w:gridCol w:w="6508"/>
      </w:tblGrid>
      <w:tr w:rsidR="00FF08E6" w:rsidRPr="00FF08E6" w14:paraId="389311DF" w14:textId="77777777" w:rsidTr="006F712F">
        <w:trPr>
          <w:tblHeader/>
        </w:trPr>
        <w:tc>
          <w:tcPr>
            <w:tcW w:w="1520" w:type="pct"/>
            <w:shd w:val="clear" w:color="auto" w:fill="D9D9D9" w:themeFill="background1" w:themeFillShade="D9"/>
            <w:vAlign w:val="center"/>
          </w:tcPr>
          <w:p w14:paraId="3B96A0C9" w14:textId="53CB6B37" w:rsidR="00FF08E6" w:rsidRPr="00FF08E6" w:rsidRDefault="00FF08E6" w:rsidP="006F712F">
            <w:pPr>
              <w:jc w:val="center"/>
            </w:pPr>
            <w:r w:rsidRPr="00FF08E6">
              <w:rPr>
                <w:rFonts w:cs="Arial"/>
                <w:b/>
                <w:bCs/>
                <w:kern w:val="24"/>
              </w:rPr>
              <w:t>Change Level</w:t>
            </w:r>
          </w:p>
        </w:tc>
        <w:tc>
          <w:tcPr>
            <w:tcW w:w="3480" w:type="pct"/>
            <w:shd w:val="clear" w:color="auto" w:fill="D9D9D9" w:themeFill="background1" w:themeFillShade="D9"/>
            <w:vAlign w:val="center"/>
          </w:tcPr>
          <w:p w14:paraId="1CA31CC2" w14:textId="41A6832C" w:rsidR="00FF08E6" w:rsidRPr="00FF08E6" w:rsidRDefault="00FF08E6" w:rsidP="007501DD">
            <w:pPr>
              <w:jc w:val="center"/>
            </w:pPr>
            <w:r w:rsidRPr="00FF08E6">
              <w:rPr>
                <w:rFonts w:cs="Arial"/>
                <w:b/>
                <w:bCs/>
                <w:kern w:val="24"/>
              </w:rPr>
              <w:t xml:space="preserve">Recommended </w:t>
            </w:r>
            <w:r w:rsidR="007501DD">
              <w:rPr>
                <w:rFonts w:cs="Arial"/>
                <w:b/>
                <w:bCs/>
                <w:kern w:val="24"/>
              </w:rPr>
              <w:t>Change</w:t>
            </w:r>
            <w:r w:rsidRPr="00FF08E6">
              <w:rPr>
                <w:rFonts w:cs="Arial"/>
                <w:b/>
                <w:bCs/>
                <w:kern w:val="24"/>
              </w:rPr>
              <w:t xml:space="preserve"> Cut Scores</w:t>
            </w:r>
          </w:p>
        </w:tc>
      </w:tr>
      <w:tr w:rsidR="00FF08E6" w:rsidRPr="00FF08E6" w14:paraId="172C0BD2" w14:textId="77777777" w:rsidTr="006F712F">
        <w:tc>
          <w:tcPr>
            <w:tcW w:w="1520" w:type="pct"/>
            <w:vAlign w:val="center"/>
          </w:tcPr>
          <w:p w14:paraId="7D217837" w14:textId="3212118E" w:rsidR="00FF08E6" w:rsidRPr="00FF08E6" w:rsidRDefault="00FF08E6" w:rsidP="006F712F">
            <w:pPr>
              <w:jc w:val="center"/>
            </w:pPr>
            <w:r w:rsidRPr="00FF08E6">
              <w:rPr>
                <w:rFonts w:cs="Arial"/>
                <w:color w:val="000000" w:themeColor="dark1"/>
                <w:kern w:val="24"/>
              </w:rPr>
              <w:t>Declined Significantly</w:t>
            </w:r>
          </w:p>
        </w:tc>
        <w:tc>
          <w:tcPr>
            <w:tcW w:w="3480" w:type="pct"/>
            <w:vAlign w:val="center"/>
          </w:tcPr>
          <w:p w14:paraId="080DDEE1" w14:textId="4FC055E0" w:rsidR="00FF08E6" w:rsidRPr="00FF08E6" w:rsidRDefault="00FF08E6" w:rsidP="006F712F">
            <w:pPr>
              <w:jc w:val="center"/>
            </w:pPr>
            <w:r w:rsidRPr="00FF08E6">
              <w:rPr>
                <w:rFonts w:cs="Arial"/>
                <w:color w:val="000000" w:themeColor="dark1"/>
                <w:kern w:val="24"/>
              </w:rPr>
              <w:t>Graduation rate declined by more than 10%</w:t>
            </w:r>
          </w:p>
        </w:tc>
      </w:tr>
      <w:tr w:rsidR="00FF08E6" w:rsidRPr="00FF08E6" w14:paraId="0E5AFB14" w14:textId="77777777" w:rsidTr="006F712F">
        <w:tc>
          <w:tcPr>
            <w:tcW w:w="1520" w:type="pct"/>
            <w:vAlign w:val="center"/>
          </w:tcPr>
          <w:p w14:paraId="0FCE45F8" w14:textId="7B7D24C7" w:rsidR="00FF08E6" w:rsidRPr="00FF08E6" w:rsidRDefault="00FF08E6" w:rsidP="006F712F">
            <w:pPr>
              <w:jc w:val="center"/>
            </w:pPr>
            <w:r w:rsidRPr="00FF08E6">
              <w:rPr>
                <w:rFonts w:cs="Arial"/>
                <w:color w:val="000000" w:themeColor="dark1"/>
                <w:kern w:val="24"/>
              </w:rPr>
              <w:t>Declined</w:t>
            </w:r>
          </w:p>
        </w:tc>
        <w:tc>
          <w:tcPr>
            <w:tcW w:w="3480" w:type="pct"/>
            <w:vAlign w:val="center"/>
          </w:tcPr>
          <w:p w14:paraId="775EE3ED" w14:textId="0AF8D856" w:rsidR="00FF08E6" w:rsidRPr="00FF08E6" w:rsidRDefault="00FF08E6" w:rsidP="006F712F">
            <w:pPr>
              <w:jc w:val="center"/>
            </w:pPr>
            <w:r w:rsidRPr="00FF08E6">
              <w:rPr>
                <w:rFonts w:cs="Arial"/>
                <w:color w:val="000000" w:themeColor="dark1"/>
                <w:kern w:val="24"/>
              </w:rPr>
              <w:t>Graduation rate declined by 3% to 10%</w:t>
            </w:r>
          </w:p>
        </w:tc>
      </w:tr>
      <w:tr w:rsidR="00FF08E6" w:rsidRPr="00FF08E6" w14:paraId="64DA5B7E" w14:textId="77777777" w:rsidTr="006F712F">
        <w:tc>
          <w:tcPr>
            <w:tcW w:w="1520" w:type="pct"/>
            <w:vAlign w:val="center"/>
          </w:tcPr>
          <w:p w14:paraId="535EEB08" w14:textId="11A0F178" w:rsidR="00FF08E6" w:rsidRPr="00FF08E6" w:rsidRDefault="00FF08E6" w:rsidP="006F712F">
            <w:pPr>
              <w:jc w:val="center"/>
            </w:pPr>
            <w:r w:rsidRPr="00FF08E6">
              <w:rPr>
                <w:rFonts w:cs="Arial"/>
                <w:color w:val="000000" w:themeColor="dark1"/>
                <w:kern w:val="24"/>
              </w:rPr>
              <w:t>Maintained</w:t>
            </w:r>
          </w:p>
        </w:tc>
        <w:tc>
          <w:tcPr>
            <w:tcW w:w="3480" w:type="pct"/>
            <w:vAlign w:val="center"/>
          </w:tcPr>
          <w:p w14:paraId="7B6B77A8" w14:textId="7DA6F71E" w:rsidR="00FF08E6" w:rsidRPr="00FF08E6" w:rsidRDefault="00FF08E6" w:rsidP="006F712F">
            <w:pPr>
              <w:jc w:val="center"/>
            </w:pPr>
            <w:r w:rsidRPr="00FF08E6">
              <w:rPr>
                <w:rFonts w:cs="Arial"/>
                <w:color w:val="000000" w:themeColor="dark1"/>
                <w:kern w:val="24"/>
              </w:rPr>
              <w:t>Graduation rate declined or increased by less than 3%</w:t>
            </w:r>
          </w:p>
        </w:tc>
      </w:tr>
      <w:tr w:rsidR="00FF08E6" w:rsidRPr="00FF08E6" w14:paraId="66ED4C31" w14:textId="77777777" w:rsidTr="006F712F">
        <w:tc>
          <w:tcPr>
            <w:tcW w:w="1520" w:type="pct"/>
            <w:vAlign w:val="center"/>
          </w:tcPr>
          <w:p w14:paraId="27F4ED88" w14:textId="3F933F5D" w:rsidR="00FF08E6" w:rsidRPr="00FF08E6" w:rsidRDefault="00FF08E6" w:rsidP="006F712F">
            <w:pPr>
              <w:jc w:val="center"/>
            </w:pPr>
            <w:r w:rsidRPr="00FF08E6">
              <w:rPr>
                <w:rFonts w:cs="Arial"/>
                <w:color w:val="000000" w:themeColor="dark1"/>
                <w:kern w:val="24"/>
              </w:rPr>
              <w:t>Increased</w:t>
            </w:r>
          </w:p>
        </w:tc>
        <w:tc>
          <w:tcPr>
            <w:tcW w:w="3480" w:type="pct"/>
            <w:vAlign w:val="center"/>
          </w:tcPr>
          <w:p w14:paraId="7A493E70" w14:textId="07902068" w:rsidR="00FF08E6" w:rsidRPr="00FF08E6" w:rsidRDefault="00FF08E6" w:rsidP="006F712F">
            <w:pPr>
              <w:jc w:val="center"/>
            </w:pPr>
            <w:r w:rsidRPr="00FF08E6">
              <w:rPr>
                <w:rFonts w:cs="Arial"/>
                <w:color w:val="000000" w:themeColor="dark1"/>
                <w:kern w:val="24"/>
              </w:rPr>
              <w:t>Graduation rate increased by 3% to less than 10%</w:t>
            </w:r>
          </w:p>
        </w:tc>
      </w:tr>
      <w:tr w:rsidR="00FF08E6" w:rsidRPr="00FF08E6" w14:paraId="6BE908A4" w14:textId="77777777" w:rsidTr="006F712F">
        <w:tc>
          <w:tcPr>
            <w:tcW w:w="1520" w:type="pct"/>
            <w:vAlign w:val="center"/>
          </w:tcPr>
          <w:p w14:paraId="3890D73B" w14:textId="098C8B56" w:rsidR="00FF08E6" w:rsidRPr="00FF08E6" w:rsidRDefault="00FF08E6" w:rsidP="006F712F">
            <w:pPr>
              <w:jc w:val="center"/>
            </w:pPr>
            <w:r w:rsidRPr="00FF08E6">
              <w:rPr>
                <w:rFonts w:cs="Arial"/>
                <w:color w:val="000000" w:themeColor="dark1"/>
                <w:kern w:val="24"/>
              </w:rPr>
              <w:t>Increased Significantly</w:t>
            </w:r>
          </w:p>
        </w:tc>
        <w:tc>
          <w:tcPr>
            <w:tcW w:w="3480" w:type="pct"/>
            <w:vAlign w:val="center"/>
          </w:tcPr>
          <w:p w14:paraId="279DCDB3" w14:textId="38C0EDB8" w:rsidR="00FF08E6" w:rsidRPr="00FF08E6" w:rsidRDefault="00FF08E6" w:rsidP="006F712F">
            <w:pPr>
              <w:jc w:val="center"/>
            </w:pPr>
            <w:r w:rsidRPr="00FF08E6">
              <w:rPr>
                <w:rFonts w:cs="Arial"/>
                <w:color w:val="000000" w:themeColor="dark1"/>
                <w:kern w:val="24"/>
              </w:rPr>
              <w:t>Graduation rate increased by 10% or greater</w:t>
            </w:r>
          </w:p>
        </w:tc>
      </w:tr>
    </w:tbl>
    <w:p w14:paraId="531BCFC7" w14:textId="20AB568E" w:rsidR="00FF08E6" w:rsidRDefault="00FF08E6" w:rsidP="006F712F">
      <w:pPr>
        <w:spacing w:before="240" w:after="240"/>
      </w:pPr>
      <w:r w:rsidRPr="00FF08E6">
        <w:t xml:space="preserve">The same five-by-five colored table approved for the Graduation Rate Indicator will be applied to DASS schools’ one-year graduation rates to determine performance levels. Therefore, similar to the Status cut scores approved for non-DASS schools, the </w:t>
      </w:r>
      <w:r w:rsidRPr="00FF08E6">
        <w:rPr>
          <w:bCs/>
        </w:rPr>
        <w:t xml:space="preserve">Status </w:t>
      </w:r>
      <w:r w:rsidRPr="00FF08E6">
        <w:t>cut scores for “Very Low” are being set at less than 67</w:t>
      </w:r>
      <w:r w:rsidR="009D5336">
        <w:t xml:space="preserve"> percent</w:t>
      </w:r>
      <w:r w:rsidRPr="00FF08E6">
        <w:t xml:space="preserve">. </w:t>
      </w:r>
    </w:p>
    <w:p w14:paraId="0D583BC2" w14:textId="0CF9333B" w:rsidR="00BB765F" w:rsidRDefault="00577AAB" w:rsidP="00BB765F">
      <w:pPr>
        <w:spacing w:after="240"/>
      </w:pPr>
      <w:r>
        <w:t>Table 3 shows the five-by-five colored table with the propose</w:t>
      </w:r>
      <w:r w:rsidR="006F712F">
        <w:t>d Status and Change cut scores.</w:t>
      </w:r>
      <w:r w:rsidR="00BB765F">
        <w:br w:type="page"/>
      </w:r>
    </w:p>
    <w:p w14:paraId="4AB4B051" w14:textId="31931CAB" w:rsidR="00577AAB" w:rsidRPr="00BB765F" w:rsidRDefault="00577AAB" w:rsidP="00BB765F">
      <w:pPr>
        <w:spacing w:before="240" w:after="240"/>
        <w:rPr>
          <w:b/>
        </w:rPr>
      </w:pPr>
      <w:r w:rsidRPr="00BB765F">
        <w:rPr>
          <w:b/>
        </w:rPr>
        <w:lastRenderedPageBreak/>
        <w:t>Table 3: Five-by-Five Colored</w:t>
      </w:r>
      <w:r w:rsidR="006F712F" w:rsidRPr="00BB765F">
        <w:rPr>
          <w:b/>
        </w:rPr>
        <w:t xml:space="preserve"> Table with Proposed Cut Scores</w:t>
      </w:r>
    </w:p>
    <w:tbl>
      <w:tblPr>
        <w:tblStyle w:val="TableGrid"/>
        <w:tblpPr w:leftFromText="180" w:rightFromText="180" w:vertAnchor="text" w:horzAnchor="margin" w:tblpY="161"/>
        <w:tblW w:w="9758" w:type="dxa"/>
        <w:tblLayout w:type="fixed"/>
        <w:tblLook w:val="04A0" w:firstRow="1" w:lastRow="0" w:firstColumn="1" w:lastColumn="0" w:noHBand="0" w:noVBand="1"/>
        <w:tblDescription w:val="Five-by-Five Colored Table with Proposed Cut Scores"/>
      </w:tblPr>
      <w:tblGrid>
        <w:gridCol w:w="1468"/>
        <w:gridCol w:w="1699"/>
        <w:gridCol w:w="1599"/>
        <w:gridCol w:w="1646"/>
        <w:gridCol w:w="1598"/>
        <w:gridCol w:w="1748"/>
      </w:tblGrid>
      <w:tr w:rsidR="00577AAB" w:rsidRPr="007D73AF" w14:paraId="6D38EA07" w14:textId="77777777" w:rsidTr="006F712F">
        <w:trPr>
          <w:trHeight w:val="1343"/>
          <w:tblHeader/>
        </w:trPr>
        <w:tc>
          <w:tcPr>
            <w:tcW w:w="1468" w:type="dxa"/>
            <w:vAlign w:val="center"/>
          </w:tcPr>
          <w:p w14:paraId="70FDB44E" w14:textId="77777777" w:rsidR="00577AAB" w:rsidRPr="007D73AF" w:rsidRDefault="00577AAB" w:rsidP="006F712F">
            <w:pPr>
              <w:jc w:val="center"/>
              <w:rPr>
                <w:rFonts w:cs="Arial"/>
              </w:rPr>
            </w:pPr>
            <w:r>
              <w:rPr>
                <w:rFonts w:cs="Arial"/>
              </w:rPr>
              <w:t>Level</w:t>
            </w:r>
          </w:p>
        </w:tc>
        <w:tc>
          <w:tcPr>
            <w:tcW w:w="1699" w:type="dxa"/>
            <w:vAlign w:val="center"/>
          </w:tcPr>
          <w:p w14:paraId="6D38F07F" w14:textId="17AB1E6F" w:rsidR="00577AAB" w:rsidRPr="008E721F" w:rsidRDefault="00577AAB" w:rsidP="006F712F">
            <w:pPr>
              <w:spacing w:after="240"/>
              <w:jc w:val="center"/>
              <w:rPr>
                <w:rFonts w:cs="Arial"/>
              </w:rPr>
            </w:pPr>
            <w:r w:rsidRPr="00577AAB">
              <w:rPr>
                <w:rFonts w:cs="Arial"/>
                <w:b/>
              </w:rPr>
              <w:t>Change:</w:t>
            </w:r>
            <w:r>
              <w:rPr>
                <w:rFonts w:cs="Arial"/>
              </w:rPr>
              <w:t xml:space="preserve"> Declined</w:t>
            </w:r>
            <w:r w:rsidRPr="008E721F">
              <w:rPr>
                <w:rFonts w:cs="Arial"/>
              </w:rPr>
              <w:t xml:space="preserve"> Significantly</w:t>
            </w:r>
          </w:p>
          <w:p w14:paraId="3C6F2F93" w14:textId="77777777" w:rsidR="00577AAB" w:rsidRPr="00183F8E" w:rsidRDefault="00577AAB" w:rsidP="006F712F">
            <w:pPr>
              <w:jc w:val="center"/>
              <w:rPr>
                <w:rFonts w:cs="Arial"/>
                <w:sz w:val="18"/>
              </w:rPr>
            </w:pPr>
            <w:r>
              <w:rPr>
                <w:rFonts w:cs="Arial"/>
                <w:sz w:val="18"/>
              </w:rPr>
              <w:t>by greater than 10.0%</w:t>
            </w:r>
          </w:p>
        </w:tc>
        <w:tc>
          <w:tcPr>
            <w:tcW w:w="1599" w:type="dxa"/>
            <w:vAlign w:val="center"/>
          </w:tcPr>
          <w:p w14:paraId="46BE795B" w14:textId="5DF17CB5" w:rsidR="00577AAB" w:rsidRPr="008E721F" w:rsidRDefault="00577AAB" w:rsidP="006F712F">
            <w:pPr>
              <w:spacing w:after="240"/>
              <w:jc w:val="center"/>
              <w:rPr>
                <w:rFonts w:cs="Arial"/>
              </w:rPr>
            </w:pPr>
            <w:r w:rsidRPr="00577AAB">
              <w:rPr>
                <w:rFonts w:cs="Arial"/>
                <w:b/>
              </w:rPr>
              <w:t>Change:</w:t>
            </w:r>
            <w:r w:rsidR="006F712F">
              <w:rPr>
                <w:rFonts w:cs="Arial"/>
                <w:b/>
              </w:rPr>
              <w:t xml:space="preserve"> </w:t>
            </w:r>
            <w:r>
              <w:rPr>
                <w:rFonts w:cs="Arial"/>
              </w:rPr>
              <w:t>Declined</w:t>
            </w:r>
          </w:p>
          <w:p w14:paraId="144280F6" w14:textId="77777777" w:rsidR="00577AAB" w:rsidRPr="007D73AF" w:rsidRDefault="00577AAB" w:rsidP="006F712F">
            <w:pPr>
              <w:jc w:val="center"/>
              <w:rPr>
                <w:rFonts w:cs="Arial"/>
              </w:rPr>
            </w:pPr>
            <w:r>
              <w:rPr>
                <w:rFonts w:cs="Arial"/>
                <w:sz w:val="18"/>
              </w:rPr>
              <w:t>by 3.0% to 10.0%</w:t>
            </w:r>
          </w:p>
        </w:tc>
        <w:tc>
          <w:tcPr>
            <w:tcW w:w="1646" w:type="dxa"/>
            <w:vAlign w:val="center"/>
          </w:tcPr>
          <w:p w14:paraId="63F21DD9" w14:textId="3EE23A90" w:rsidR="00577AAB" w:rsidRDefault="00577AAB" w:rsidP="006F712F">
            <w:pPr>
              <w:spacing w:after="240"/>
              <w:jc w:val="center"/>
              <w:rPr>
                <w:rFonts w:cs="Arial"/>
                <w:sz w:val="18"/>
              </w:rPr>
            </w:pPr>
            <w:r w:rsidRPr="00577AAB">
              <w:rPr>
                <w:rFonts w:cs="Arial"/>
                <w:b/>
              </w:rPr>
              <w:t>Change:</w:t>
            </w:r>
            <w:r w:rsidR="006F712F">
              <w:rPr>
                <w:rFonts w:cs="Arial"/>
                <w:b/>
              </w:rPr>
              <w:t xml:space="preserve"> </w:t>
            </w:r>
            <w:r w:rsidRPr="008E721F">
              <w:rPr>
                <w:rFonts w:cs="Arial"/>
              </w:rPr>
              <w:t>Maintained</w:t>
            </w:r>
          </w:p>
          <w:p w14:paraId="5A6FEEA3" w14:textId="77777777" w:rsidR="00577AAB" w:rsidRPr="00F6659D" w:rsidRDefault="00577AAB" w:rsidP="006F712F">
            <w:pPr>
              <w:jc w:val="center"/>
              <w:rPr>
                <w:rFonts w:cs="Arial"/>
                <w:sz w:val="18"/>
              </w:rPr>
            </w:pPr>
            <w:r>
              <w:rPr>
                <w:rFonts w:cs="Arial"/>
                <w:sz w:val="18"/>
              </w:rPr>
              <w:t xml:space="preserve">Declined or increased by less than 3.0% </w:t>
            </w:r>
          </w:p>
        </w:tc>
        <w:tc>
          <w:tcPr>
            <w:tcW w:w="1598" w:type="dxa"/>
            <w:vAlign w:val="center"/>
          </w:tcPr>
          <w:p w14:paraId="3CD844D1" w14:textId="1D9DE3E0" w:rsidR="00577AAB" w:rsidRPr="008E721F" w:rsidRDefault="00577AAB" w:rsidP="006F712F">
            <w:pPr>
              <w:spacing w:after="240"/>
              <w:jc w:val="center"/>
              <w:rPr>
                <w:rFonts w:cs="Arial"/>
              </w:rPr>
            </w:pPr>
            <w:r w:rsidRPr="00577AAB">
              <w:rPr>
                <w:rFonts w:cs="Arial"/>
                <w:b/>
              </w:rPr>
              <w:t>Change:</w:t>
            </w:r>
            <w:r w:rsidR="006F712F">
              <w:rPr>
                <w:rFonts w:cs="Arial"/>
                <w:b/>
              </w:rPr>
              <w:t xml:space="preserve"> </w:t>
            </w:r>
            <w:r>
              <w:rPr>
                <w:rFonts w:cs="Arial"/>
              </w:rPr>
              <w:t>Increased</w:t>
            </w:r>
          </w:p>
          <w:p w14:paraId="35260D8A" w14:textId="4D3BB93A" w:rsidR="00577AAB" w:rsidRPr="007D73AF" w:rsidRDefault="00577AAB" w:rsidP="006F712F">
            <w:pPr>
              <w:jc w:val="center"/>
              <w:rPr>
                <w:rFonts w:cs="Arial"/>
              </w:rPr>
            </w:pPr>
            <w:r>
              <w:rPr>
                <w:rFonts w:cs="Arial"/>
                <w:sz w:val="18"/>
              </w:rPr>
              <w:t>by 3.0% to less than 10.0%</w:t>
            </w:r>
          </w:p>
        </w:tc>
        <w:tc>
          <w:tcPr>
            <w:tcW w:w="1748" w:type="dxa"/>
            <w:vAlign w:val="center"/>
          </w:tcPr>
          <w:p w14:paraId="727012CB" w14:textId="1C593FC3" w:rsidR="00577AAB" w:rsidRPr="008E721F" w:rsidRDefault="00577AAB" w:rsidP="006F712F">
            <w:pPr>
              <w:spacing w:after="240"/>
              <w:jc w:val="center"/>
              <w:rPr>
                <w:rFonts w:cs="Arial"/>
              </w:rPr>
            </w:pPr>
            <w:r w:rsidRPr="00577AAB">
              <w:rPr>
                <w:rFonts w:cs="Arial"/>
                <w:b/>
              </w:rPr>
              <w:t>Change:</w:t>
            </w:r>
            <w:r w:rsidR="006F712F">
              <w:rPr>
                <w:rFonts w:cs="Arial"/>
                <w:b/>
              </w:rPr>
              <w:t xml:space="preserve"> </w:t>
            </w:r>
            <w:r>
              <w:rPr>
                <w:rFonts w:cs="Arial"/>
              </w:rPr>
              <w:t>Increased</w:t>
            </w:r>
            <w:r w:rsidRPr="008E721F">
              <w:rPr>
                <w:rFonts w:cs="Arial"/>
              </w:rPr>
              <w:t xml:space="preserve"> Significantly</w:t>
            </w:r>
          </w:p>
          <w:p w14:paraId="508DDBDF" w14:textId="77777777" w:rsidR="00577AAB" w:rsidRPr="000D0544" w:rsidRDefault="00577AAB" w:rsidP="006F712F">
            <w:pPr>
              <w:jc w:val="center"/>
              <w:rPr>
                <w:rFonts w:cs="Arial"/>
                <w:b/>
                <w:sz w:val="18"/>
              </w:rPr>
            </w:pPr>
            <w:r>
              <w:rPr>
                <w:rFonts w:cs="Arial"/>
                <w:sz w:val="18"/>
              </w:rPr>
              <w:t>by 10.0% or greater</w:t>
            </w:r>
          </w:p>
        </w:tc>
      </w:tr>
      <w:tr w:rsidR="00577AAB" w:rsidRPr="007D73AF" w14:paraId="5E646006" w14:textId="77777777" w:rsidTr="00577AAB">
        <w:trPr>
          <w:trHeight w:val="773"/>
        </w:trPr>
        <w:tc>
          <w:tcPr>
            <w:tcW w:w="1468" w:type="dxa"/>
            <w:vAlign w:val="center"/>
          </w:tcPr>
          <w:p w14:paraId="5EEB44D3" w14:textId="5DCDD019" w:rsidR="00577AAB" w:rsidRDefault="00577AAB" w:rsidP="006F712F">
            <w:pPr>
              <w:spacing w:after="240"/>
              <w:jc w:val="center"/>
              <w:rPr>
                <w:rFonts w:cs="Arial"/>
              </w:rPr>
            </w:pPr>
            <w:r>
              <w:rPr>
                <w:rFonts w:cs="Arial"/>
                <w:b/>
              </w:rPr>
              <w:t>Status</w:t>
            </w:r>
            <w:r w:rsidRPr="00577AAB">
              <w:rPr>
                <w:rFonts w:cs="Arial"/>
                <w:b/>
              </w:rPr>
              <w:t>:</w:t>
            </w:r>
            <w:r w:rsidR="006F712F">
              <w:rPr>
                <w:rFonts w:cs="Arial"/>
                <w:b/>
              </w:rPr>
              <w:t xml:space="preserve"> </w:t>
            </w:r>
            <w:r>
              <w:rPr>
                <w:rFonts w:cs="Arial"/>
              </w:rPr>
              <w:t>Very High</w:t>
            </w:r>
          </w:p>
          <w:p w14:paraId="07BBD2AF" w14:textId="77777777" w:rsidR="00577AAB" w:rsidRPr="007D73AF" w:rsidRDefault="00577AAB" w:rsidP="006F712F">
            <w:pPr>
              <w:jc w:val="center"/>
              <w:rPr>
                <w:rFonts w:cs="Arial"/>
              </w:rPr>
            </w:pPr>
            <w:r w:rsidRPr="00297F83">
              <w:rPr>
                <w:rFonts w:cs="Arial"/>
                <w:sz w:val="18"/>
              </w:rPr>
              <w:t>90.0% or</w:t>
            </w:r>
            <w:r>
              <w:rPr>
                <w:rFonts w:cs="Arial"/>
                <w:sz w:val="18"/>
              </w:rPr>
              <w:t xml:space="preserve"> greater</w:t>
            </w:r>
          </w:p>
        </w:tc>
        <w:tc>
          <w:tcPr>
            <w:tcW w:w="1699" w:type="dxa"/>
            <w:shd w:val="clear" w:color="auto" w:fill="9F9F9F"/>
            <w:vAlign w:val="center"/>
          </w:tcPr>
          <w:p w14:paraId="4B8E2A8A" w14:textId="77777777" w:rsidR="00577AAB" w:rsidRPr="007D0FA2" w:rsidRDefault="00577AAB" w:rsidP="006F712F">
            <w:pPr>
              <w:jc w:val="center"/>
              <w:rPr>
                <w:rFonts w:cs="Arial"/>
              </w:rPr>
            </w:pPr>
            <w:r>
              <w:rPr>
                <w:rFonts w:cs="Arial"/>
              </w:rPr>
              <w:t>N/A</w:t>
            </w:r>
          </w:p>
        </w:tc>
        <w:tc>
          <w:tcPr>
            <w:tcW w:w="1599" w:type="dxa"/>
            <w:shd w:val="clear" w:color="auto" w:fill="0000FF"/>
            <w:vAlign w:val="center"/>
          </w:tcPr>
          <w:p w14:paraId="2802CBFD" w14:textId="77777777" w:rsidR="00577AAB" w:rsidRPr="000844FB" w:rsidRDefault="00577AAB" w:rsidP="006F712F">
            <w:pPr>
              <w:jc w:val="center"/>
              <w:rPr>
                <w:rFonts w:cs="Arial"/>
                <w:color w:val="FFFFFF" w:themeColor="background1"/>
              </w:rPr>
            </w:pPr>
            <w:r>
              <w:rPr>
                <w:rFonts w:cs="Arial"/>
                <w:color w:val="FFFFFF" w:themeColor="background1"/>
              </w:rPr>
              <w:t>4</w:t>
            </w:r>
          </w:p>
        </w:tc>
        <w:tc>
          <w:tcPr>
            <w:tcW w:w="1646" w:type="dxa"/>
            <w:shd w:val="clear" w:color="auto" w:fill="0000FF"/>
            <w:vAlign w:val="center"/>
          </w:tcPr>
          <w:p w14:paraId="0E5867A1" w14:textId="77777777" w:rsidR="00577AAB" w:rsidRPr="000844FB" w:rsidRDefault="00577AAB" w:rsidP="006F712F">
            <w:pPr>
              <w:jc w:val="center"/>
              <w:rPr>
                <w:rFonts w:cs="Arial"/>
                <w:color w:val="FFFFFF" w:themeColor="background1"/>
              </w:rPr>
            </w:pPr>
            <w:r>
              <w:rPr>
                <w:rFonts w:cs="Arial"/>
                <w:color w:val="FFFFFF" w:themeColor="background1"/>
              </w:rPr>
              <w:t>8</w:t>
            </w:r>
          </w:p>
        </w:tc>
        <w:tc>
          <w:tcPr>
            <w:tcW w:w="1598" w:type="dxa"/>
            <w:shd w:val="clear" w:color="auto" w:fill="0000FF"/>
            <w:vAlign w:val="center"/>
          </w:tcPr>
          <w:p w14:paraId="708C403C" w14:textId="77777777" w:rsidR="00577AAB" w:rsidRPr="000844FB" w:rsidRDefault="00577AAB" w:rsidP="006F712F">
            <w:pPr>
              <w:jc w:val="center"/>
              <w:rPr>
                <w:rFonts w:cs="Arial"/>
                <w:color w:val="FFFFFF" w:themeColor="background1"/>
              </w:rPr>
            </w:pPr>
            <w:r>
              <w:rPr>
                <w:rFonts w:cs="Arial"/>
                <w:color w:val="FFFFFF" w:themeColor="background1"/>
              </w:rPr>
              <w:t>27</w:t>
            </w:r>
          </w:p>
        </w:tc>
        <w:tc>
          <w:tcPr>
            <w:tcW w:w="1748" w:type="dxa"/>
            <w:shd w:val="clear" w:color="auto" w:fill="0000FF"/>
            <w:vAlign w:val="center"/>
          </w:tcPr>
          <w:p w14:paraId="4F893934" w14:textId="77777777" w:rsidR="00577AAB" w:rsidRPr="000844FB" w:rsidRDefault="00577AAB" w:rsidP="006F712F">
            <w:pPr>
              <w:jc w:val="center"/>
              <w:rPr>
                <w:rFonts w:cs="Arial"/>
                <w:color w:val="FFFFFF" w:themeColor="background1"/>
              </w:rPr>
            </w:pPr>
            <w:r>
              <w:rPr>
                <w:rFonts w:cs="Arial"/>
                <w:color w:val="FFFFFF" w:themeColor="background1"/>
              </w:rPr>
              <w:t>0</w:t>
            </w:r>
          </w:p>
        </w:tc>
      </w:tr>
      <w:tr w:rsidR="00577AAB" w:rsidRPr="007D73AF" w14:paraId="68CD44EB" w14:textId="77777777" w:rsidTr="00577AAB">
        <w:trPr>
          <w:trHeight w:val="962"/>
        </w:trPr>
        <w:tc>
          <w:tcPr>
            <w:tcW w:w="1468" w:type="dxa"/>
            <w:vAlign w:val="center"/>
          </w:tcPr>
          <w:p w14:paraId="517DCE83" w14:textId="32AA37FB" w:rsidR="00577AAB" w:rsidRDefault="00577AAB" w:rsidP="006F712F">
            <w:pPr>
              <w:spacing w:after="240"/>
              <w:jc w:val="center"/>
              <w:rPr>
                <w:rFonts w:cs="Arial"/>
              </w:rPr>
            </w:pPr>
            <w:r>
              <w:rPr>
                <w:rFonts w:cs="Arial"/>
                <w:b/>
              </w:rPr>
              <w:t>Status</w:t>
            </w:r>
            <w:r w:rsidRPr="00577AAB">
              <w:rPr>
                <w:rFonts w:cs="Arial"/>
                <w:b/>
              </w:rPr>
              <w:t>:</w:t>
            </w:r>
            <w:r w:rsidR="006F712F">
              <w:rPr>
                <w:rFonts w:cs="Arial"/>
                <w:b/>
              </w:rPr>
              <w:t xml:space="preserve"> </w:t>
            </w:r>
            <w:r>
              <w:rPr>
                <w:rFonts w:cs="Arial"/>
              </w:rPr>
              <w:t>High</w:t>
            </w:r>
          </w:p>
          <w:p w14:paraId="62686548" w14:textId="4861CE74" w:rsidR="00577AAB" w:rsidRPr="00F6659D" w:rsidRDefault="00577AAB" w:rsidP="006F712F">
            <w:pPr>
              <w:jc w:val="center"/>
              <w:rPr>
                <w:rFonts w:cs="Arial"/>
                <w:sz w:val="18"/>
              </w:rPr>
            </w:pPr>
            <w:r>
              <w:rPr>
                <w:rFonts w:cs="Arial"/>
                <w:sz w:val="18"/>
              </w:rPr>
              <w:t>8</w:t>
            </w:r>
            <w:r w:rsidRPr="00297F83">
              <w:rPr>
                <w:rFonts w:cs="Arial"/>
                <w:sz w:val="18"/>
              </w:rPr>
              <w:t>0.0% to less</w:t>
            </w:r>
            <w:r>
              <w:rPr>
                <w:rFonts w:cs="Arial"/>
                <w:sz w:val="18"/>
              </w:rPr>
              <w:t xml:space="preserve"> than 90.0%</w:t>
            </w:r>
          </w:p>
        </w:tc>
        <w:tc>
          <w:tcPr>
            <w:tcW w:w="1699" w:type="dxa"/>
            <w:shd w:val="clear" w:color="auto" w:fill="FFA500"/>
            <w:vAlign w:val="center"/>
          </w:tcPr>
          <w:p w14:paraId="5A02785C" w14:textId="77777777" w:rsidR="00577AAB" w:rsidRPr="007D0FA2" w:rsidRDefault="00577AAB" w:rsidP="006F712F">
            <w:pPr>
              <w:jc w:val="center"/>
              <w:rPr>
                <w:rFonts w:cs="Arial"/>
              </w:rPr>
            </w:pPr>
            <w:r>
              <w:rPr>
                <w:rFonts w:cs="Arial"/>
              </w:rPr>
              <w:t>0</w:t>
            </w:r>
          </w:p>
        </w:tc>
        <w:tc>
          <w:tcPr>
            <w:tcW w:w="1599" w:type="dxa"/>
            <w:shd w:val="clear" w:color="auto" w:fill="FFFF00"/>
            <w:vAlign w:val="center"/>
          </w:tcPr>
          <w:p w14:paraId="2BD04F45" w14:textId="77777777" w:rsidR="00577AAB" w:rsidRPr="007D0FA2" w:rsidRDefault="00577AAB" w:rsidP="006F712F">
            <w:pPr>
              <w:jc w:val="center"/>
              <w:rPr>
                <w:rFonts w:cs="Arial"/>
              </w:rPr>
            </w:pPr>
            <w:r>
              <w:rPr>
                <w:rFonts w:cs="Arial"/>
              </w:rPr>
              <w:t>25</w:t>
            </w:r>
          </w:p>
        </w:tc>
        <w:tc>
          <w:tcPr>
            <w:tcW w:w="1646" w:type="dxa"/>
            <w:shd w:val="clear" w:color="auto" w:fill="006500"/>
            <w:vAlign w:val="center"/>
          </w:tcPr>
          <w:p w14:paraId="717DC87B" w14:textId="77777777" w:rsidR="00577AAB" w:rsidRPr="000844FB" w:rsidRDefault="00577AAB" w:rsidP="006F712F">
            <w:pPr>
              <w:jc w:val="center"/>
              <w:rPr>
                <w:rFonts w:cs="Arial"/>
                <w:color w:val="FFFFFF" w:themeColor="background1"/>
              </w:rPr>
            </w:pPr>
            <w:r>
              <w:rPr>
                <w:rFonts w:cs="Arial"/>
                <w:color w:val="FFFFFF" w:themeColor="background1"/>
              </w:rPr>
              <w:t>21</w:t>
            </w:r>
          </w:p>
        </w:tc>
        <w:tc>
          <w:tcPr>
            <w:tcW w:w="1598" w:type="dxa"/>
            <w:shd w:val="clear" w:color="auto" w:fill="006500"/>
            <w:vAlign w:val="center"/>
          </w:tcPr>
          <w:p w14:paraId="0180FC4A" w14:textId="77777777" w:rsidR="00577AAB" w:rsidRPr="000844FB" w:rsidRDefault="00577AAB" w:rsidP="006F712F">
            <w:pPr>
              <w:jc w:val="center"/>
              <w:rPr>
                <w:rFonts w:cs="Arial"/>
                <w:color w:val="FFFFFF" w:themeColor="background1"/>
              </w:rPr>
            </w:pPr>
            <w:r>
              <w:rPr>
                <w:rFonts w:cs="Arial"/>
                <w:color w:val="FFFFFF" w:themeColor="background1"/>
              </w:rPr>
              <w:t>28</w:t>
            </w:r>
          </w:p>
        </w:tc>
        <w:tc>
          <w:tcPr>
            <w:tcW w:w="1748" w:type="dxa"/>
            <w:shd w:val="clear" w:color="auto" w:fill="0000FF"/>
            <w:vAlign w:val="center"/>
          </w:tcPr>
          <w:p w14:paraId="4C5B620C" w14:textId="77777777" w:rsidR="00577AAB" w:rsidRPr="000844FB" w:rsidRDefault="00577AAB" w:rsidP="006F712F">
            <w:pPr>
              <w:jc w:val="center"/>
              <w:rPr>
                <w:rFonts w:cs="Arial"/>
                <w:color w:val="FFFFFF" w:themeColor="background1"/>
              </w:rPr>
            </w:pPr>
            <w:r>
              <w:rPr>
                <w:rFonts w:cs="Arial"/>
                <w:color w:val="FFFFFF" w:themeColor="background1"/>
              </w:rPr>
              <w:t>2</w:t>
            </w:r>
          </w:p>
        </w:tc>
      </w:tr>
      <w:tr w:rsidR="00577AAB" w:rsidRPr="007D73AF" w14:paraId="57577515" w14:textId="77777777" w:rsidTr="00577AAB">
        <w:trPr>
          <w:trHeight w:val="845"/>
        </w:trPr>
        <w:tc>
          <w:tcPr>
            <w:tcW w:w="1468" w:type="dxa"/>
            <w:vAlign w:val="center"/>
          </w:tcPr>
          <w:p w14:paraId="317A773E" w14:textId="74A3897B" w:rsidR="00577AAB" w:rsidRDefault="00577AAB" w:rsidP="006F712F">
            <w:pPr>
              <w:spacing w:after="240"/>
              <w:jc w:val="center"/>
              <w:rPr>
                <w:rFonts w:cs="Arial"/>
              </w:rPr>
            </w:pPr>
            <w:r>
              <w:rPr>
                <w:rFonts w:cs="Arial"/>
                <w:b/>
              </w:rPr>
              <w:t>Status</w:t>
            </w:r>
            <w:r w:rsidRPr="00577AAB">
              <w:rPr>
                <w:rFonts w:cs="Arial"/>
                <w:b/>
              </w:rPr>
              <w:t>:</w:t>
            </w:r>
            <w:r w:rsidR="006F712F">
              <w:rPr>
                <w:rFonts w:cs="Arial"/>
                <w:b/>
              </w:rPr>
              <w:t xml:space="preserve"> </w:t>
            </w:r>
            <w:r>
              <w:rPr>
                <w:rFonts w:cs="Arial"/>
              </w:rPr>
              <w:t>Medium</w:t>
            </w:r>
          </w:p>
          <w:p w14:paraId="46CB2C9B" w14:textId="77777777" w:rsidR="00577AAB" w:rsidRPr="00183F8E" w:rsidRDefault="00577AAB" w:rsidP="006F712F">
            <w:pPr>
              <w:jc w:val="center"/>
              <w:rPr>
                <w:rFonts w:cs="Arial"/>
                <w:sz w:val="18"/>
              </w:rPr>
            </w:pPr>
            <w:r>
              <w:rPr>
                <w:rFonts w:cs="Arial"/>
                <w:sz w:val="18"/>
              </w:rPr>
              <w:t>70.0% to less than 80.0%</w:t>
            </w:r>
          </w:p>
        </w:tc>
        <w:tc>
          <w:tcPr>
            <w:tcW w:w="1699" w:type="dxa"/>
            <w:shd w:val="clear" w:color="auto" w:fill="FFA500"/>
            <w:vAlign w:val="center"/>
          </w:tcPr>
          <w:p w14:paraId="7B7B06C7" w14:textId="77777777" w:rsidR="00577AAB" w:rsidRPr="007D0FA2" w:rsidRDefault="00577AAB" w:rsidP="006F712F">
            <w:pPr>
              <w:jc w:val="center"/>
              <w:rPr>
                <w:rFonts w:cs="Arial"/>
              </w:rPr>
            </w:pPr>
            <w:r>
              <w:rPr>
                <w:rFonts w:cs="Arial"/>
              </w:rPr>
              <w:t>0</w:t>
            </w:r>
          </w:p>
        </w:tc>
        <w:tc>
          <w:tcPr>
            <w:tcW w:w="1599" w:type="dxa"/>
            <w:shd w:val="clear" w:color="auto" w:fill="FFA500"/>
            <w:vAlign w:val="center"/>
          </w:tcPr>
          <w:p w14:paraId="39C003A5" w14:textId="77777777" w:rsidR="00577AAB" w:rsidRPr="007D0FA2" w:rsidRDefault="00577AAB" w:rsidP="006F712F">
            <w:pPr>
              <w:jc w:val="center"/>
              <w:rPr>
                <w:rFonts w:cs="Arial"/>
              </w:rPr>
            </w:pPr>
            <w:r>
              <w:rPr>
                <w:rFonts w:cs="Arial"/>
              </w:rPr>
              <w:t>33</w:t>
            </w:r>
          </w:p>
        </w:tc>
        <w:tc>
          <w:tcPr>
            <w:tcW w:w="1646" w:type="dxa"/>
            <w:shd w:val="clear" w:color="auto" w:fill="FFFF00"/>
            <w:vAlign w:val="center"/>
          </w:tcPr>
          <w:p w14:paraId="16589474" w14:textId="77777777" w:rsidR="00577AAB" w:rsidRPr="007D73AF" w:rsidRDefault="00577AAB" w:rsidP="006F712F">
            <w:pPr>
              <w:jc w:val="center"/>
              <w:rPr>
                <w:rFonts w:cs="Arial"/>
              </w:rPr>
            </w:pPr>
            <w:r>
              <w:rPr>
                <w:rFonts w:cs="Arial"/>
              </w:rPr>
              <w:t>13</w:t>
            </w:r>
          </w:p>
        </w:tc>
        <w:tc>
          <w:tcPr>
            <w:tcW w:w="1598" w:type="dxa"/>
            <w:shd w:val="clear" w:color="auto" w:fill="006500"/>
            <w:vAlign w:val="center"/>
          </w:tcPr>
          <w:p w14:paraId="5F43F2DE" w14:textId="77777777" w:rsidR="00577AAB" w:rsidRPr="000844FB" w:rsidRDefault="00577AAB" w:rsidP="006F712F">
            <w:pPr>
              <w:jc w:val="center"/>
              <w:rPr>
                <w:rFonts w:cs="Arial"/>
                <w:color w:val="FFFFFF" w:themeColor="background1"/>
              </w:rPr>
            </w:pPr>
            <w:r>
              <w:rPr>
                <w:rFonts w:cs="Arial"/>
                <w:color w:val="FFFFFF" w:themeColor="background1"/>
              </w:rPr>
              <w:t>33</w:t>
            </w:r>
          </w:p>
        </w:tc>
        <w:tc>
          <w:tcPr>
            <w:tcW w:w="1748" w:type="dxa"/>
            <w:shd w:val="clear" w:color="auto" w:fill="006500"/>
            <w:vAlign w:val="center"/>
          </w:tcPr>
          <w:p w14:paraId="4CC9087D" w14:textId="77777777" w:rsidR="00577AAB" w:rsidRPr="000844FB" w:rsidRDefault="00577AAB" w:rsidP="006F712F">
            <w:pPr>
              <w:jc w:val="center"/>
              <w:rPr>
                <w:rFonts w:cs="Arial"/>
                <w:color w:val="FFFFFF" w:themeColor="background1"/>
              </w:rPr>
            </w:pPr>
            <w:r>
              <w:rPr>
                <w:rFonts w:cs="Arial"/>
                <w:color w:val="FFFFFF" w:themeColor="background1"/>
              </w:rPr>
              <w:t>2</w:t>
            </w:r>
          </w:p>
        </w:tc>
      </w:tr>
      <w:tr w:rsidR="00577AAB" w:rsidRPr="007D73AF" w14:paraId="16D5CE2E" w14:textId="77777777" w:rsidTr="00577AAB">
        <w:trPr>
          <w:trHeight w:val="737"/>
        </w:trPr>
        <w:tc>
          <w:tcPr>
            <w:tcW w:w="1468" w:type="dxa"/>
            <w:vAlign w:val="center"/>
          </w:tcPr>
          <w:p w14:paraId="3FC30E0B" w14:textId="2399A9E8" w:rsidR="00577AAB" w:rsidRDefault="00577AAB" w:rsidP="006F712F">
            <w:pPr>
              <w:spacing w:after="240"/>
              <w:jc w:val="center"/>
              <w:rPr>
                <w:rFonts w:cs="Arial"/>
              </w:rPr>
            </w:pPr>
            <w:r>
              <w:rPr>
                <w:rFonts w:cs="Arial"/>
                <w:b/>
              </w:rPr>
              <w:t>Status</w:t>
            </w:r>
            <w:r w:rsidRPr="00577AAB">
              <w:rPr>
                <w:rFonts w:cs="Arial"/>
                <w:b/>
              </w:rPr>
              <w:t>:</w:t>
            </w:r>
            <w:r w:rsidR="006F712F">
              <w:rPr>
                <w:rFonts w:cs="Arial"/>
                <w:b/>
              </w:rPr>
              <w:t xml:space="preserve"> </w:t>
            </w:r>
            <w:r>
              <w:rPr>
                <w:rFonts w:cs="Arial"/>
              </w:rPr>
              <w:t>Low</w:t>
            </w:r>
          </w:p>
          <w:p w14:paraId="17AA9CBB" w14:textId="77777777" w:rsidR="00577AAB" w:rsidRPr="00F6659D" w:rsidRDefault="00577AAB" w:rsidP="006F712F">
            <w:pPr>
              <w:jc w:val="center"/>
              <w:rPr>
                <w:rFonts w:cs="Arial"/>
                <w:sz w:val="18"/>
              </w:rPr>
            </w:pPr>
            <w:r>
              <w:rPr>
                <w:rFonts w:cs="Arial"/>
                <w:sz w:val="18"/>
              </w:rPr>
              <w:t>67.0% to less than 70.0%</w:t>
            </w:r>
          </w:p>
        </w:tc>
        <w:tc>
          <w:tcPr>
            <w:tcW w:w="1699" w:type="dxa"/>
            <w:shd w:val="clear" w:color="auto" w:fill="A20000"/>
            <w:vAlign w:val="center"/>
          </w:tcPr>
          <w:p w14:paraId="074B6C75" w14:textId="77777777" w:rsidR="00577AAB" w:rsidRPr="007D73AF" w:rsidRDefault="00577AAB" w:rsidP="006F712F">
            <w:pPr>
              <w:jc w:val="center"/>
              <w:rPr>
                <w:rFonts w:cs="Arial"/>
              </w:rPr>
            </w:pPr>
            <w:r>
              <w:rPr>
                <w:rFonts w:cs="Arial"/>
              </w:rPr>
              <w:t>0</w:t>
            </w:r>
          </w:p>
        </w:tc>
        <w:tc>
          <w:tcPr>
            <w:tcW w:w="1599" w:type="dxa"/>
            <w:shd w:val="clear" w:color="auto" w:fill="FFA500"/>
            <w:vAlign w:val="center"/>
          </w:tcPr>
          <w:p w14:paraId="738C72A8" w14:textId="38590576" w:rsidR="00577AAB" w:rsidRPr="007D73AF" w:rsidRDefault="00BB765F" w:rsidP="006F712F">
            <w:pPr>
              <w:jc w:val="center"/>
              <w:rPr>
                <w:rFonts w:cs="Arial"/>
              </w:rPr>
            </w:pPr>
            <w:r>
              <w:rPr>
                <w:rFonts w:cs="Arial"/>
              </w:rPr>
              <w:t>1</w:t>
            </w:r>
            <w:r w:rsidR="006F712F">
              <w:rPr>
                <w:rFonts w:cs="Arial"/>
              </w:rPr>
              <w:t>0</w:t>
            </w:r>
          </w:p>
        </w:tc>
        <w:tc>
          <w:tcPr>
            <w:tcW w:w="1646" w:type="dxa"/>
            <w:shd w:val="clear" w:color="auto" w:fill="FFA500"/>
            <w:vAlign w:val="center"/>
          </w:tcPr>
          <w:p w14:paraId="6E179309" w14:textId="77777777" w:rsidR="00577AAB" w:rsidRPr="007D0FA2" w:rsidRDefault="00577AAB" w:rsidP="006F712F">
            <w:pPr>
              <w:jc w:val="center"/>
              <w:rPr>
                <w:rFonts w:cs="Arial"/>
              </w:rPr>
            </w:pPr>
            <w:r>
              <w:rPr>
                <w:rFonts w:cs="Arial"/>
              </w:rPr>
              <w:t>3</w:t>
            </w:r>
          </w:p>
        </w:tc>
        <w:tc>
          <w:tcPr>
            <w:tcW w:w="1598" w:type="dxa"/>
            <w:shd w:val="clear" w:color="auto" w:fill="FFFF00"/>
            <w:vAlign w:val="center"/>
          </w:tcPr>
          <w:p w14:paraId="1970B1CA" w14:textId="77777777" w:rsidR="00577AAB" w:rsidRPr="007D0FA2" w:rsidRDefault="00577AAB" w:rsidP="006F712F">
            <w:pPr>
              <w:jc w:val="center"/>
              <w:rPr>
                <w:rFonts w:cs="Arial"/>
              </w:rPr>
            </w:pPr>
            <w:r>
              <w:rPr>
                <w:rFonts w:cs="Arial"/>
              </w:rPr>
              <w:t>12</w:t>
            </w:r>
          </w:p>
        </w:tc>
        <w:tc>
          <w:tcPr>
            <w:tcW w:w="1748" w:type="dxa"/>
            <w:shd w:val="clear" w:color="auto" w:fill="FFFF00"/>
            <w:vAlign w:val="center"/>
          </w:tcPr>
          <w:p w14:paraId="13614D0E" w14:textId="77777777" w:rsidR="00577AAB" w:rsidRPr="007D0FA2" w:rsidRDefault="00577AAB" w:rsidP="006F712F">
            <w:pPr>
              <w:jc w:val="center"/>
              <w:rPr>
                <w:rFonts w:cs="Arial"/>
              </w:rPr>
            </w:pPr>
            <w:r>
              <w:rPr>
                <w:rFonts w:cs="Arial"/>
              </w:rPr>
              <w:t>2</w:t>
            </w:r>
          </w:p>
        </w:tc>
      </w:tr>
      <w:tr w:rsidR="00577AAB" w:rsidRPr="007D73AF" w14:paraId="16BA26AA" w14:textId="77777777" w:rsidTr="00577AAB">
        <w:trPr>
          <w:trHeight w:val="683"/>
        </w:trPr>
        <w:tc>
          <w:tcPr>
            <w:tcW w:w="1468" w:type="dxa"/>
            <w:vAlign w:val="center"/>
          </w:tcPr>
          <w:p w14:paraId="56998C5D" w14:textId="05DB54DD" w:rsidR="00577AAB" w:rsidRDefault="00577AAB" w:rsidP="006F712F">
            <w:pPr>
              <w:spacing w:after="240"/>
              <w:jc w:val="center"/>
              <w:rPr>
                <w:rFonts w:cs="Arial"/>
              </w:rPr>
            </w:pPr>
            <w:r>
              <w:rPr>
                <w:rFonts w:cs="Arial"/>
                <w:b/>
              </w:rPr>
              <w:t>Status</w:t>
            </w:r>
            <w:r w:rsidRPr="00577AAB">
              <w:rPr>
                <w:rFonts w:cs="Arial"/>
                <w:b/>
              </w:rPr>
              <w:t>:</w:t>
            </w:r>
            <w:r w:rsidR="006F712F">
              <w:rPr>
                <w:rFonts w:cs="Arial"/>
                <w:b/>
              </w:rPr>
              <w:t xml:space="preserve"> </w:t>
            </w:r>
            <w:r>
              <w:rPr>
                <w:rFonts w:cs="Arial"/>
              </w:rPr>
              <w:t>Very Low</w:t>
            </w:r>
          </w:p>
          <w:p w14:paraId="5BAA9EBB" w14:textId="539CFB4E" w:rsidR="00577AAB" w:rsidRPr="007D73AF" w:rsidRDefault="00577AAB" w:rsidP="006F712F">
            <w:pPr>
              <w:jc w:val="center"/>
              <w:rPr>
                <w:rFonts w:cs="Arial"/>
              </w:rPr>
            </w:pPr>
            <w:r>
              <w:rPr>
                <w:rFonts w:cs="Arial"/>
                <w:sz w:val="18"/>
              </w:rPr>
              <w:t xml:space="preserve">Less than 67.0% </w:t>
            </w:r>
          </w:p>
        </w:tc>
        <w:tc>
          <w:tcPr>
            <w:tcW w:w="1699" w:type="dxa"/>
            <w:shd w:val="clear" w:color="auto" w:fill="A20000"/>
            <w:vAlign w:val="center"/>
          </w:tcPr>
          <w:p w14:paraId="3B9848B2" w14:textId="77777777" w:rsidR="00577AAB" w:rsidRPr="007D73AF" w:rsidRDefault="00577AAB" w:rsidP="006F712F">
            <w:pPr>
              <w:jc w:val="center"/>
              <w:rPr>
                <w:rFonts w:cs="Arial"/>
              </w:rPr>
            </w:pPr>
            <w:r>
              <w:rPr>
                <w:rFonts w:cs="Arial"/>
              </w:rPr>
              <w:t>18</w:t>
            </w:r>
          </w:p>
        </w:tc>
        <w:tc>
          <w:tcPr>
            <w:tcW w:w="1599" w:type="dxa"/>
            <w:shd w:val="clear" w:color="auto" w:fill="A20000"/>
            <w:vAlign w:val="center"/>
          </w:tcPr>
          <w:p w14:paraId="5C29A98E" w14:textId="77777777" w:rsidR="00577AAB" w:rsidRPr="009C01C6" w:rsidRDefault="00577AAB" w:rsidP="006F712F">
            <w:pPr>
              <w:jc w:val="center"/>
              <w:rPr>
                <w:rFonts w:cs="Arial"/>
              </w:rPr>
            </w:pPr>
            <w:r>
              <w:rPr>
                <w:rFonts w:cs="Arial"/>
              </w:rPr>
              <w:t>150</w:t>
            </w:r>
          </w:p>
        </w:tc>
        <w:tc>
          <w:tcPr>
            <w:tcW w:w="1646" w:type="dxa"/>
            <w:shd w:val="clear" w:color="auto" w:fill="A20000"/>
            <w:vAlign w:val="center"/>
          </w:tcPr>
          <w:p w14:paraId="455AA512" w14:textId="77777777" w:rsidR="00577AAB" w:rsidRPr="007D73AF" w:rsidRDefault="00577AAB" w:rsidP="006F712F">
            <w:pPr>
              <w:jc w:val="center"/>
            </w:pPr>
            <w:r>
              <w:t>70</w:t>
            </w:r>
          </w:p>
        </w:tc>
        <w:tc>
          <w:tcPr>
            <w:tcW w:w="1598" w:type="dxa"/>
            <w:shd w:val="clear" w:color="auto" w:fill="A20000"/>
            <w:vAlign w:val="center"/>
          </w:tcPr>
          <w:p w14:paraId="417B8060" w14:textId="77777777" w:rsidR="00577AAB" w:rsidRPr="007D73AF" w:rsidRDefault="00577AAB" w:rsidP="006F712F">
            <w:pPr>
              <w:jc w:val="center"/>
              <w:rPr>
                <w:rFonts w:cs="Arial"/>
              </w:rPr>
            </w:pPr>
            <w:r>
              <w:rPr>
                <w:rFonts w:cs="Arial"/>
              </w:rPr>
              <w:t>80</w:t>
            </w:r>
          </w:p>
        </w:tc>
        <w:tc>
          <w:tcPr>
            <w:tcW w:w="1748" w:type="dxa"/>
            <w:shd w:val="clear" w:color="auto" w:fill="A20000"/>
            <w:vAlign w:val="center"/>
          </w:tcPr>
          <w:p w14:paraId="39F8BEBD" w14:textId="77777777" w:rsidR="00577AAB" w:rsidRPr="007D73AF" w:rsidRDefault="00577AAB" w:rsidP="006F712F">
            <w:pPr>
              <w:jc w:val="center"/>
            </w:pPr>
            <w:r>
              <w:t>13</w:t>
            </w:r>
          </w:p>
        </w:tc>
      </w:tr>
    </w:tbl>
    <w:p w14:paraId="4C451233" w14:textId="167319F1" w:rsidR="00577AAB" w:rsidRDefault="00577AAB" w:rsidP="006F712F">
      <w:pPr>
        <w:spacing w:before="240" w:after="240"/>
      </w:pPr>
      <w:r>
        <w:t>Table 4 shows the number of schools that would receive each</w:t>
      </w:r>
      <w:r w:rsidRPr="00663BE1">
        <w:t xml:space="preserve"> performance </w:t>
      </w:r>
      <w:r>
        <w:t>color after the proposed cut scores are applied. The data are based on the gradu</w:t>
      </w:r>
      <w:r w:rsidR="006F712F">
        <w:t>ating classes of 2016 and 2017.</w:t>
      </w:r>
    </w:p>
    <w:p w14:paraId="7E69FE9A" w14:textId="0CDCA264" w:rsidR="00577AAB" w:rsidRPr="00BB765F" w:rsidRDefault="00577AAB" w:rsidP="00BB765F">
      <w:pPr>
        <w:spacing w:before="240" w:after="240"/>
        <w:rPr>
          <w:b/>
        </w:rPr>
      </w:pPr>
      <w:r w:rsidRPr="00BB765F">
        <w:rPr>
          <w:b/>
        </w:rPr>
        <w:t>Table 4: One-Year Graduation Results Using Proposed Cut Scores</w:t>
      </w:r>
    </w:p>
    <w:tbl>
      <w:tblPr>
        <w:tblStyle w:val="TableGrid1"/>
        <w:tblpPr w:leftFromText="180" w:rightFromText="180" w:vertAnchor="text" w:horzAnchor="margin" w:tblpY="9"/>
        <w:tblW w:w="5000" w:type="pct"/>
        <w:tblLook w:val="04A0" w:firstRow="1" w:lastRow="0" w:firstColumn="1" w:lastColumn="0" w:noHBand="0" w:noVBand="1"/>
        <w:tblDescription w:val="One-Year Graduation Results Using Proposed Cut Scores"/>
      </w:tblPr>
      <w:tblGrid>
        <w:gridCol w:w="2391"/>
        <w:gridCol w:w="1086"/>
        <w:gridCol w:w="1677"/>
        <w:gridCol w:w="1554"/>
        <w:gridCol w:w="1455"/>
        <w:gridCol w:w="1187"/>
      </w:tblGrid>
      <w:tr w:rsidR="00BB765F" w:rsidRPr="00BB765F" w14:paraId="44DEF302" w14:textId="77777777" w:rsidTr="00207C1D">
        <w:trPr>
          <w:trHeight w:val="528"/>
          <w:tblHeader/>
        </w:trPr>
        <w:tc>
          <w:tcPr>
            <w:tcW w:w="1278" w:type="pct"/>
            <w:vAlign w:val="center"/>
            <w:hideMark/>
          </w:tcPr>
          <w:p w14:paraId="3914BC0F" w14:textId="77777777" w:rsidR="00577AAB" w:rsidRPr="00BB765F" w:rsidRDefault="00577AAB" w:rsidP="007D70EB">
            <w:pPr>
              <w:jc w:val="center"/>
              <w:rPr>
                <w:rFonts w:cs="Arial"/>
                <w:b/>
                <w:bCs/>
                <w:color w:val="000000"/>
              </w:rPr>
            </w:pPr>
            <w:r w:rsidRPr="00BB765F">
              <w:rPr>
                <w:rFonts w:cs="Arial"/>
                <w:b/>
                <w:bCs/>
                <w:color w:val="000000"/>
              </w:rPr>
              <w:t>All Schools</w:t>
            </w:r>
          </w:p>
        </w:tc>
        <w:tc>
          <w:tcPr>
            <w:tcW w:w="581" w:type="pct"/>
            <w:shd w:val="clear" w:color="auto" w:fill="A20000"/>
            <w:vAlign w:val="center"/>
            <w:hideMark/>
          </w:tcPr>
          <w:p w14:paraId="6B7F5B65" w14:textId="77777777" w:rsidR="00577AAB" w:rsidRPr="00BB765F" w:rsidRDefault="00577AAB" w:rsidP="007D70EB">
            <w:pPr>
              <w:jc w:val="center"/>
              <w:rPr>
                <w:rFonts w:cs="Arial"/>
                <w:b/>
                <w:bCs/>
                <w:color w:val="FFFFFF"/>
              </w:rPr>
            </w:pPr>
            <w:r w:rsidRPr="00BB765F">
              <w:rPr>
                <w:rFonts w:cs="Arial"/>
                <w:b/>
                <w:bCs/>
                <w:color w:val="FFFFFF"/>
              </w:rPr>
              <w:t>Red</w:t>
            </w:r>
          </w:p>
        </w:tc>
        <w:tc>
          <w:tcPr>
            <w:tcW w:w="897" w:type="pct"/>
            <w:shd w:val="clear" w:color="auto" w:fill="FFC000"/>
            <w:vAlign w:val="center"/>
            <w:hideMark/>
          </w:tcPr>
          <w:p w14:paraId="0FE22AA1" w14:textId="77777777" w:rsidR="00577AAB" w:rsidRPr="00BB765F" w:rsidRDefault="00577AAB" w:rsidP="007D70EB">
            <w:pPr>
              <w:jc w:val="center"/>
              <w:rPr>
                <w:rFonts w:cs="Arial"/>
                <w:b/>
                <w:bCs/>
                <w:color w:val="000000"/>
              </w:rPr>
            </w:pPr>
            <w:r w:rsidRPr="00BB765F">
              <w:rPr>
                <w:rFonts w:cs="Arial"/>
                <w:b/>
                <w:bCs/>
                <w:color w:val="000000"/>
              </w:rPr>
              <w:t>Orange</w:t>
            </w:r>
          </w:p>
        </w:tc>
        <w:tc>
          <w:tcPr>
            <w:tcW w:w="831" w:type="pct"/>
            <w:shd w:val="clear" w:color="auto" w:fill="FFFF00"/>
            <w:vAlign w:val="center"/>
            <w:hideMark/>
          </w:tcPr>
          <w:p w14:paraId="728A1C8E" w14:textId="77777777" w:rsidR="00577AAB" w:rsidRPr="00BB765F" w:rsidRDefault="00577AAB" w:rsidP="007D70EB">
            <w:pPr>
              <w:jc w:val="center"/>
              <w:rPr>
                <w:rFonts w:cs="Arial"/>
                <w:b/>
                <w:bCs/>
                <w:color w:val="000000"/>
              </w:rPr>
            </w:pPr>
            <w:r w:rsidRPr="00BB765F">
              <w:rPr>
                <w:rFonts w:cs="Arial"/>
                <w:b/>
                <w:bCs/>
                <w:color w:val="000000"/>
              </w:rPr>
              <w:t>Yellow</w:t>
            </w:r>
          </w:p>
        </w:tc>
        <w:tc>
          <w:tcPr>
            <w:tcW w:w="778" w:type="pct"/>
            <w:shd w:val="clear" w:color="auto" w:fill="538135" w:themeFill="accent6" w:themeFillShade="BF"/>
            <w:vAlign w:val="center"/>
            <w:hideMark/>
          </w:tcPr>
          <w:p w14:paraId="37766B06" w14:textId="77777777" w:rsidR="00577AAB" w:rsidRPr="00BB765F" w:rsidRDefault="00577AAB" w:rsidP="007D70EB">
            <w:pPr>
              <w:jc w:val="center"/>
              <w:rPr>
                <w:rFonts w:cs="Arial"/>
                <w:b/>
                <w:bCs/>
                <w:color w:val="FFFFFF"/>
              </w:rPr>
            </w:pPr>
            <w:r w:rsidRPr="00BB765F">
              <w:rPr>
                <w:rFonts w:cs="Arial"/>
                <w:b/>
                <w:bCs/>
                <w:color w:val="FFFFFF"/>
              </w:rPr>
              <w:t>Green</w:t>
            </w:r>
          </w:p>
        </w:tc>
        <w:tc>
          <w:tcPr>
            <w:tcW w:w="636" w:type="pct"/>
            <w:shd w:val="clear" w:color="auto" w:fill="0000FF"/>
            <w:vAlign w:val="center"/>
            <w:hideMark/>
          </w:tcPr>
          <w:p w14:paraId="54F48D56" w14:textId="77777777" w:rsidR="00577AAB" w:rsidRPr="00BB765F" w:rsidRDefault="00577AAB" w:rsidP="007D70EB">
            <w:pPr>
              <w:jc w:val="center"/>
              <w:rPr>
                <w:rFonts w:cs="Arial"/>
                <w:b/>
                <w:color w:val="FFFFFF" w:themeColor="background1"/>
              </w:rPr>
            </w:pPr>
            <w:r w:rsidRPr="00BB765F">
              <w:rPr>
                <w:rFonts w:cs="Arial"/>
                <w:b/>
                <w:color w:val="FFFFFF" w:themeColor="background1"/>
              </w:rPr>
              <w:t>Blue</w:t>
            </w:r>
          </w:p>
        </w:tc>
      </w:tr>
      <w:tr w:rsidR="00577AAB" w:rsidRPr="00BB765F" w14:paraId="30282648" w14:textId="77777777" w:rsidTr="00BB765F">
        <w:trPr>
          <w:trHeight w:val="288"/>
        </w:trPr>
        <w:tc>
          <w:tcPr>
            <w:tcW w:w="1278" w:type="pct"/>
            <w:vAlign w:val="center"/>
            <w:hideMark/>
          </w:tcPr>
          <w:p w14:paraId="381D7A9B" w14:textId="77777777" w:rsidR="00577AAB" w:rsidRPr="00BB765F" w:rsidRDefault="00577AAB" w:rsidP="007D70EB">
            <w:pPr>
              <w:jc w:val="center"/>
              <w:rPr>
                <w:rFonts w:cs="Arial"/>
                <w:color w:val="000000"/>
              </w:rPr>
            </w:pPr>
            <w:r w:rsidRPr="00BB765F">
              <w:rPr>
                <w:rFonts w:cs="Arial"/>
                <w:color w:val="000000"/>
              </w:rPr>
              <w:t>553</w:t>
            </w:r>
          </w:p>
        </w:tc>
        <w:tc>
          <w:tcPr>
            <w:tcW w:w="581" w:type="pct"/>
            <w:vAlign w:val="center"/>
            <w:hideMark/>
          </w:tcPr>
          <w:p w14:paraId="5DF54ED8" w14:textId="77777777" w:rsidR="00577AAB" w:rsidRPr="00BB765F" w:rsidRDefault="00577AAB" w:rsidP="007D70EB">
            <w:pPr>
              <w:jc w:val="center"/>
              <w:rPr>
                <w:rFonts w:cs="Arial"/>
                <w:color w:val="000000"/>
              </w:rPr>
            </w:pPr>
            <w:r w:rsidRPr="00BB765F">
              <w:rPr>
                <w:rFonts w:cs="Arial"/>
                <w:color w:val="000000"/>
              </w:rPr>
              <w:t>331</w:t>
            </w:r>
          </w:p>
        </w:tc>
        <w:tc>
          <w:tcPr>
            <w:tcW w:w="897" w:type="pct"/>
            <w:vAlign w:val="center"/>
            <w:hideMark/>
          </w:tcPr>
          <w:p w14:paraId="26DE99B3" w14:textId="77777777" w:rsidR="00577AAB" w:rsidRPr="00BB765F" w:rsidRDefault="00577AAB" w:rsidP="007D70EB">
            <w:pPr>
              <w:jc w:val="center"/>
              <w:rPr>
                <w:rFonts w:cs="Arial"/>
                <w:color w:val="000000"/>
              </w:rPr>
            </w:pPr>
            <w:r w:rsidRPr="00BB765F">
              <w:rPr>
                <w:rFonts w:cs="Arial"/>
                <w:color w:val="000000"/>
              </w:rPr>
              <w:t>45</w:t>
            </w:r>
          </w:p>
        </w:tc>
        <w:tc>
          <w:tcPr>
            <w:tcW w:w="831" w:type="pct"/>
            <w:vAlign w:val="center"/>
            <w:hideMark/>
          </w:tcPr>
          <w:p w14:paraId="44BB2AB7" w14:textId="77777777" w:rsidR="00577AAB" w:rsidRPr="00BB765F" w:rsidRDefault="00577AAB" w:rsidP="007D70EB">
            <w:pPr>
              <w:jc w:val="center"/>
              <w:rPr>
                <w:rFonts w:cs="Arial"/>
                <w:color w:val="000000"/>
              </w:rPr>
            </w:pPr>
            <w:r w:rsidRPr="00BB765F">
              <w:rPr>
                <w:rFonts w:cs="Arial"/>
                <w:color w:val="000000"/>
              </w:rPr>
              <w:t>52</w:t>
            </w:r>
          </w:p>
        </w:tc>
        <w:tc>
          <w:tcPr>
            <w:tcW w:w="778" w:type="pct"/>
            <w:vAlign w:val="center"/>
            <w:hideMark/>
          </w:tcPr>
          <w:p w14:paraId="5B627B48" w14:textId="77777777" w:rsidR="00577AAB" w:rsidRPr="00BB765F" w:rsidRDefault="00577AAB" w:rsidP="007D70EB">
            <w:pPr>
              <w:jc w:val="center"/>
              <w:rPr>
                <w:rFonts w:cs="Arial"/>
                <w:color w:val="000000"/>
              </w:rPr>
            </w:pPr>
            <w:r w:rsidRPr="00BB765F">
              <w:rPr>
                <w:rFonts w:cs="Arial"/>
                <w:color w:val="000000"/>
              </w:rPr>
              <w:t>84</w:t>
            </w:r>
          </w:p>
        </w:tc>
        <w:tc>
          <w:tcPr>
            <w:tcW w:w="636" w:type="pct"/>
            <w:vAlign w:val="center"/>
            <w:hideMark/>
          </w:tcPr>
          <w:p w14:paraId="6C2059F6" w14:textId="77777777" w:rsidR="00577AAB" w:rsidRPr="00BB765F" w:rsidRDefault="00577AAB" w:rsidP="007D70EB">
            <w:pPr>
              <w:jc w:val="center"/>
              <w:rPr>
                <w:rFonts w:cs="Arial"/>
                <w:color w:val="000000"/>
              </w:rPr>
            </w:pPr>
            <w:r w:rsidRPr="00BB765F">
              <w:rPr>
                <w:rFonts w:cs="Arial"/>
                <w:color w:val="000000"/>
              </w:rPr>
              <w:t>41</w:t>
            </w:r>
          </w:p>
        </w:tc>
      </w:tr>
    </w:tbl>
    <w:p w14:paraId="4B7527EE" w14:textId="77777777" w:rsidR="00577AAB" w:rsidRPr="008D6A92" w:rsidRDefault="00577AAB" w:rsidP="006F712F">
      <w:pPr>
        <w:spacing w:after="240"/>
      </w:pPr>
    </w:p>
    <w:sectPr w:rsidR="00577AAB" w:rsidRPr="008D6A92" w:rsidSect="006F712F">
      <w:headerReference w:type="default" r:id="rId34"/>
      <w:headerReference w:type="first" r:id="rId35"/>
      <w:pgSz w:w="12240" w:h="15840"/>
      <w:pgMar w:top="72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04F5D0" w14:textId="77777777" w:rsidR="00445401" w:rsidRDefault="00445401" w:rsidP="0046414C">
      <w:r>
        <w:separator/>
      </w:r>
    </w:p>
  </w:endnote>
  <w:endnote w:type="continuationSeparator" w:id="0">
    <w:p w14:paraId="26C1C880" w14:textId="77777777" w:rsidR="00445401" w:rsidRDefault="00445401" w:rsidP="00464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76EF2" w14:textId="0D60D29C" w:rsidR="00E53BC6" w:rsidRPr="00A72481" w:rsidRDefault="00E53BC6" w:rsidP="00A724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4FF6B1" w14:textId="77777777" w:rsidR="00445401" w:rsidRDefault="00445401" w:rsidP="0046414C">
      <w:r>
        <w:separator/>
      </w:r>
    </w:p>
  </w:footnote>
  <w:footnote w:type="continuationSeparator" w:id="0">
    <w:p w14:paraId="70FCC3A9" w14:textId="77777777" w:rsidR="00445401" w:rsidRDefault="00445401" w:rsidP="004641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FBA2D" w14:textId="2EAA228A" w:rsidR="00E53BC6" w:rsidRDefault="00E53BC6" w:rsidP="0046414C">
    <w:pPr>
      <w:pStyle w:val="Header"/>
      <w:jc w:val="right"/>
    </w:pPr>
    <w:proofErr w:type="gramStart"/>
    <w:r>
      <w:t>memo-pptb-amard-feb18item03</w:t>
    </w:r>
    <w:proofErr w:type="gramEnd"/>
  </w:p>
  <w:p w14:paraId="12CA14AD" w14:textId="01B1D25C" w:rsidR="00E53BC6" w:rsidRDefault="00E53BC6" w:rsidP="0046414C">
    <w:pPr>
      <w:pStyle w:val="Header"/>
      <w:spacing w:after="480"/>
      <w:jc w:val="right"/>
    </w:pPr>
    <w:r>
      <w:t xml:space="preserve">Page </w:t>
    </w:r>
    <w:r>
      <w:fldChar w:fldCharType="begin"/>
    </w:r>
    <w:r>
      <w:instrText xml:space="preserve"> PAGE   \* MERGEFORMAT </w:instrText>
    </w:r>
    <w:r>
      <w:fldChar w:fldCharType="separate"/>
    </w:r>
    <w:r>
      <w:rPr>
        <w:noProof/>
      </w:rPr>
      <w:t>3</w:t>
    </w:r>
    <w:r>
      <w:rPr>
        <w:noProof/>
      </w:rPr>
      <w:fldChar w:fldCharType="end"/>
    </w:r>
    <w:r>
      <w:rPr>
        <w:noProof/>
      </w:rPr>
      <w:t xml:space="preserve"> of 4</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31D61" w14:textId="77777777" w:rsidR="00E53BC6" w:rsidRPr="00BA55E6" w:rsidRDefault="00E53BC6" w:rsidP="00A72481">
    <w:pPr>
      <w:pStyle w:val="Header"/>
      <w:jc w:val="right"/>
      <w:rPr>
        <w:rFonts w:cs="Arial"/>
      </w:rPr>
    </w:pPr>
    <w:proofErr w:type="gramStart"/>
    <w:r w:rsidRPr="00BA55E6">
      <w:rPr>
        <w:rFonts w:cs="Arial"/>
      </w:rPr>
      <w:t>memo-ppt-amard-aug18item02</w:t>
    </w:r>
    <w:proofErr w:type="gramEnd"/>
  </w:p>
  <w:p w14:paraId="472AFB4A" w14:textId="28E756BF" w:rsidR="00E53BC6" w:rsidRPr="00BA55E6" w:rsidRDefault="00E53BC6" w:rsidP="00A72481">
    <w:pPr>
      <w:pStyle w:val="Header"/>
      <w:jc w:val="right"/>
      <w:rPr>
        <w:rFonts w:cs="Arial"/>
      </w:rPr>
    </w:pPr>
    <w:r w:rsidRPr="00BA55E6">
      <w:rPr>
        <w:rFonts w:cs="Arial"/>
      </w:rPr>
      <w:t>Attachment 4</w:t>
    </w:r>
  </w:p>
  <w:p w14:paraId="40FFE4EF" w14:textId="103EE11F" w:rsidR="00E53BC6" w:rsidRPr="00BA55E6" w:rsidRDefault="00E53BC6" w:rsidP="006F712F">
    <w:pPr>
      <w:pStyle w:val="Header"/>
      <w:spacing w:after="240"/>
      <w:jc w:val="right"/>
      <w:rPr>
        <w:rFonts w:cs="Arial"/>
        <w:noProof/>
      </w:rPr>
    </w:pPr>
    <w:r w:rsidRPr="00BA55E6">
      <w:rPr>
        <w:rFonts w:cs="Arial"/>
      </w:rPr>
      <w:t xml:space="preserve">Page </w:t>
    </w:r>
    <w:r w:rsidRPr="00BA55E6">
      <w:rPr>
        <w:rFonts w:cs="Arial"/>
      </w:rPr>
      <w:fldChar w:fldCharType="begin"/>
    </w:r>
    <w:r w:rsidRPr="00BA55E6">
      <w:rPr>
        <w:rFonts w:cs="Arial"/>
      </w:rPr>
      <w:instrText xml:space="preserve"> PAGE   \* MERGEFORMAT </w:instrText>
    </w:r>
    <w:r w:rsidRPr="00BA55E6">
      <w:rPr>
        <w:rFonts w:cs="Arial"/>
      </w:rPr>
      <w:fldChar w:fldCharType="separate"/>
    </w:r>
    <w:r w:rsidR="001F0EEE">
      <w:rPr>
        <w:rFonts w:cs="Arial"/>
        <w:noProof/>
      </w:rPr>
      <w:t>2</w:t>
    </w:r>
    <w:r w:rsidRPr="00BA55E6">
      <w:rPr>
        <w:rFonts w:cs="Arial"/>
        <w:noProof/>
      </w:rPr>
      <w:fldChar w:fldCharType="end"/>
    </w:r>
    <w:r w:rsidRPr="00BA55E6">
      <w:rPr>
        <w:rFonts w:cs="Arial"/>
        <w:noProof/>
      </w:rPr>
      <w:t xml:space="preserve"> of 2</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E7DCB" w14:textId="77777777" w:rsidR="00E53BC6" w:rsidRPr="00BA55E6" w:rsidRDefault="00E53BC6" w:rsidP="00F12F98">
    <w:pPr>
      <w:pStyle w:val="Header"/>
      <w:jc w:val="right"/>
      <w:rPr>
        <w:rFonts w:cs="Arial"/>
      </w:rPr>
    </w:pPr>
    <w:proofErr w:type="gramStart"/>
    <w:r w:rsidRPr="00BA55E6">
      <w:rPr>
        <w:rFonts w:cs="Arial"/>
      </w:rPr>
      <w:t>memo-ppt-amard-aug18item02</w:t>
    </w:r>
    <w:proofErr w:type="gramEnd"/>
  </w:p>
  <w:p w14:paraId="39DCB4E1" w14:textId="0061B204" w:rsidR="00E53BC6" w:rsidRPr="00BA55E6" w:rsidRDefault="00E53BC6" w:rsidP="00F12F98">
    <w:pPr>
      <w:pStyle w:val="Header"/>
      <w:jc w:val="right"/>
      <w:rPr>
        <w:rFonts w:cs="Arial"/>
      </w:rPr>
    </w:pPr>
    <w:r w:rsidRPr="00BA55E6">
      <w:rPr>
        <w:rFonts w:cs="Arial"/>
      </w:rPr>
      <w:t>Attachment 4</w:t>
    </w:r>
  </w:p>
  <w:p w14:paraId="6313F74D" w14:textId="250F9E40" w:rsidR="00E53BC6" w:rsidRPr="00BA55E6" w:rsidRDefault="00E53BC6" w:rsidP="00F12F98">
    <w:pPr>
      <w:pStyle w:val="Header"/>
      <w:jc w:val="right"/>
      <w:rPr>
        <w:rFonts w:cs="Arial"/>
        <w:noProof/>
      </w:rPr>
    </w:pPr>
    <w:r w:rsidRPr="00BA55E6">
      <w:rPr>
        <w:rFonts w:cs="Arial"/>
      </w:rPr>
      <w:t xml:space="preserve">Page </w:t>
    </w:r>
    <w:r w:rsidRPr="00BA55E6">
      <w:rPr>
        <w:rFonts w:cs="Arial"/>
      </w:rPr>
      <w:fldChar w:fldCharType="begin"/>
    </w:r>
    <w:r w:rsidRPr="00BA55E6">
      <w:rPr>
        <w:rFonts w:cs="Arial"/>
      </w:rPr>
      <w:instrText xml:space="preserve"> PAGE   \* MERGEFORMAT </w:instrText>
    </w:r>
    <w:r w:rsidRPr="00BA55E6">
      <w:rPr>
        <w:rFonts w:cs="Arial"/>
      </w:rPr>
      <w:fldChar w:fldCharType="separate"/>
    </w:r>
    <w:r>
      <w:rPr>
        <w:rFonts w:cs="Arial"/>
        <w:noProof/>
      </w:rPr>
      <w:t>1</w:t>
    </w:r>
    <w:r w:rsidRPr="00BA55E6">
      <w:rPr>
        <w:rFonts w:cs="Arial"/>
        <w:noProof/>
      </w:rPr>
      <w:fldChar w:fldCharType="end"/>
    </w:r>
    <w:r w:rsidRPr="00BA55E6">
      <w:rPr>
        <w:rFonts w:cs="Arial"/>
        <w:noProof/>
      </w:rPr>
      <w:t xml:space="preserve"> of 2</w:t>
    </w:r>
  </w:p>
  <w:p w14:paraId="10031D77" w14:textId="77777777" w:rsidR="00E53BC6" w:rsidRPr="00BA55E6" w:rsidRDefault="00E53BC6" w:rsidP="00F12F98">
    <w:pPr>
      <w:pStyle w:val="Header"/>
      <w:jc w:val="right"/>
      <w:rPr>
        <w:rFonts w:cs="Arial"/>
        <w:noProof/>
      </w:rPr>
    </w:pPr>
  </w:p>
  <w:p w14:paraId="628E258F" w14:textId="77777777" w:rsidR="00E53BC6" w:rsidRPr="00BA55E6" w:rsidRDefault="00E53BC6" w:rsidP="00F12F98">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FA359" w14:textId="6CB1E7AB" w:rsidR="00E53BC6" w:rsidRPr="00AD5AA4" w:rsidRDefault="00E53BC6" w:rsidP="00F12F98">
    <w:pPr>
      <w:pStyle w:val="Header"/>
      <w:jc w:val="right"/>
      <w:rPr>
        <w:rFonts w:cs="Arial"/>
        <w:szCs w:val="18"/>
      </w:rPr>
    </w:pPr>
    <w:proofErr w:type="gramStart"/>
    <w:r w:rsidRPr="00AD5AA4">
      <w:rPr>
        <w:rFonts w:cs="Arial"/>
        <w:szCs w:val="18"/>
      </w:rPr>
      <w:t>memo-pptb-amard-aug18item02</w:t>
    </w:r>
    <w:proofErr w:type="gramEnd"/>
  </w:p>
  <w:p w14:paraId="27AC33D0" w14:textId="0138E47A" w:rsidR="00E53BC6" w:rsidRPr="00AD5AA4" w:rsidRDefault="00E53BC6" w:rsidP="00D2596B">
    <w:pPr>
      <w:pStyle w:val="Header"/>
      <w:spacing w:after="480"/>
      <w:jc w:val="right"/>
      <w:rPr>
        <w:sz w:val="28"/>
      </w:rPr>
    </w:pPr>
    <w:r w:rsidRPr="00AD5AA4">
      <w:rPr>
        <w:rFonts w:cs="Arial"/>
        <w:szCs w:val="18"/>
      </w:rPr>
      <w:t xml:space="preserve">Page </w:t>
    </w:r>
    <w:r w:rsidRPr="00AD5AA4">
      <w:rPr>
        <w:rFonts w:cs="Arial"/>
        <w:szCs w:val="18"/>
      </w:rPr>
      <w:fldChar w:fldCharType="begin"/>
    </w:r>
    <w:r w:rsidRPr="00AD5AA4">
      <w:rPr>
        <w:rFonts w:cs="Arial"/>
        <w:szCs w:val="18"/>
      </w:rPr>
      <w:instrText xml:space="preserve"> PAGE   \* MERGEFORMAT </w:instrText>
    </w:r>
    <w:r w:rsidRPr="00AD5AA4">
      <w:rPr>
        <w:rFonts w:cs="Arial"/>
        <w:szCs w:val="18"/>
      </w:rPr>
      <w:fldChar w:fldCharType="separate"/>
    </w:r>
    <w:r w:rsidR="001F0EEE">
      <w:rPr>
        <w:rFonts w:cs="Arial"/>
        <w:noProof/>
        <w:szCs w:val="18"/>
      </w:rPr>
      <w:t>4</w:t>
    </w:r>
    <w:r w:rsidRPr="00AD5AA4">
      <w:rPr>
        <w:rFonts w:cs="Arial"/>
        <w:noProof/>
        <w:szCs w:val="18"/>
      </w:rPr>
      <w:fldChar w:fldCharType="end"/>
    </w:r>
    <w:r w:rsidRPr="00AD5AA4">
      <w:rPr>
        <w:rFonts w:cs="Arial"/>
        <w:szCs w:val="18"/>
      </w:rPr>
      <w:t xml:space="preserve"> </w:t>
    </w:r>
    <w:r w:rsidRPr="00AD5AA4">
      <w:rPr>
        <w:rFonts w:cs="Arial"/>
        <w:noProof/>
        <w:szCs w:val="18"/>
      </w:rPr>
      <w:t>of 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9F376" w14:textId="77777777" w:rsidR="00E53BC6" w:rsidRDefault="00E53BC6" w:rsidP="00F12F98">
    <w:pPr>
      <w:pStyle w:val="Header"/>
      <w:jc w:val="right"/>
      <w:rPr>
        <w:rFonts w:cs="Arial"/>
        <w:sz w:val="18"/>
        <w:szCs w:val="18"/>
      </w:rPr>
    </w:pPr>
    <w:proofErr w:type="gramStart"/>
    <w:r>
      <w:rPr>
        <w:rFonts w:cs="Arial"/>
        <w:sz w:val="18"/>
        <w:szCs w:val="18"/>
      </w:rPr>
      <w:t>memo-ppt-amard-sep17item02</w:t>
    </w:r>
    <w:proofErr w:type="gramEnd"/>
  </w:p>
  <w:p w14:paraId="560DD0D4" w14:textId="05952E1B" w:rsidR="00E53BC6" w:rsidRDefault="00E53BC6" w:rsidP="00F12F98">
    <w:pPr>
      <w:pStyle w:val="Header"/>
      <w:jc w:val="right"/>
      <w:rPr>
        <w:rFonts w:cs="Arial"/>
        <w:sz w:val="18"/>
        <w:szCs w:val="18"/>
      </w:rPr>
    </w:pPr>
    <w:r>
      <w:rPr>
        <w:rFonts w:cs="Arial"/>
        <w:sz w:val="18"/>
        <w:szCs w:val="18"/>
      </w:rPr>
      <w:t xml:space="preserve">Attachment 1 </w:t>
    </w:r>
  </w:p>
  <w:p w14:paraId="6B11427C" w14:textId="1FC777FE" w:rsidR="00E53BC6" w:rsidRDefault="00E53BC6" w:rsidP="00F12F98">
    <w:pPr>
      <w:pStyle w:val="Header"/>
      <w:jc w:val="right"/>
      <w:rPr>
        <w:rFonts w:cs="Arial"/>
        <w:noProof/>
        <w:sz w:val="18"/>
        <w:szCs w:val="18"/>
      </w:rPr>
    </w:pPr>
    <w:r>
      <w:rPr>
        <w:rFonts w:cs="Arial"/>
        <w:sz w:val="18"/>
        <w:szCs w:val="18"/>
      </w:rPr>
      <w:t>Page 1</w:t>
    </w:r>
    <w:r>
      <w:rPr>
        <w:rFonts w:cs="Arial"/>
        <w:noProof/>
        <w:sz w:val="18"/>
        <w:szCs w:val="18"/>
      </w:rPr>
      <w:t xml:space="preserve"> of 2</w:t>
    </w:r>
  </w:p>
  <w:p w14:paraId="1030775A" w14:textId="77777777" w:rsidR="00E53BC6" w:rsidRDefault="00E53BC6" w:rsidP="00F12F98">
    <w:pPr>
      <w:pStyle w:val="Header"/>
      <w:jc w:val="right"/>
      <w:rPr>
        <w:rFonts w:cs="Arial"/>
        <w:noProof/>
        <w:sz w:val="18"/>
        <w:szCs w:val="18"/>
      </w:rPr>
    </w:pPr>
  </w:p>
  <w:p w14:paraId="2E5F652E" w14:textId="77777777" w:rsidR="00E53BC6" w:rsidRPr="00D43ED2" w:rsidRDefault="00E53BC6" w:rsidP="00F12F98">
    <w:pPr>
      <w:pStyle w:val="Header"/>
      <w:jc w:val="right"/>
      <w:rPr>
        <w:sz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972E2" w14:textId="5D916F5F" w:rsidR="00E53BC6" w:rsidRPr="00F974EB" w:rsidRDefault="00E53BC6" w:rsidP="00A72481">
    <w:pPr>
      <w:pStyle w:val="Header"/>
      <w:jc w:val="right"/>
      <w:rPr>
        <w:rFonts w:cs="Arial"/>
        <w:szCs w:val="18"/>
      </w:rPr>
    </w:pPr>
    <w:proofErr w:type="gramStart"/>
    <w:r w:rsidRPr="00F974EB">
      <w:rPr>
        <w:rFonts w:cs="Arial"/>
        <w:szCs w:val="18"/>
      </w:rPr>
      <w:t>memo-ppt-amard-aug18item02</w:t>
    </w:r>
    <w:proofErr w:type="gramEnd"/>
  </w:p>
  <w:p w14:paraId="57F914C1" w14:textId="4A9E4246" w:rsidR="00E53BC6" w:rsidRPr="00F974EB" w:rsidRDefault="00E53BC6" w:rsidP="00A72481">
    <w:pPr>
      <w:pStyle w:val="Header"/>
      <w:jc w:val="right"/>
      <w:rPr>
        <w:rFonts w:cs="Arial"/>
        <w:szCs w:val="18"/>
      </w:rPr>
    </w:pPr>
    <w:r w:rsidRPr="00F974EB">
      <w:rPr>
        <w:rFonts w:cs="Arial"/>
        <w:szCs w:val="18"/>
      </w:rPr>
      <w:t>Attachment 1</w:t>
    </w:r>
  </w:p>
  <w:p w14:paraId="01820C17" w14:textId="76894003" w:rsidR="00E53BC6" w:rsidRPr="00F974EB" w:rsidRDefault="00E53BC6" w:rsidP="00B61EEA">
    <w:pPr>
      <w:pStyle w:val="Header"/>
      <w:spacing w:after="240"/>
      <w:jc w:val="right"/>
      <w:rPr>
        <w:rFonts w:cs="Arial"/>
        <w:noProof/>
        <w:szCs w:val="18"/>
      </w:rPr>
    </w:pPr>
    <w:r w:rsidRPr="00F974EB">
      <w:rPr>
        <w:rFonts w:cs="Arial"/>
        <w:szCs w:val="18"/>
      </w:rPr>
      <w:t xml:space="preserve">Page </w:t>
    </w:r>
    <w:r w:rsidRPr="00F974EB">
      <w:rPr>
        <w:rFonts w:cs="Arial"/>
        <w:szCs w:val="18"/>
      </w:rPr>
      <w:fldChar w:fldCharType="begin"/>
    </w:r>
    <w:r w:rsidRPr="00F974EB">
      <w:rPr>
        <w:rFonts w:cs="Arial"/>
        <w:szCs w:val="18"/>
      </w:rPr>
      <w:instrText xml:space="preserve"> PAGE   \* MERGEFORMAT </w:instrText>
    </w:r>
    <w:r w:rsidRPr="00F974EB">
      <w:rPr>
        <w:rFonts w:cs="Arial"/>
        <w:szCs w:val="18"/>
      </w:rPr>
      <w:fldChar w:fldCharType="separate"/>
    </w:r>
    <w:r w:rsidR="001F0EEE">
      <w:rPr>
        <w:rFonts w:cs="Arial"/>
        <w:noProof/>
        <w:szCs w:val="18"/>
      </w:rPr>
      <w:t>6</w:t>
    </w:r>
    <w:r w:rsidRPr="00F974EB">
      <w:rPr>
        <w:rFonts w:cs="Arial"/>
        <w:noProof/>
        <w:szCs w:val="18"/>
      </w:rPr>
      <w:fldChar w:fldCharType="end"/>
    </w:r>
    <w:r w:rsidRPr="00F974EB">
      <w:rPr>
        <w:rFonts w:cs="Arial"/>
        <w:noProof/>
        <w:szCs w:val="18"/>
      </w:rPr>
      <w:t xml:space="preserve"> of </w:t>
    </w:r>
    <w:r>
      <w:rPr>
        <w:rFonts w:cs="Arial"/>
        <w:noProof/>
        <w:szCs w:val="18"/>
      </w:rPr>
      <w:t>6</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24949" w14:textId="5C50E0BD" w:rsidR="00E53BC6" w:rsidRPr="006015E6" w:rsidRDefault="00E53BC6" w:rsidP="00F12F98">
    <w:pPr>
      <w:pStyle w:val="Header"/>
      <w:jc w:val="right"/>
      <w:rPr>
        <w:rFonts w:cs="Arial"/>
        <w:szCs w:val="18"/>
      </w:rPr>
    </w:pPr>
    <w:proofErr w:type="gramStart"/>
    <w:r w:rsidRPr="006015E6">
      <w:rPr>
        <w:rFonts w:cs="Arial"/>
        <w:szCs w:val="18"/>
      </w:rPr>
      <w:t>memo-ppt-amard-aug18item02</w:t>
    </w:r>
    <w:proofErr w:type="gramEnd"/>
  </w:p>
  <w:p w14:paraId="51B21C2F" w14:textId="372694DE" w:rsidR="00E53BC6" w:rsidRPr="006015E6" w:rsidRDefault="00E53BC6" w:rsidP="00F12F98">
    <w:pPr>
      <w:pStyle w:val="Header"/>
      <w:jc w:val="right"/>
      <w:rPr>
        <w:rFonts w:cs="Arial"/>
        <w:szCs w:val="18"/>
      </w:rPr>
    </w:pPr>
    <w:r w:rsidRPr="006015E6">
      <w:rPr>
        <w:rFonts w:cs="Arial"/>
        <w:szCs w:val="18"/>
      </w:rPr>
      <w:t>Attachment 1</w:t>
    </w:r>
  </w:p>
  <w:p w14:paraId="28E2ADE9" w14:textId="76908D08" w:rsidR="00E53BC6" w:rsidRPr="006015E6" w:rsidRDefault="00E53BC6" w:rsidP="00B61EEA">
    <w:pPr>
      <w:pStyle w:val="Header"/>
      <w:spacing w:after="240"/>
      <w:jc w:val="right"/>
    </w:pPr>
    <w:r w:rsidRPr="006015E6">
      <w:rPr>
        <w:rFonts w:cs="Arial"/>
        <w:szCs w:val="18"/>
      </w:rPr>
      <w:t xml:space="preserve">Page </w:t>
    </w:r>
    <w:r w:rsidRPr="006015E6">
      <w:rPr>
        <w:rFonts w:cs="Arial"/>
        <w:szCs w:val="18"/>
      </w:rPr>
      <w:fldChar w:fldCharType="begin"/>
    </w:r>
    <w:r w:rsidRPr="006015E6">
      <w:rPr>
        <w:rFonts w:cs="Arial"/>
        <w:szCs w:val="18"/>
      </w:rPr>
      <w:instrText xml:space="preserve"> PAGE   \* MERGEFORMAT </w:instrText>
    </w:r>
    <w:r w:rsidRPr="006015E6">
      <w:rPr>
        <w:rFonts w:cs="Arial"/>
        <w:szCs w:val="18"/>
      </w:rPr>
      <w:fldChar w:fldCharType="separate"/>
    </w:r>
    <w:r>
      <w:rPr>
        <w:rFonts w:cs="Arial"/>
        <w:noProof/>
        <w:szCs w:val="18"/>
      </w:rPr>
      <w:t>2</w:t>
    </w:r>
    <w:r w:rsidRPr="006015E6">
      <w:rPr>
        <w:rFonts w:cs="Arial"/>
        <w:noProof/>
        <w:szCs w:val="18"/>
      </w:rPr>
      <w:fldChar w:fldCharType="end"/>
    </w:r>
    <w:r w:rsidRPr="006015E6">
      <w:rPr>
        <w:rFonts w:cs="Arial"/>
        <w:noProof/>
        <w:szCs w:val="18"/>
      </w:rPr>
      <w:t xml:space="preserve"> of 6</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21D11" w14:textId="77777777" w:rsidR="00E53BC6" w:rsidRPr="008607F9" w:rsidRDefault="00E53BC6" w:rsidP="00A72481">
    <w:pPr>
      <w:pStyle w:val="Header"/>
      <w:jc w:val="right"/>
      <w:rPr>
        <w:rFonts w:cs="Arial"/>
        <w:szCs w:val="18"/>
      </w:rPr>
    </w:pPr>
    <w:proofErr w:type="gramStart"/>
    <w:r w:rsidRPr="008607F9">
      <w:rPr>
        <w:rFonts w:cs="Arial"/>
        <w:szCs w:val="18"/>
      </w:rPr>
      <w:t>memo-ppt-amard-aug18item02</w:t>
    </w:r>
    <w:proofErr w:type="gramEnd"/>
  </w:p>
  <w:p w14:paraId="4051D371" w14:textId="6EF92C62" w:rsidR="00E53BC6" w:rsidRPr="008607F9" w:rsidRDefault="00E53BC6" w:rsidP="00A72481">
    <w:pPr>
      <w:pStyle w:val="Header"/>
      <w:jc w:val="right"/>
      <w:rPr>
        <w:rFonts w:cs="Arial"/>
        <w:szCs w:val="18"/>
      </w:rPr>
    </w:pPr>
    <w:r w:rsidRPr="008607F9">
      <w:rPr>
        <w:rFonts w:cs="Arial"/>
        <w:szCs w:val="18"/>
      </w:rPr>
      <w:t>Attachment 2</w:t>
    </w:r>
  </w:p>
  <w:p w14:paraId="108D345C" w14:textId="2BD256EE" w:rsidR="00E53BC6" w:rsidRPr="008607F9" w:rsidRDefault="00E53BC6" w:rsidP="0043291A">
    <w:pPr>
      <w:pStyle w:val="Header"/>
      <w:spacing w:after="240"/>
      <w:jc w:val="right"/>
      <w:rPr>
        <w:rFonts w:cs="Arial"/>
        <w:noProof/>
        <w:szCs w:val="18"/>
      </w:rPr>
    </w:pPr>
    <w:r w:rsidRPr="008607F9">
      <w:rPr>
        <w:rFonts w:cs="Arial"/>
        <w:szCs w:val="18"/>
      </w:rPr>
      <w:t xml:space="preserve">Page </w:t>
    </w:r>
    <w:r w:rsidRPr="008607F9">
      <w:rPr>
        <w:rFonts w:cs="Arial"/>
        <w:szCs w:val="18"/>
      </w:rPr>
      <w:fldChar w:fldCharType="begin"/>
    </w:r>
    <w:r w:rsidRPr="008607F9">
      <w:rPr>
        <w:rFonts w:cs="Arial"/>
        <w:szCs w:val="18"/>
      </w:rPr>
      <w:instrText xml:space="preserve"> PAGE   \* MERGEFORMAT </w:instrText>
    </w:r>
    <w:r w:rsidRPr="008607F9">
      <w:rPr>
        <w:rFonts w:cs="Arial"/>
        <w:szCs w:val="18"/>
      </w:rPr>
      <w:fldChar w:fldCharType="separate"/>
    </w:r>
    <w:r w:rsidR="001F0EEE">
      <w:rPr>
        <w:rFonts w:cs="Arial"/>
        <w:noProof/>
        <w:szCs w:val="18"/>
      </w:rPr>
      <w:t>2</w:t>
    </w:r>
    <w:r w:rsidRPr="008607F9">
      <w:rPr>
        <w:rFonts w:cs="Arial"/>
        <w:noProof/>
        <w:szCs w:val="18"/>
      </w:rPr>
      <w:fldChar w:fldCharType="end"/>
    </w:r>
    <w:r w:rsidRPr="008607F9">
      <w:rPr>
        <w:rFonts w:cs="Arial"/>
        <w:noProof/>
        <w:szCs w:val="18"/>
      </w:rPr>
      <w:t xml:space="preserve"> of 2</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4D184" w14:textId="77777777" w:rsidR="00E53BC6" w:rsidRPr="008607F9" w:rsidRDefault="00E53BC6" w:rsidP="00F12F98">
    <w:pPr>
      <w:pStyle w:val="Header"/>
      <w:jc w:val="right"/>
      <w:rPr>
        <w:rFonts w:cs="Arial"/>
        <w:szCs w:val="18"/>
      </w:rPr>
    </w:pPr>
    <w:proofErr w:type="gramStart"/>
    <w:r w:rsidRPr="008607F9">
      <w:rPr>
        <w:rFonts w:cs="Arial"/>
        <w:szCs w:val="18"/>
      </w:rPr>
      <w:t>memo-ppt-amard-aug18item02</w:t>
    </w:r>
    <w:proofErr w:type="gramEnd"/>
  </w:p>
  <w:p w14:paraId="00A67F23" w14:textId="652289CB" w:rsidR="00E53BC6" w:rsidRPr="008607F9" w:rsidRDefault="00E53BC6" w:rsidP="00F12F98">
    <w:pPr>
      <w:pStyle w:val="Header"/>
      <w:jc w:val="right"/>
      <w:rPr>
        <w:rFonts w:cs="Arial"/>
        <w:szCs w:val="18"/>
      </w:rPr>
    </w:pPr>
    <w:r w:rsidRPr="008607F9">
      <w:rPr>
        <w:rFonts w:cs="Arial"/>
        <w:szCs w:val="18"/>
      </w:rPr>
      <w:t>Attachment 2</w:t>
    </w:r>
  </w:p>
  <w:p w14:paraId="0E680E73" w14:textId="06027B28" w:rsidR="00E53BC6" w:rsidRPr="008607F9" w:rsidRDefault="00E53BC6" w:rsidP="00F12F98">
    <w:pPr>
      <w:pStyle w:val="Header"/>
      <w:jc w:val="right"/>
      <w:rPr>
        <w:rFonts w:cs="Arial"/>
        <w:noProof/>
        <w:szCs w:val="18"/>
      </w:rPr>
    </w:pPr>
    <w:r w:rsidRPr="008607F9">
      <w:rPr>
        <w:rFonts w:cs="Arial"/>
        <w:szCs w:val="18"/>
      </w:rPr>
      <w:t xml:space="preserve">Page </w:t>
    </w:r>
    <w:r w:rsidRPr="008607F9">
      <w:rPr>
        <w:rFonts w:cs="Arial"/>
        <w:szCs w:val="18"/>
      </w:rPr>
      <w:fldChar w:fldCharType="begin"/>
    </w:r>
    <w:r w:rsidRPr="008607F9">
      <w:rPr>
        <w:rFonts w:cs="Arial"/>
        <w:szCs w:val="18"/>
      </w:rPr>
      <w:instrText xml:space="preserve"> PAGE   \* MERGEFORMAT </w:instrText>
    </w:r>
    <w:r w:rsidRPr="008607F9">
      <w:rPr>
        <w:rFonts w:cs="Arial"/>
        <w:szCs w:val="18"/>
      </w:rPr>
      <w:fldChar w:fldCharType="separate"/>
    </w:r>
    <w:r>
      <w:rPr>
        <w:rFonts w:cs="Arial"/>
        <w:noProof/>
        <w:szCs w:val="18"/>
      </w:rPr>
      <w:t>1</w:t>
    </w:r>
    <w:r w:rsidRPr="008607F9">
      <w:rPr>
        <w:rFonts w:cs="Arial"/>
        <w:noProof/>
        <w:szCs w:val="18"/>
      </w:rPr>
      <w:fldChar w:fldCharType="end"/>
    </w:r>
    <w:r w:rsidRPr="008607F9">
      <w:rPr>
        <w:rFonts w:cs="Arial"/>
        <w:noProof/>
        <w:szCs w:val="18"/>
      </w:rPr>
      <w:t xml:space="preserve"> of 2</w:t>
    </w:r>
  </w:p>
  <w:p w14:paraId="48FF161D" w14:textId="77777777" w:rsidR="00E53BC6" w:rsidRPr="008607F9" w:rsidRDefault="00E53BC6" w:rsidP="00F12F98">
    <w:pPr>
      <w:pStyle w:val="Header"/>
      <w:jc w:val="right"/>
      <w:rPr>
        <w:rFonts w:cs="Arial"/>
        <w:noProof/>
        <w:szCs w:val="18"/>
      </w:rPr>
    </w:pPr>
  </w:p>
  <w:p w14:paraId="7D002EAF" w14:textId="77777777" w:rsidR="00E53BC6" w:rsidRPr="008607F9" w:rsidRDefault="00E53BC6" w:rsidP="00F12F98">
    <w:pPr>
      <w:pStyle w:val="Heade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BB3E9" w14:textId="77777777" w:rsidR="00E53BC6" w:rsidRPr="00BA55E6" w:rsidRDefault="00E53BC6" w:rsidP="00A72481">
    <w:pPr>
      <w:pStyle w:val="Header"/>
      <w:jc w:val="right"/>
      <w:rPr>
        <w:rFonts w:cs="Arial"/>
      </w:rPr>
    </w:pPr>
    <w:proofErr w:type="gramStart"/>
    <w:r w:rsidRPr="00BA55E6">
      <w:rPr>
        <w:rFonts w:cs="Arial"/>
      </w:rPr>
      <w:t>memo-ppt-amard-aug18item02</w:t>
    </w:r>
    <w:proofErr w:type="gramEnd"/>
  </w:p>
  <w:p w14:paraId="4C41AF63" w14:textId="3DBF346C" w:rsidR="00E53BC6" w:rsidRPr="00BA55E6" w:rsidRDefault="00E53BC6" w:rsidP="00A72481">
    <w:pPr>
      <w:pStyle w:val="Header"/>
      <w:jc w:val="right"/>
      <w:rPr>
        <w:rFonts w:cs="Arial"/>
      </w:rPr>
    </w:pPr>
    <w:r w:rsidRPr="00BA55E6">
      <w:rPr>
        <w:rFonts w:cs="Arial"/>
      </w:rPr>
      <w:t>Attachment 3</w:t>
    </w:r>
  </w:p>
  <w:p w14:paraId="6CD998FB" w14:textId="6486C7E5" w:rsidR="00E53BC6" w:rsidRPr="00BA55E6" w:rsidRDefault="00E53BC6" w:rsidP="009360F1">
    <w:pPr>
      <w:pStyle w:val="Header"/>
      <w:spacing w:after="240"/>
      <w:jc w:val="right"/>
      <w:rPr>
        <w:rFonts w:cs="Arial"/>
        <w:noProof/>
      </w:rPr>
    </w:pPr>
    <w:r w:rsidRPr="00BA55E6">
      <w:rPr>
        <w:rFonts w:cs="Arial"/>
      </w:rPr>
      <w:t xml:space="preserve">Page </w:t>
    </w:r>
    <w:r w:rsidRPr="00BA55E6">
      <w:rPr>
        <w:rFonts w:cs="Arial"/>
      </w:rPr>
      <w:fldChar w:fldCharType="begin"/>
    </w:r>
    <w:r w:rsidRPr="00BA55E6">
      <w:rPr>
        <w:rFonts w:cs="Arial"/>
      </w:rPr>
      <w:instrText xml:space="preserve"> PAGE   \* MERGEFORMAT </w:instrText>
    </w:r>
    <w:r w:rsidRPr="00BA55E6">
      <w:rPr>
        <w:rFonts w:cs="Arial"/>
      </w:rPr>
      <w:fldChar w:fldCharType="separate"/>
    </w:r>
    <w:r w:rsidR="001F0EEE">
      <w:rPr>
        <w:rFonts w:cs="Arial"/>
        <w:noProof/>
      </w:rPr>
      <w:t>7</w:t>
    </w:r>
    <w:r w:rsidRPr="00BA55E6">
      <w:rPr>
        <w:rFonts w:cs="Arial"/>
        <w:noProof/>
      </w:rPr>
      <w:fldChar w:fldCharType="end"/>
    </w:r>
    <w:r w:rsidRPr="00BA55E6">
      <w:rPr>
        <w:rFonts w:cs="Arial"/>
        <w:noProof/>
      </w:rPr>
      <w:t xml:space="preserve"> of </w:t>
    </w:r>
    <w:r w:rsidR="00CC428C">
      <w:rPr>
        <w:rFonts w:cs="Arial"/>
        <w:noProof/>
      </w:rPr>
      <w:t>7</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7D03B" w14:textId="77777777" w:rsidR="00E53BC6" w:rsidRPr="008607F9" w:rsidRDefault="00E53BC6" w:rsidP="00F12F98">
    <w:pPr>
      <w:pStyle w:val="Header"/>
      <w:jc w:val="right"/>
      <w:rPr>
        <w:rFonts w:cs="Arial"/>
        <w:szCs w:val="18"/>
      </w:rPr>
    </w:pPr>
    <w:proofErr w:type="gramStart"/>
    <w:r w:rsidRPr="008607F9">
      <w:rPr>
        <w:rFonts w:cs="Arial"/>
        <w:szCs w:val="18"/>
      </w:rPr>
      <w:t>memo-ppt-amard-aug18item02</w:t>
    </w:r>
    <w:proofErr w:type="gramEnd"/>
  </w:p>
  <w:p w14:paraId="530C65C3" w14:textId="2B05A0DB" w:rsidR="00E53BC6" w:rsidRPr="008607F9" w:rsidRDefault="00E53BC6" w:rsidP="00F12F98">
    <w:pPr>
      <w:pStyle w:val="Header"/>
      <w:jc w:val="right"/>
      <w:rPr>
        <w:rFonts w:cs="Arial"/>
        <w:szCs w:val="18"/>
      </w:rPr>
    </w:pPr>
    <w:r w:rsidRPr="008607F9">
      <w:rPr>
        <w:rFonts w:cs="Arial"/>
        <w:szCs w:val="18"/>
      </w:rPr>
      <w:t>Attachment 3</w:t>
    </w:r>
  </w:p>
  <w:p w14:paraId="1DA8CD46" w14:textId="043344D6" w:rsidR="00E53BC6" w:rsidRPr="008607F9" w:rsidRDefault="00E53BC6" w:rsidP="00F12F98">
    <w:pPr>
      <w:pStyle w:val="Header"/>
      <w:jc w:val="right"/>
      <w:rPr>
        <w:rFonts w:cs="Arial"/>
        <w:noProof/>
        <w:szCs w:val="18"/>
      </w:rPr>
    </w:pPr>
    <w:r w:rsidRPr="008607F9">
      <w:rPr>
        <w:rFonts w:cs="Arial"/>
        <w:szCs w:val="18"/>
      </w:rPr>
      <w:t xml:space="preserve">Page </w:t>
    </w:r>
    <w:r w:rsidRPr="008607F9">
      <w:rPr>
        <w:rFonts w:cs="Arial"/>
        <w:szCs w:val="18"/>
      </w:rPr>
      <w:fldChar w:fldCharType="begin"/>
    </w:r>
    <w:r w:rsidRPr="008607F9">
      <w:rPr>
        <w:rFonts w:cs="Arial"/>
        <w:szCs w:val="18"/>
      </w:rPr>
      <w:instrText xml:space="preserve"> PAGE   \* MERGEFORMAT </w:instrText>
    </w:r>
    <w:r w:rsidRPr="008607F9">
      <w:rPr>
        <w:rFonts w:cs="Arial"/>
        <w:szCs w:val="18"/>
      </w:rPr>
      <w:fldChar w:fldCharType="separate"/>
    </w:r>
    <w:r>
      <w:rPr>
        <w:rFonts w:cs="Arial"/>
        <w:noProof/>
        <w:szCs w:val="18"/>
      </w:rPr>
      <w:t>1</w:t>
    </w:r>
    <w:r w:rsidRPr="008607F9">
      <w:rPr>
        <w:rFonts w:cs="Arial"/>
        <w:noProof/>
        <w:szCs w:val="18"/>
      </w:rPr>
      <w:fldChar w:fldCharType="end"/>
    </w:r>
    <w:r w:rsidRPr="008607F9">
      <w:rPr>
        <w:rFonts w:cs="Arial"/>
        <w:noProof/>
        <w:szCs w:val="18"/>
      </w:rPr>
      <w:t xml:space="preserve"> of 7</w:t>
    </w:r>
  </w:p>
  <w:p w14:paraId="6FD7AB54" w14:textId="77777777" w:rsidR="00E53BC6" w:rsidRPr="008607F9" w:rsidRDefault="00E53BC6" w:rsidP="00F12F98">
    <w:pPr>
      <w:pStyle w:val="Header"/>
      <w:jc w:val="right"/>
      <w:rPr>
        <w:rFonts w:cs="Arial"/>
        <w:noProof/>
        <w:szCs w:val="18"/>
      </w:rPr>
    </w:pPr>
  </w:p>
  <w:p w14:paraId="3FD4987F" w14:textId="77777777" w:rsidR="00E53BC6" w:rsidRPr="008607F9" w:rsidRDefault="00E53BC6" w:rsidP="00F12F9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1B8B49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01CED4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30093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6209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926D8A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A5427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25B0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B475A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DB86E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83002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730F8"/>
    <w:multiLevelType w:val="hybridMultilevel"/>
    <w:tmpl w:val="4328D8A4"/>
    <w:lvl w:ilvl="0" w:tplc="CA246922">
      <w:start w:val="1"/>
      <w:numFmt w:val="decimal"/>
      <w:lvlText w:val="%1."/>
      <w:lvlJc w:val="left"/>
      <w:pPr>
        <w:ind w:left="144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4C0E79"/>
    <w:multiLevelType w:val="hybridMultilevel"/>
    <w:tmpl w:val="634CE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8C62ED"/>
    <w:multiLevelType w:val="hybridMultilevel"/>
    <w:tmpl w:val="C84A6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067B43"/>
    <w:multiLevelType w:val="hybridMultilevel"/>
    <w:tmpl w:val="CD1E8CBC"/>
    <w:lvl w:ilvl="0" w:tplc="B426B8D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815E42"/>
    <w:multiLevelType w:val="hybridMultilevel"/>
    <w:tmpl w:val="ABC8AE3E"/>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5" w15:restartNumberingAfterBreak="0">
    <w:nsid w:val="250F752D"/>
    <w:multiLevelType w:val="hybridMultilevel"/>
    <w:tmpl w:val="B3A8E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AB2BB9"/>
    <w:multiLevelType w:val="hybridMultilevel"/>
    <w:tmpl w:val="2D3820F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7E25BC"/>
    <w:multiLevelType w:val="hybridMultilevel"/>
    <w:tmpl w:val="C4E88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566D5A"/>
    <w:multiLevelType w:val="hybridMultilevel"/>
    <w:tmpl w:val="84AA17A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BC4088D"/>
    <w:multiLevelType w:val="hybridMultilevel"/>
    <w:tmpl w:val="774AC26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0" w15:restartNumberingAfterBreak="0">
    <w:nsid w:val="4BED002D"/>
    <w:multiLevelType w:val="hybridMultilevel"/>
    <w:tmpl w:val="9562628E"/>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4CD552B2"/>
    <w:multiLevelType w:val="hybridMultilevel"/>
    <w:tmpl w:val="38B84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DE0A61"/>
    <w:multiLevelType w:val="hybridMultilevel"/>
    <w:tmpl w:val="D2768E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A61656"/>
    <w:multiLevelType w:val="hybridMultilevel"/>
    <w:tmpl w:val="49944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025AB2"/>
    <w:multiLevelType w:val="hybridMultilevel"/>
    <w:tmpl w:val="5BAAF54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5" w15:restartNumberingAfterBreak="0">
    <w:nsid w:val="68166D92"/>
    <w:multiLevelType w:val="hybridMultilevel"/>
    <w:tmpl w:val="BCE645A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22F4D76"/>
    <w:multiLevelType w:val="hybridMultilevel"/>
    <w:tmpl w:val="FD00B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100DD8"/>
    <w:multiLevelType w:val="hybridMultilevel"/>
    <w:tmpl w:val="850A74F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8" w15:restartNumberingAfterBreak="0">
    <w:nsid w:val="76F43BA1"/>
    <w:multiLevelType w:val="hybridMultilevel"/>
    <w:tmpl w:val="C504A16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9" w15:restartNumberingAfterBreak="0">
    <w:nsid w:val="7B0D6DF5"/>
    <w:multiLevelType w:val="hybridMultilevel"/>
    <w:tmpl w:val="4CD4C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D85D4C"/>
    <w:multiLevelType w:val="hybridMultilevel"/>
    <w:tmpl w:val="BDE6A7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5"/>
  </w:num>
  <w:num w:numId="3">
    <w:abstractNumId w:val="19"/>
  </w:num>
  <w:num w:numId="4">
    <w:abstractNumId w:val="30"/>
  </w:num>
  <w:num w:numId="5">
    <w:abstractNumId w:val="10"/>
  </w:num>
  <w:num w:numId="6">
    <w:abstractNumId w:val="16"/>
  </w:num>
  <w:num w:numId="7">
    <w:abstractNumId w:val="23"/>
  </w:num>
  <w:num w:numId="8">
    <w:abstractNumId w:val="27"/>
  </w:num>
  <w:num w:numId="9">
    <w:abstractNumId w:val="14"/>
  </w:num>
  <w:num w:numId="10">
    <w:abstractNumId w:val="22"/>
  </w:num>
  <w:num w:numId="11">
    <w:abstractNumId w:val="21"/>
  </w:num>
  <w:num w:numId="12">
    <w:abstractNumId w:val="13"/>
  </w:num>
  <w:num w:numId="13">
    <w:abstractNumId w:val="20"/>
  </w:num>
  <w:num w:numId="14">
    <w:abstractNumId w:val="18"/>
  </w:num>
  <w:num w:numId="15">
    <w:abstractNumId w:val="28"/>
  </w:num>
  <w:num w:numId="16">
    <w:abstractNumId w:val="26"/>
  </w:num>
  <w:num w:numId="17">
    <w:abstractNumId w:val="11"/>
  </w:num>
  <w:num w:numId="18">
    <w:abstractNumId w:val="12"/>
  </w:num>
  <w:num w:numId="19">
    <w:abstractNumId w:val="29"/>
  </w:num>
  <w:num w:numId="20">
    <w:abstractNumId w:val="17"/>
  </w:num>
  <w:num w:numId="21">
    <w:abstractNumId w:val="25"/>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A96"/>
    <w:rsid w:val="0001526C"/>
    <w:rsid w:val="00040DD7"/>
    <w:rsid w:val="00043AE7"/>
    <w:rsid w:val="000514D4"/>
    <w:rsid w:val="000522F2"/>
    <w:rsid w:val="00053B2A"/>
    <w:rsid w:val="00056BC7"/>
    <w:rsid w:val="00057A96"/>
    <w:rsid w:val="00062B6A"/>
    <w:rsid w:val="00066E79"/>
    <w:rsid w:val="00077927"/>
    <w:rsid w:val="000A76C7"/>
    <w:rsid w:val="000C139F"/>
    <w:rsid w:val="000E1689"/>
    <w:rsid w:val="000E7371"/>
    <w:rsid w:val="00127349"/>
    <w:rsid w:val="001356F0"/>
    <w:rsid w:val="00147877"/>
    <w:rsid w:val="0016173B"/>
    <w:rsid w:val="001648E9"/>
    <w:rsid w:val="00164C11"/>
    <w:rsid w:val="00184DEF"/>
    <w:rsid w:val="00192C43"/>
    <w:rsid w:val="001B243F"/>
    <w:rsid w:val="001C5065"/>
    <w:rsid w:val="001C53F3"/>
    <w:rsid w:val="001C6497"/>
    <w:rsid w:val="001D7BCB"/>
    <w:rsid w:val="001F0EEE"/>
    <w:rsid w:val="001F68C4"/>
    <w:rsid w:val="00205CFB"/>
    <w:rsid w:val="00207C1D"/>
    <w:rsid w:val="002120CB"/>
    <w:rsid w:val="0023081B"/>
    <w:rsid w:val="0023269E"/>
    <w:rsid w:val="002408E4"/>
    <w:rsid w:val="00264FA0"/>
    <w:rsid w:val="0027487F"/>
    <w:rsid w:val="00277CD4"/>
    <w:rsid w:val="00287209"/>
    <w:rsid w:val="0029286A"/>
    <w:rsid w:val="00297B10"/>
    <w:rsid w:val="002A0578"/>
    <w:rsid w:val="002A7B71"/>
    <w:rsid w:val="002C7676"/>
    <w:rsid w:val="002D3C2A"/>
    <w:rsid w:val="002D51A5"/>
    <w:rsid w:val="002D66F5"/>
    <w:rsid w:val="002F20A4"/>
    <w:rsid w:val="00312D00"/>
    <w:rsid w:val="00321D49"/>
    <w:rsid w:val="00322C00"/>
    <w:rsid w:val="00325EAA"/>
    <w:rsid w:val="0033616F"/>
    <w:rsid w:val="00340762"/>
    <w:rsid w:val="00364C1F"/>
    <w:rsid w:val="003828B3"/>
    <w:rsid w:val="003912F9"/>
    <w:rsid w:val="00394B92"/>
    <w:rsid w:val="003A0FD7"/>
    <w:rsid w:val="003D1E70"/>
    <w:rsid w:val="003E23D8"/>
    <w:rsid w:val="003E3B94"/>
    <w:rsid w:val="0043291A"/>
    <w:rsid w:val="00445401"/>
    <w:rsid w:val="00453B80"/>
    <w:rsid w:val="0046414C"/>
    <w:rsid w:val="00470CB4"/>
    <w:rsid w:val="00474A2F"/>
    <w:rsid w:val="004908B3"/>
    <w:rsid w:val="004A5AA9"/>
    <w:rsid w:val="004B026D"/>
    <w:rsid w:val="004B6050"/>
    <w:rsid w:val="004C4B35"/>
    <w:rsid w:val="004C7966"/>
    <w:rsid w:val="004D06B7"/>
    <w:rsid w:val="004D6C69"/>
    <w:rsid w:val="004E121C"/>
    <w:rsid w:val="004F1D0D"/>
    <w:rsid w:val="004F7322"/>
    <w:rsid w:val="0051479B"/>
    <w:rsid w:val="00540C11"/>
    <w:rsid w:val="0054334A"/>
    <w:rsid w:val="005472EC"/>
    <w:rsid w:val="00560A48"/>
    <w:rsid w:val="00577AAB"/>
    <w:rsid w:val="005A0201"/>
    <w:rsid w:val="005A3271"/>
    <w:rsid w:val="005A3D42"/>
    <w:rsid w:val="005B1325"/>
    <w:rsid w:val="005B7CBB"/>
    <w:rsid w:val="005D39E9"/>
    <w:rsid w:val="005D600A"/>
    <w:rsid w:val="005D7E76"/>
    <w:rsid w:val="005F44F1"/>
    <w:rsid w:val="006015E6"/>
    <w:rsid w:val="00603C14"/>
    <w:rsid w:val="006332BB"/>
    <w:rsid w:val="006416BF"/>
    <w:rsid w:val="006625C2"/>
    <w:rsid w:val="00662CE7"/>
    <w:rsid w:val="00665172"/>
    <w:rsid w:val="00681207"/>
    <w:rsid w:val="006B279A"/>
    <w:rsid w:val="006F712F"/>
    <w:rsid w:val="00703797"/>
    <w:rsid w:val="0072104A"/>
    <w:rsid w:val="00745E27"/>
    <w:rsid w:val="007501DD"/>
    <w:rsid w:val="007704A6"/>
    <w:rsid w:val="007722B0"/>
    <w:rsid w:val="00787C0A"/>
    <w:rsid w:val="007A2653"/>
    <w:rsid w:val="007D70EB"/>
    <w:rsid w:val="00804F31"/>
    <w:rsid w:val="008213F2"/>
    <w:rsid w:val="00827E8B"/>
    <w:rsid w:val="00836A0D"/>
    <w:rsid w:val="008445B6"/>
    <w:rsid w:val="008607F9"/>
    <w:rsid w:val="00861130"/>
    <w:rsid w:val="00874F38"/>
    <w:rsid w:val="00876931"/>
    <w:rsid w:val="008A046D"/>
    <w:rsid w:val="008A320B"/>
    <w:rsid w:val="008B1135"/>
    <w:rsid w:val="008B4132"/>
    <w:rsid w:val="008B7AD8"/>
    <w:rsid w:val="008D2B05"/>
    <w:rsid w:val="008D2E23"/>
    <w:rsid w:val="008D6A92"/>
    <w:rsid w:val="008F6CA0"/>
    <w:rsid w:val="00904F79"/>
    <w:rsid w:val="009360F1"/>
    <w:rsid w:val="00962C0F"/>
    <w:rsid w:val="00963290"/>
    <w:rsid w:val="009807E0"/>
    <w:rsid w:val="00982A10"/>
    <w:rsid w:val="00985571"/>
    <w:rsid w:val="009C6096"/>
    <w:rsid w:val="009D5336"/>
    <w:rsid w:val="009E16EB"/>
    <w:rsid w:val="009E58F8"/>
    <w:rsid w:val="00A0788D"/>
    <w:rsid w:val="00A11875"/>
    <w:rsid w:val="00A13B81"/>
    <w:rsid w:val="00A21A6F"/>
    <w:rsid w:val="00A30047"/>
    <w:rsid w:val="00A33CBF"/>
    <w:rsid w:val="00A35C73"/>
    <w:rsid w:val="00A36D03"/>
    <w:rsid w:val="00A45973"/>
    <w:rsid w:val="00A72481"/>
    <w:rsid w:val="00AA2D3D"/>
    <w:rsid w:val="00AA7483"/>
    <w:rsid w:val="00AB4C92"/>
    <w:rsid w:val="00AD5AA4"/>
    <w:rsid w:val="00AF5F71"/>
    <w:rsid w:val="00B0239F"/>
    <w:rsid w:val="00B61EEA"/>
    <w:rsid w:val="00B73E6E"/>
    <w:rsid w:val="00B746DE"/>
    <w:rsid w:val="00BA555F"/>
    <w:rsid w:val="00BA55E6"/>
    <w:rsid w:val="00BB1A63"/>
    <w:rsid w:val="00BB765F"/>
    <w:rsid w:val="00BC3667"/>
    <w:rsid w:val="00BC376B"/>
    <w:rsid w:val="00BC7A5C"/>
    <w:rsid w:val="00BF2CE1"/>
    <w:rsid w:val="00BF7F32"/>
    <w:rsid w:val="00C055A3"/>
    <w:rsid w:val="00C420BB"/>
    <w:rsid w:val="00C55BFA"/>
    <w:rsid w:val="00C562F2"/>
    <w:rsid w:val="00C61F78"/>
    <w:rsid w:val="00C63FAA"/>
    <w:rsid w:val="00CA64F8"/>
    <w:rsid w:val="00CA66E7"/>
    <w:rsid w:val="00CC428C"/>
    <w:rsid w:val="00CC5474"/>
    <w:rsid w:val="00CD238E"/>
    <w:rsid w:val="00CD4A86"/>
    <w:rsid w:val="00D0380D"/>
    <w:rsid w:val="00D0505E"/>
    <w:rsid w:val="00D2596B"/>
    <w:rsid w:val="00D417A7"/>
    <w:rsid w:val="00D45E70"/>
    <w:rsid w:val="00D55368"/>
    <w:rsid w:val="00D569B3"/>
    <w:rsid w:val="00D7604B"/>
    <w:rsid w:val="00D81E7D"/>
    <w:rsid w:val="00D919D9"/>
    <w:rsid w:val="00DA5BAE"/>
    <w:rsid w:val="00DC5EFF"/>
    <w:rsid w:val="00DC5FAA"/>
    <w:rsid w:val="00DE6820"/>
    <w:rsid w:val="00DE75DF"/>
    <w:rsid w:val="00DF0CC5"/>
    <w:rsid w:val="00E0313C"/>
    <w:rsid w:val="00E064EB"/>
    <w:rsid w:val="00E07EAD"/>
    <w:rsid w:val="00E1395D"/>
    <w:rsid w:val="00E144E4"/>
    <w:rsid w:val="00E32FDC"/>
    <w:rsid w:val="00E53BC6"/>
    <w:rsid w:val="00E674B6"/>
    <w:rsid w:val="00E742F6"/>
    <w:rsid w:val="00E7789E"/>
    <w:rsid w:val="00EB3A39"/>
    <w:rsid w:val="00EC3FF1"/>
    <w:rsid w:val="00EE18F8"/>
    <w:rsid w:val="00EE71D6"/>
    <w:rsid w:val="00EF13E6"/>
    <w:rsid w:val="00F042D8"/>
    <w:rsid w:val="00F06887"/>
    <w:rsid w:val="00F12F98"/>
    <w:rsid w:val="00F33084"/>
    <w:rsid w:val="00F33EA6"/>
    <w:rsid w:val="00F37CA7"/>
    <w:rsid w:val="00F41059"/>
    <w:rsid w:val="00F50B38"/>
    <w:rsid w:val="00F55BE2"/>
    <w:rsid w:val="00F71A25"/>
    <w:rsid w:val="00F75F6C"/>
    <w:rsid w:val="00F9140B"/>
    <w:rsid w:val="00F9200C"/>
    <w:rsid w:val="00F94B01"/>
    <w:rsid w:val="00F974EB"/>
    <w:rsid w:val="00FD2521"/>
    <w:rsid w:val="00FD3449"/>
    <w:rsid w:val="00FF0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E524F1"/>
  <w15:chartTrackingRefBased/>
  <w15:docId w15:val="{D8193D93-5ABD-436C-9EDD-771A4720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B35"/>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3361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7A96"/>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3A0FD7"/>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9C609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057A96"/>
    <w:rPr>
      <w:rFonts w:ascii="Arial" w:eastAsiaTheme="majorEastAsia" w:hAnsi="Arial" w:cstheme="majorBidi"/>
      <w:b/>
      <w:sz w:val="26"/>
      <w:szCs w:val="26"/>
    </w:rPr>
  </w:style>
  <w:style w:type="paragraph" w:styleId="BalloonText">
    <w:name w:val="Balloon Text"/>
    <w:basedOn w:val="Normal"/>
    <w:link w:val="BalloonTextChar"/>
    <w:uiPriority w:val="99"/>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9B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33616F"/>
    <w:rPr>
      <w:rFonts w:asciiTheme="majorHAnsi" w:eastAsiaTheme="majorEastAsia" w:hAnsiTheme="majorHAnsi" w:cstheme="majorBidi"/>
      <w:color w:val="2E74B5" w:themeColor="accent1" w:themeShade="BF"/>
      <w:sz w:val="32"/>
      <w:szCs w:val="32"/>
    </w:rPr>
  </w:style>
  <w:style w:type="character" w:styleId="Hyperlink">
    <w:name w:val="Hyperlink"/>
    <w:uiPriority w:val="99"/>
    <w:rsid w:val="001356F0"/>
    <w:rPr>
      <w:color w:val="0000FF"/>
      <w:u w:val="single"/>
    </w:rPr>
  </w:style>
  <w:style w:type="character" w:styleId="Strong">
    <w:name w:val="Strong"/>
    <w:basedOn w:val="DefaultParagraphFont"/>
    <w:uiPriority w:val="22"/>
    <w:qFormat/>
    <w:rsid w:val="001356F0"/>
    <w:rPr>
      <w:b/>
      <w:bCs/>
    </w:rPr>
  </w:style>
  <w:style w:type="paragraph" w:styleId="BodyText">
    <w:name w:val="Body Text"/>
    <w:basedOn w:val="Normal"/>
    <w:link w:val="BodyTextChar"/>
    <w:rsid w:val="00E064EB"/>
    <w:pPr>
      <w:spacing w:after="120"/>
    </w:pPr>
  </w:style>
  <w:style w:type="character" w:customStyle="1" w:styleId="BodyTextChar">
    <w:name w:val="Body Text Char"/>
    <w:basedOn w:val="DefaultParagraphFont"/>
    <w:link w:val="BodyText"/>
    <w:rsid w:val="00E064EB"/>
    <w:rPr>
      <w:rFonts w:ascii="Arial" w:eastAsia="Times New Roman" w:hAnsi="Arial" w:cs="Times New Roman"/>
      <w:sz w:val="24"/>
      <w:szCs w:val="24"/>
    </w:rPr>
  </w:style>
  <w:style w:type="paragraph" w:styleId="ListParagraph">
    <w:name w:val="List Paragraph"/>
    <w:basedOn w:val="Normal"/>
    <w:uiPriority w:val="34"/>
    <w:qFormat/>
    <w:rsid w:val="000E7371"/>
    <w:pPr>
      <w:ind w:left="720"/>
    </w:pPr>
    <w:rPr>
      <w:rFonts w:ascii="Calibri" w:eastAsiaTheme="minorHAnsi" w:hAnsi="Calibri" w:cs="Calibri"/>
      <w:sz w:val="22"/>
      <w:szCs w:val="22"/>
    </w:rPr>
  </w:style>
  <w:style w:type="character" w:customStyle="1" w:styleId="Heading3Char">
    <w:name w:val="Heading 3 Char"/>
    <w:basedOn w:val="DefaultParagraphFont"/>
    <w:link w:val="Heading3"/>
    <w:uiPriority w:val="9"/>
    <w:rsid w:val="003A0FD7"/>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3A0FD7"/>
    <w:pPr>
      <w:spacing w:after="0" w:line="240" w:lineRule="auto"/>
    </w:pPr>
    <w:rPr>
      <w:rFonts w:ascii="Arial" w:hAnsi="Arial"/>
      <w:sz w:val="24"/>
    </w:rPr>
  </w:style>
  <w:style w:type="paragraph" w:customStyle="1" w:styleId="ColorfulList-Accent11">
    <w:name w:val="Colorful List - Accent 11"/>
    <w:basedOn w:val="Normal"/>
    <w:uiPriority w:val="34"/>
    <w:qFormat/>
    <w:rsid w:val="003A0FD7"/>
    <w:pPr>
      <w:spacing w:after="160" w:line="259" w:lineRule="auto"/>
      <w:ind w:left="720"/>
      <w:contextualSpacing/>
    </w:pPr>
    <w:rPr>
      <w:rFonts w:ascii="Calibri" w:eastAsia="Calibri" w:hAnsi="Calibri"/>
      <w:sz w:val="22"/>
      <w:szCs w:val="22"/>
    </w:rPr>
  </w:style>
  <w:style w:type="character" w:styleId="CommentReference">
    <w:name w:val="annotation reference"/>
    <w:basedOn w:val="DefaultParagraphFont"/>
    <w:uiPriority w:val="99"/>
    <w:semiHidden/>
    <w:unhideWhenUsed/>
    <w:rsid w:val="00A21A6F"/>
    <w:rPr>
      <w:sz w:val="16"/>
      <w:szCs w:val="16"/>
    </w:rPr>
  </w:style>
  <w:style w:type="paragraph" w:styleId="CommentText">
    <w:name w:val="annotation text"/>
    <w:basedOn w:val="Normal"/>
    <w:link w:val="CommentTextChar"/>
    <w:uiPriority w:val="99"/>
    <w:semiHidden/>
    <w:unhideWhenUsed/>
    <w:rsid w:val="00A21A6F"/>
    <w:rPr>
      <w:sz w:val="20"/>
      <w:szCs w:val="20"/>
    </w:rPr>
  </w:style>
  <w:style w:type="character" w:customStyle="1" w:styleId="CommentTextChar">
    <w:name w:val="Comment Text Char"/>
    <w:basedOn w:val="DefaultParagraphFont"/>
    <w:link w:val="CommentText"/>
    <w:uiPriority w:val="99"/>
    <w:semiHidden/>
    <w:rsid w:val="00A21A6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A21A6F"/>
    <w:rPr>
      <w:b/>
      <w:bCs/>
    </w:rPr>
  </w:style>
  <w:style w:type="character" w:customStyle="1" w:styleId="CommentSubjectChar">
    <w:name w:val="Comment Subject Char"/>
    <w:basedOn w:val="CommentTextChar"/>
    <w:link w:val="CommentSubject"/>
    <w:uiPriority w:val="99"/>
    <w:semiHidden/>
    <w:rsid w:val="00A21A6F"/>
    <w:rPr>
      <w:rFonts w:ascii="Arial" w:eastAsia="Times New Roman" w:hAnsi="Arial" w:cs="Times New Roman"/>
      <w:b/>
      <w:bCs/>
      <w:sz w:val="20"/>
      <w:szCs w:val="20"/>
    </w:rPr>
  </w:style>
  <w:style w:type="paragraph" w:styleId="Header">
    <w:name w:val="header"/>
    <w:basedOn w:val="Normal"/>
    <w:link w:val="HeaderChar"/>
    <w:uiPriority w:val="99"/>
    <w:unhideWhenUsed/>
    <w:rsid w:val="0046414C"/>
    <w:pPr>
      <w:tabs>
        <w:tab w:val="center" w:pos="4680"/>
        <w:tab w:val="right" w:pos="9360"/>
      </w:tabs>
    </w:pPr>
  </w:style>
  <w:style w:type="character" w:customStyle="1" w:styleId="HeaderChar">
    <w:name w:val="Header Char"/>
    <w:basedOn w:val="DefaultParagraphFont"/>
    <w:link w:val="Header"/>
    <w:uiPriority w:val="99"/>
    <w:rsid w:val="0046414C"/>
    <w:rPr>
      <w:rFonts w:ascii="Arial" w:eastAsia="Times New Roman" w:hAnsi="Arial" w:cs="Times New Roman"/>
      <w:sz w:val="24"/>
      <w:szCs w:val="24"/>
    </w:rPr>
  </w:style>
  <w:style w:type="paragraph" w:styleId="Footer">
    <w:name w:val="footer"/>
    <w:basedOn w:val="Normal"/>
    <w:link w:val="FooterChar"/>
    <w:uiPriority w:val="99"/>
    <w:unhideWhenUsed/>
    <w:rsid w:val="0046414C"/>
    <w:pPr>
      <w:tabs>
        <w:tab w:val="center" w:pos="4680"/>
        <w:tab w:val="right" w:pos="9360"/>
      </w:tabs>
    </w:pPr>
  </w:style>
  <w:style w:type="character" w:customStyle="1" w:styleId="FooterChar">
    <w:name w:val="Footer Char"/>
    <w:basedOn w:val="DefaultParagraphFont"/>
    <w:link w:val="Footer"/>
    <w:uiPriority w:val="99"/>
    <w:rsid w:val="0046414C"/>
    <w:rPr>
      <w:rFonts w:ascii="Arial" w:eastAsia="Times New Roman" w:hAnsi="Arial" w:cs="Times New Roman"/>
      <w:sz w:val="24"/>
      <w:szCs w:val="24"/>
    </w:rPr>
  </w:style>
  <w:style w:type="character" w:styleId="FollowedHyperlink">
    <w:name w:val="FollowedHyperlink"/>
    <w:basedOn w:val="DefaultParagraphFont"/>
    <w:uiPriority w:val="99"/>
    <w:semiHidden/>
    <w:unhideWhenUsed/>
    <w:rsid w:val="0046414C"/>
    <w:rPr>
      <w:color w:val="954F72" w:themeColor="followedHyperlink"/>
      <w:u w:val="single"/>
    </w:rPr>
  </w:style>
  <w:style w:type="table" w:styleId="TableGrid">
    <w:name w:val="Table Grid"/>
    <w:basedOn w:val="TableNormal"/>
    <w:uiPriority w:val="59"/>
    <w:rsid w:val="00CA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A66E7"/>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CA66E7"/>
    <w:rPr>
      <w:sz w:val="20"/>
      <w:szCs w:val="20"/>
    </w:rPr>
  </w:style>
  <w:style w:type="character" w:styleId="FootnoteReference">
    <w:name w:val="footnote reference"/>
    <w:basedOn w:val="DefaultParagraphFont"/>
    <w:uiPriority w:val="99"/>
    <w:semiHidden/>
    <w:unhideWhenUsed/>
    <w:rsid w:val="00CA66E7"/>
    <w:rPr>
      <w:vertAlign w:val="superscript"/>
    </w:rPr>
  </w:style>
  <w:style w:type="table" w:customStyle="1" w:styleId="TableGrid3">
    <w:name w:val="Table Grid3"/>
    <w:basedOn w:val="TableNormal"/>
    <w:next w:val="TableGrid"/>
    <w:uiPriority w:val="39"/>
    <w:rsid w:val="00CA66E7"/>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1">
    <w:name w:val="normal__char1"/>
    <w:rsid w:val="007704A6"/>
    <w:rPr>
      <w:rFonts w:ascii="Arial" w:hAnsi="Arial" w:cs="Arial" w:hint="default"/>
      <w:strike w:val="0"/>
      <w:dstrike w:val="0"/>
      <w:sz w:val="20"/>
      <w:szCs w:val="20"/>
      <w:u w:val="none"/>
      <w:effect w:val="none"/>
    </w:rPr>
  </w:style>
  <w:style w:type="character" w:customStyle="1" w:styleId="Heading4Char">
    <w:name w:val="Heading 4 Char"/>
    <w:basedOn w:val="DefaultParagraphFont"/>
    <w:link w:val="Heading4"/>
    <w:uiPriority w:val="9"/>
    <w:rsid w:val="009C6096"/>
    <w:rPr>
      <w:rFonts w:asciiTheme="majorHAnsi" w:eastAsiaTheme="majorEastAsia" w:hAnsiTheme="majorHAnsi" w:cstheme="majorBidi"/>
      <w:i/>
      <w:iCs/>
      <w:color w:val="2E74B5" w:themeColor="accent1" w:themeShade="BF"/>
      <w:sz w:val="24"/>
      <w:szCs w:val="24"/>
    </w:rPr>
  </w:style>
  <w:style w:type="table" w:customStyle="1" w:styleId="TableGrid1">
    <w:name w:val="Table Grid1"/>
    <w:basedOn w:val="TableNormal"/>
    <w:next w:val="TableGrid"/>
    <w:uiPriority w:val="39"/>
    <w:rsid w:val="00F33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ssageHeader">
    <w:name w:val="Message Header"/>
    <w:basedOn w:val="Normal"/>
    <w:link w:val="MessageHeaderChar"/>
    <w:uiPriority w:val="99"/>
    <w:unhideWhenUsed/>
    <w:rsid w:val="004C4B35"/>
    <w:pPr>
      <w:spacing w:after="36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4C4B35"/>
    <w:rPr>
      <w:rFonts w:ascii="Arial" w:eastAsiaTheme="majorEastAsia" w:hAnsi="Arial"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673518">
      <w:bodyDiv w:val="1"/>
      <w:marLeft w:val="0"/>
      <w:marRight w:val="0"/>
      <w:marTop w:val="0"/>
      <w:marBottom w:val="0"/>
      <w:divBdr>
        <w:top w:val="none" w:sz="0" w:space="0" w:color="auto"/>
        <w:left w:val="none" w:sz="0" w:space="0" w:color="auto"/>
        <w:bottom w:val="none" w:sz="0" w:space="0" w:color="auto"/>
        <w:right w:val="none" w:sz="0" w:space="0" w:color="auto"/>
      </w:divBdr>
      <w:divsChild>
        <w:div w:id="1017122109">
          <w:marLeft w:val="360"/>
          <w:marRight w:val="0"/>
          <w:marTop w:val="120"/>
          <w:marBottom w:val="120"/>
          <w:divBdr>
            <w:top w:val="none" w:sz="0" w:space="0" w:color="auto"/>
            <w:left w:val="none" w:sz="0" w:space="0" w:color="auto"/>
            <w:bottom w:val="none" w:sz="0" w:space="0" w:color="auto"/>
            <w:right w:val="none" w:sz="0" w:space="0" w:color="auto"/>
          </w:divBdr>
        </w:div>
        <w:div w:id="16851504">
          <w:marLeft w:val="1080"/>
          <w:marRight w:val="0"/>
          <w:marTop w:val="120"/>
          <w:marBottom w:val="120"/>
          <w:divBdr>
            <w:top w:val="none" w:sz="0" w:space="0" w:color="auto"/>
            <w:left w:val="none" w:sz="0" w:space="0" w:color="auto"/>
            <w:bottom w:val="none" w:sz="0" w:space="0" w:color="auto"/>
            <w:right w:val="none" w:sz="0" w:space="0" w:color="auto"/>
          </w:divBdr>
        </w:div>
      </w:divsChild>
    </w:div>
    <w:div w:id="514080805">
      <w:bodyDiv w:val="1"/>
      <w:marLeft w:val="0"/>
      <w:marRight w:val="0"/>
      <w:marTop w:val="0"/>
      <w:marBottom w:val="0"/>
      <w:divBdr>
        <w:top w:val="none" w:sz="0" w:space="0" w:color="auto"/>
        <w:left w:val="none" w:sz="0" w:space="0" w:color="auto"/>
        <w:bottom w:val="none" w:sz="0" w:space="0" w:color="auto"/>
        <w:right w:val="none" w:sz="0" w:space="0" w:color="auto"/>
      </w:divBdr>
      <w:divsChild>
        <w:div w:id="1032610727">
          <w:marLeft w:val="0"/>
          <w:marRight w:val="0"/>
          <w:marTop w:val="0"/>
          <w:marBottom w:val="0"/>
          <w:divBdr>
            <w:top w:val="none" w:sz="0" w:space="0" w:color="auto"/>
            <w:left w:val="none" w:sz="0" w:space="0" w:color="auto"/>
            <w:bottom w:val="none" w:sz="0" w:space="0" w:color="auto"/>
            <w:right w:val="none" w:sz="0" w:space="0" w:color="auto"/>
          </w:divBdr>
          <w:divsChild>
            <w:div w:id="1078360301">
              <w:marLeft w:val="0"/>
              <w:marRight w:val="0"/>
              <w:marTop w:val="0"/>
              <w:marBottom w:val="0"/>
              <w:divBdr>
                <w:top w:val="none" w:sz="0" w:space="0" w:color="auto"/>
                <w:left w:val="none" w:sz="0" w:space="0" w:color="auto"/>
                <w:bottom w:val="none" w:sz="0" w:space="0" w:color="auto"/>
                <w:right w:val="none" w:sz="0" w:space="0" w:color="auto"/>
              </w:divBdr>
              <w:divsChild>
                <w:div w:id="204373793">
                  <w:marLeft w:val="-225"/>
                  <w:marRight w:val="-225"/>
                  <w:marTop w:val="0"/>
                  <w:marBottom w:val="0"/>
                  <w:divBdr>
                    <w:top w:val="none" w:sz="0" w:space="0" w:color="auto"/>
                    <w:left w:val="none" w:sz="0" w:space="0" w:color="auto"/>
                    <w:bottom w:val="none" w:sz="0" w:space="0" w:color="auto"/>
                    <w:right w:val="none" w:sz="0" w:space="0" w:color="auto"/>
                  </w:divBdr>
                  <w:divsChild>
                    <w:div w:id="181398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796432">
      <w:bodyDiv w:val="1"/>
      <w:marLeft w:val="0"/>
      <w:marRight w:val="0"/>
      <w:marTop w:val="0"/>
      <w:marBottom w:val="0"/>
      <w:divBdr>
        <w:top w:val="none" w:sz="0" w:space="0" w:color="auto"/>
        <w:left w:val="none" w:sz="0" w:space="0" w:color="auto"/>
        <w:bottom w:val="none" w:sz="0" w:space="0" w:color="auto"/>
        <w:right w:val="none" w:sz="0" w:space="0" w:color="auto"/>
      </w:divBdr>
      <w:divsChild>
        <w:div w:id="1595549096">
          <w:marLeft w:val="360"/>
          <w:marRight w:val="0"/>
          <w:marTop w:val="120"/>
          <w:marBottom w:val="120"/>
          <w:divBdr>
            <w:top w:val="none" w:sz="0" w:space="0" w:color="auto"/>
            <w:left w:val="none" w:sz="0" w:space="0" w:color="auto"/>
            <w:bottom w:val="none" w:sz="0" w:space="0" w:color="auto"/>
            <w:right w:val="none" w:sz="0" w:space="0" w:color="auto"/>
          </w:divBdr>
        </w:div>
        <w:div w:id="1471902522">
          <w:marLeft w:val="1080"/>
          <w:marRight w:val="0"/>
          <w:marTop w:val="120"/>
          <w:marBottom w:val="240"/>
          <w:divBdr>
            <w:top w:val="none" w:sz="0" w:space="0" w:color="auto"/>
            <w:left w:val="none" w:sz="0" w:space="0" w:color="auto"/>
            <w:bottom w:val="none" w:sz="0" w:space="0" w:color="auto"/>
            <w:right w:val="none" w:sz="0" w:space="0" w:color="auto"/>
          </w:divBdr>
        </w:div>
        <w:div w:id="1533348032">
          <w:marLeft w:val="360"/>
          <w:marRight w:val="0"/>
          <w:marTop w:val="200"/>
          <w:marBottom w:val="0"/>
          <w:divBdr>
            <w:top w:val="none" w:sz="0" w:space="0" w:color="auto"/>
            <w:left w:val="none" w:sz="0" w:space="0" w:color="auto"/>
            <w:bottom w:val="none" w:sz="0" w:space="0" w:color="auto"/>
            <w:right w:val="none" w:sz="0" w:space="0" w:color="auto"/>
          </w:divBdr>
        </w:div>
      </w:divsChild>
    </w:div>
    <w:div w:id="834416835">
      <w:bodyDiv w:val="1"/>
      <w:marLeft w:val="0"/>
      <w:marRight w:val="0"/>
      <w:marTop w:val="0"/>
      <w:marBottom w:val="0"/>
      <w:divBdr>
        <w:top w:val="none" w:sz="0" w:space="0" w:color="auto"/>
        <w:left w:val="none" w:sz="0" w:space="0" w:color="auto"/>
        <w:bottom w:val="none" w:sz="0" w:space="0" w:color="auto"/>
        <w:right w:val="none" w:sz="0" w:space="0" w:color="auto"/>
      </w:divBdr>
    </w:div>
    <w:div w:id="837958693">
      <w:bodyDiv w:val="1"/>
      <w:marLeft w:val="0"/>
      <w:marRight w:val="0"/>
      <w:marTop w:val="0"/>
      <w:marBottom w:val="0"/>
      <w:divBdr>
        <w:top w:val="none" w:sz="0" w:space="0" w:color="auto"/>
        <w:left w:val="none" w:sz="0" w:space="0" w:color="auto"/>
        <w:bottom w:val="none" w:sz="0" w:space="0" w:color="auto"/>
        <w:right w:val="none" w:sz="0" w:space="0" w:color="auto"/>
      </w:divBdr>
      <w:divsChild>
        <w:div w:id="1517158647">
          <w:marLeft w:val="360"/>
          <w:marRight w:val="0"/>
          <w:marTop w:val="200"/>
          <w:marBottom w:val="0"/>
          <w:divBdr>
            <w:top w:val="none" w:sz="0" w:space="0" w:color="auto"/>
            <w:left w:val="none" w:sz="0" w:space="0" w:color="auto"/>
            <w:bottom w:val="none" w:sz="0" w:space="0" w:color="auto"/>
            <w:right w:val="none" w:sz="0" w:space="0" w:color="auto"/>
          </w:divBdr>
        </w:div>
        <w:div w:id="428739039">
          <w:marLeft w:val="360"/>
          <w:marRight w:val="0"/>
          <w:marTop w:val="200"/>
          <w:marBottom w:val="0"/>
          <w:divBdr>
            <w:top w:val="none" w:sz="0" w:space="0" w:color="auto"/>
            <w:left w:val="none" w:sz="0" w:space="0" w:color="auto"/>
            <w:bottom w:val="none" w:sz="0" w:space="0" w:color="auto"/>
            <w:right w:val="none" w:sz="0" w:space="0" w:color="auto"/>
          </w:divBdr>
        </w:div>
      </w:divsChild>
    </w:div>
    <w:div w:id="1044332162">
      <w:bodyDiv w:val="1"/>
      <w:marLeft w:val="0"/>
      <w:marRight w:val="0"/>
      <w:marTop w:val="0"/>
      <w:marBottom w:val="0"/>
      <w:divBdr>
        <w:top w:val="none" w:sz="0" w:space="0" w:color="auto"/>
        <w:left w:val="none" w:sz="0" w:space="0" w:color="auto"/>
        <w:bottom w:val="none" w:sz="0" w:space="0" w:color="auto"/>
        <w:right w:val="none" w:sz="0" w:space="0" w:color="auto"/>
      </w:divBdr>
      <w:divsChild>
        <w:div w:id="844247623">
          <w:marLeft w:val="360"/>
          <w:marRight w:val="0"/>
          <w:marTop w:val="200"/>
          <w:marBottom w:val="0"/>
          <w:divBdr>
            <w:top w:val="none" w:sz="0" w:space="0" w:color="auto"/>
            <w:left w:val="none" w:sz="0" w:space="0" w:color="auto"/>
            <w:bottom w:val="none" w:sz="0" w:space="0" w:color="auto"/>
            <w:right w:val="none" w:sz="0" w:space="0" w:color="auto"/>
          </w:divBdr>
        </w:div>
        <w:div w:id="2110004990">
          <w:marLeft w:val="1080"/>
          <w:marRight w:val="0"/>
          <w:marTop w:val="100"/>
          <w:marBottom w:val="0"/>
          <w:divBdr>
            <w:top w:val="none" w:sz="0" w:space="0" w:color="auto"/>
            <w:left w:val="none" w:sz="0" w:space="0" w:color="auto"/>
            <w:bottom w:val="none" w:sz="0" w:space="0" w:color="auto"/>
            <w:right w:val="none" w:sz="0" w:space="0" w:color="auto"/>
          </w:divBdr>
        </w:div>
        <w:div w:id="59716236">
          <w:marLeft w:val="1080"/>
          <w:marRight w:val="0"/>
          <w:marTop w:val="100"/>
          <w:marBottom w:val="0"/>
          <w:divBdr>
            <w:top w:val="none" w:sz="0" w:space="0" w:color="auto"/>
            <w:left w:val="none" w:sz="0" w:space="0" w:color="auto"/>
            <w:bottom w:val="none" w:sz="0" w:space="0" w:color="auto"/>
            <w:right w:val="none" w:sz="0" w:space="0" w:color="auto"/>
          </w:divBdr>
        </w:div>
      </w:divsChild>
    </w:div>
    <w:div w:id="1060177527">
      <w:bodyDiv w:val="1"/>
      <w:marLeft w:val="0"/>
      <w:marRight w:val="0"/>
      <w:marTop w:val="0"/>
      <w:marBottom w:val="0"/>
      <w:divBdr>
        <w:top w:val="none" w:sz="0" w:space="0" w:color="auto"/>
        <w:left w:val="none" w:sz="0" w:space="0" w:color="auto"/>
        <w:bottom w:val="none" w:sz="0" w:space="0" w:color="auto"/>
        <w:right w:val="none" w:sz="0" w:space="0" w:color="auto"/>
      </w:divBdr>
    </w:div>
    <w:div w:id="1097169089">
      <w:bodyDiv w:val="1"/>
      <w:marLeft w:val="0"/>
      <w:marRight w:val="0"/>
      <w:marTop w:val="0"/>
      <w:marBottom w:val="0"/>
      <w:divBdr>
        <w:top w:val="none" w:sz="0" w:space="0" w:color="auto"/>
        <w:left w:val="none" w:sz="0" w:space="0" w:color="auto"/>
        <w:bottom w:val="none" w:sz="0" w:space="0" w:color="auto"/>
        <w:right w:val="none" w:sz="0" w:space="0" w:color="auto"/>
      </w:divBdr>
    </w:div>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 w:id="170382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e.ca.gov/be/ag/ag/yr17/documents/sep17item02.doc" TargetMode="External"/><Relationship Id="rId18" Type="http://schemas.openxmlformats.org/officeDocument/2006/relationships/hyperlink" Target="https://www.cde.ca.gov/be/ag/ag/yr18/documents/mar18item01.docx" TargetMode="External"/><Relationship Id="rId26" Type="http://schemas.openxmlformats.org/officeDocument/2006/relationships/hyperlink" Target="https://www.cde.ca.gov/be/pn/im/documents/memo-pptb-amard-jun18item02.docx" TargetMode="External"/><Relationship Id="rId3" Type="http://schemas.openxmlformats.org/officeDocument/2006/relationships/customXml" Target="../customXml/item3.xml"/><Relationship Id="rId21" Type="http://schemas.openxmlformats.org/officeDocument/2006/relationships/hyperlink" Target="https://www.cde.ca.gov/be/ag/ag/yr18/documents/mar18item01.docx" TargetMode="External"/><Relationship Id="rId34" Type="http://schemas.openxmlformats.org/officeDocument/2006/relationships/header" Target="header10.xml"/><Relationship Id="rId7" Type="http://schemas.openxmlformats.org/officeDocument/2006/relationships/settings" Target="settings.xml"/><Relationship Id="rId12" Type="http://schemas.openxmlformats.org/officeDocument/2006/relationships/hyperlink" Target="https://www.cde.ca.gov/be/ag/ag/yr18/documents/mar18item01.docx" TargetMode="External"/><Relationship Id="rId17" Type="http://schemas.openxmlformats.org/officeDocument/2006/relationships/hyperlink" Target="https://www.cde.ca.gov/be/pn/im/documents/memo-pptb-amard-feb18item02.docx" TargetMode="External"/><Relationship Id="rId25" Type="http://schemas.openxmlformats.org/officeDocument/2006/relationships/header" Target="header3.xml"/><Relationship Id="rId33"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yperlink" Target="https://www.cde.ca.gov/be/ag/ag/yr17/documents/sep17item02.doc" TargetMode="External"/><Relationship Id="rId20" Type="http://schemas.openxmlformats.org/officeDocument/2006/relationships/hyperlink" Target="https://www.cde.ca.gov/be/ag/ag/yr17/documents/jul17item01.doc"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2.xml"/><Relationship Id="rId32" Type="http://schemas.openxmlformats.org/officeDocument/2006/relationships/header" Target="header8.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de.ca.gov/be/ag/ag/yr16/documents/sep16item01.doc" TargetMode="External"/><Relationship Id="rId23" Type="http://schemas.openxmlformats.org/officeDocument/2006/relationships/hyperlink" Target="https://www.cde.ca.gov/be/ag/ag/yr18/documents/jul18item01.docx" TargetMode="External"/><Relationship Id="rId28" Type="http://schemas.openxmlformats.org/officeDocument/2006/relationships/footer" Target="footer1.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de.ca.gov/be/pn/im/documents/memo-pptb-amard-apr18item02.docx" TargetMode="External"/><Relationship Id="rId31"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be/mt/ms/documents/finalminutes1314jul2016.doc" TargetMode="External"/><Relationship Id="rId22" Type="http://schemas.openxmlformats.org/officeDocument/2006/relationships/hyperlink" Target="https://www.cde.ca.gov/be/ag/ag/yr18/documents/may18item02.docx" TargetMode="External"/><Relationship Id="rId27" Type="http://schemas.openxmlformats.org/officeDocument/2006/relationships/header" Target="header4.xml"/><Relationship Id="rId30" Type="http://schemas.openxmlformats.org/officeDocument/2006/relationships/header" Target="header6.xml"/><Relationship Id="rId35"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453CFC7061F841A73706A3CAF5A3E5" ma:contentTypeVersion="0" ma:contentTypeDescription="Create a new document." ma:contentTypeScope="" ma:versionID="4db607152fe6b1b2a551c27ad01b0e6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ACCB6-4017-49E8-A9A5-870EA448B8DF}">
  <ds:schemaRefs>
    <ds:schemaRef ds:uri="http://schemas.microsoft.com/office/infopath/2007/PartnerControls"/>
    <ds:schemaRef ds:uri="http://purl.org/dc/elements/1.1/"/>
    <ds:schemaRef ds:uri="http://purl.org/dc/dcmitype/"/>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www.w3.org/XML/1998/namespace"/>
  </ds:schemaRefs>
</ds:datastoreItem>
</file>

<file path=customXml/itemProps2.xml><?xml version="1.0" encoding="utf-8"?>
<ds:datastoreItem xmlns:ds="http://schemas.openxmlformats.org/officeDocument/2006/customXml" ds:itemID="{5A1218F4-D0BC-4D8F-A226-E15297CA3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9DF12AC-7F65-4FFA-9271-D8AFB59FB850}">
  <ds:schemaRefs>
    <ds:schemaRef ds:uri="http://schemas.microsoft.com/sharepoint/v3/contenttype/forms"/>
  </ds:schemaRefs>
</ds:datastoreItem>
</file>

<file path=customXml/itemProps4.xml><?xml version="1.0" encoding="utf-8"?>
<ds:datastoreItem xmlns:ds="http://schemas.openxmlformats.org/officeDocument/2006/customXml" ds:itemID="{B82F4A45-1EED-4D93-84D5-3CD9620EA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6264</Words>
  <Characters>35710</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August 2018 Memo PPTB AMARD Item 02 - Information Memorandum (CA State Board of Education)</vt:lpstr>
    </vt:vector>
  </TitlesOfParts>
  <Company>California State Board of Education</Company>
  <LinksUpToDate>false</LinksUpToDate>
  <CharactersWithSpaces>41891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2018 Memo PPTB AMARD Item 02 - Information Memorandum (CA State Board of Education)</dc:title>
  <dc:subject>Developing a New State Accountability System: Update on the Inclusion of the Five-Year Graduation Rate and the Chronic Absenteeism Indicator.</dc:subject>
  <dc:creator>Kathleen Souza</dc:creator>
  <cp:keywords/>
  <dc:description/>
  <cp:lastModifiedBy>Malia Gonsalves</cp:lastModifiedBy>
  <cp:revision>7</cp:revision>
  <cp:lastPrinted>2018-08-20T15:37:00Z</cp:lastPrinted>
  <dcterms:created xsi:type="dcterms:W3CDTF">2018-08-24T19:39:00Z</dcterms:created>
  <dcterms:modified xsi:type="dcterms:W3CDTF">2018-08-27T19:35:00Z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0x01010068453CFC7061F841A73706A3CAF5A3E5</vt:lpwstr>
  </property>
</Properties>
</file>