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162460" w:rsidRDefault="00881331" w:rsidP="00881331">
      <w:pPr>
        <w:pStyle w:val="Heading1"/>
      </w:pPr>
      <w:bookmarkStart w:id="0" w:name="_GoBack"/>
      <w:bookmarkEnd w:id="0"/>
      <w:r>
        <w:t>Ridgecrest Charter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312C84">
        <w:rPr>
          <w:rFonts w:cs="Arial"/>
        </w:rPr>
        <w:t>325 South Downs Street, Ridgecrest, CA 93555-4531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ooltip="Ridgecrest Charter School's Web site" w:history="1">
        <w:r w:rsidR="00312C84" w:rsidRPr="00881331">
          <w:rPr>
            <w:rStyle w:val="Hyperlink"/>
            <w:rFonts w:cs="Arial"/>
            <w:color w:val="0000FF"/>
          </w:rPr>
          <w:t>http://www.ridgecrestcharterschool.org</w:t>
        </w:r>
      </w:hyperlink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312C84">
        <w:rPr>
          <w:rFonts w:cs="Arial"/>
        </w:rPr>
        <w:t>15 75630 1530500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312C84">
        <w:rPr>
          <w:rFonts w:cs="Arial"/>
        </w:rPr>
        <w:t>0350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312C84">
        <w:rPr>
          <w:rFonts w:cs="Arial"/>
        </w:rPr>
        <w:t>July 1, 2014</w:t>
      </w:r>
      <w:r w:rsidR="00635F4E">
        <w:rPr>
          <w:rFonts w:cs="Arial"/>
        </w:rPr>
        <w:t>,</w:t>
      </w:r>
      <w:r w:rsidR="00312C84">
        <w:rPr>
          <w:rFonts w:cs="Arial"/>
        </w:rPr>
        <w:t xml:space="preserve"> through June 30, 2019</w:t>
      </w:r>
    </w:p>
    <w:p w:rsidR="00C81960" w:rsidRPr="00C81960" w:rsidRDefault="00C16173" w:rsidP="00C81960">
      <w:pPr>
        <w:spacing w:before="120" w:after="240"/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6B360B">
        <w:rPr>
          <w:rFonts w:cs="Arial"/>
        </w:rPr>
        <w:t xml:space="preserve">Ridgecrest Charter School </w:t>
      </w:r>
      <w:r w:rsidR="00CD23E8">
        <w:t xml:space="preserve">offers pupils a rigorous core curriculum, an outstanding staff, high standards and expectations, extended instructional hours, and personalized learning opportunities that allow pupils to excel inside and outside of their classrooms. 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C81960">
        <w:rPr>
          <w:rFonts w:cs="Arial"/>
        </w:rPr>
        <w:t>Transitional Kindergarten through Grade Eight</w:t>
      </w:r>
    </w:p>
    <w:p w:rsidR="00B45285" w:rsidRPr="00B45285" w:rsidRDefault="00B45285" w:rsidP="00B45285">
      <w:pPr>
        <w:spacing w:before="120" w:after="240"/>
        <w:rPr>
          <w:rFonts w:cs="Arial"/>
        </w:rPr>
      </w:pPr>
      <w:r w:rsidRPr="00B45285">
        <w:rPr>
          <w:rFonts w:cs="Arial"/>
        </w:rPr>
        <w:t xml:space="preserve">2016–17 Enrollment: </w:t>
      </w:r>
      <w:r w:rsidR="00C81960">
        <w:rPr>
          <w:rFonts w:cs="Arial"/>
        </w:rPr>
        <w:t>475</w:t>
      </w:r>
    </w:p>
    <w:p w:rsidR="00C16173" w:rsidRPr="0061608F" w:rsidRDefault="00B45285" w:rsidP="00B45285">
      <w:pPr>
        <w:spacing w:before="120" w:after="240"/>
        <w:rPr>
          <w:rFonts w:cs="Arial"/>
        </w:rPr>
      </w:pPr>
      <w:r w:rsidRPr="00B45285">
        <w:rPr>
          <w:rFonts w:cs="Arial"/>
        </w:rPr>
        <w:t xml:space="preserve">2016–17 </w:t>
      </w:r>
      <w:r w:rsidR="00C16173" w:rsidRPr="0061608F">
        <w:rPr>
          <w:rFonts w:cs="Arial"/>
        </w:rPr>
        <w:t>Second Principal (P-2) Apportionment Average Daily Attendance</w:t>
      </w:r>
      <w:r w:rsidR="00A07DE3" w:rsidRPr="0061608F">
        <w:rPr>
          <w:rFonts w:cs="Arial"/>
        </w:rPr>
        <w:t xml:space="preserve">: </w:t>
      </w:r>
      <w:r w:rsidR="00C81960">
        <w:rPr>
          <w:rFonts w:cs="Arial"/>
        </w:rPr>
        <w:t>449.77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C81960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881331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881331">
      <w:pPr>
        <w:pStyle w:val="Heading3"/>
      </w:pPr>
      <w:r w:rsidRPr="00286BC4">
        <w:t>Schoolwide Pe</w:t>
      </w:r>
      <w:r w:rsidR="004A10A4">
        <w:t>rcentage of All Grades Tested (</w:t>
      </w:r>
      <w:r w:rsidR="004A10A4" w:rsidRPr="00927D6E">
        <w:t>3</w:t>
      </w:r>
      <w:r w:rsidR="004A10A4">
        <w:t>–8</w:t>
      </w:r>
      <w:r w:rsidRPr="00286BC4">
        <w:t>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881331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162460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Ridgecrest Charter School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881331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162460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39.22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881331">
      <w:pPr>
        <w:pStyle w:val="Heading3"/>
      </w:pPr>
      <w:r w:rsidRPr="000B7A34">
        <w:t>Schoolwide Percenta</w:t>
      </w:r>
      <w:r w:rsidR="008C1BED">
        <w:t>ge of All Grades Tested (</w:t>
      </w:r>
      <w:r w:rsidR="008C1BED" w:rsidRPr="00927D6E">
        <w:t>3</w:t>
      </w:r>
      <w:r w:rsidR="008C1BED">
        <w:t>–8</w:t>
      </w:r>
      <w:r w:rsidRPr="000B7A34">
        <w:t>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881331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162460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Ridgecrest Charter School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881331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162460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32.51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6F2C24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0B7A34" w:rsidRPr="00881331" w:rsidRDefault="00905C95" w:rsidP="000B7A34">
      <w:pPr>
        <w:rPr>
          <w:b/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162460" w:rsidRPr="00881331">
          <w:rPr>
            <w:rStyle w:val="Hyperlink"/>
            <w:color w:val="0000FF"/>
          </w:rPr>
          <w:t>https://caaspp.cde.ca.gov/sb2017/CompareReport?ps=true&amp;lstTestYear=2017&amp;lstTestType=B&amp;lstGrade=13&amp;lstGroup=1&amp;lstCds1=15756300000000&amp;lstCds2=00000000000000&amp;lstCompType=table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4D77AE">
        <w:t>April 2018</w:t>
      </w:r>
    </w:p>
    <w:p w:rsidR="0009138C" w:rsidRPr="00286BC4" w:rsidRDefault="0009138C" w:rsidP="00881331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09138C" w:rsidRPr="00082BB9" w:rsidRDefault="0009138C" w:rsidP="00881331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Pr="00082BB9">
        <w:t xml:space="preserve"> 3–8) Indicator</w:t>
      </w:r>
      <w:r w:rsidR="000B7A34">
        <w:t xml:space="preserve"> Table</w:t>
      </w:r>
    </w:p>
    <w:tbl>
      <w:tblPr>
        <w:tblStyle w:val="TableGrid"/>
        <w:tblW w:w="9598" w:type="dxa"/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79"/>
        <w:gridCol w:w="1440"/>
        <w:gridCol w:w="1440"/>
        <w:gridCol w:w="2160"/>
        <w:gridCol w:w="2279"/>
      </w:tblGrid>
      <w:tr w:rsidR="0009138C" w:rsidRPr="00082BB9" w:rsidTr="00881331">
        <w:trPr>
          <w:cantSplit/>
          <w:trHeight w:val="1099"/>
          <w:tblHeader/>
        </w:trPr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881331">
        <w:trPr>
          <w:cantSplit/>
          <w:trHeight w:val="515"/>
        </w:trPr>
        <w:tc>
          <w:tcPr>
            <w:tcW w:w="2279" w:type="dxa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1440" w:type="dxa"/>
          </w:tcPr>
          <w:p w:rsidR="0009138C" w:rsidRPr="00082BB9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9138C" w:rsidRPr="00082BB9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9138C" w:rsidRPr="00082BB9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2279" w:type="dxa"/>
          </w:tcPr>
          <w:p w:rsidR="0009138C" w:rsidRPr="00082BB9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-42.2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216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-71.4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-58.4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216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-86.1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-49.8</w:t>
            </w:r>
          </w:p>
        </w:tc>
      </w:tr>
      <w:tr w:rsidR="007E28E5" w:rsidRPr="00082BB9" w:rsidTr="00881331">
        <w:trPr>
          <w:cantSplit/>
          <w:trHeight w:val="515"/>
        </w:trPr>
        <w:tc>
          <w:tcPr>
            <w:tcW w:w="2279" w:type="dxa"/>
          </w:tcPr>
          <w:p w:rsidR="007E28E5" w:rsidRDefault="007E28E5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Two or More Races</w:t>
            </w:r>
          </w:p>
        </w:tc>
        <w:tc>
          <w:tcPr>
            <w:tcW w:w="1440" w:type="dxa"/>
          </w:tcPr>
          <w:p w:rsidR="007E28E5" w:rsidRDefault="007E28E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7E28E5" w:rsidRDefault="007E28E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7E28E5" w:rsidRDefault="007E28E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2279" w:type="dxa"/>
          </w:tcPr>
          <w:p w:rsidR="007E28E5" w:rsidRDefault="007E28E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-40.8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-36.2</w:t>
            </w:r>
          </w:p>
        </w:tc>
      </w:tr>
    </w:tbl>
    <w:p w:rsidR="000B7A34" w:rsidRPr="0061608F" w:rsidRDefault="000B7A34" w:rsidP="00881331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8C5AFE">
      <w:pPr>
        <w:pStyle w:val="Heading4"/>
      </w:pPr>
      <w:r>
        <w:t>Data Source</w:t>
      </w:r>
      <w:r w:rsidR="000B7A34" w:rsidRPr="008C5AFE">
        <w:t xml:space="preserve"> </w:t>
      </w:r>
    </w:p>
    <w:p w:rsidR="000B2EE0" w:rsidRPr="00881331" w:rsidRDefault="00905C95" w:rsidP="00881331">
      <w:pPr>
        <w:spacing w:after="100" w:afterAutospacing="1"/>
        <w:rPr>
          <w:b/>
          <w:color w:val="0000FF"/>
          <w:u w:val="single"/>
        </w:rPr>
      </w:pPr>
      <w:hyperlink r:id="rId10" w:tooltip="English language arts indicator on the California School Dashboard" w:history="1">
        <w:r w:rsidR="00107345" w:rsidRPr="00881331">
          <w:rPr>
            <w:rStyle w:val="Hyperlink"/>
            <w:color w:val="0000FF"/>
          </w:rPr>
          <w:t>https://www6.cde.ca.gov/californiamodel/report?indicator=ela&amp;year=2017f&amp;cdcode=&amp;scode=1530500&amp;reporttype=sgroups</w:t>
        </w:r>
      </w:hyperlink>
    </w:p>
    <w:p w:rsidR="0061608F" w:rsidRDefault="000B7A34" w:rsidP="00E47AD0">
      <w:r w:rsidRPr="0061608F">
        <w:t>Prepared by the California Department of Education, Charter Schools Division,</w:t>
      </w:r>
      <w:r w:rsidR="004D77AE">
        <w:t xml:space="preserve"> April 2018</w:t>
      </w:r>
    </w:p>
    <w:p w:rsidR="0009138C" w:rsidRPr="00082BB9" w:rsidRDefault="000B7A34" w:rsidP="00881331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09138C" w:rsidRPr="00082BB9">
        <w:t xml:space="preserve"> 3–8) Indicator</w:t>
      </w:r>
      <w:r>
        <w:t xml:space="preserve"> Table</w:t>
      </w:r>
    </w:p>
    <w:tbl>
      <w:tblPr>
        <w:tblStyle w:val="TableGrid"/>
        <w:tblW w:w="9598" w:type="dxa"/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79"/>
        <w:gridCol w:w="1440"/>
        <w:gridCol w:w="1440"/>
        <w:gridCol w:w="2160"/>
        <w:gridCol w:w="2279"/>
      </w:tblGrid>
      <w:tr w:rsidR="0009138C" w:rsidRPr="00082BB9" w:rsidTr="00881331">
        <w:trPr>
          <w:cantSplit/>
          <w:trHeight w:val="1099"/>
          <w:tblHeader/>
        </w:trPr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881331">
        <w:trPr>
          <w:cantSplit/>
          <w:trHeight w:val="515"/>
        </w:trPr>
        <w:tc>
          <w:tcPr>
            <w:tcW w:w="2279" w:type="dxa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1440" w:type="dxa"/>
          </w:tcPr>
          <w:p w:rsidR="0009138C" w:rsidRPr="00082BB9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9138C" w:rsidRPr="00082BB9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9138C" w:rsidRPr="00082BB9" w:rsidRDefault="00414B24" w:rsidP="00414B2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2279" w:type="dxa"/>
          </w:tcPr>
          <w:p w:rsidR="0009138C" w:rsidRPr="00082BB9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-42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2D048C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</w:t>
            </w:r>
            <w:r w:rsidR="00107345">
              <w:rPr>
                <w:rFonts w:cs="Arial"/>
              </w:rPr>
              <w:t>ed Significantly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-66.5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-55.9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-86.9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-50.3</w:t>
            </w:r>
          </w:p>
        </w:tc>
      </w:tr>
      <w:tr w:rsidR="00F938DB" w:rsidRPr="00082BB9" w:rsidTr="00881331">
        <w:trPr>
          <w:cantSplit/>
          <w:trHeight w:val="515"/>
        </w:trPr>
        <w:tc>
          <w:tcPr>
            <w:tcW w:w="2279" w:type="dxa"/>
          </w:tcPr>
          <w:p w:rsidR="00F938DB" w:rsidRDefault="00F938DB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Two or More Races</w:t>
            </w:r>
          </w:p>
        </w:tc>
        <w:tc>
          <w:tcPr>
            <w:tcW w:w="1440" w:type="dxa"/>
          </w:tcPr>
          <w:p w:rsidR="00F938DB" w:rsidRDefault="00F938DB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F938DB" w:rsidRDefault="00F938DB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F938DB" w:rsidRDefault="00F938DB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2279" w:type="dxa"/>
          </w:tcPr>
          <w:p w:rsidR="00F938DB" w:rsidRDefault="00F938DB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-64.1</w:t>
            </w:r>
          </w:p>
        </w:tc>
      </w:tr>
      <w:tr w:rsidR="000B7A34" w:rsidRPr="00082BB9" w:rsidTr="00881331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2D048C" w:rsidP="002D048C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2279" w:type="dxa"/>
          </w:tcPr>
          <w:p w:rsidR="000B7A34" w:rsidRDefault="0010734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-33.6</w:t>
            </w:r>
          </w:p>
        </w:tc>
      </w:tr>
    </w:tbl>
    <w:p w:rsidR="000B7A34" w:rsidRPr="0061608F" w:rsidRDefault="000B7A34" w:rsidP="00881331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8C5AFE">
      <w:pPr>
        <w:pStyle w:val="Heading4"/>
      </w:pPr>
      <w:r>
        <w:t>Data Source</w:t>
      </w:r>
    </w:p>
    <w:p w:rsidR="000B2EE0" w:rsidRPr="00881331" w:rsidRDefault="00905C95" w:rsidP="00881331">
      <w:pPr>
        <w:spacing w:after="100" w:afterAutospacing="1"/>
        <w:rPr>
          <w:b/>
          <w:color w:val="0000FF"/>
          <w:u w:val="single"/>
        </w:rPr>
      </w:pPr>
      <w:hyperlink r:id="rId11" w:tooltip="Mathematics indicator on the California School Dashboard" w:history="1">
        <w:r w:rsidR="00107345" w:rsidRPr="00881331">
          <w:rPr>
            <w:rStyle w:val="Hyperlink"/>
            <w:color w:val="0000FF"/>
          </w:rPr>
          <w:t>https://www6.cde.ca.gov/californiamodel/report?indicator=math&amp;year=2017f&amp;cdcode=&amp;scode=1530500&amp;reporttype=sgroups</w:t>
        </w:r>
      </w:hyperlink>
    </w:p>
    <w:p w:rsidR="00AE2F01" w:rsidRPr="0061608F" w:rsidRDefault="0009138C" w:rsidP="00E47AD0">
      <w:pPr>
        <w:rPr>
          <w:b/>
        </w:rPr>
      </w:pPr>
      <w:r w:rsidRPr="0061608F">
        <w:t>Prepared by the California Department of Education, Charter Schools Division</w:t>
      </w:r>
      <w:r w:rsidR="000B2EE0">
        <w:t>, April 2018</w:t>
      </w:r>
    </w:p>
    <w:sectPr w:rsidR="00AE2F01" w:rsidRPr="006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60" w:rsidRDefault="00162460" w:rsidP="00D15D9D">
      <w:r>
        <w:separator/>
      </w:r>
    </w:p>
  </w:endnote>
  <w:endnote w:type="continuationSeparator" w:id="0">
    <w:p w:rsidR="00162460" w:rsidRDefault="00162460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60" w:rsidRDefault="00162460" w:rsidP="00D15D9D">
      <w:r>
        <w:separator/>
      </w:r>
    </w:p>
  </w:footnote>
  <w:footnote w:type="continuationSeparator" w:id="0">
    <w:p w:rsidR="00162460" w:rsidRDefault="00162460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881331" w:rsidRDefault="00522050" w:rsidP="00D15D9D">
    <w:pPr>
      <w:pStyle w:val="Header"/>
      <w:jc w:val="right"/>
    </w:pPr>
    <w:r w:rsidRPr="00881331">
      <w:t>memo-</w:t>
    </w:r>
    <w:r w:rsidR="00207FD5" w:rsidRPr="00881331">
      <w:t>ss</w:t>
    </w:r>
    <w:r w:rsidRPr="00881331">
      <w:t>b-csd-</w:t>
    </w:r>
    <w:r w:rsidR="00410258" w:rsidRPr="00881331">
      <w:t>jun18</w:t>
    </w:r>
    <w:r w:rsidR="00E81F81" w:rsidRPr="00881331">
      <w:t>item</w:t>
    </w:r>
    <w:r w:rsidR="00881331">
      <w:t>01</w:t>
    </w:r>
  </w:p>
  <w:p w:rsidR="00D15D9D" w:rsidRPr="00881331" w:rsidRDefault="00895DCD" w:rsidP="00D15D9D">
    <w:pPr>
      <w:pStyle w:val="Header"/>
      <w:jc w:val="right"/>
    </w:pPr>
    <w:r w:rsidRPr="00881331">
      <w:t>Attachment</w:t>
    </w:r>
    <w:r w:rsidR="006E694F">
      <w:t xml:space="preserve"> 39</w:t>
    </w:r>
  </w:p>
  <w:p w:rsidR="00D15D9D" w:rsidRPr="00881331" w:rsidRDefault="005845B2" w:rsidP="00881331">
    <w:pPr>
      <w:pStyle w:val="Header"/>
      <w:spacing w:after="100" w:afterAutospacing="1"/>
      <w:jc w:val="right"/>
      <w:rPr>
        <w:bCs/>
      </w:rPr>
    </w:pPr>
    <w:r w:rsidRPr="00881331">
      <w:t xml:space="preserve">Page </w:t>
    </w:r>
    <w:r w:rsidRPr="00881331">
      <w:rPr>
        <w:bCs/>
      </w:rPr>
      <w:fldChar w:fldCharType="begin"/>
    </w:r>
    <w:r w:rsidRPr="00881331">
      <w:rPr>
        <w:bCs/>
      </w:rPr>
      <w:instrText xml:space="preserve"> PAGE  \* Arabic  \* MERGEFORMAT </w:instrText>
    </w:r>
    <w:r w:rsidRPr="00881331">
      <w:rPr>
        <w:bCs/>
      </w:rPr>
      <w:fldChar w:fldCharType="separate"/>
    </w:r>
    <w:r w:rsidR="00905C95">
      <w:rPr>
        <w:bCs/>
        <w:noProof/>
      </w:rPr>
      <w:t>1</w:t>
    </w:r>
    <w:r w:rsidRPr="00881331">
      <w:rPr>
        <w:bCs/>
      </w:rPr>
      <w:fldChar w:fldCharType="end"/>
    </w:r>
    <w:r w:rsidRPr="00881331">
      <w:t xml:space="preserve"> of </w:t>
    </w:r>
    <w:r w:rsidRPr="00881331">
      <w:rPr>
        <w:bCs/>
      </w:rPr>
      <w:fldChar w:fldCharType="begin"/>
    </w:r>
    <w:r w:rsidRPr="00881331">
      <w:rPr>
        <w:bCs/>
      </w:rPr>
      <w:instrText xml:space="preserve"> NUMPAGES  \* Arabic  \* MERGEFORMAT </w:instrText>
    </w:r>
    <w:r w:rsidRPr="00881331">
      <w:rPr>
        <w:bCs/>
      </w:rPr>
      <w:fldChar w:fldCharType="separate"/>
    </w:r>
    <w:r w:rsidR="00905C95">
      <w:rPr>
        <w:bCs/>
        <w:noProof/>
      </w:rPr>
      <w:t>4</w:t>
    </w:r>
    <w:r w:rsidRPr="00881331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60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07345"/>
    <w:rsid w:val="001274A2"/>
    <w:rsid w:val="00131037"/>
    <w:rsid w:val="0014418A"/>
    <w:rsid w:val="00162460"/>
    <w:rsid w:val="001648B7"/>
    <w:rsid w:val="00172B15"/>
    <w:rsid w:val="001A08AC"/>
    <w:rsid w:val="001B1D9F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D048C"/>
    <w:rsid w:val="002E48CC"/>
    <w:rsid w:val="00312C84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0258"/>
    <w:rsid w:val="0041470A"/>
    <w:rsid w:val="00414B24"/>
    <w:rsid w:val="00476431"/>
    <w:rsid w:val="004A10A4"/>
    <w:rsid w:val="004C5721"/>
    <w:rsid w:val="004D6EFA"/>
    <w:rsid w:val="004D77AE"/>
    <w:rsid w:val="004F11EE"/>
    <w:rsid w:val="004F570C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F25C2"/>
    <w:rsid w:val="00615230"/>
    <w:rsid w:val="0061608F"/>
    <w:rsid w:val="00635F4E"/>
    <w:rsid w:val="0065217B"/>
    <w:rsid w:val="00680BE8"/>
    <w:rsid w:val="00692276"/>
    <w:rsid w:val="006B360B"/>
    <w:rsid w:val="006C6934"/>
    <w:rsid w:val="006D650D"/>
    <w:rsid w:val="006D74FF"/>
    <w:rsid w:val="006E64CE"/>
    <w:rsid w:val="006E694F"/>
    <w:rsid w:val="006F2C24"/>
    <w:rsid w:val="007071CE"/>
    <w:rsid w:val="00746815"/>
    <w:rsid w:val="00750D21"/>
    <w:rsid w:val="007A2FFA"/>
    <w:rsid w:val="007C5E04"/>
    <w:rsid w:val="007E28E5"/>
    <w:rsid w:val="007E7D26"/>
    <w:rsid w:val="00810FFF"/>
    <w:rsid w:val="00826388"/>
    <w:rsid w:val="00881331"/>
    <w:rsid w:val="00895DCD"/>
    <w:rsid w:val="008B1C80"/>
    <w:rsid w:val="008B1EB0"/>
    <w:rsid w:val="008C1BED"/>
    <w:rsid w:val="008C1D5B"/>
    <w:rsid w:val="008C5AFE"/>
    <w:rsid w:val="008C77C2"/>
    <w:rsid w:val="008D768B"/>
    <w:rsid w:val="008D7BD5"/>
    <w:rsid w:val="008E7686"/>
    <w:rsid w:val="008F4D4A"/>
    <w:rsid w:val="00905C95"/>
    <w:rsid w:val="0092196B"/>
    <w:rsid w:val="00927D6E"/>
    <w:rsid w:val="0093048D"/>
    <w:rsid w:val="009528E4"/>
    <w:rsid w:val="00960835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45285"/>
    <w:rsid w:val="00B503C0"/>
    <w:rsid w:val="00B57056"/>
    <w:rsid w:val="00B82556"/>
    <w:rsid w:val="00B83524"/>
    <w:rsid w:val="00B919F9"/>
    <w:rsid w:val="00B95FC2"/>
    <w:rsid w:val="00B972EE"/>
    <w:rsid w:val="00BA1630"/>
    <w:rsid w:val="00BA3156"/>
    <w:rsid w:val="00BD0F20"/>
    <w:rsid w:val="00BE32E5"/>
    <w:rsid w:val="00BF268C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81960"/>
    <w:rsid w:val="00CB7D74"/>
    <w:rsid w:val="00CC4984"/>
    <w:rsid w:val="00CD23E8"/>
    <w:rsid w:val="00CF640D"/>
    <w:rsid w:val="00D07785"/>
    <w:rsid w:val="00D1568F"/>
    <w:rsid w:val="00D15D9D"/>
    <w:rsid w:val="00D246FB"/>
    <w:rsid w:val="00D944D2"/>
    <w:rsid w:val="00DA429D"/>
    <w:rsid w:val="00DB1668"/>
    <w:rsid w:val="00DE52F3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38DB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82B7913-D0E3-4A55-9D0C-7FFE970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1331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1331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1331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1331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881331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881331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dgecrestcharterschoo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cde.ca.gov/californiamodel/report?indicator=math&amp;year=2017f&amp;cdcode=&amp;scode=1530500&amp;reporttype=sgrou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1530500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15756300000000&amp;lstCds2=00000000000000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39 - Information Memorandum (CA State Board of Education)</vt:lpstr>
    </vt:vector>
  </TitlesOfParts>
  <Company>California State Board of Education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39 - Information Memorandum (CA State Board of Education)</dc:title>
  <dc:subject>Ridgecrest Charter Academic Progress Tables. SBE Memorandum.</dc:subject>
  <dc:creator/>
  <cp:keywords/>
  <dc:description/>
  <cp:revision>26</cp:revision>
  <cp:lastPrinted>2018-04-13T21:33:00Z</cp:lastPrinted>
  <dcterms:created xsi:type="dcterms:W3CDTF">2018-04-05T17:07:00Z</dcterms:created>
  <dcterms:modified xsi:type="dcterms:W3CDTF">2018-08-09T20:56:00Z</dcterms:modified>
  <cp:category/>
</cp:coreProperties>
</file>