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AA7D" w14:textId="672C8E51" w:rsidR="00E17180" w:rsidRPr="00E17180" w:rsidRDefault="006B465D" w:rsidP="00E17180">
      <w:pPr>
        <w:pStyle w:val="Heading1"/>
        <w:spacing w:after="720"/>
      </w:pPr>
      <w:bookmarkStart w:id="0" w:name="_Toc23097420"/>
      <w:bookmarkStart w:id="1" w:name="_Toc24667187"/>
      <w:bookmarkStart w:id="2" w:name="_Toc33006135"/>
      <w:bookmarkStart w:id="3" w:name="_Toc33620397"/>
      <w:bookmarkStart w:id="4" w:name="_Toc21944139"/>
      <w:bookmarkStart w:id="5" w:name="_Toc21944231"/>
      <w:bookmarkStart w:id="6" w:name="_Toc477362434"/>
      <w:r>
        <w:t>Federal</w:t>
      </w:r>
      <w:r w:rsidRPr="00C74F52">
        <w:t xml:space="preserve"> </w:t>
      </w:r>
      <w:r w:rsidR="00F559CE">
        <w:t xml:space="preserve">Perkins V </w:t>
      </w:r>
      <w:r w:rsidR="00BD1D6F" w:rsidRPr="00C74F52">
        <w:t>State Plan</w:t>
      </w:r>
      <w:bookmarkEnd w:id="0"/>
      <w:bookmarkEnd w:id="1"/>
      <w:bookmarkEnd w:id="2"/>
      <w:bookmarkEnd w:id="3"/>
    </w:p>
    <w:p w14:paraId="16C5A1C6" w14:textId="242D0662"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0054451A">
        <w:rPr>
          <w:sz w:val="48"/>
          <w:szCs w:val="48"/>
        </w:rPr>
        <w:br/>
      </w:r>
      <w:r w:rsidRPr="00592BB3">
        <w:rPr>
          <w:rStyle w:val="Emphasis"/>
          <w:rFonts w:cs="Arial"/>
          <w:i/>
          <w:color w:val="000000" w:themeColor="text1"/>
          <w:sz w:val="48"/>
          <w:szCs w:val="48"/>
        </w:rPr>
        <w:t>Public</w:t>
      </w:r>
      <w:r w:rsidR="0054451A">
        <w:rPr>
          <w:rStyle w:val="Emphasis"/>
          <w:rFonts w:cs="Arial"/>
          <w:i/>
          <w:color w:val="000000" w:themeColor="text1"/>
          <w:sz w:val="48"/>
          <w:szCs w:val="48"/>
        </w:rPr>
        <w:t xml:space="preserve">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57D9E24E" w:rsidR="00BD1D6F" w:rsidRPr="002F2687" w:rsidRDefault="00BD1D6F" w:rsidP="00BD1D6F">
      <w:pPr>
        <w:pStyle w:val="Authors"/>
        <w:ind w:left="3600"/>
      </w:pPr>
      <w:r w:rsidRPr="002F2687">
        <w:t>California State Board of Education</w:t>
      </w:r>
      <w:r w:rsidR="00AB020D">
        <w:t>, in collaboration with the</w:t>
      </w:r>
    </w:p>
    <w:p w14:paraId="2BABF311" w14:textId="76C836A6" w:rsidR="00240D6C" w:rsidRDefault="00BD1D6F" w:rsidP="00AC2A10">
      <w:pPr>
        <w:pStyle w:val="Authors"/>
        <w:spacing w:before="160"/>
        <w:ind w:left="3600"/>
      </w:pPr>
      <w:r w:rsidRPr="002F2687">
        <w:t>Board of Governors of the California Community Colleges</w:t>
      </w:r>
    </w:p>
    <w:p w14:paraId="79E57942" w14:textId="2665D077" w:rsidR="00293A60" w:rsidRDefault="00293A60" w:rsidP="00293A60">
      <w:pPr>
        <w:pStyle w:val="Authors"/>
        <w:pBdr>
          <w:top w:val="none" w:sz="0" w:space="0" w:color="auto"/>
        </w:pBdr>
        <w:spacing w:before="1680"/>
        <w:ind w:left="0"/>
        <w:jc w:val="center"/>
        <w:rPr>
          <w:b w:val="0"/>
          <w:sz w:val="24"/>
          <w:szCs w:val="24"/>
        </w:rPr>
      </w:pPr>
      <w:r>
        <w:rPr>
          <w:b w:val="0"/>
          <w:sz w:val="24"/>
          <w:szCs w:val="24"/>
        </w:rPr>
        <w:t>Posted by the California Department of Education</w:t>
      </w:r>
    </w:p>
    <w:p w14:paraId="451A71D2" w14:textId="515A51D3" w:rsidR="00293A60" w:rsidRPr="00293A60" w:rsidRDefault="00293A60" w:rsidP="00293A60">
      <w:pPr>
        <w:pStyle w:val="Authors"/>
        <w:pBdr>
          <w:top w:val="none" w:sz="0" w:space="0" w:color="auto"/>
        </w:pBdr>
        <w:ind w:left="0"/>
        <w:jc w:val="center"/>
        <w:rPr>
          <w:b w:val="0"/>
          <w:sz w:val="24"/>
          <w:szCs w:val="24"/>
        </w:rPr>
      </w:pPr>
      <w:r>
        <w:rPr>
          <w:b w:val="0"/>
          <w:sz w:val="24"/>
          <w:szCs w:val="24"/>
        </w:rPr>
        <w:t>August 2020</w:t>
      </w:r>
    </w:p>
    <w:p w14:paraId="2DFE8C93" w14:textId="77777777" w:rsidR="00240D6C" w:rsidRDefault="00240D6C">
      <w:pPr>
        <w:spacing w:after="160" w:line="259" w:lineRule="auto"/>
        <w:rPr>
          <w:rFonts w:eastAsia="Times New Roman" w:cs="Calibri-Bold"/>
          <w:b/>
          <w:bCs/>
          <w:color w:val="000000" w:themeColor="text1"/>
          <w:sz w:val="32"/>
          <w:szCs w:val="34"/>
        </w:rPr>
      </w:pPr>
      <w:r>
        <w:br w:type="page"/>
      </w:r>
    </w:p>
    <w:p w14:paraId="74639DC8" w14:textId="77777777" w:rsidR="00BD1D6F" w:rsidRPr="002F2687" w:rsidRDefault="00367A57" w:rsidP="00367A57">
      <w:pPr>
        <w:jc w:val="center"/>
      </w:pPr>
      <w:r>
        <w:lastRenderedPageBreak/>
        <w:t>This page intentionally left blank.</w:t>
      </w:r>
    </w:p>
    <w:p w14:paraId="2CA909E1" w14:textId="77777777" w:rsidR="00BD1D6F" w:rsidRPr="002F2687" w:rsidRDefault="00BD1D6F" w:rsidP="00A52DB4">
      <w:pPr>
        <w:pStyle w:val="graphicparagraph"/>
      </w:pPr>
    </w:p>
    <w:p w14:paraId="6BECB8E7" w14:textId="77777777" w:rsidR="00BD1D6F" w:rsidRPr="00E760C4" w:rsidRDefault="00BD1D6F" w:rsidP="00E760C4">
      <w:pPr>
        <w:sectPr w:rsidR="00BD1D6F" w:rsidRPr="00E760C4" w:rsidSect="00BD1D6F">
          <w:pgSz w:w="12240" w:h="15840"/>
          <w:pgMar w:top="1620" w:right="1440" w:bottom="1260" w:left="1440" w:header="720" w:footer="720" w:gutter="0"/>
          <w:cols w:space="720"/>
          <w:noEndnote/>
          <w:docGrid w:linePitch="326"/>
        </w:sectPr>
      </w:pPr>
    </w:p>
    <w:p w14:paraId="737E70A6" w14:textId="77777777" w:rsidR="00BD1D6F" w:rsidRPr="00D57D9B" w:rsidRDefault="00BD1D6F" w:rsidP="009E6F78">
      <w:pPr>
        <w:pStyle w:val="Heading2"/>
      </w:pPr>
      <w:r w:rsidRPr="009E6F78">
        <w:lastRenderedPageBreak/>
        <w:t>Contents</w:t>
      </w:r>
    </w:p>
    <w:bookmarkStart w:id="7" w:name="_Hlk31180441"/>
    <w:p w14:paraId="6A65A48C" w14:textId="526E8AAD" w:rsidR="00DA5809" w:rsidRDefault="00592BB3" w:rsidP="00DA5809">
      <w:pPr>
        <w:pStyle w:val="TOC1"/>
        <w:rPr>
          <w:rFonts w:asciiTheme="minorHAnsi" w:eastAsiaTheme="minorEastAsia" w:hAnsiTheme="minorHAnsi" w:cstheme="minorBidi"/>
          <w:b w:val="0"/>
          <w:bCs w:val="0"/>
          <w:color w:val="auto"/>
          <w:spacing w:val="0"/>
          <w:sz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DA5809">
        <w:t>I. Cover Page</w:t>
      </w:r>
      <w:r w:rsidR="00DA5809">
        <w:tab/>
      </w:r>
      <w:r w:rsidR="00DA5809">
        <w:fldChar w:fldCharType="begin"/>
      </w:r>
      <w:r w:rsidR="00DA5809">
        <w:instrText xml:space="preserve"> PAGEREF _Toc33620398 \h </w:instrText>
      </w:r>
      <w:r w:rsidR="00DA5809">
        <w:fldChar w:fldCharType="separate"/>
      </w:r>
      <w:r w:rsidR="004A5423">
        <w:t>1</w:t>
      </w:r>
      <w:r w:rsidR="00DA5809">
        <w:fldChar w:fldCharType="end"/>
      </w:r>
    </w:p>
    <w:p w14:paraId="586680C9" w14:textId="039E2181" w:rsidR="00DA5809" w:rsidRDefault="00DA5809">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_Toc33620399 \h </w:instrText>
      </w:r>
      <w:r>
        <w:fldChar w:fldCharType="separate"/>
      </w:r>
      <w:r w:rsidR="004A5423">
        <w:t>3</w:t>
      </w:r>
      <w:r>
        <w:fldChar w:fldCharType="end"/>
      </w:r>
    </w:p>
    <w:p w14:paraId="6F679328" w14:textId="68D10A8A"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Introduction and Preview</w:t>
      </w:r>
      <w:r w:rsidRPr="00DA5809">
        <w:rPr>
          <w:b w:val="0"/>
        </w:rPr>
        <w:tab/>
      </w:r>
      <w:r w:rsidRPr="00DA5809">
        <w:rPr>
          <w:b w:val="0"/>
        </w:rPr>
        <w:fldChar w:fldCharType="begin"/>
      </w:r>
      <w:r w:rsidRPr="00DA5809">
        <w:rPr>
          <w:b w:val="0"/>
        </w:rPr>
        <w:instrText xml:space="preserve"> PAGEREF _Toc33620400 \h </w:instrText>
      </w:r>
      <w:r w:rsidRPr="00DA5809">
        <w:rPr>
          <w:b w:val="0"/>
        </w:rPr>
      </w:r>
      <w:r w:rsidRPr="00DA5809">
        <w:rPr>
          <w:b w:val="0"/>
        </w:rPr>
        <w:fldChar w:fldCharType="separate"/>
      </w:r>
      <w:r w:rsidR="004A5423">
        <w:rPr>
          <w:b w:val="0"/>
        </w:rPr>
        <w:t>3</w:t>
      </w:r>
      <w:r w:rsidRPr="00DA5809">
        <w:rPr>
          <w:b w:val="0"/>
        </w:rPr>
        <w:fldChar w:fldCharType="end"/>
      </w:r>
    </w:p>
    <w:p w14:paraId="73855433" w14:textId="07A4FEDB"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Plan Development and Consultation</w:t>
      </w:r>
      <w:r w:rsidRPr="00DA5809">
        <w:rPr>
          <w:b w:val="0"/>
        </w:rPr>
        <w:tab/>
      </w:r>
      <w:r w:rsidRPr="00DA5809">
        <w:rPr>
          <w:b w:val="0"/>
        </w:rPr>
        <w:fldChar w:fldCharType="begin"/>
      </w:r>
      <w:r w:rsidRPr="00DA5809">
        <w:rPr>
          <w:b w:val="0"/>
        </w:rPr>
        <w:instrText xml:space="preserve"> PAGEREF _Toc33620401 \h </w:instrText>
      </w:r>
      <w:r w:rsidRPr="00DA5809">
        <w:rPr>
          <w:b w:val="0"/>
        </w:rPr>
      </w:r>
      <w:r w:rsidRPr="00DA5809">
        <w:rPr>
          <w:b w:val="0"/>
        </w:rPr>
        <w:fldChar w:fldCharType="separate"/>
      </w:r>
      <w:r w:rsidR="004A5423">
        <w:rPr>
          <w:b w:val="0"/>
        </w:rPr>
        <w:t>6</w:t>
      </w:r>
      <w:r w:rsidRPr="00DA5809">
        <w:rPr>
          <w:b w:val="0"/>
        </w:rPr>
        <w:fldChar w:fldCharType="end"/>
      </w:r>
    </w:p>
    <w:p w14:paraId="5CFC0D4E" w14:textId="0F0DA272"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Program Administration and Implementation</w:t>
      </w:r>
      <w:r w:rsidRPr="00DA5809">
        <w:rPr>
          <w:b w:val="0"/>
        </w:rPr>
        <w:tab/>
      </w:r>
      <w:r w:rsidRPr="00DA5809">
        <w:rPr>
          <w:b w:val="0"/>
        </w:rPr>
        <w:fldChar w:fldCharType="begin"/>
      </w:r>
      <w:r w:rsidRPr="00DA5809">
        <w:rPr>
          <w:b w:val="0"/>
        </w:rPr>
        <w:instrText xml:space="preserve"> PAGEREF _Toc33620402 \h </w:instrText>
      </w:r>
      <w:r w:rsidRPr="00DA5809">
        <w:rPr>
          <w:b w:val="0"/>
        </w:rPr>
      </w:r>
      <w:r w:rsidRPr="00DA5809">
        <w:rPr>
          <w:b w:val="0"/>
        </w:rPr>
        <w:fldChar w:fldCharType="separate"/>
      </w:r>
      <w:r w:rsidR="004A5423">
        <w:rPr>
          <w:b w:val="0"/>
        </w:rPr>
        <w:t>14</w:t>
      </w:r>
      <w:r w:rsidRPr="00DA5809">
        <w:rPr>
          <w:b w:val="0"/>
        </w:rPr>
        <w:fldChar w:fldCharType="end"/>
      </w:r>
    </w:p>
    <w:p w14:paraId="4C974F03" w14:textId="1F9A668A"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Fiscal Responsibility</w:t>
      </w:r>
      <w:r w:rsidRPr="00DA5809">
        <w:rPr>
          <w:b w:val="0"/>
        </w:rPr>
        <w:tab/>
      </w:r>
      <w:r w:rsidRPr="00DA5809">
        <w:rPr>
          <w:b w:val="0"/>
        </w:rPr>
        <w:fldChar w:fldCharType="begin"/>
      </w:r>
      <w:r w:rsidRPr="00DA5809">
        <w:rPr>
          <w:b w:val="0"/>
        </w:rPr>
        <w:instrText xml:space="preserve"> PAGEREF _Toc33620403 \h </w:instrText>
      </w:r>
      <w:r w:rsidRPr="00DA5809">
        <w:rPr>
          <w:b w:val="0"/>
        </w:rPr>
      </w:r>
      <w:r w:rsidRPr="00DA5809">
        <w:rPr>
          <w:b w:val="0"/>
        </w:rPr>
        <w:fldChar w:fldCharType="separate"/>
      </w:r>
      <w:r w:rsidR="004A5423">
        <w:rPr>
          <w:b w:val="0"/>
        </w:rPr>
        <w:t>141</w:t>
      </w:r>
      <w:r w:rsidRPr="00DA5809">
        <w:rPr>
          <w:b w:val="0"/>
        </w:rPr>
        <w:fldChar w:fldCharType="end"/>
      </w:r>
    </w:p>
    <w:p w14:paraId="63BF1296" w14:textId="53F8B0E9"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iCs/>
        </w:rPr>
        <w:t>D.</w:t>
      </w:r>
      <w:r w:rsidRPr="00DA5809">
        <w:rPr>
          <w:b w:val="0"/>
        </w:rPr>
        <w:t xml:space="preserve"> Accountability for Results</w:t>
      </w:r>
      <w:r w:rsidRPr="00DA5809">
        <w:rPr>
          <w:b w:val="0"/>
        </w:rPr>
        <w:tab/>
      </w:r>
      <w:r w:rsidRPr="00DA5809">
        <w:rPr>
          <w:b w:val="0"/>
        </w:rPr>
        <w:fldChar w:fldCharType="begin"/>
      </w:r>
      <w:r w:rsidRPr="00DA5809">
        <w:rPr>
          <w:b w:val="0"/>
        </w:rPr>
        <w:instrText xml:space="preserve"> PAGEREF _Toc33620404 \h </w:instrText>
      </w:r>
      <w:r w:rsidRPr="00DA5809">
        <w:rPr>
          <w:b w:val="0"/>
        </w:rPr>
      </w:r>
      <w:r w:rsidRPr="00DA5809">
        <w:rPr>
          <w:b w:val="0"/>
        </w:rPr>
        <w:fldChar w:fldCharType="separate"/>
      </w:r>
      <w:r w:rsidR="004A5423">
        <w:rPr>
          <w:b w:val="0"/>
        </w:rPr>
        <w:t>151</w:t>
      </w:r>
      <w:r w:rsidRPr="00DA5809">
        <w:rPr>
          <w:b w:val="0"/>
        </w:rPr>
        <w:fldChar w:fldCharType="end"/>
      </w:r>
    </w:p>
    <w:p w14:paraId="3438DEEF" w14:textId="6ADAD525" w:rsidR="00DA5809" w:rsidRDefault="00DA5809">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_Toc33620405 \h </w:instrText>
      </w:r>
      <w:r>
        <w:fldChar w:fldCharType="separate"/>
      </w:r>
      <w:r w:rsidR="004A5423">
        <w:t>174</w:t>
      </w:r>
      <w:r>
        <w:fldChar w:fldCharType="end"/>
      </w:r>
    </w:p>
    <w:p w14:paraId="04CD3385" w14:textId="11206D12"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Statutory Assurances</w:t>
      </w:r>
      <w:r w:rsidRPr="00DA5809">
        <w:rPr>
          <w:b w:val="0"/>
        </w:rPr>
        <w:tab/>
      </w:r>
      <w:r w:rsidRPr="00DA5809">
        <w:rPr>
          <w:b w:val="0"/>
        </w:rPr>
        <w:fldChar w:fldCharType="begin"/>
      </w:r>
      <w:r w:rsidRPr="00DA5809">
        <w:rPr>
          <w:b w:val="0"/>
        </w:rPr>
        <w:instrText xml:space="preserve"> PAGEREF _Toc33620406 \h </w:instrText>
      </w:r>
      <w:r w:rsidRPr="00DA5809">
        <w:rPr>
          <w:b w:val="0"/>
        </w:rPr>
      </w:r>
      <w:r w:rsidRPr="00DA5809">
        <w:rPr>
          <w:b w:val="0"/>
        </w:rPr>
        <w:fldChar w:fldCharType="separate"/>
      </w:r>
      <w:r w:rsidR="004A5423">
        <w:rPr>
          <w:b w:val="0"/>
        </w:rPr>
        <w:t>174</w:t>
      </w:r>
      <w:r w:rsidRPr="00DA5809">
        <w:rPr>
          <w:b w:val="0"/>
        </w:rPr>
        <w:fldChar w:fldCharType="end"/>
      </w:r>
    </w:p>
    <w:p w14:paraId="4F3E2DBD" w14:textId="6D50BE4A"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EDGAR Certifications</w:t>
      </w:r>
      <w:r w:rsidRPr="00DA5809">
        <w:rPr>
          <w:b w:val="0"/>
        </w:rPr>
        <w:tab/>
      </w:r>
      <w:r w:rsidRPr="00DA5809">
        <w:rPr>
          <w:b w:val="0"/>
        </w:rPr>
        <w:fldChar w:fldCharType="begin"/>
      </w:r>
      <w:r w:rsidRPr="00DA5809">
        <w:rPr>
          <w:b w:val="0"/>
        </w:rPr>
        <w:instrText xml:space="preserve"> PAGEREF _Toc33620407 \h </w:instrText>
      </w:r>
      <w:r w:rsidRPr="00DA5809">
        <w:rPr>
          <w:b w:val="0"/>
        </w:rPr>
      </w:r>
      <w:r w:rsidRPr="00DA5809">
        <w:rPr>
          <w:b w:val="0"/>
        </w:rPr>
        <w:fldChar w:fldCharType="separate"/>
      </w:r>
      <w:r w:rsidR="004A5423">
        <w:rPr>
          <w:b w:val="0"/>
        </w:rPr>
        <w:t>175</w:t>
      </w:r>
      <w:r w:rsidRPr="00DA5809">
        <w:rPr>
          <w:b w:val="0"/>
        </w:rPr>
        <w:fldChar w:fldCharType="end"/>
      </w:r>
    </w:p>
    <w:p w14:paraId="1F6D7CE2" w14:textId="358A2D55"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Other Forms</w:t>
      </w:r>
      <w:r w:rsidRPr="00DA5809">
        <w:rPr>
          <w:b w:val="0"/>
        </w:rPr>
        <w:tab/>
      </w:r>
      <w:r w:rsidRPr="00DA5809">
        <w:rPr>
          <w:b w:val="0"/>
        </w:rPr>
        <w:fldChar w:fldCharType="begin"/>
      </w:r>
      <w:r w:rsidRPr="00DA5809">
        <w:rPr>
          <w:b w:val="0"/>
        </w:rPr>
        <w:instrText xml:space="preserve"> PAGEREF _Toc33620408 \h </w:instrText>
      </w:r>
      <w:r w:rsidRPr="00DA5809">
        <w:rPr>
          <w:b w:val="0"/>
        </w:rPr>
      </w:r>
      <w:r w:rsidRPr="00DA5809">
        <w:rPr>
          <w:b w:val="0"/>
        </w:rPr>
        <w:fldChar w:fldCharType="separate"/>
      </w:r>
      <w:r w:rsidR="004A5423">
        <w:rPr>
          <w:b w:val="0"/>
        </w:rPr>
        <w:t>175</w:t>
      </w:r>
      <w:r w:rsidRPr="00DA5809">
        <w:rPr>
          <w:b w:val="0"/>
        </w:rPr>
        <w:fldChar w:fldCharType="end"/>
      </w:r>
    </w:p>
    <w:p w14:paraId="465CC00B" w14:textId="600C5067" w:rsidR="00DA5809" w:rsidRDefault="00DA5809">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_Toc33620409 \h </w:instrText>
      </w:r>
      <w:r>
        <w:fldChar w:fldCharType="separate"/>
      </w:r>
      <w:r w:rsidR="004A5423">
        <w:t>177</w:t>
      </w:r>
      <w:r>
        <w:fldChar w:fldCharType="end"/>
      </w:r>
    </w:p>
    <w:p w14:paraId="6F404CF2" w14:textId="5863E558"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Budget Form</w:t>
      </w:r>
      <w:r w:rsidRPr="00DA5809">
        <w:rPr>
          <w:b w:val="0"/>
        </w:rPr>
        <w:tab/>
      </w:r>
      <w:r w:rsidRPr="00DA5809">
        <w:rPr>
          <w:b w:val="0"/>
        </w:rPr>
        <w:fldChar w:fldCharType="begin"/>
      </w:r>
      <w:r w:rsidRPr="00DA5809">
        <w:rPr>
          <w:b w:val="0"/>
        </w:rPr>
        <w:instrText xml:space="preserve"> PAGEREF _Toc33620410 \h </w:instrText>
      </w:r>
      <w:r w:rsidRPr="00DA5809">
        <w:rPr>
          <w:b w:val="0"/>
        </w:rPr>
      </w:r>
      <w:r w:rsidRPr="00DA5809">
        <w:rPr>
          <w:b w:val="0"/>
        </w:rPr>
        <w:fldChar w:fldCharType="separate"/>
      </w:r>
      <w:r w:rsidR="004A5423">
        <w:rPr>
          <w:b w:val="0"/>
        </w:rPr>
        <w:t>177</w:t>
      </w:r>
      <w:r w:rsidRPr="00DA5809">
        <w:rPr>
          <w:b w:val="0"/>
        </w:rPr>
        <w:fldChar w:fldCharType="end"/>
      </w:r>
    </w:p>
    <w:p w14:paraId="10D4CFC9" w14:textId="55D26234" w:rsidR="00DA5809" w:rsidRDefault="00DA5809">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_Toc33620411 \h </w:instrText>
      </w:r>
      <w:r>
        <w:fldChar w:fldCharType="separate"/>
      </w:r>
      <w:r w:rsidR="004A5423">
        <w:t>178</w:t>
      </w:r>
      <w:r>
        <w:fldChar w:fldCharType="end"/>
      </w:r>
    </w:p>
    <w:p w14:paraId="4F340CD6" w14:textId="53C8C645"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 Determined Performance Levels Form</w:t>
      </w:r>
      <w:r w:rsidRPr="00DA5809">
        <w:rPr>
          <w:b w:val="0"/>
        </w:rPr>
        <w:tab/>
      </w:r>
      <w:r w:rsidRPr="00DA5809">
        <w:rPr>
          <w:b w:val="0"/>
        </w:rPr>
        <w:fldChar w:fldCharType="begin"/>
      </w:r>
      <w:r w:rsidRPr="00DA5809">
        <w:rPr>
          <w:b w:val="0"/>
        </w:rPr>
        <w:instrText xml:space="preserve"> PAGEREF _Toc33620412 \h </w:instrText>
      </w:r>
      <w:r w:rsidRPr="00DA5809">
        <w:rPr>
          <w:b w:val="0"/>
        </w:rPr>
      </w:r>
      <w:r w:rsidRPr="00DA5809">
        <w:rPr>
          <w:b w:val="0"/>
        </w:rPr>
        <w:fldChar w:fldCharType="separate"/>
      </w:r>
      <w:r w:rsidR="004A5423">
        <w:rPr>
          <w:b w:val="0"/>
        </w:rPr>
        <w:t>178</w:t>
      </w:r>
      <w:r w:rsidRPr="00DA5809">
        <w:rPr>
          <w:b w:val="0"/>
        </w:rPr>
        <w:fldChar w:fldCharType="end"/>
      </w:r>
    </w:p>
    <w:p w14:paraId="1ADD5E23" w14:textId="219EA6AC" w:rsidR="00DA5809" w:rsidRDefault="00DA5809">
      <w:pPr>
        <w:pStyle w:val="TOC2"/>
        <w:rPr>
          <w:rFonts w:asciiTheme="minorHAnsi" w:eastAsiaTheme="minorEastAsia" w:hAnsiTheme="minorHAnsi" w:cstheme="minorBidi"/>
          <w:b w:val="0"/>
          <w:bCs w:val="0"/>
          <w:color w:val="auto"/>
          <w:spacing w:val="0"/>
          <w:sz w:val="22"/>
        </w:rPr>
      </w:pPr>
      <w:r>
        <w:t>Appendix</w:t>
      </w:r>
      <w:r w:rsidRPr="00B15E77">
        <w:rPr>
          <w:caps/>
        </w:rPr>
        <w:t xml:space="preserve"> A: </w:t>
      </w:r>
      <w:r>
        <w:t>Stakeholder and Key Informant Feedback</w:t>
      </w:r>
      <w:r>
        <w:tab/>
      </w:r>
      <w:r>
        <w:fldChar w:fldCharType="begin"/>
      </w:r>
      <w:r>
        <w:instrText xml:space="preserve"> PAGEREF _Toc33620413 \h </w:instrText>
      </w:r>
      <w:r>
        <w:fldChar w:fldCharType="separate"/>
      </w:r>
      <w:r w:rsidR="004A5423">
        <w:t>180</w:t>
      </w:r>
      <w:r>
        <w:fldChar w:fldCharType="end"/>
      </w:r>
    </w:p>
    <w:p w14:paraId="397129E0" w14:textId="1164D5D5"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Statewide Advisory Committee</w:t>
      </w:r>
      <w:r w:rsidRPr="00DA5809">
        <w:rPr>
          <w:b w:val="0"/>
        </w:rPr>
        <w:tab/>
      </w:r>
      <w:r w:rsidRPr="00DA5809">
        <w:rPr>
          <w:b w:val="0"/>
        </w:rPr>
        <w:fldChar w:fldCharType="begin"/>
      </w:r>
      <w:r w:rsidRPr="00DA5809">
        <w:rPr>
          <w:b w:val="0"/>
        </w:rPr>
        <w:instrText xml:space="preserve"> PAGEREF _Toc33620414 \h </w:instrText>
      </w:r>
      <w:r w:rsidRPr="00DA5809">
        <w:rPr>
          <w:b w:val="0"/>
        </w:rPr>
      </w:r>
      <w:r w:rsidRPr="00DA5809">
        <w:rPr>
          <w:b w:val="0"/>
        </w:rPr>
        <w:fldChar w:fldCharType="separate"/>
      </w:r>
      <w:r w:rsidR="004A5423">
        <w:rPr>
          <w:b w:val="0"/>
        </w:rPr>
        <w:t>180</w:t>
      </w:r>
      <w:r w:rsidRPr="00DA5809">
        <w:rPr>
          <w:b w:val="0"/>
        </w:rPr>
        <w:fldChar w:fldCharType="end"/>
      </w:r>
    </w:p>
    <w:p w14:paraId="456042F4" w14:textId="1DBF0C2F"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CCCAOE Perkins V Pre-Conference Attendees</w:t>
      </w:r>
      <w:r w:rsidRPr="00DA5809">
        <w:rPr>
          <w:b w:val="0"/>
        </w:rPr>
        <w:tab/>
      </w:r>
      <w:r w:rsidRPr="00DA5809">
        <w:rPr>
          <w:b w:val="0"/>
        </w:rPr>
        <w:fldChar w:fldCharType="begin"/>
      </w:r>
      <w:r w:rsidRPr="00DA5809">
        <w:rPr>
          <w:b w:val="0"/>
        </w:rPr>
        <w:instrText xml:space="preserve"> PAGEREF _Toc33620415 \h </w:instrText>
      </w:r>
      <w:r w:rsidRPr="00DA5809">
        <w:rPr>
          <w:b w:val="0"/>
        </w:rPr>
      </w:r>
      <w:r w:rsidRPr="00DA5809">
        <w:rPr>
          <w:b w:val="0"/>
        </w:rPr>
        <w:fldChar w:fldCharType="separate"/>
      </w:r>
      <w:r w:rsidR="004A5423">
        <w:rPr>
          <w:b w:val="0"/>
        </w:rPr>
        <w:t>184</w:t>
      </w:r>
      <w:r w:rsidRPr="00DA5809">
        <w:rPr>
          <w:b w:val="0"/>
        </w:rPr>
        <w:fldChar w:fldCharType="end"/>
      </w:r>
    </w:p>
    <w:p w14:paraId="18F5568C" w14:textId="39F6E98D"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K–12 Teacher Feedback Session Attendees</w:t>
      </w:r>
      <w:r w:rsidRPr="00DA5809">
        <w:rPr>
          <w:b w:val="0"/>
        </w:rPr>
        <w:tab/>
      </w:r>
      <w:r w:rsidRPr="00DA5809">
        <w:rPr>
          <w:b w:val="0"/>
        </w:rPr>
        <w:fldChar w:fldCharType="begin"/>
      </w:r>
      <w:r w:rsidRPr="00DA5809">
        <w:rPr>
          <w:b w:val="0"/>
        </w:rPr>
        <w:instrText xml:space="preserve"> PAGEREF _Toc33620416 \h </w:instrText>
      </w:r>
      <w:r w:rsidRPr="00DA5809">
        <w:rPr>
          <w:b w:val="0"/>
        </w:rPr>
      </w:r>
      <w:r w:rsidRPr="00DA5809">
        <w:rPr>
          <w:b w:val="0"/>
        </w:rPr>
        <w:fldChar w:fldCharType="separate"/>
      </w:r>
      <w:r w:rsidR="004A5423">
        <w:rPr>
          <w:b w:val="0"/>
        </w:rPr>
        <w:t>185</w:t>
      </w:r>
      <w:r w:rsidRPr="00DA5809">
        <w:rPr>
          <w:b w:val="0"/>
        </w:rPr>
        <w:fldChar w:fldCharType="end"/>
      </w:r>
    </w:p>
    <w:p w14:paraId="1705EC6A" w14:textId="24B6A10E" w:rsidR="00DA5809" w:rsidRDefault="00DA5809">
      <w:pPr>
        <w:pStyle w:val="TOC2"/>
        <w:rPr>
          <w:rFonts w:asciiTheme="minorHAnsi" w:eastAsiaTheme="minorEastAsia" w:hAnsiTheme="minorHAnsi" w:cstheme="minorBidi"/>
          <w:b w:val="0"/>
          <w:bCs w:val="0"/>
          <w:color w:val="auto"/>
          <w:spacing w:val="0"/>
          <w:sz w:val="22"/>
        </w:rPr>
      </w:pPr>
      <w:r>
        <w:t>Appendix B: Opportunities for Public Input and Engagement</w:t>
      </w:r>
      <w:r>
        <w:tab/>
      </w:r>
      <w:r>
        <w:fldChar w:fldCharType="begin"/>
      </w:r>
      <w:r>
        <w:instrText xml:space="preserve"> PAGEREF _Toc33620417 \h </w:instrText>
      </w:r>
      <w:r>
        <w:fldChar w:fldCharType="separate"/>
      </w:r>
      <w:r w:rsidR="004A5423">
        <w:t>187</w:t>
      </w:r>
      <w:r>
        <w:fldChar w:fldCharType="end"/>
      </w:r>
    </w:p>
    <w:p w14:paraId="594B50C9" w14:textId="6E6FACE8" w:rsidR="00DA5809" w:rsidRDefault="00DA5809">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_Toc33620418 \h </w:instrText>
      </w:r>
      <w:r>
        <w:fldChar w:fldCharType="separate"/>
      </w:r>
      <w:r w:rsidR="004A5423">
        <w:t>190</w:t>
      </w:r>
      <w:r>
        <w:fldChar w:fldCharType="end"/>
      </w:r>
    </w:p>
    <w:p w14:paraId="3967044A" w14:textId="0AEE8CD2" w:rsidR="00DA5809" w:rsidRDefault="00DA5809">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_Toc33620419 \h </w:instrText>
      </w:r>
      <w:r>
        <w:fldChar w:fldCharType="separate"/>
      </w:r>
      <w:r w:rsidR="004A5423">
        <w:t>193</w:t>
      </w:r>
      <w:r>
        <w:fldChar w:fldCharType="end"/>
      </w:r>
    </w:p>
    <w:p w14:paraId="401C597C" w14:textId="2DD2AC4D"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Preamble</w:t>
      </w:r>
      <w:r w:rsidRPr="00DA5809">
        <w:rPr>
          <w:b w:val="0"/>
        </w:rPr>
        <w:tab/>
      </w:r>
      <w:r w:rsidRPr="00DA5809">
        <w:rPr>
          <w:b w:val="0"/>
        </w:rPr>
        <w:fldChar w:fldCharType="begin"/>
      </w:r>
      <w:r w:rsidRPr="00DA5809">
        <w:rPr>
          <w:b w:val="0"/>
        </w:rPr>
        <w:instrText xml:space="preserve"> PAGEREF _Toc33620420 \h </w:instrText>
      </w:r>
      <w:r w:rsidRPr="00DA5809">
        <w:rPr>
          <w:b w:val="0"/>
        </w:rPr>
      </w:r>
      <w:r w:rsidRPr="00DA5809">
        <w:rPr>
          <w:b w:val="0"/>
        </w:rPr>
        <w:fldChar w:fldCharType="separate"/>
      </w:r>
      <w:r w:rsidR="004A5423">
        <w:rPr>
          <w:b w:val="0"/>
        </w:rPr>
        <w:t>193</w:t>
      </w:r>
      <w:r w:rsidRPr="00DA5809">
        <w:rPr>
          <w:b w:val="0"/>
        </w:rPr>
        <w:fldChar w:fldCharType="end"/>
      </w:r>
    </w:p>
    <w:p w14:paraId="1AA1B248" w14:textId="6702988C"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Guiding Policy Principles</w:t>
      </w:r>
      <w:r w:rsidRPr="00DA5809">
        <w:rPr>
          <w:b w:val="0"/>
        </w:rPr>
        <w:tab/>
      </w:r>
      <w:r w:rsidRPr="00DA5809">
        <w:rPr>
          <w:b w:val="0"/>
        </w:rPr>
        <w:fldChar w:fldCharType="begin"/>
      </w:r>
      <w:r w:rsidRPr="00DA5809">
        <w:rPr>
          <w:b w:val="0"/>
        </w:rPr>
        <w:instrText xml:space="preserve"> PAGEREF _Toc33620421 \h </w:instrText>
      </w:r>
      <w:r w:rsidRPr="00DA5809">
        <w:rPr>
          <w:b w:val="0"/>
        </w:rPr>
      </w:r>
      <w:r w:rsidRPr="00DA5809">
        <w:rPr>
          <w:b w:val="0"/>
        </w:rPr>
        <w:fldChar w:fldCharType="separate"/>
      </w:r>
      <w:r w:rsidR="004A5423">
        <w:rPr>
          <w:b w:val="0"/>
        </w:rPr>
        <w:t>194</w:t>
      </w:r>
      <w:r w:rsidRPr="00DA5809">
        <w:rPr>
          <w:b w:val="0"/>
        </w:rPr>
        <w:fldChar w:fldCharType="end"/>
      </w:r>
    </w:p>
    <w:p w14:paraId="48412B87" w14:textId="3039348B"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Essential Elements of a High-Quality College and Career Pathway</w:t>
      </w:r>
      <w:r w:rsidRPr="00DA5809">
        <w:rPr>
          <w:b w:val="0"/>
        </w:rPr>
        <w:tab/>
      </w:r>
      <w:r w:rsidRPr="00DA5809">
        <w:rPr>
          <w:b w:val="0"/>
        </w:rPr>
        <w:fldChar w:fldCharType="begin"/>
      </w:r>
      <w:r w:rsidRPr="00DA5809">
        <w:rPr>
          <w:b w:val="0"/>
        </w:rPr>
        <w:instrText xml:space="preserve"> PAGEREF _Toc33620422 \h </w:instrText>
      </w:r>
      <w:r w:rsidRPr="00DA5809">
        <w:rPr>
          <w:b w:val="0"/>
        </w:rPr>
      </w:r>
      <w:r w:rsidRPr="00DA5809">
        <w:rPr>
          <w:b w:val="0"/>
        </w:rPr>
        <w:fldChar w:fldCharType="separate"/>
      </w:r>
      <w:r w:rsidR="004A5423">
        <w:rPr>
          <w:b w:val="0"/>
        </w:rPr>
        <w:t>195</w:t>
      </w:r>
      <w:r w:rsidRPr="00DA5809">
        <w:rPr>
          <w:b w:val="0"/>
        </w:rPr>
        <w:fldChar w:fldCharType="end"/>
      </w:r>
    </w:p>
    <w:p w14:paraId="072FBCCD" w14:textId="59D6C628"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Working Norms for Fostering a Mutually-Beneficial Intersegmental Relationship</w:t>
      </w:r>
      <w:r w:rsidRPr="00DA5809">
        <w:rPr>
          <w:b w:val="0"/>
        </w:rPr>
        <w:tab/>
      </w:r>
      <w:r w:rsidRPr="00DA5809">
        <w:rPr>
          <w:b w:val="0"/>
        </w:rPr>
        <w:fldChar w:fldCharType="begin"/>
      </w:r>
      <w:r w:rsidRPr="00DA5809">
        <w:rPr>
          <w:b w:val="0"/>
        </w:rPr>
        <w:instrText xml:space="preserve"> PAGEREF _Toc33620423 \h </w:instrText>
      </w:r>
      <w:r w:rsidRPr="00DA5809">
        <w:rPr>
          <w:b w:val="0"/>
        </w:rPr>
      </w:r>
      <w:r w:rsidRPr="00DA5809">
        <w:rPr>
          <w:b w:val="0"/>
        </w:rPr>
        <w:fldChar w:fldCharType="separate"/>
      </w:r>
      <w:r w:rsidR="004A5423">
        <w:rPr>
          <w:b w:val="0"/>
        </w:rPr>
        <w:t>198</w:t>
      </w:r>
      <w:r w:rsidRPr="00DA5809">
        <w:rPr>
          <w:b w:val="0"/>
        </w:rPr>
        <w:fldChar w:fldCharType="end"/>
      </w:r>
    </w:p>
    <w:p w14:paraId="4D6AC762" w14:textId="10D8BBEE" w:rsidR="00DA5809" w:rsidRDefault="00DA5809">
      <w:pPr>
        <w:pStyle w:val="TOC2"/>
        <w:rPr>
          <w:rFonts w:asciiTheme="minorHAnsi" w:eastAsiaTheme="minorEastAsia" w:hAnsiTheme="minorHAnsi" w:cstheme="minorBidi"/>
          <w:b w:val="0"/>
          <w:bCs w:val="0"/>
          <w:color w:val="auto"/>
          <w:spacing w:val="0"/>
          <w:sz w:val="22"/>
        </w:rPr>
      </w:pPr>
      <w:r>
        <w:t>Appendix E: Common Acronyms in California’s Federal Perkins V State Plan</w:t>
      </w:r>
      <w:r>
        <w:tab/>
      </w:r>
      <w:r>
        <w:fldChar w:fldCharType="begin"/>
      </w:r>
      <w:r>
        <w:instrText xml:space="preserve"> PAGEREF _Toc33620424 \h </w:instrText>
      </w:r>
      <w:r>
        <w:fldChar w:fldCharType="separate"/>
      </w:r>
      <w:r w:rsidR="004A5423">
        <w:t>200</w:t>
      </w:r>
      <w:r>
        <w:fldChar w:fldCharType="end"/>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05E83AB8" w14:textId="613F4453" w:rsidR="00BE1502" w:rsidRDefault="00BD1D6F">
      <w:pPr>
        <w:pStyle w:val="TableofFigures"/>
        <w:rPr>
          <w:rFonts w:asciiTheme="minorHAnsi" w:eastAsiaTheme="minorEastAsia" w:hAnsiTheme="minorHAnsi" w:cstheme="minorBidi"/>
          <w:b w:val="0"/>
          <w:bCs w:val="0"/>
          <w:color w:val="auto"/>
          <w:spacing w:val="0"/>
          <w:sz w:val="22"/>
          <w:szCs w:val="22"/>
        </w:rPr>
      </w:pPr>
      <w:r w:rsidRPr="00E2397C">
        <w:rPr>
          <w:szCs w:val="24"/>
        </w:rPr>
        <w:fldChar w:fldCharType="begin"/>
      </w:r>
      <w:r w:rsidRPr="00E2397C">
        <w:rPr>
          <w:szCs w:val="24"/>
        </w:rPr>
        <w:instrText xml:space="preserve"> TOC \t "Table Title" \c </w:instrText>
      </w:r>
      <w:r w:rsidRPr="00E2397C">
        <w:rPr>
          <w:szCs w:val="24"/>
        </w:rPr>
        <w:fldChar w:fldCharType="separate"/>
      </w:r>
      <w:r w:rsidR="00BE1502">
        <w:t>Table 1. California Maintenance of Effort Calculations</w:t>
      </w:r>
      <w:r w:rsidR="00BE1502">
        <w:tab/>
      </w:r>
      <w:r w:rsidR="00BE1502">
        <w:fldChar w:fldCharType="begin"/>
      </w:r>
      <w:r w:rsidR="00BE1502">
        <w:instrText xml:space="preserve"> PAGEREF _Toc36640993 \h </w:instrText>
      </w:r>
      <w:r w:rsidR="00BE1502">
        <w:fldChar w:fldCharType="separate"/>
      </w:r>
      <w:r w:rsidR="00DF50FC">
        <w:t>152</w:t>
      </w:r>
      <w:r w:rsidR="00BE1502">
        <w:fldChar w:fldCharType="end"/>
      </w:r>
    </w:p>
    <w:p w14:paraId="2769BF4E" w14:textId="6B8C716C" w:rsidR="00D57D9B" w:rsidRPr="002F2687" w:rsidRDefault="00BD1D6F" w:rsidP="00D57D9B">
      <w:pPr>
        <w:sectPr w:rsidR="00D57D9B" w:rsidRPr="002F2687" w:rsidSect="00222052">
          <w:headerReference w:type="default" r:id="rId12"/>
          <w:footerReference w:type="default" r:id="rId13"/>
          <w:pgSz w:w="12240" w:h="15840"/>
          <w:pgMar w:top="1620" w:right="1440" w:bottom="1260" w:left="1440" w:header="720" w:footer="720" w:gutter="0"/>
          <w:pgNumType w:fmt="lowerRoman"/>
          <w:cols w:space="720"/>
          <w:noEndnote/>
          <w:docGrid w:linePitch="326"/>
        </w:sectPr>
      </w:pPr>
      <w:r w:rsidRPr="00E2397C">
        <w:fldChar w:fldCharType="end"/>
      </w:r>
    </w:p>
    <w:bookmarkEnd w:id="4"/>
    <w:bookmarkEnd w:id="5"/>
    <w:bookmarkEnd w:id="6"/>
    <w:bookmarkEnd w:id="7"/>
    <w:p w14:paraId="1EDCC983" w14:textId="77777777" w:rsidR="001A155E" w:rsidRDefault="00C33240" w:rsidP="00DF50FC">
      <w:pPr>
        <w:pStyle w:val="BodyTextIndent2"/>
        <w:spacing w:before="240" w:after="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Act</w:t>
      </w:r>
      <w:r w:rsidR="00EA3AEB" w:rsidRPr="002F2687">
        <w:rPr>
          <w:rFonts w:cs="Arial"/>
          <w:b/>
        </w:rPr>
        <w:br/>
      </w:r>
      <w:r w:rsidRPr="002F2687">
        <w:rPr>
          <w:rFonts w:cs="Arial"/>
          <w:b/>
        </w:rPr>
        <w:t>(Perkins V) State Plan</w:t>
      </w:r>
      <w:bookmarkStart w:id="8" w:name="_Toc2938268"/>
      <w:bookmarkStart w:id="9" w:name="_Toc18935408"/>
      <w:bookmarkStart w:id="10" w:name="_Toc21683328"/>
      <w:bookmarkStart w:id="11" w:name="_Toc21942602"/>
      <w:bookmarkStart w:id="12" w:name="_Toc21944232"/>
    </w:p>
    <w:p w14:paraId="172B6695" w14:textId="77777777" w:rsidR="00C33240" w:rsidRPr="002F2687" w:rsidRDefault="00A04E34" w:rsidP="006079A2">
      <w:pPr>
        <w:pStyle w:val="Heading2"/>
        <w:pageBreakBefore w:val="0"/>
        <w:spacing w:after="240"/>
        <w:ind w:right="0"/>
      </w:pPr>
      <w:bookmarkStart w:id="13" w:name="_Toc33620398"/>
      <w:r w:rsidRPr="002F2687">
        <w:t>I</w:t>
      </w:r>
      <w:r w:rsidR="00C66D7E" w:rsidRPr="002F2687">
        <w:t xml:space="preserve">. </w:t>
      </w:r>
      <w:bookmarkEnd w:id="8"/>
      <w:bookmarkEnd w:id="9"/>
      <w:bookmarkEnd w:id="10"/>
      <w:r w:rsidRPr="002F2687">
        <w:t>Cover Page</w:t>
      </w:r>
      <w:bookmarkEnd w:id="11"/>
      <w:bookmarkEnd w:id="12"/>
      <w:bookmarkEnd w:id="13"/>
    </w:p>
    <w:p w14:paraId="770B1A3F" w14:textId="1101FD19" w:rsidR="00C33240" w:rsidRPr="002F2687" w:rsidRDefault="00C33240" w:rsidP="00DF50FC">
      <w:pPr>
        <w:pStyle w:val="BodyTextIndent2"/>
        <w:numPr>
          <w:ilvl w:val="0"/>
          <w:numId w:val="2"/>
        </w:numPr>
        <w:tabs>
          <w:tab w:val="right" w:pos="9360"/>
        </w:tabs>
        <w:spacing w:after="240" w:line="240" w:lineRule="auto"/>
        <w:ind w:left="360"/>
        <w:rPr>
          <w:rFonts w:cs="Arial"/>
        </w:rPr>
      </w:pPr>
      <w:r w:rsidRPr="00293A60">
        <w:rPr>
          <w:rFonts w:cs="Arial"/>
          <w:b/>
        </w:rPr>
        <w:t>State Name:</w:t>
      </w:r>
      <w:r w:rsidRPr="002F2687">
        <w:rPr>
          <w:rFonts w:cs="Arial"/>
        </w:rPr>
        <w:t xml:space="preserve"> </w:t>
      </w:r>
      <w:r w:rsidRPr="00293A60">
        <w:rPr>
          <w:rFonts w:cs="Arial"/>
        </w:rPr>
        <w:t>California</w:t>
      </w:r>
    </w:p>
    <w:p w14:paraId="7FFAE4F5" w14:textId="77777777" w:rsidR="00C33240" w:rsidRPr="00293A60" w:rsidRDefault="00C33240" w:rsidP="00DF50FC">
      <w:pPr>
        <w:pStyle w:val="BodyTextIndent2"/>
        <w:numPr>
          <w:ilvl w:val="0"/>
          <w:numId w:val="2"/>
        </w:numPr>
        <w:spacing w:after="240" w:line="240" w:lineRule="auto"/>
        <w:ind w:left="360"/>
        <w:rPr>
          <w:rFonts w:cs="Arial"/>
          <w:b/>
        </w:rPr>
      </w:pPr>
      <w:r w:rsidRPr="00293A60">
        <w:rPr>
          <w:rFonts w:cs="Arial"/>
          <w:b/>
        </w:rPr>
        <w:t>Eligible Agency (State Board of Education) Submitting Plan on Behalf of State:</w:t>
      </w:r>
    </w:p>
    <w:p w14:paraId="572E97CB" w14:textId="14575BB6" w:rsidR="00C33240" w:rsidRPr="00293A60" w:rsidRDefault="00C33240" w:rsidP="00DF50FC">
      <w:pPr>
        <w:pStyle w:val="BodyTextIndent2"/>
        <w:tabs>
          <w:tab w:val="right" w:pos="9360"/>
        </w:tabs>
        <w:spacing w:after="240" w:line="240" w:lineRule="auto"/>
        <w:rPr>
          <w:rFonts w:cs="Arial"/>
        </w:rPr>
      </w:pPr>
      <w:r w:rsidRPr="00293A60">
        <w:rPr>
          <w:rFonts w:cs="Arial"/>
          <w:bCs/>
        </w:rPr>
        <w:t>California Department of Education</w:t>
      </w:r>
    </w:p>
    <w:p w14:paraId="31822C46" w14:textId="77777777" w:rsidR="00C33240" w:rsidRPr="00293A60" w:rsidRDefault="00C33240" w:rsidP="00DF50FC">
      <w:pPr>
        <w:pStyle w:val="BodyTextIndent2"/>
        <w:numPr>
          <w:ilvl w:val="0"/>
          <w:numId w:val="2"/>
        </w:numPr>
        <w:spacing w:after="240" w:line="240" w:lineRule="auto"/>
        <w:ind w:left="360"/>
        <w:rPr>
          <w:rFonts w:cs="Arial"/>
          <w:b/>
        </w:rPr>
      </w:pPr>
      <w:r w:rsidRPr="00293A60">
        <w:rPr>
          <w:rFonts w:cs="Arial"/>
          <w:b/>
        </w:rPr>
        <w:t>Person at, or officially designated by, the eligible agency, identified in Item B above, who is responsible for answering questions regarding this plan. This is also the person designated as the “authorized representative” for the agency:</w:t>
      </w:r>
    </w:p>
    <w:p w14:paraId="69E957FD" w14:textId="76660E5C" w:rsidR="00C33240" w:rsidRPr="00293A60" w:rsidRDefault="00C33240" w:rsidP="00DF50FC">
      <w:pPr>
        <w:pStyle w:val="BodyTextIndent2"/>
        <w:numPr>
          <w:ilvl w:val="0"/>
          <w:numId w:val="3"/>
        </w:numPr>
        <w:tabs>
          <w:tab w:val="right" w:pos="9360"/>
        </w:tabs>
        <w:spacing w:after="240" w:line="240" w:lineRule="auto"/>
        <w:ind w:left="907"/>
        <w:rPr>
          <w:rFonts w:cs="Arial"/>
          <w:bCs/>
        </w:rPr>
      </w:pPr>
      <w:r w:rsidRPr="008A0841">
        <w:rPr>
          <w:rFonts w:cs="Arial"/>
          <w:b/>
          <w:bCs/>
        </w:rPr>
        <w:t>Name:</w:t>
      </w:r>
      <w:r w:rsidRPr="00293A60">
        <w:rPr>
          <w:rFonts w:cs="Arial"/>
          <w:bCs/>
        </w:rPr>
        <w:t xml:space="preserve"> Pradeep Kotamraju</w:t>
      </w:r>
      <w:r w:rsidR="00A33CE4" w:rsidRPr="00293A60">
        <w:rPr>
          <w:rFonts w:cs="Arial"/>
          <w:bCs/>
        </w:rPr>
        <w:t>,</w:t>
      </w:r>
      <w:r w:rsidRPr="00293A60">
        <w:rPr>
          <w:rFonts w:cs="Arial"/>
          <w:bCs/>
        </w:rPr>
        <w:t xml:space="preserve"> Ph.D.</w:t>
      </w:r>
    </w:p>
    <w:p w14:paraId="37E16797" w14:textId="4441D6EF" w:rsidR="00C33240" w:rsidRPr="00293A60" w:rsidRDefault="00C33240" w:rsidP="00DF50FC">
      <w:pPr>
        <w:pStyle w:val="BodyTextIndent2"/>
        <w:numPr>
          <w:ilvl w:val="0"/>
          <w:numId w:val="3"/>
        </w:numPr>
        <w:tabs>
          <w:tab w:val="right" w:pos="9360"/>
        </w:tabs>
        <w:spacing w:after="240" w:line="240" w:lineRule="auto"/>
        <w:rPr>
          <w:rFonts w:cs="Arial"/>
          <w:bCs/>
        </w:rPr>
      </w:pPr>
      <w:r w:rsidRPr="008A0841">
        <w:rPr>
          <w:rFonts w:cs="Arial"/>
          <w:b/>
          <w:bCs/>
        </w:rPr>
        <w:t>Official Position Title:</w:t>
      </w:r>
      <w:r w:rsidRPr="00293A60">
        <w:rPr>
          <w:rFonts w:cs="Arial"/>
          <w:bCs/>
        </w:rPr>
        <w:t xml:space="preserve"> Director</w:t>
      </w:r>
      <w:r w:rsidR="00D8330A" w:rsidRPr="00293A60">
        <w:rPr>
          <w:rFonts w:cs="Arial"/>
          <w:bCs/>
        </w:rPr>
        <w:t>,</w:t>
      </w:r>
      <w:r w:rsidRPr="00293A60">
        <w:rPr>
          <w:rFonts w:cs="Arial"/>
          <w:bCs/>
        </w:rPr>
        <w:t xml:space="preserve"> Career and College Transition Division</w:t>
      </w:r>
    </w:p>
    <w:p w14:paraId="5D4FEE29" w14:textId="2CDF5DE0" w:rsidR="00C33240" w:rsidRPr="00293A60" w:rsidRDefault="00C33240" w:rsidP="00DF50FC">
      <w:pPr>
        <w:pStyle w:val="BodyTextIndent2"/>
        <w:numPr>
          <w:ilvl w:val="0"/>
          <w:numId w:val="3"/>
        </w:numPr>
        <w:tabs>
          <w:tab w:val="right" w:pos="9360"/>
        </w:tabs>
        <w:spacing w:after="240" w:line="240" w:lineRule="auto"/>
        <w:ind w:left="907"/>
        <w:rPr>
          <w:rFonts w:cs="Arial"/>
          <w:bCs/>
        </w:rPr>
      </w:pPr>
      <w:r w:rsidRPr="008A0841">
        <w:rPr>
          <w:rFonts w:cs="Arial"/>
          <w:b/>
          <w:bCs/>
        </w:rPr>
        <w:t>Agency:</w:t>
      </w:r>
      <w:r w:rsidRPr="00293A60">
        <w:rPr>
          <w:rFonts w:cs="Arial"/>
          <w:bCs/>
        </w:rPr>
        <w:t xml:space="preserve"> </w:t>
      </w:r>
      <w:r w:rsidR="003130A6" w:rsidRPr="00293A60">
        <w:rPr>
          <w:rFonts w:cs="Arial"/>
          <w:bCs/>
        </w:rPr>
        <w:t>California Department of Education</w:t>
      </w:r>
    </w:p>
    <w:p w14:paraId="5E7080B8" w14:textId="1021260E" w:rsidR="00C33240" w:rsidRPr="00293A60" w:rsidRDefault="00C33240" w:rsidP="00DF50FC">
      <w:pPr>
        <w:pStyle w:val="BodyTextIndent2"/>
        <w:numPr>
          <w:ilvl w:val="0"/>
          <w:numId w:val="3"/>
        </w:numPr>
        <w:tabs>
          <w:tab w:val="left" w:pos="3780"/>
          <w:tab w:val="left" w:pos="4140"/>
          <w:tab w:val="left" w:pos="4500"/>
          <w:tab w:val="right" w:pos="9360"/>
        </w:tabs>
        <w:spacing w:after="240" w:line="240" w:lineRule="auto"/>
        <w:ind w:left="907"/>
        <w:rPr>
          <w:rFonts w:cs="Arial"/>
          <w:bCs/>
        </w:rPr>
      </w:pPr>
      <w:r w:rsidRPr="008A0841">
        <w:rPr>
          <w:rFonts w:cs="Arial"/>
          <w:b/>
          <w:bCs/>
        </w:rPr>
        <w:t>Telephone:</w:t>
      </w:r>
      <w:r w:rsidRPr="00293A60">
        <w:rPr>
          <w:rFonts w:cs="Arial"/>
          <w:bCs/>
        </w:rPr>
        <w:t xml:space="preserve"> 916-322-6368</w:t>
      </w:r>
      <w:r w:rsidRPr="00293A60">
        <w:rPr>
          <w:rFonts w:cs="Arial"/>
          <w:bCs/>
        </w:rPr>
        <w:tab/>
      </w:r>
      <w:r w:rsidRPr="00293A60">
        <w:rPr>
          <w:rFonts w:cs="Arial"/>
          <w:bCs/>
        </w:rPr>
        <w:tab/>
      </w:r>
      <w:r w:rsidRPr="008A0841">
        <w:rPr>
          <w:rFonts w:cs="Arial"/>
          <w:b/>
          <w:bCs/>
        </w:rPr>
        <w:t>5.</w:t>
      </w:r>
      <w:r w:rsidRPr="00293A60">
        <w:rPr>
          <w:rFonts w:cs="Arial"/>
          <w:bCs/>
        </w:rPr>
        <w:tab/>
      </w:r>
      <w:r w:rsidRPr="008A0841">
        <w:rPr>
          <w:rFonts w:cs="Arial"/>
          <w:b/>
          <w:bCs/>
        </w:rPr>
        <w:t>Email:</w:t>
      </w:r>
      <w:r w:rsidRPr="00293A60">
        <w:rPr>
          <w:rFonts w:cs="Arial"/>
          <w:bCs/>
        </w:rPr>
        <w:t xml:space="preserve"> </w:t>
      </w:r>
      <w:hyperlink r:id="rId14" w:history="1">
        <w:r w:rsidR="00DC0CF1" w:rsidRPr="00293A60">
          <w:rPr>
            <w:rStyle w:val="Hyperlink"/>
            <w:rFonts w:cs="Arial"/>
            <w:bCs/>
            <w:color w:val="auto"/>
            <w:u w:val="none"/>
          </w:rPr>
          <w:t>pkotamraju@cde.ca.gov</w:t>
        </w:r>
      </w:hyperlink>
    </w:p>
    <w:p w14:paraId="2B8D390A" w14:textId="77777777" w:rsidR="008A0841" w:rsidRDefault="00C33240" w:rsidP="00DF50FC">
      <w:pPr>
        <w:pStyle w:val="BodyTextIndent2"/>
        <w:numPr>
          <w:ilvl w:val="0"/>
          <w:numId w:val="2"/>
        </w:numPr>
        <w:spacing w:before="240" w:after="240" w:line="240" w:lineRule="auto"/>
        <w:ind w:left="547" w:hanging="547"/>
        <w:rPr>
          <w:rFonts w:cs="Arial"/>
        </w:rPr>
      </w:pPr>
      <w:r w:rsidRPr="00293A60">
        <w:rPr>
          <w:rFonts w:cs="Arial"/>
          <w:b/>
        </w:rPr>
        <w:t>Individual serving as the State Director for Career and Technical Education:</w:t>
      </w:r>
      <w:r w:rsidR="00293A60">
        <w:rPr>
          <w:rFonts w:cs="Arial"/>
        </w:rPr>
        <w:t xml:space="preserve"> </w:t>
      </w:r>
    </w:p>
    <w:p w14:paraId="264B4752" w14:textId="02F27C0A" w:rsidR="00F56117" w:rsidRPr="00293A60" w:rsidRDefault="00293A60" w:rsidP="00DF50FC">
      <w:pPr>
        <w:pStyle w:val="BodyTextIndent2"/>
        <w:spacing w:before="240" w:after="240" w:line="240" w:lineRule="auto"/>
        <w:ind w:left="547"/>
        <w:rPr>
          <w:rFonts w:cs="Arial"/>
        </w:rPr>
      </w:pPr>
      <w:r w:rsidRPr="00293A60">
        <w:rPr>
          <w:rFonts w:cs="Arial"/>
          <w:bCs/>
        </w:rPr>
        <w:t>Pradeep Kotamraju</w:t>
      </w:r>
    </w:p>
    <w:p w14:paraId="30FBD887" w14:textId="367F809D" w:rsidR="00C33240" w:rsidRPr="00293A60" w:rsidRDefault="00C33240" w:rsidP="00DF50FC">
      <w:pPr>
        <w:pStyle w:val="BodyTextIndent2"/>
        <w:keepNext/>
        <w:keepLines/>
        <w:numPr>
          <w:ilvl w:val="0"/>
          <w:numId w:val="2"/>
        </w:numPr>
        <w:spacing w:after="240" w:line="240" w:lineRule="auto"/>
        <w:ind w:left="547" w:hanging="547"/>
        <w:rPr>
          <w:rFonts w:cs="Arial"/>
          <w:b/>
        </w:rPr>
      </w:pPr>
      <w:r w:rsidRPr="00293A60">
        <w:rPr>
          <w:rFonts w:cs="Arial"/>
          <w:b/>
        </w:rPr>
        <w:t>Type of Perkins V State Plan Submission – Fiscal Year (FY) 2019:</w:t>
      </w:r>
    </w:p>
    <w:p w14:paraId="48AE6E50" w14:textId="77777777" w:rsidR="00EB29B6" w:rsidRPr="002F2687" w:rsidRDefault="00C33240" w:rsidP="00DF50FC">
      <w:pPr>
        <w:pStyle w:val="BodyTextIndent2"/>
        <w:spacing w:after="240" w:line="240" w:lineRule="auto"/>
        <w:ind w:left="540"/>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0B4940EF" w14:textId="0D06B717" w:rsidR="00C33240" w:rsidRPr="00293A60" w:rsidRDefault="00C33240" w:rsidP="00DF50FC">
      <w:pPr>
        <w:pStyle w:val="BodyTextIndent2"/>
        <w:numPr>
          <w:ilvl w:val="0"/>
          <w:numId w:val="2"/>
        </w:numPr>
        <w:spacing w:after="240" w:line="240" w:lineRule="auto"/>
        <w:ind w:left="547" w:hanging="547"/>
        <w:rPr>
          <w:rFonts w:cs="Arial"/>
          <w:b/>
        </w:rPr>
      </w:pPr>
      <w:r w:rsidRPr="00293A60">
        <w:rPr>
          <w:rFonts w:cs="Arial"/>
          <w:b/>
        </w:rPr>
        <w:t xml:space="preserve">Type of Perkins V State Plan Submission - </w:t>
      </w:r>
      <w:r w:rsidRPr="008A0841">
        <w:rPr>
          <w:rFonts w:cs="Arial"/>
          <w:b/>
        </w:rPr>
        <w:t>Subsequent Years</w:t>
      </w:r>
      <w:r w:rsidR="003440BC" w:rsidRPr="00293A60">
        <w:rPr>
          <w:rFonts w:cs="Arial"/>
          <w:b/>
        </w:rPr>
        <w:t>:</w:t>
      </w:r>
      <w:r w:rsidR="00625A89" w:rsidRPr="00293A60">
        <w:rPr>
          <w:rStyle w:val="FootnoteReference"/>
          <w:rFonts w:cs="Arial"/>
          <w:b/>
        </w:rPr>
        <w:footnoteReference w:id="2"/>
      </w:r>
    </w:p>
    <w:p w14:paraId="5E6D02A7" w14:textId="5FF53B30" w:rsidR="00C33240" w:rsidRPr="00293A60" w:rsidRDefault="00C33240" w:rsidP="00DF50FC">
      <w:pPr>
        <w:pStyle w:val="BodyTextIndent2"/>
        <w:spacing w:after="240" w:line="240" w:lineRule="auto"/>
        <w:ind w:left="540" w:hanging="7"/>
        <w:rPr>
          <w:rFonts w:cs="Arial"/>
          <w:bCs/>
        </w:rPr>
      </w:pPr>
      <w:r w:rsidRPr="002F2687">
        <w:rPr>
          <w:rFonts w:cs="Arial"/>
          <w:bCs/>
        </w:rPr>
        <w:t xml:space="preserve">State Plan (FY 2020–23) – </w:t>
      </w:r>
      <w:r w:rsidRPr="00AC72D4">
        <w:rPr>
          <w:rFonts w:cs="Arial"/>
          <w:bCs/>
          <w:i/>
        </w:rPr>
        <w:t>if an eligible agency selects this option, it will then complete Items H, I, and J</w:t>
      </w:r>
      <w:r w:rsidR="008A0841">
        <w:rPr>
          <w:rFonts w:cs="Arial"/>
          <w:bCs/>
          <w:i/>
        </w:rPr>
        <w:t>.</w:t>
      </w:r>
    </w:p>
    <w:p w14:paraId="170BB868" w14:textId="77777777" w:rsidR="00C33240" w:rsidRPr="00293A60" w:rsidRDefault="00C33240" w:rsidP="00DF50FC">
      <w:pPr>
        <w:pStyle w:val="BodyTextIndent2"/>
        <w:numPr>
          <w:ilvl w:val="0"/>
          <w:numId w:val="2"/>
        </w:numPr>
        <w:spacing w:after="240" w:line="240" w:lineRule="auto"/>
        <w:ind w:left="547" w:hanging="547"/>
        <w:rPr>
          <w:rFonts w:cs="Arial"/>
          <w:b/>
          <w:bCs/>
          <w:i/>
        </w:rPr>
      </w:pPr>
      <w:r w:rsidRPr="00293A60">
        <w:rPr>
          <w:rFonts w:cs="Arial"/>
          <w:b/>
          <w:bCs/>
        </w:rPr>
        <w:lastRenderedPageBreak/>
        <w:t>Submitting Perkins V State Plan as part of the Workforce Innovation and Opportunities Act (WIOA) combined State Plan – FY 2019 (</w:t>
      </w:r>
      <w:r w:rsidRPr="00293A60">
        <w:rPr>
          <w:rFonts w:cs="Arial"/>
          <w:b/>
          <w:bCs/>
          <w:i/>
        </w:rPr>
        <w:t>Check one</w:t>
      </w:r>
      <w:r w:rsidRPr="00293A60">
        <w:rPr>
          <w:rFonts w:cs="Arial"/>
          <w:b/>
          <w:bCs/>
        </w:rPr>
        <w:t>):</w:t>
      </w:r>
    </w:p>
    <w:p w14:paraId="2FBFE152" w14:textId="4B59C396" w:rsidR="00C33240" w:rsidRPr="002F2687" w:rsidRDefault="00C33240" w:rsidP="00DF50FC">
      <w:pPr>
        <w:pStyle w:val="BodyTextIndent2"/>
        <w:tabs>
          <w:tab w:val="left" w:pos="900"/>
        </w:tabs>
        <w:spacing w:after="240" w:line="240" w:lineRule="auto"/>
        <w:ind w:left="907" w:hanging="360"/>
        <w:rPr>
          <w:rFonts w:cs="Arial"/>
          <w:bCs/>
        </w:rPr>
      </w:pPr>
      <w:r w:rsidRPr="002F2687">
        <w:rPr>
          <w:rFonts w:cs="Arial"/>
          <w:bCs/>
        </w:rPr>
        <w:t>No</w:t>
      </w:r>
    </w:p>
    <w:p w14:paraId="6F33D10A" w14:textId="3657C62A" w:rsidR="00C33240" w:rsidRPr="00293A60" w:rsidRDefault="00C33240" w:rsidP="00DF50FC">
      <w:pPr>
        <w:pStyle w:val="BodyTextIndent2"/>
        <w:numPr>
          <w:ilvl w:val="0"/>
          <w:numId w:val="2"/>
        </w:numPr>
        <w:spacing w:after="240" w:line="240" w:lineRule="auto"/>
        <w:ind w:left="540" w:hanging="540"/>
        <w:rPr>
          <w:rFonts w:cs="Arial"/>
          <w:b/>
          <w:bCs/>
          <w:i/>
        </w:rPr>
      </w:pPr>
      <w:r w:rsidRPr="00293A60">
        <w:rPr>
          <w:rFonts w:cs="Arial"/>
          <w:b/>
          <w:bCs/>
        </w:rPr>
        <w:t xml:space="preserve">Submitting Perkins V State Plan as Part of a Workforce Innovation and Opportunities Act (WIOA) Combined State Plan – </w:t>
      </w:r>
      <w:r w:rsidRPr="00293A60">
        <w:rPr>
          <w:rFonts w:cs="Arial"/>
          <w:b/>
          <w:bCs/>
          <w:i/>
        </w:rPr>
        <w:t>Subsequent Years</w:t>
      </w:r>
      <w:r w:rsidRPr="00293A60">
        <w:rPr>
          <w:rFonts w:cs="Arial"/>
          <w:b/>
          <w:bCs/>
        </w:rPr>
        <w:t>:</w:t>
      </w:r>
      <w:r w:rsidR="003440BC" w:rsidRPr="00293A60">
        <w:rPr>
          <w:rStyle w:val="FootnoteReference"/>
          <w:rFonts w:cs="Arial"/>
          <w:b/>
          <w:bCs/>
        </w:rPr>
        <w:footnoteReference w:id="3"/>
      </w:r>
    </w:p>
    <w:p w14:paraId="164FBF2E" w14:textId="7837334C" w:rsidR="00C33240" w:rsidRPr="002F2687" w:rsidRDefault="00C33240" w:rsidP="00DF50FC">
      <w:pPr>
        <w:pStyle w:val="BodyTextIndent2"/>
        <w:tabs>
          <w:tab w:val="left" w:pos="900"/>
        </w:tabs>
        <w:spacing w:after="240" w:line="240" w:lineRule="auto"/>
        <w:ind w:left="907" w:hanging="360"/>
        <w:rPr>
          <w:rFonts w:cs="Arial"/>
          <w:bCs/>
          <w:i/>
        </w:rPr>
      </w:pPr>
      <w:r w:rsidRPr="002F2687">
        <w:rPr>
          <w:rFonts w:cs="Arial"/>
          <w:bCs/>
        </w:rPr>
        <w:t>No</w:t>
      </w:r>
    </w:p>
    <w:p w14:paraId="0DFCFC26" w14:textId="236EC5BD" w:rsidR="008A0841" w:rsidRPr="008A0841" w:rsidRDefault="00C33240" w:rsidP="00DF50FC">
      <w:pPr>
        <w:pStyle w:val="List"/>
        <w:numPr>
          <w:ilvl w:val="0"/>
          <w:numId w:val="2"/>
        </w:numPr>
        <w:spacing w:line="240" w:lineRule="auto"/>
        <w:ind w:left="547" w:hanging="540"/>
        <w:contextualSpacing w:val="0"/>
        <w:rPr>
          <w:b/>
        </w:rPr>
      </w:pPr>
      <w:r w:rsidRPr="00293A60">
        <w:rPr>
          <w:b/>
        </w:rPr>
        <w:t>Governor’s Signatory Authority of the Perkins V State Plan</w:t>
      </w:r>
      <w:r w:rsidRPr="00293A60">
        <w:rPr>
          <w:b/>
          <w:i/>
        </w:rPr>
        <w:t>:</w:t>
      </w:r>
      <w:r w:rsidR="003440BC" w:rsidRPr="00293A60">
        <w:rPr>
          <w:rStyle w:val="FootnoteReference"/>
          <w:b/>
          <w:i/>
        </w:rPr>
        <w:footnoteReference w:id="4"/>
      </w:r>
    </w:p>
    <w:p w14:paraId="2222BEAE" w14:textId="473A458B" w:rsidR="00293A60" w:rsidRDefault="00293A60" w:rsidP="00DF50FC">
      <w:pPr>
        <w:pStyle w:val="List"/>
        <w:spacing w:before="240" w:line="240" w:lineRule="auto"/>
        <w:ind w:left="547" w:firstLine="0"/>
        <w:contextualSpacing w:val="0"/>
      </w:pPr>
      <w:r>
        <w:t xml:space="preserve">The Governor </w:t>
      </w:r>
      <w:r w:rsidR="008A0841">
        <w:t>received</w:t>
      </w:r>
      <w:r>
        <w:t xml:space="preserve"> the State Plan on March </w:t>
      </w:r>
      <w:r w:rsidR="00DF50FC">
        <w:t>13</w:t>
      </w:r>
      <w:r>
        <w:t xml:space="preserve">, 2020. </w:t>
      </w:r>
      <w:r w:rsidR="00325592">
        <w:t>On June 12, 2020 t</w:t>
      </w:r>
      <w:r w:rsidRPr="00293A60">
        <w:t xml:space="preserve">he Governor provided a letter </w:t>
      </w:r>
      <w:r w:rsidR="00DF50FC">
        <w:t>supporting</w:t>
      </w:r>
      <w:r w:rsidRPr="00293A60">
        <w:t xml:space="preserve"> the State Plan for submission to the Department.</w:t>
      </w:r>
    </w:p>
    <w:p w14:paraId="18EBCE6F" w14:textId="77777777" w:rsidR="00AB1391" w:rsidRPr="00DF50FC" w:rsidRDefault="00AB1391" w:rsidP="00DF50FC">
      <w:pPr>
        <w:pStyle w:val="List"/>
        <w:numPr>
          <w:ilvl w:val="0"/>
          <w:numId w:val="2"/>
        </w:numPr>
        <w:spacing w:line="240" w:lineRule="auto"/>
        <w:ind w:left="547" w:hanging="540"/>
        <w:contextualSpacing w:val="0"/>
        <w:rPr>
          <w:b/>
        </w:rPr>
      </w:pPr>
      <w:bookmarkStart w:id="14" w:name="_Toc2938269"/>
      <w:bookmarkStart w:id="15" w:name="_Toc18935409"/>
      <w:bookmarkStart w:id="16" w:name="_Toc21683329"/>
      <w:bookmarkStart w:id="17" w:name="_Toc21942603"/>
      <w:bookmarkStart w:id="18" w:name="_Toc21944233"/>
      <w:r w:rsidRPr="00DF50FC">
        <w:rPr>
          <w:b/>
        </w:rPr>
        <w:t>By signing this document, the eligible entity, through its authorized representative, agrees:</w:t>
      </w:r>
    </w:p>
    <w:p w14:paraId="295B4294" w14:textId="77777777" w:rsidR="00AB1391" w:rsidRPr="00293A60" w:rsidRDefault="00AB1391" w:rsidP="00DF50FC">
      <w:pPr>
        <w:pStyle w:val="ListParagraph"/>
        <w:widowControl w:val="0"/>
        <w:numPr>
          <w:ilvl w:val="0"/>
          <w:numId w:val="5"/>
        </w:numPr>
        <w:spacing w:line="240" w:lineRule="auto"/>
        <w:ind w:left="720"/>
        <w:rPr>
          <w:rFonts w:eastAsia="Calibri" w:cs="Arial"/>
          <w:b/>
        </w:rPr>
      </w:pPr>
      <w:r w:rsidRPr="00293A60">
        <w:rPr>
          <w:rFonts w:eastAsia="Calibri" w:cs="Arial"/>
          <w:b/>
        </w:rPr>
        <w:t>To the assurances, certifications, and other forms enclosed in its State Plan submission; and</w:t>
      </w:r>
    </w:p>
    <w:p w14:paraId="2D1601D5" w14:textId="77777777" w:rsidR="00AB1391" w:rsidRPr="00293A60" w:rsidRDefault="00AB1391" w:rsidP="00DF50FC">
      <w:pPr>
        <w:pStyle w:val="ListParagraph"/>
        <w:widowControl w:val="0"/>
        <w:numPr>
          <w:ilvl w:val="0"/>
          <w:numId w:val="5"/>
        </w:numPr>
        <w:spacing w:line="240" w:lineRule="auto"/>
        <w:ind w:left="720"/>
        <w:rPr>
          <w:rFonts w:cs="Arial"/>
          <w:b/>
        </w:rPr>
      </w:pPr>
      <w:r w:rsidRPr="00293A60">
        <w:rPr>
          <w:rFonts w:eastAsia="Calibri" w:cs="Arial"/>
          <w:b/>
        </w:rPr>
        <w:t>That, to the best of my knowledge and belief, all information and data included in this State Plan submission are true, and correct.</w:t>
      </w:r>
    </w:p>
    <w:p w14:paraId="5F40A5BB" w14:textId="4FE018B3" w:rsidR="00293A60" w:rsidRDefault="00293A60" w:rsidP="00DF50FC">
      <w:pPr>
        <w:spacing w:line="240" w:lineRule="auto"/>
        <w:rPr>
          <w:rFonts w:eastAsia="Calibri"/>
          <w:b/>
        </w:rPr>
      </w:pPr>
      <w:r w:rsidRPr="002F2687">
        <w:rPr>
          <w:rFonts w:eastAsia="Calibri"/>
          <w:b/>
        </w:rPr>
        <w:t>Authorized Representative Identified in Item C Above (Printed Name)</w:t>
      </w:r>
      <w:r w:rsidR="00DF50FC">
        <w:rPr>
          <w:rFonts w:eastAsia="Calibri"/>
          <w:b/>
        </w:rPr>
        <w:t>:</w:t>
      </w:r>
    </w:p>
    <w:p w14:paraId="5D78A4B3" w14:textId="77777777" w:rsidR="00DF50FC" w:rsidRDefault="00325592" w:rsidP="00DF50FC">
      <w:pPr>
        <w:spacing w:after="0" w:line="240" w:lineRule="auto"/>
        <w:rPr>
          <w:rFonts w:eastAsia="Calibri"/>
        </w:rPr>
      </w:pPr>
      <w:r>
        <w:rPr>
          <w:rFonts w:eastAsia="Calibri"/>
        </w:rPr>
        <w:t>Pradeep Kotamraju</w:t>
      </w:r>
    </w:p>
    <w:p w14:paraId="19D32DFC" w14:textId="77777777" w:rsidR="00DF50FC" w:rsidRDefault="00325592" w:rsidP="00DF50FC">
      <w:pPr>
        <w:spacing w:after="0" w:line="240" w:lineRule="auto"/>
        <w:rPr>
          <w:rFonts w:cs="Arial"/>
          <w:bCs/>
        </w:rPr>
      </w:pPr>
      <w:r w:rsidRPr="00293A60">
        <w:rPr>
          <w:rFonts w:cs="Arial"/>
          <w:bCs/>
        </w:rPr>
        <w:t>916-322-6368</w:t>
      </w:r>
    </w:p>
    <w:p w14:paraId="2BC4AD82" w14:textId="5597CEE6" w:rsidR="00325592" w:rsidRPr="00325592" w:rsidRDefault="00325592" w:rsidP="00DF50FC">
      <w:pPr>
        <w:spacing w:line="240" w:lineRule="auto"/>
        <w:rPr>
          <w:rFonts w:eastAsia="Calibri"/>
        </w:rPr>
      </w:pPr>
      <w:r>
        <w:rPr>
          <w:rFonts w:eastAsia="Calibri"/>
        </w:rPr>
        <w:t xml:space="preserve">June </w:t>
      </w:r>
      <w:r w:rsidR="00DF50FC">
        <w:rPr>
          <w:rFonts w:eastAsia="Calibri"/>
        </w:rPr>
        <w:t>13</w:t>
      </w:r>
      <w:r>
        <w:rPr>
          <w:rFonts w:eastAsia="Calibri"/>
        </w:rPr>
        <w:t>,</w:t>
      </w:r>
      <w:r w:rsidR="00DF50FC">
        <w:rPr>
          <w:rFonts w:eastAsia="Calibri"/>
        </w:rPr>
        <w:t xml:space="preserve"> </w:t>
      </w:r>
      <w:r>
        <w:rPr>
          <w:rFonts w:eastAsia="Calibri"/>
        </w:rPr>
        <w:t>2020</w:t>
      </w:r>
    </w:p>
    <w:p w14:paraId="46FDDF20" w14:textId="3A592A20" w:rsidR="00293A60" w:rsidRPr="00293A60" w:rsidRDefault="00293A60" w:rsidP="00293A60">
      <w:pPr>
        <w:sectPr w:rsidR="00293A60" w:rsidRPr="00293A60" w:rsidSect="00222052">
          <w:footnotePr>
            <w:numStart w:val="4"/>
          </w:footnotePr>
          <w:pgSz w:w="12240" w:h="15840"/>
          <w:pgMar w:top="1627" w:right="1440" w:bottom="1267" w:left="1440" w:header="547" w:footer="547" w:gutter="0"/>
          <w:pgNumType w:start="1"/>
          <w:cols w:space="720"/>
          <w:docGrid w:linePitch="360"/>
        </w:sectPr>
      </w:pPr>
    </w:p>
    <w:p w14:paraId="1465BC19" w14:textId="77777777" w:rsidR="00C33240" w:rsidRPr="002F2687" w:rsidRDefault="00C66D7E" w:rsidP="00B87847">
      <w:pPr>
        <w:pStyle w:val="Heading2"/>
        <w:pageBreakBefore w:val="0"/>
        <w:spacing w:after="240"/>
        <w:ind w:right="0"/>
      </w:pPr>
      <w:bookmarkStart w:id="19" w:name="_Toc33620399"/>
      <w:r w:rsidRPr="002F2687">
        <w:lastRenderedPageBreak/>
        <w:t xml:space="preserve">II. </w:t>
      </w:r>
      <w:bookmarkEnd w:id="14"/>
      <w:bookmarkEnd w:id="15"/>
      <w:bookmarkEnd w:id="16"/>
      <w:r w:rsidR="00A04E34" w:rsidRPr="002F2687">
        <w:t>Narrative Descriptions</w:t>
      </w:r>
      <w:bookmarkEnd w:id="17"/>
      <w:bookmarkEnd w:id="18"/>
      <w:bookmarkEnd w:id="19"/>
    </w:p>
    <w:p w14:paraId="1DEDCD05" w14:textId="77777777" w:rsidR="00BA0DAA" w:rsidRDefault="00BA0DAA" w:rsidP="00C74AB8">
      <w:pPr>
        <w:pStyle w:val="Heading3"/>
      </w:pPr>
      <w:bookmarkStart w:id="20" w:name="_Toc33620400"/>
      <w:bookmarkStart w:id="21" w:name="_Toc18935410"/>
      <w:bookmarkStart w:id="22" w:name="_Toc21683330"/>
      <w:bookmarkStart w:id="23" w:name="_Toc21944234"/>
      <w:r>
        <w:t>Introduction and Preview</w:t>
      </w:r>
      <w:bookmarkEnd w:id="20"/>
    </w:p>
    <w:p w14:paraId="46DF0CA9" w14:textId="6FE191C7" w:rsidR="00F868D3" w:rsidRPr="0079623D" w:rsidRDefault="007C3951" w:rsidP="0079623D">
      <w:r w:rsidRPr="007C3951">
        <w:t>California is the most populous state in the nation and is the fifth</w:t>
      </w:r>
      <w:r w:rsidR="000D079F">
        <w:t>-</w:t>
      </w:r>
      <w:r w:rsidRPr="007C3951">
        <w:t>largest economy in the world; therefore, California has a unique opportunity and responsibility to reshape and redefine the role of career technical education (CTE). CTE is a driver for education, workforce development, and economic prosperity for the State</w:t>
      </w:r>
      <w:r w:rsidR="00BA0DAA" w:rsidRPr="0079623D">
        <w:t>. Dramatic changes in educational policy</w:t>
      </w:r>
      <w:r w:rsidR="007033C8">
        <w:t>;</w:t>
      </w:r>
      <w:r w:rsidR="00BA0DAA" w:rsidRPr="0079623D">
        <w:t xml:space="preserve"> specifically changes in education funding, coupled with demographic and economic trends, </w:t>
      </w:r>
      <w:r w:rsidR="00B35994">
        <w:t xml:space="preserve">have </w:t>
      </w:r>
      <w:r w:rsidR="00BA0DAA" w:rsidRPr="0079623D">
        <w:t xml:space="preserve">created </w:t>
      </w:r>
      <w:r w:rsidR="00BA27D8" w:rsidRPr="0079623D">
        <w:t>renewed interest in CTE</w:t>
      </w:r>
      <w:r w:rsidR="00BA0DAA"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00BA0DAA" w:rsidRPr="0079623D">
        <w:t>workforce development plans and programs, offers both new possibilities and challenges in preparing the State’s workforce for the future.</w:t>
      </w:r>
    </w:p>
    <w:p w14:paraId="69172386" w14:textId="4A21FC4E" w:rsidR="00BA0DAA" w:rsidRPr="0079623D" w:rsidRDefault="00BA0DAA" w:rsidP="0079623D">
      <w:r w:rsidRPr="0079623D">
        <w:t xml:space="preserve">Statewide, CTE is supported through numerous funding streams and </w:t>
      </w:r>
      <w:r w:rsidR="00FB6435" w:rsidRPr="0079623D">
        <w:t xml:space="preserve">is </w:t>
      </w:r>
      <w:r w:rsidRPr="0079623D">
        <w:t xml:space="preserve">implemented through diverse programs. With fresh investments of ongoing </w:t>
      </w:r>
      <w:r w:rsidR="005C2EDF">
        <w:t>S</w:t>
      </w:r>
      <w:r w:rsidRPr="0079623D">
        <w:t>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 xml:space="preserve">e </w:t>
      </w:r>
      <w:r w:rsidR="006B465D">
        <w:t>Federal</w:t>
      </w:r>
      <w:r w:rsidR="006B465D" w:rsidRPr="0079623D">
        <w:t xml:space="preserve"> </w:t>
      </w:r>
      <w:r w:rsidRPr="0079623D">
        <w:t xml:space="preserve">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00525F70">
        <w:t>p</w:t>
      </w:r>
      <w:r w:rsidRPr="0079623D">
        <w:t xml:space="preserve">lan that will weave multiple funding streams and programs together into a fully articulated and integrated </w:t>
      </w:r>
      <w:r w:rsidR="00246C6F">
        <w:t>k</w:t>
      </w:r>
      <w:r w:rsidRPr="0079623D">
        <w:t xml:space="preserve">indergarten through </w:t>
      </w:r>
      <w:r w:rsidR="00246C6F">
        <w:t>g</w:t>
      </w:r>
      <w:r w:rsidRPr="0079623D">
        <w:t xml:space="preserve">rade </w:t>
      </w:r>
      <w:r w:rsidR="00246C6F">
        <w:t>f</w:t>
      </w:r>
      <w:r w:rsidRPr="0079623D">
        <w:t>ourteen and beyond (K−14+) CTE system.</w:t>
      </w:r>
      <w:r w:rsidR="00F868D3" w:rsidRPr="0079623D">
        <w:t xml:space="preserve"> In other words, the development of the </w:t>
      </w:r>
      <w:r w:rsidR="006B465D">
        <w:t xml:space="preserve">Federal </w:t>
      </w:r>
      <w:r w:rsidR="00F868D3" w:rsidRPr="0079623D">
        <w:t>Perkins V State Plan is a key part of the State’s more wide-ranging effort to create a world-class CTE system that can strengthen education and workforce preparation available to all Californians.</w:t>
      </w:r>
    </w:p>
    <w:p w14:paraId="37BAC8BC" w14:textId="22365ED9" w:rsidR="007309C0" w:rsidRPr="0079623D" w:rsidRDefault="00F868D3" w:rsidP="0079623D">
      <w:r w:rsidRPr="0079623D">
        <w:t>The California Workforce Pathways Joint Advisory Committee (CWPJAC), comp</w:t>
      </w:r>
      <w:r w:rsidR="00F337B7">
        <w:t>osed</w:t>
      </w:r>
      <w:r w:rsidRPr="0079623D">
        <w:t xml:space="preserve"> </w:t>
      </w:r>
      <w:r w:rsidR="004B1F9E" w:rsidRPr="0079623D">
        <w:t xml:space="preserve">of </w:t>
      </w:r>
      <w:r w:rsidR="00446D4F">
        <w:t xml:space="preserve">an </w:t>
      </w:r>
      <w:r w:rsidRPr="0079623D">
        <w:t xml:space="preserve">equal number of representatives of the </w:t>
      </w:r>
      <w:r w:rsidR="003B1A04">
        <w:t xml:space="preserve">California </w:t>
      </w:r>
      <w:r w:rsidRPr="0079623D">
        <w:t xml:space="preserve">State Board of Education (SBE) and the California Community Colleges Chancellor’s Office (CCCCO) Board of </w:t>
      </w:r>
      <w:r w:rsidRPr="0079623D">
        <w:lastRenderedPageBreak/>
        <w:t>Governors (BOG), as well as two ex-officio (nonvoting) members</w:t>
      </w:r>
      <w:r w:rsidR="003B1A04">
        <w:t>,</w:t>
      </w:r>
      <w:r w:rsidRPr="0079623D">
        <w:t xml:space="preserve"> serve</w:t>
      </w:r>
      <w:r w:rsidR="003B1A04">
        <w:t>s</w:t>
      </w:r>
      <w:r w:rsidRPr="0079623D">
        <w:t xml:space="preserve"> as the joint policy body that makes recommendations to </w:t>
      </w:r>
      <w:r w:rsidR="003B1A04">
        <w:t>its</w:t>
      </w:r>
      <w:r w:rsidR="003B1A04" w:rsidRPr="0079623D">
        <w:t xml:space="preserve"> </w:t>
      </w:r>
      <w:r w:rsidRPr="0079623D">
        <w:t xml:space="preserve">two </w:t>
      </w:r>
      <w:r w:rsidR="00B35994">
        <w:t xml:space="preserve">governing </w:t>
      </w:r>
      <w:r w:rsidRPr="0079623D">
        <w:t>boards regarding all aspects of coordinated delivery of CTE in the State.</w:t>
      </w:r>
    </w:p>
    <w:p w14:paraId="13B3B435" w14:textId="5B6B6143"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48078B">
      <w:pPr>
        <w:ind w:left="1170" w:hanging="45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48078B">
      <w:pPr>
        <w:ind w:left="1170" w:hanging="45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3F0B6E98" w:rsidR="00BA27D8" w:rsidRPr="0079623D" w:rsidRDefault="00BA27D8" w:rsidP="0048078B">
      <w:pPr>
        <w:ind w:left="1170" w:hanging="45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w:t>
      </w:r>
      <w:r w:rsidR="00EC2D90">
        <w:t>S</w:t>
      </w:r>
      <w:r w:rsidR="002C4D91" w:rsidRPr="002C4D91">
        <w:t>tate in order to create a comprehensive and well-defined system of articulation of high</w:t>
      </w:r>
      <w:r w:rsidR="006F2E39">
        <w:t>-</w:t>
      </w:r>
      <w:r w:rsidR="002C4D91" w:rsidRPr="002C4D91">
        <w:t>quality K–14+ pathway courses (i.e., both in-person and online) and work-based learning</w:t>
      </w:r>
      <w:r w:rsidR="001970D5">
        <w:t xml:space="preserve"> (WBL)</w:t>
      </w:r>
      <w:r w:rsidR="00722512">
        <w:rPr>
          <w:rStyle w:val="FootnoteReference"/>
        </w:rPr>
        <w:footnoteReference w:id="5"/>
      </w:r>
      <w:r w:rsidR="002C4D91" w:rsidRPr="002C4D91">
        <w:t xml:space="preserve"> opportunities with a specific emphasis on CTE. Bring greater coherence to programming, common use of terminology, appropriate data collection and sharing, and attainment of student outcomes in a timely way that lead to upward mobility in California’s </w:t>
      </w:r>
      <w:r w:rsidR="00107195">
        <w:t>I</w:t>
      </w:r>
      <w:r w:rsidR="002C4D91" w:rsidRPr="002C4D91">
        <w:t xml:space="preserve">ndustry </w:t>
      </w:r>
      <w:r w:rsidR="00107195">
        <w:t>S</w:t>
      </w:r>
      <w:r w:rsidR="002C4D91" w:rsidRPr="002C4D91">
        <w:t>ectors. System alignment allows for greater student portability and career advancement.</w:t>
      </w:r>
    </w:p>
    <w:p w14:paraId="37DF72FA" w14:textId="61DE1CF6" w:rsidR="00BA27D8" w:rsidRPr="0079623D" w:rsidRDefault="00BA27D8" w:rsidP="0048078B">
      <w:pPr>
        <w:ind w:left="1170" w:hanging="450"/>
      </w:pPr>
      <w:r w:rsidRPr="0079623D">
        <w:lastRenderedPageBreak/>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w:t>
      </w:r>
      <w:r w:rsidR="007D1D68">
        <w:t>S</w:t>
      </w:r>
      <w:r w:rsidR="002C4D91" w:rsidRPr="002C4D91">
        <w:t>tate standards, attainment of student outcomes, and a strengthening of California’s regional economies.</w:t>
      </w:r>
    </w:p>
    <w:p w14:paraId="124ABE7C" w14:textId="049F9595" w:rsidR="00BA27D8" w:rsidRPr="0079623D" w:rsidRDefault="00BA27D8" w:rsidP="0048078B">
      <w:pPr>
        <w:ind w:left="1170" w:hanging="450"/>
      </w:pPr>
      <w:r w:rsidRPr="0079623D">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goals and objectives for student achievement, also known as “the California Way.”</w:t>
      </w:r>
    </w:p>
    <w:p w14:paraId="587A5078" w14:textId="1A94F5F9" w:rsidR="0053040F" w:rsidRPr="0079623D" w:rsidRDefault="00BA27D8" w:rsidP="0079623D">
      <w:r w:rsidRPr="0079623D">
        <w:t xml:space="preserve">California </w:t>
      </w:r>
      <w:r w:rsidR="00B35994">
        <w:t>is</w:t>
      </w:r>
      <w:r w:rsidRPr="0079623D">
        <w:t xml:space="preserve"> strategically well</w:t>
      </w:r>
      <w:r w:rsidR="000D079F">
        <w:t>-</w:t>
      </w:r>
      <w:r w:rsidRPr="0079623D">
        <w:t xml:space="preserve">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2B67774E"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w:t>
      </w:r>
      <w:r w:rsidR="007D1D68">
        <w:t>S</w:t>
      </w:r>
      <w:r w:rsidR="007309C0" w:rsidRPr="0079623D">
        <w:t xml:space="preserve">tate of California is submitting this document in accordance </w:t>
      </w:r>
      <w:r w:rsidR="00123BBF">
        <w:t>with</w:t>
      </w:r>
      <w:r w:rsidR="007309C0" w:rsidRPr="0079623D">
        <w:t xml:space="preserve"> the U</w:t>
      </w:r>
      <w:r w:rsidR="000B4F8D">
        <w:t>.</w:t>
      </w:r>
      <w:r w:rsidR="007309C0" w:rsidRPr="0079623D">
        <w:t>S</w:t>
      </w:r>
      <w:r w:rsidR="000B4F8D">
        <w:t>.</w:t>
      </w:r>
      <w:r w:rsidR="007309C0" w:rsidRPr="0079623D">
        <w:t xml:space="preserve"> Department of Education</w:t>
      </w:r>
      <w:r w:rsidR="00B35994">
        <w:t>’s</w:t>
      </w:r>
      <w:r w:rsidR="00AE6D0E">
        <w:t xml:space="preserve"> (ED)</w:t>
      </w:r>
      <w:r w:rsidR="007309C0" w:rsidRPr="0079623D">
        <w:t xml:space="preserve"> guide for the submission of state plans</w:t>
      </w:r>
      <w:r w:rsidR="004E2CD9">
        <w:t>,</w:t>
      </w:r>
      <w:r w:rsidR="00B35994">
        <w:t xml:space="preserve"> located at </w:t>
      </w:r>
      <w:hyperlink r:id="rId15" w:tooltip="The US Department of Education Perkins V State Plan Guide." w:history="1">
        <w:r w:rsidR="002C4D91" w:rsidRPr="00D870A3">
          <w:rPr>
            <w:rStyle w:val="Hyperlink"/>
          </w:rPr>
          <w:t>https://s3.amazonaws.com/PCRN/docs/1830-0029-Perkins_V_State_Plan_Guide-Expires_4-30-22.pdf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4" w:name="_Toc33620401"/>
      <w:r w:rsidRPr="002F2687">
        <w:lastRenderedPageBreak/>
        <w:t xml:space="preserve">A. </w:t>
      </w:r>
      <w:r w:rsidR="00C33240" w:rsidRPr="002F2687">
        <w:t>Plan Development and Consultation</w:t>
      </w:r>
      <w:bookmarkEnd w:id="21"/>
      <w:bookmarkEnd w:id="22"/>
      <w:bookmarkEnd w:id="23"/>
      <w:bookmarkEnd w:id="24"/>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r w:rsidR="00C33240" w:rsidRPr="002F2687">
        <w:t>(1) of Perkins V.</w:t>
      </w:r>
    </w:p>
    <w:p w14:paraId="776DA573" w14:textId="586E1D36" w:rsidR="00C33240" w:rsidRPr="003A6CC9" w:rsidRDefault="00C33240" w:rsidP="003A6CC9">
      <w:pPr>
        <w:rPr>
          <w:b/>
        </w:rPr>
      </w:pPr>
      <w:r w:rsidRPr="003A6CC9">
        <w:rPr>
          <w:b/>
        </w:rPr>
        <w:t>Response:</w:t>
      </w:r>
    </w:p>
    <w:p w14:paraId="44711CDF" w14:textId="090B6E2E" w:rsidR="00BE7738" w:rsidRDefault="00F34B30" w:rsidP="00C44FBF">
      <w:r w:rsidRPr="002F2687">
        <w:t xml:space="preserve">Developing a </w:t>
      </w:r>
      <w:r w:rsidR="006B465D">
        <w:t xml:space="preserve">Federal </w:t>
      </w:r>
      <w:r w:rsidR="00F559CE">
        <w:t xml:space="preserve">Perkins V </w:t>
      </w:r>
      <w:r w:rsidRPr="002F2687">
        <w:t xml:space="preserve">State Plan for a </w:t>
      </w:r>
      <w:r w:rsidR="007D1D68">
        <w:t>s</w:t>
      </w:r>
      <w:r w:rsidRPr="002F2687">
        <w:t>tate as vast and diverse as California requires a broad r</w:t>
      </w:r>
      <w:r w:rsidR="00B5434A">
        <w:t>ange of expertise and knowledge</w:t>
      </w:r>
      <w:r w:rsidRPr="002F2687">
        <w:t xml:space="preserv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4E2CD9">
        <w:t>The primary mission of the CWPJAC, r</w:t>
      </w:r>
      <w:r w:rsidR="002F6A07">
        <w:t xml:space="preserve">econvened in 2017, </w:t>
      </w:r>
      <w:r w:rsidR="00260339">
        <w:t>is</w:t>
      </w:r>
      <w:r w:rsidR="002F6A07">
        <w:t xml:space="preserve"> to review, </w:t>
      </w:r>
      <w:r w:rsidR="004B1F9E">
        <w:t>to give advice</w:t>
      </w:r>
      <w:r w:rsidR="002F6A07">
        <w:t xml:space="preserve">, and </w:t>
      </w:r>
      <w:r w:rsidR="004B1F9E">
        <w:t xml:space="preserve">to </w:t>
      </w:r>
      <w:r w:rsidR="002F6A07">
        <w:t>make recommendations on federal</w:t>
      </w:r>
      <w:r w:rsidR="00123BBF">
        <w:t>ly</w:t>
      </w:r>
      <w:r w:rsidR="00B5434A">
        <w:t>-</w:t>
      </w:r>
      <w:r w:rsidR="00123BBF">
        <w:t>funded</w:t>
      </w:r>
      <w:r w:rsidR="002F6A07">
        <w:t xml:space="preserve"> and state</w:t>
      </w:r>
      <w:r w:rsidR="0034129E">
        <w:t>-</w:t>
      </w:r>
      <w:r w:rsidR="002F6A07">
        <w:t>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34129E">
        <w:t>,</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33FFBC6D" w:rsidR="00F973FD" w:rsidRDefault="00C47045" w:rsidP="00C44FBF">
      <w:r>
        <w:t>Th</w:t>
      </w:r>
      <w:r w:rsidR="0034129E">
        <w:t>e</w:t>
      </w:r>
      <w:r>
        <w:t xml:space="preserve"> CWPJAC </w:t>
      </w:r>
      <w:r w:rsidRPr="002F2687">
        <w:t>began holding joint collaboration meetings</w:t>
      </w:r>
      <w:r w:rsidR="0006421F">
        <w:t xml:space="preserve"> </w:t>
      </w:r>
      <w:r w:rsidRPr="002F2687">
        <w:t xml:space="preserve">to </w:t>
      </w:r>
      <w:r>
        <w:t xml:space="preserve">develop </w:t>
      </w:r>
      <w:r w:rsidR="005509AE">
        <w:t xml:space="preserve">the </w:t>
      </w:r>
      <w:r>
        <w:t xml:space="preserve">Guiding </w:t>
      </w:r>
      <w:r w:rsidR="006608F4">
        <w:t xml:space="preserve">Policy </w:t>
      </w:r>
      <w:r>
        <w:t>Principles</w:t>
      </w:r>
      <w:r w:rsidR="00F02FE5">
        <w:t>,</w:t>
      </w:r>
      <w:r>
        <w:t xml:space="preserve"> and </w:t>
      </w:r>
      <w:r w:rsidR="00ED532B">
        <w:t xml:space="preserve">to </w:t>
      </w:r>
      <w:r w:rsidR="00F02FE5">
        <w:t xml:space="preserve">correspondingly develop </w:t>
      </w:r>
      <w:r>
        <w:t xml:space="preserve">the Essential Elements of a </w:t>
      </w:r>
      <w:r w:rsidR="00F02FE5">
        <w:t>High</w:t>
      </w:r>
      <w:r w:rsidR="00044C18">
        <w:t>-</w:t>
      </w:r>
      <w:r w:rsidR="00F02FE5">
        <w:t xml:space="preserve">Quality </w:t>
      </w:r>
      <w:r>
        <w:t xml:space="preserve">College and </w:t>
      </w:r>
      <w:r w:rsidR="00BE7738">
        <w:t>Career</w:t>
      </w:r>
      <w:r>
        <w:t xml:space="preserve"> Pathway.</w:t>
      </w:r>
      <w:r w:rsidR="006F5399">
        <w:t xml:space="preserve"> </w:t>
      </w:r>
      <w:r w:rsidR="0006421F">
        <w:t>Led</w:t>
      </w:r>
      <w:r>
        <w:t xml:space="preserve"> by SBE staff, and assisted by </w:t>
      </w:r>
      <w:r w:rsidR="00E15558">
        <w:t xml:space="preserve">the </w:t>
      </w:r>
      <w:r w:rsidR="00CF2D89">
        <w:t>California Department of Education (</w:t>
      </w:r>
      <w:r>
        <w:t>CDE</w:t>
      </w:r>
      <w:r w:rsidR="00CF2D89">
        <w:t>)</w:t>
      </w:r>
      <w:r>
        <w:t xml:space="preserve"> </w:t>
      </w:r>
      <w:r w:rsidR="0006421F">
        <w:t xml:space="preserve">and CCCCO </w:t>
      </w:r>
      <w:r>
        <w:t xml:space="preserve">staff, the Guiding </w:t>
      </w:r>
      <w:r w:rsidR="006608F4">
        <w:t xml:space="preserve">Policy </w:t>
      </w:r>
      <w:r>
        <w:t xml:space="preserve">Principles and the Essential Elements of a </w:t>
      </w:r>
      <w:r w:rsidR="00F02FE5">
        <w:t>High</w:t>
      </w:r>
      <w:r w:rsidR="00044C18">
        <w:t>-</w:t>
      </w:r>
      <w:r w:rsidR="00F02FE5">
        <w:t xml:space="preserve">Quality </w:t>
      </w:r>
      <w:r>
        <w:t xml:space="preserve">College and Career </w:t>
      </w:r>
      <w:r w:rsidRPr="009E08EE">
        <w:t>Pathway</w:t>
      </w:r>
      <w:r w:rsidR="00BE7738" w:rsidRPr="009E08EE">
        <w:t xml:space="preserve"> (</w:t>
      </w:r>
      <w:r w:rsidR="00ED532B">
        <w:t xml:space="preserve">see </w:t>
      </w:r>
      <w:r w:rsidR="00BE7738" w:rsidRPr="009E08EE">
        <w:t xml:space="preserve">Appendix </w:t>
      </w:r>
      <w:r w:rsidR="00ED532B">
        <w:t>D</w:t>
      </w:r>
      <w:r w:rsidR="00BE7738" w:rsidRPr="009E08EE">
        <w:t>)</w:t>
      </w:r>
      <w:r w:rsidR="00BE7738">
        <w:t xml:space="preserve"> were </w:t>
      </w:r>
      <w:r w:rsidR="0006421F">
        <w:t xml:space="preserve">first </w:t>
      </w:r>
      <w:r w:rsidR="00BE7738">
        <w:t xml:space="preserve">approved </w:t>
      </w:r>
      <w:r w:rsidR="0006421F">
        <w:t>by the CW</w:t>
      </w:r>
      <w:r w:rsidR="002C4D04">
        <w:t>PJ</w:t>
      </w:r>
      <w:r w:rsidR="0006421F">
        <w:t xml:space="preserve">AC in </w:t>
      </w:r>
      <w:r w:rsidR="00B35994">
        <w:t>March/</w:t>
      </w:r>
      <w:r w:rsidR="0006421F">
        <w:t xml:space="preserve">May 2018, </w:t>
      </w:r>
      <w:r w:rsidR="006608F4">
        <w:t xml:space="preserve">and </w:t>
      </w:r>
      <w:r w:rsidR="002C4D04">
        <w:t xml:space="preserve">were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w:t>
      </w:r>
      <w:r w:rsidR="002C4D04">
        <w:t>,</w:t>
      </w:r>
      <w:r w:rsidR="00D02F5B">
        <w:t xml:space="preserve">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6B465D">
        <w:t xml:space="preserve">Partnerships </w:t>
      </w:r>
      <w:r w:rsidR="00AB20E8">
        <w:t>with Industry</w:t>
      </w:r>
      <w:r w:rsidR="006B465D">
        <w:t>, as noted in Appendix D</w:t>
      </w:r>
      <w:r w:rsidR="006608F4">
        <w:t>.</w:t>
      </w:r>
    </w:p>
    <w:p w14:paraId="2950D8E9" w14:textId="32E9783D" w:rsidR="00AC3DA6" w:rsidRDefault="00E247C7" w:rsidP="00C44FBF">
      <w:r>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w:t>
      </w:r>
      <w:r w:rsidR="0094652A">
        <w:br/>
      </w:r>
      <w:r w:rsidR="00F34B30" w:rsidRPr="002F2687">
        <w:lastRenderedPageBreak/>
        <w:t>state-funded CTE programs would be implemented at the local educational agency (LEA) level, and</w:t>
      </w:r>
      <w:r w:rsidR="002C4D04">
        <w:t>,</w:t>
      </w:r>
      <w:r w:rsidR="00F34B30" w:rsidRPr="002F2687">
        <w:t xml:space="preserve">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to respond to fulfilling the requirements regarding the</w:t>
      </w:r>
      <w:r w:rsidR="006B465D">
        <w:t xml:space="preserve"> Federal</w:t>
      </w:r>
      <w:r>
        <w:t xml:space="preserve"> Perkins V State Plan, making it understood that </w:t>
      </w:r>
      <w:r w:rsidR="00F34B30" w:rsidRPr="002F2687">
        <w:t xml:space="preserve">the </w:t>
      </w:r>
      <w:r w:rsidR="006B465D">
        <w:t xml:space="preserve">Federal </w:t>
      </w:r>
      <w:r w:rsidR="00F34B30" w:rsidRPr="002F2687">
        <w:t xml:space="preserve">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w:t>
      </w:r>
      <w:r w:rsidR="0034129E">
        <w:t>-</w:t>
      </w:r>
      <w:r w:rsidR="00123BBF">
        <w:t xml:space="preserve">funded </w:t>
      </w:r>
      <w:r w:rsidR="00AC3DA6">
        <w:t>and federally funded CTE programs and services, including Perkins V.</w:t>
      </w:r>
      <w:r w:rsidR="006F5399">
        <w:t xml:space="preserve"> </w:t>
      </w:r>
      <w:r w:rsidR="00AC3DA6">
        <w:t>More broadly, the staff serve as professional support to the CWPJAC.</w:t>
      </w:r>
    </w:p>
    <w:p w14:paraId="1D9E245C" w14:textId="352F5029" w:rsidR="008B01E4" w:rsidRPr="002F2687" w:rsidRDefault="001917BC" w:rsidP="00C44FBF">
      <w:r w:rsidRPr="002F2687">
        <w:t>Th</w:t>
      </w:r>
      <w:r>
        <w:t>e</w:t>
      </w:r>
      <w:r w:rsidRPr="002F2687">
        <w:t xml:space="preserve"> </w:t>
      </w:r>
      <w:r w:rsidR="006B465D">
        <w:t>Federal</w:t>
      </w:r>
      <w:r w:rsidR="006B465D" w:rsidRPr="002F2687" w:rsidDel="00724CAA">
        <w:t xml:space="preserve">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122</w:t>
      </w:r>
      <w:r w:rsidR="001A155E">
        <w:t>(c)</w:t>
      </w:r>
      <w:r w:rsidR="001324B3" w:rsidRPr="002F2687">
        <w:t xml:space="preserve">(2) of Perkins V and </w:t>
      </w:r>
      <w:r w:rsidR="00C33240" w:rsidRPr="002F2687">
        <w:t>in consultation with a broad range of individuals representing a diverse group of stakeholders</w:t>
      </w:r>
      <w:r w:rsidR="001324B3" w:rsidRPr="002F2687">
        <w:t xml:space="preserve">. To begin the process, the </w:t>
      </w:r>
      <w:r w:rsidR="007D1D68">
        <w:t>S</w:t>
      </w:r>
      <w:r w:rsidR="001324B3" w:rsidRPr="002F2687">
        <w:t>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 xml:space="preserve">e </w:t>
      </w:r>
      <w:r w:rsidR="006B465D">
        <w:t>Federal</w:t>
      </w:r>
      <w:r w:rsidR="006B465D" w:rsidRPr="002F2687">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w:t>
      </w:r>
      <w:r w:rsidR="000B4F8D">
        <w:t xml:space="preserve">the </w:t>
      </w:r>
      <w:r w:rsidR="008B01E4" w:rsidRPr="002F2687">
        <w:t>Comprehensive Center</w:t>
      </w:r>
      <w:r w:rsidR="00B32C8F">
        <w:t xml:space="preserve"> at WestEd</w:t>
      </w:r>
      <w:r w:rsidR="008B01E4" w:rsidRPr="002F2687">
        <w:t xml:space="preserve">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5FC12955"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 xml:space="preserve">was </w:t>
      </w:r>
      <w:r w:rsidR="00433E31">
        <w:t xml:space="preserve">to be </w:t>
      </w:r>
      <w:r w:rsidR="00C33240" w:rsidRPr="002F2687">
        <w:t>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w:t>
      </w:r>
      <w:r w:rsidR="007D1D68">
        <w:t>S</w:t>
      </w:r>
      <w:r w:rsidR="00C33240" w:rsidRPr="002F2687">
        <w:t xml:space="preserve">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w:t>
      </w:r>
      <w:r w:rsidR="00505C57" w:rsidRPr="00505C57">
        <w:t>representatives of Indian Tribes and Tribal organizations</w:t>
      </w:r>
      <w:r w:rsidR="00F9289B">
        <w:t xml:space="preserve"> in the State;</w:t>
      </w:r>
      <w:r w:rsidR="00505C57" w:rsidRPr="00505C57">
        <w:t xml:space="preserve"> </w:t>
      </w:r>
      <w:r w:rsidR="00C33240" w:rsidRPr="002F2687">
        <w:t xml:space="preserve">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6B465D">
        <w:t xml:space="preserve">Federal </w:t>
      </w:r>
      <w:r w:rsidR="00F559CE">
        <w:t xml:space="preserve">Perkins V </w:t>
      </w:r>
      <w:r w:rsidR="00F34B30" w:rsidRPr="002F2687">
        <w:t xml:space="preserve">State Plan </w:t>
      </w:r>
      <w:r w:rsidR="00E7551C">
        <w:t>and</w:t>
      </w:r>
      <w:r w:rsidR="00F34B30" w:rsidRPr="002F2687">
        <w:t xml:space="preserve"> the Every Student Succeeds Act (ESSA)</w:t>
      </w:r>
      <w:r w:rsidR="000B4F8D">
        <w:t>,</w:t>
      </w:r>
      <w:r w:rsidR="006F5399">
        <w:t xml:space="preserve"> </w:t>
      </w:r>
      <w:r w:rsidR="001B1057">
        <w:t>as well as</w:t>
      </w:r>
      <w:r w:rsidR="00F2136B">
        <w:t xml:space="preserve"> </w:t>
      </w:r>
      <w:r w:rsidR="00123BBF">
        <w:t xml:space="preserve">the </w:t>
      </w:r>
      <w:r w:rsidR="004C2D9F">
        <w:t xml:space="preserve">Workforce </w:t>
      </w:r>
      <w:r w:rsidR="004C2D9F">
        <w:lastRenderedPageBreak/>
        <w:t>Innovation and Opportunities Act (</w:t>
      </w:r>
      <w:r w:rsidR="00F34B30" w:rsidRPr="0051564C">
        <w:t>WIOA</w:t>
      </w:r>
      <w:r w:rsidR="004C2D9F">
        <w:t>)</w:t>
      </w:r>
      <w:r w:rsidR="00753E31">
        <w:t xml:space="preserve"> and</w:t>
      </w:r>
      <w:r w:rsidR="00F34B30" w:rsidRPr="002F2687">
        <w:t xml:space="preserve"> many </w:t>
      </w:r>
      <w:r w:rsidR="00753E31">
        <w:t xml:space="preserve">other </w:t>
      </w:r>
      <w:r w:rsidR="00F34B30" w:rsidRPr="002F2687">
        <w:t>State-led initiatives that s</w:t>
      </w:r>
      <w:r w:rsidR="00E7551C">
        <w:t>eek</w:t>
      </w:r>
      <w:r w:rsidR="00F34B30" w:rsidRPr="002F2687">
        <w:t xml:space="preserve"> to promote student learning, equity and access, and continuous quality improvement.</w:t>
      </w:r>
      <w:r w:rsidR="00433E31">
        <w:t xml:space="preserve"> </w:t>
      </w:r>
    </w:p>
    <w:p w14:paraId="0DBC68BC" w14:textId="552B884A" w:rsidR="0026799C" w:rsidRDefault="0026799C" w:rsidP="00C44FBF">
      <w:r w:rsidRPr="002F2687">
        <w:t xml:space="preserve">The SSAC provided structured input on the development of the </w:t>
      </w:r>
      <w:r w:rsidR="006B465D">
        <w:t xml:space="preserve">Federal </w:t>
      </w:r>
      <w:r w:rsidR="00F559CE">
        <w:t>Perkins V S</w:t>
      </w:r>
      <w:r w:rsidRPr="002F2687">
        <w:t xml:space="preserve">tate </w:t>
      </w:r>
      <w:r w:rsidR="00F559CE">
        <w:t>P</w:t>
      </w:r>
      <w:r w:rsidRPr="002F2687">
        <w:t>lan</w:t>
      </w:r>
      <w:r w:rsidR="004C2D9F">
        <w:t>,</w:t>
      </w:r>
      <w:r w:rsidRPr="002F2687">
        <w:t xml:space="preserve">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w:t>
      </w:r>
      <w:r w:rsidR="007D1D68">
        <w:t>S</w:t>
      </w:r>
      <w:r w:rsidRPr="002F2687">
        <w:t xml:space="preserve">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xml:space="preserve"> level-setting</w:t>
      </w:r>
      <w:r w:rsidRPr="002F2687">
        <w:t xml:space="preserve"> meeting</w:t>
      </w:r>
      <w:r w:rsidR="000D1342">
        <w:t>,</w:t>
      </w:r>
      <w:r w:rsidRPr="002F2687">
        <w:t xml:space="preserve"> on </w:t>
      </w:r>
      <w:r w:rsidR="000D1342">
        <w:br w:type="textWrapping" w:clear="all"/>
      </w:r>
      <w:r w:rsidRPr="002F2687">
        <w:t>August</w:t>
      </w:r>
      <w:r w:rsidR="008D1856">
        <w:t xml:space="preserve"> </w:t>
      </w:r>
      <w:r w:rsidRPr="002F2687">
        <w:t>7,</w:t>
      </w:r>
      <w:r w:rsidR="008D1856">
        <w:t xml:space="preserve"> </w:t>
      </w:r>
      <w:r w:rsidRPr="002F2687">
        <w:t>2019</w:t>
      </w:r>
      <w:r w:rsidR="000D1342">
        <w:t>,</w:t>
      </w:r>
      <w:r w:rsidRPr="002F2687">
        <w:t xml:space="preserve"> and</w:t>
      </w:r>
      <w:r w:rsidR="00753E31">
        <w:t xml:space="preserve"> </w:t>
      </w:r>
      <w:r w:rsidRPr="002F2687">
        <w:t xml:space="preserve">two </w:t>
      </w:r>
      <w:r w:rsidR="000E19CC">
        <w:t>in-person</w:t>
      </w:r>
      <w:r w:rsidRPr="002F2687">
        <w:t xml:space="preserve"> meetings, </w:t>
      </w:r>
      <w:r w:rsidR="000D1342">
        <w:t xml:space="preserve">on </w:t>
      </w:r>
      <w:r w:rsidRPr="002F2687">
        <w:t>August 13, 2019</w:t>
      </w:r>
      <w:r w:rsidR="000D1342">
        <w:t>,</w:t>
      </w:r>
      <w:r w:rsidRPr="002F2687">
        <w:t xml:space="preserve">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6B465D">
        <w:t xml:space="preserve">Federal </w:t>
      </w:r>
      <w:r w:rsidR="00F559CE">
        <w:t xml:space="preserve">Perkins V </w:t>
      </w:r>
      <w:r w:rsidRPr="002F2687">
        <w:t xml:space="preserve">State Plan from all the required stakeholder groups. The meetings primarily focused on drafting a shared vision for the </w:t>
      </w:r>
      <w:r w:rsidR="007D1D68">
        <w:t>S</w:t>
      </w:r>
      <w:r w:rsidRPr="002F2687">
        <w:t>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6E7D09">
        <w:t>h</w:t>
      </w:r>
      <w:r w:rsidRPr="002F2687">
        <w:t>igh-</w:t>
      </w:r>
      <w:r w:rsidR="006E7D09">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6DF71819" w14:textId="6D72F013" w:rsidR="009B35F0" w:rsidRDefault="00F30C33" w:rsidP="00C44FBF">
      <w:r>
        <w:t xml:space="preserve">While the JMT had intentionally reached out and invited individuals representing stakeholders according to federal requirements, after the first in-person </w:t>
      </w:r>
      <w:r w:rsidR="007D187F">
        <w:t>stakeholder meeting</w:t>
      </w:r>
      <w:r w:rsidR="00433E31">
        <w:t>, it became apparent t</w:t>
      </w:r>
      <w:r w:rsidR="00B5434A">
        <w:t>o</w:t>
      </w:r>
      <w:r w:rsidR="00433E31">
        <w:t xml:space="preserve"> </w:t>
      </w:r>
      <w:r w:rsidR="0033678B">
        <w:t>the JMT</w:t>
      </w:r>
      <w:r w:rsidR="00B5434A">
        <w:t xml:space="preserve"> that the SSAC</w:t>
      </w:r>
      <w:r w:rsidR="0033678B">
        <w:t xml:space="preserve"> </w:t>
      </w:r>
      <w:r w:rsidR="00433E31">
        <w:t>included only one member</w:t>
      </w:r>
      <w:r w:rsidR="00B5434A">
        <w:t xml:space="preserve"> whose</w:t>
      </w:r>
      <w:r w:rsidR="00433E31">
        <w:t xml:space="preserve"> </w:t>
      </w:r>
      <w:r w:rsidR="0051564C">
        <w:t xml:space="preserve">current </w:t>
      </w:r>
      <w:r w:rsidR="00433E31">
        <w:t xml:space="preserve">primary affiliation was </w:t>
      </w:r>
      <w:r w:rsidR="0033678B">
        <w:t xml:space="preserve">as </w:t>
      </w:r>
      <w:r w:rsidR="00433E31">
        <w:t xml:space="preserve">a certificated classroom </w:t>
      </w:r>
      <w:r w:rsidR="00DD0821">
        <w:t>teacher</w:t>
      </w:r>
      <w:r w:rsidR="00433E31">
        <w:t xml:space="preserve">. </w:t>
      </w:r>
      <w:r w:rsidR="00433E31" w:rsidRPr="00433E31">
        <w:t>Seeking to reflect voice</w:t>
      </w:r>
      <w:r w:rsidR="0033678B">
        <w:t>s</w:t>
      </w:r>
      <w:r w:rsidR="00433E31" w:rsidRPr="00433E31">
        <w:t xml:space="preserve"> and views from classroom practitioners across the </w:t>
      </w:r>
      <w:r w:rsidR="007D1D68">
        <w:t>S</w:t>
      </w:r>
      <w:r w:rsidR="00433E31" w:rsidRPr="00433E31">
        <w:t xml:space="preserve">tate, the </w:t>
      </w:r>
      <w:r w:rsidR="00433E31">
        <w:t>JMT</w:t>
      </w:r>
      <w:r w:rsidR="00433E31" w:rsidRPr="00433E31">
        <w:t xml:space="preserve"> decided to add targeted stakeholder meetings to the plan development schedule</w:t>
      </w:r>
      <w:r w:rsidR="0033678B">
        <w:t>,</w:t>
      </w:r>
      <w:r w:rsidR="007D187F">
        <w:t xml:space="preserve"> to include more certificated classroom teachers and college faculty</w:t>
      </w:r>
      <w:r w:rsidR="009B35F0">
        <w:t xml:space="preserve">. </w:t>
      </w:r>
      <w:r w:rsidR="00B35994">
        <w:t>Based o</w:t>
      </w:r>
      <w:r w:rsidR="00AC3DA6">
        <w:t xml:space="preserve">n advice from the CWPJAC, the </w:t>
      </w:r>
      <w:r w:rsidR="0011131F">
        <w:t xml:space="preserve">SSAC was supplemented by seeking input from two </w:t>
      </w:r>
      <w:r w:rsidR="007D187F">
        <w:t xml:space="preserve">additional </w:t>
      </w:r>
      <w:r w:rsidR="0011131F">
        <w:t xml:space="preserve">groups that are crucial to the development of the </w:t>
      </w:r>
      <w:r w:rsidR="006B465D">
        <w:t xml:space="preserve">Federal </w:t>
      </w:r>
      <w:r w:rsidR="0011131F">
        <w:t xml:space="preserve">Perkins V </w:t>
      </w:r>
      <w:r w:rsidR="00E7551C">
        <w:t xml:space="preserve">State </w:t>
      </w:r>
      <w:r w:rsidR="0011131F">
        <w:t>Plan.</w:t>
      </w:r>
      <w:r w:rsidR="006F5399">
        <w:t xml:space="preserve"> </w:t>
      </w:r>
    </w:p>
    <w:p w14:paraId="100AAF1E" w14:textId="59F92AA3" w:rsidR="00A71954" w:rsidRDefault="0011131F" w:rsidP="00C44FBF">
      <w:r>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w:t>
      </w:r>
      <w:r w:rsidR="00BB7731">
        <w:t>for</w:t>
      </w:r>
      <w:r w:rsidR="000A26EF">
        <w:t xml:space="preserve"> Occupational Education (</w:t>
      </w:r>
      <w:r w:rsidR="008D1856">
        <w:t>C</w:t>
      </w:r>
      <w:r w:rsidR="000A26EF">
        <w:t>CCAOE)</w:t>
      </w:r>
      <w:r w:rsidR="0033678B">
        <w:t>,</w:t>
      </w:r>
      <w:r w:rsidR="00B35994">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 xml:space="preserve">followed the format and </w:t>
      </w:r>
      <w:r w:rsidR="007D187F">
        <w:t xml:space="preserve">topic </w:t>
      </w:r>
      <w:r w:rsidR="000A26EF">
        <w:t xml:space="preserve">areas of interest used for the </w:t>
      </w:r>
      <w:r w:rsidR="000A26EF">
        <w:lastRenderedPageBreak/>
        <w:t>SSAC.</w:t>
      </w:r>
      <w:r w:rsidR="00123BBF">
        <w:t xml:space="preserve"> In</w:t>
      </w:r>
      <w:r w:rsidR="006F5399">
        <w:t xml:space="preserve"> </w:t>
      </w:r>
      <w:r w:rsidR="00123BBF">
        <w:t>a</w:t>
      </w:r>
      <w:r w:rsidR="000A26EF">
        <w:t>ddition,</w:t>
      </w:r>
      <w:r w:rsidR="0051564C">
        <w:t xml:space="preserve"> </w:t>
      </w:r>
      <w:r w:rsidR="0098215F">
        <w:t xml:space="preserve">during the conference, </w:t>
      </w:r>
      <w:r w:rsidR="0051564C">
        <w:t>the</w:t>
      </w:r>
      <w:r w:rsidR="000A26EF">
        <w:t xml:space="preserve"> </w:t>
      </w:r>
      <w:r w:rsidR="00B35994" w:rsidRPr="00B35994">
        <w:t>CDE and CCCC</w:t>
      </w:r>
      <w:r w:rsidR="00E82C3D">
        <w:t>O</w:t>
      </w:r>
      <w:r w:rsidR="00B35994" w:rsidRPr="00B35994">
        <w:t xml:space="preserve"> staff presented </w:t>
      </w:r>
      <w:r w:rsidR="000A26EF">
        <w:t xml:space="preserve">two sessions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the 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 xml:space="preserve">Secondary teachers from across the </w:t>
      </w:r>
      <w:r w:rsidR="007D1D68">
        <w:t>S</w:t>
      </w:r>
      <w:r w:rsidR="00A71954">
        <w:t>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w:t>
      </w:r>
      <w:r w:rsidR="007D187F">
        <w:t>topics</w:t>
      </w:r>
      <w:r w:rsidR="004E001D">
        <w:t xml:space="preserve"> used </w:t>
      </w:r>
      <w:r w:rsidR="007D187F">
        <w:t>to solicit input from</w:t>
      </w:r>
      <w:r w:rsidR="004E001D">
        <w:t xml:space="preserve"> the SSAC.</w:t>
      </w:r>
      <w:r w:rsidR="006F5399">
        <w:t xml:space="preserve"> </w:t>
      </w:r>
      <w:r w:rsidR="004E001D" w:rsidRPr="004E001D">
        <w:t xml:space="preserve">A </w:t>
      </w:r>
      <w:r w:rsidR="00B35994">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6D70F745" w:rsidR="004E001D" w:rsidRPr="002F2687" w:rsidRDefault="004E001D" w:rsidP="00C44FBF">
      <w:r>
        <w:t>From these stakeholder/key</w:t>
      </w:r>
      <w:r w:rsidR="00C57B49">
        <w:t>-</w:t>
      </w:r>
      <w:r>
        <w:t>informant meetings, much information was gathered, and</w:t>
      </w:r>
      <w:r w:rsidR="00C57B49">
        <w:t>,</w:t>
      </w:r>
      <w:r>
        <w:t xml:space="preserve"> where relevant, recommendations were included in the </w:t>
      </w:r>
      <w:r w:rsidR="006B465D">
        <w:t xml:space="preserve">Federal </w:t>
      </w:r>
      <w:r>
        <w:t>Perkins V State Plan.</w:t>
      </w:r>
      <w:r w:rsidR="006F5399">
        <w:t xml:space="preserve"> </w:t>
      </w:r>
      <w:r>
        <w:t xml:space="preserve">It should be noted </w:t>
      </w:r>
      <w:r w:rsidR="00C57B49">
        <w:t xml:space="preserve">that </w:t>
      </w:r>
      <w:r>
        <w:t xml:space="preserve">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 xml:space="preserve">the </w:t>
      </w:r>
      <w:r w:rsidR="00B5434A">
        <w:t xml:space="preserve">Comprehensive </w:t>
      </w:r>
      <w:r w:rsidR="00DF1CDE" w:rsidRPr="00DF1CDE">
        <w:t xml:space="preserve">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w:t>
      </w:r>
      <w:r w:rsidR="007D1D68">
        <w:t>S</w:t>
      </w:r>
      <w:r w:rsidR="00BB516C" w:rsidRPr="00BB516C">
        <w:t xml:space="preserve">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t xml:space="preserve">2. </w:t>
      </w:r>
      <w:r w:rsidR="00C33240" w:rsidRPr="002F2687">
        <w:t>Consistent with Section 122(e)(1)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r w:rsidR="00A14821">
        <w:t>][</w:t>
      </w:r>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72FBE887" w:rsidR="00D57F2A" w:rsidRDefault="00D57F2A" w:rsidP="00D57F2A">
      <w:r>
        <w:lastRenderedPageBreak/>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linkages between the State and local </w:t>
      </w:r>
      <w:r w:rsidR="00246C6F">
        <w:t>K</w:t>
      </w:r>
      <w:r w:rsidR="00753E31">
        <w:t xml:space="preserve">indergarten through </w:t>
      </w:r>
      <w:r w:rsidR="00246C6F">
        <w:t>g</w:t>
      </w:r>
      <w:r w:rsidR="00753E31">
        <w:t xml:space="preserve">rade </w:t>
      </w:r>
      <w:r w:rsidR="00246C6F">
        <w:t>t</w:t>
      </w:r>
      <w:r w:rsidR="00753E31">
        <w:t>welve (</w:t>
      </w:r>
      <w:r>
        <w:t>K–12</w:t>
      </w:r>
      <w:r w:rsidR="00753E31">
        <w:t>)</w:t>
      </w:r>
      <w:r>
        <w:t xml:space="preserve"> school districts</w:t>
      </w:r>
      <w:r w:rsidR="007D187F">
        <w:t xml:space="preserve">, and by reviewing and approving LEAs’ </w:t>
      </w:r>
      <w:r w:rsidR="00C32748">
        <w:t>Local Control Accountability Plans (</w:t>
      </w:r>
      <w:r w:rsidR="007D187F">
        <w:t>LCAPs</w:t>
      </w:r>
      <w:r w:rsidR="00C32748">
        <w:t>)</w:t>
      </w:r>
      <w:r>
        <w:t xml:space="preserve">. Given California’s immense size, its 58 county offices are organized into </w:t>
      </w:r>
      <w:r w:rsidR="00F92FD0">
        <w:br w:type="textWrapping" w:clear="all"/>
      </w:r>
      <w:r>
        <w:t>11 geographic regions</w:t>
      </w:r>
      <w:r w:rsidR="007D187F">
        <w:t>.</w:t>
      </w:r>
    </w:p>
    <w:p w14:paraId="77CF0405" w14:textId="72059562" w:rsidR="00D57F2A" w:rsidRDefault="00D57F2A" w:rsidP="00D57F2A">
      <w:r>
        <w:t xml:space="preserve">The CCCCO is the State agency for providing </w:t>
      </w:r>
      <w:r w:rsidR="007D1D68">
        <w:t>S</w:t>
      </w:r>
      <w:r>
        <w:t>tate administration and direction</w:t>
      </w:r>
      <w:r w:rsidR="006A60E5">
        <w:t xml:space="preserve"> for postsecondary CTE programs</w:t>
      </w:r>
      <w:r>
        <w:t xml:space="preserve">. The Workforce and Economic Development Division (WEDD), within the CCCCO, is responsible for </w:t>
      </w:r>
      <w:r w:rsidR="006A60E5">
        <w:t xml:space="preserve">postsecondary </w:t>
      </w:r>
      <w:r>
        <w:t>CTE administration and program oversi</w:t>
      </w:r>
      <w:r w:rsidR="00F92FD0">
        <w:t>ght</w:t>
      </w:r>
      <w:r>
        <w:t xml:space="preserv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w:t>
      </w:r>
      <w:r>
        <w:t>. The WEDD is also responsible for programs that bridge skills and jobs mismatch</w:t>
      </w:r>
      <w:r w:rsidR="00F92FD0">
        <w:t>es</w:t>
      </w:r>
      <w:r>
        <w:t xml:space="preserve"> and prepare California’s </w:t>
      </w:r>
      <w:r w:rsidR="006A60E5">
        <w:t>w</w:t>
      </w:r>
      <w:r w:rsidR="00A97D8C">
        <w:t>orkforce for 21</w:t>
      </w:r>
      <w:r w:rsidR="00A97D8C" w:rsidRPr="00A97D8C">
        <w:rPr>
          <w:vertAlign w:val="superscript"/>
        </w:rPr>
        <w:t>st</w:t>
      </w:r>
      <w:r w:rsidR="00B5434A">
        <w:t xml:space="preserve"> </w:t>
      </w:r>
      <w:r>
        <w:t>century careers through career education.</w:t>
      </w:r>
    </w:p>
    <w:p w14:paraId="53B2CD25" w14:textId="74E92F47" w:rsidR="00D57F2A" w:rsidRDefault="00D57F2A" w:rsidP="00D57F2A">
      <w:r>
        <w:t>Together</w:t>
      </w:r>
      <w:r w:rsidR="00123BBF">
        <w:t>,</w:t>
      </w:r>
      <w:r>
        <w:t xml:space="preserve"> the CCTD</w:t>
      </w:r>
      <w:r w:rsidR="00F92FD0">
        <w:t>,</w:t>
      </w:r>
      <w:r>
        <w:t xml:space="preserve"> within the CDE</w:t>
      </w:r>
      <w:r w:rsidR="00A14821">
        <w:t>,</w:t>
      </w:r>
      <w:r>
        <w:t xml:space="preserve"> and the WEDD</w:t>
      </w:r>
      <w:r w:rsidR="00F92FD0">
        <w:t>,</w:t>
      </w:r>
      <w:r>
        <w:t xml:space="preserve">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w:t>
      </w:r>
      <w:r w:rsidR="00F92FD0">
        <w:t>,</w:t>
      </w:r>
      <w:r>
        <w:t xml:space="preserve">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3F518E34" w:rsidR="00BB516C" w:rsidRDefault="00BB516C" w:rsidP="00C44FBF">
      <w:r>
        <w:t>California receive</w:t>
      </w:r>
      <w:r w:rsidR="003C6F31">
        <w:t>d</w:t>
      </w:r>
      <w:r>
        <w:t xml:space="preserve"> </w:t>
      </w:r>
      <w:r w:rsidR="00EC0160">
        <w:t>approximately</w:t>
      </w:r>
      <w:r>
        <w:t xml:space="preserve"> $</w:t>
      </w:r>
      <w:r w:rsidR="009F6AB7">
        <w:t xml:space="preserve">127 million </w:t>
      </w:r>
      <w:r w:rsidR="00D84D9A">
        <w:t xml:space="preserve">in </w:t>
      </w:r>
      <w:r w:rsidR="00D46FF5">
        <w:t>Fiscal Year (</w:t>
      </w:r>
      <w:r w:rsidR="00D660A5">
        <w:t>FY</w:t>
      </w:r>
      <w:r w:rsidR="00D46FF5">
        <w:t>)</w:t>
      </w:r>
      <w:r w:rsidR="00D660A5">
        <w:t xml:space="preserve"> </w:t>
      </w:r>
      <w:r w:rsidR="00D84D9A">
        <w:t>2019</w:t>
      </w:r>
      <w:r w:rsidR="00A14821">
        <w:t>–</w:t>
      </w:r>
      <w:r w:rsidR="00D84D9A">
        <w:t>20</w:t>
      </w:r>
      <w:r w:rsidR="009A2066">
        <w:t xml:space="preserve"> from the </w:t>
      </w:r>
      <w:r w:rsidR="00B855BA">
        <w:t>ED</w:t>
      </w:r>
      <w:r w:rsidR="009F6AB7">
        <w:t xml:space="preserve">, as shown on the </w:t>
      </w:r>
      <w:r w:rsidR="00A14821">
        <w:t>B</w:t>
      </w:r>
      <w:r w:rsidR="009F6AB7">
        <w:t xml:space="preserve">udget </w:t>
      </w:r>
      <w:r w:rsidR="00A14821">
        <w:t>F</w:t>
      </w:r>
      <w:r w:rsidR="009F6AB7">
        <w:t>orm</w:t>
      </w:r>
      <w:r w:rsidR="00A14821">
        <w:t xml:space="preserve"> (</w:t>
      </w:r>
      <w:r w:rsidR="000F7C8F">
        <w:t>p</w:t>
      </w:r>
      <w:r w:rsidR="009F6AB7">
        <w:t xml:space="preserve">age </w:t>
      </w:r>
      <w:r w:rsidR="00001BFC" w:rsidRPr="00001BFC">
        <w:t>1</w:t>
      </w:r>
      <w:r w:rsidR="009F7C4A">
        <w:t>7</w:t>
      </w:r>
      <w:r w:rsidR="000D079F">
        <w:t>9</w:t>
      </w:r>
      <w:r w:rsidR="009F7C4A">
        <w:t>)</w:t>
      </w:r>
      <w:r w:rsidR="009F6AB7" w:rsidRPr="00A14821">
        <w:t>.</w:t>
      </w:r>
      <w:r w:rsidR="006F5399">
        <w:t xml:space="preserve"> </w:t>
      </w:r>
      <w:r w:rsidR="00E73BA8">
        <w:t xml:space="preserve">The </w:t>
      </w:r>
      <w:r w:rsidR="00D57F2A">
        <w:t xml:space="preserve">CDE is the fiscal agent for </w:t>
      </w:r>
      <w:r w:rsidR="00AB020D">
        <w:t>s</w:t>
      </w:r>
      <w:r w:rsidR="007D187F">
        <w:t xml:space="preserve">tate </w:t>
      </w:r>
      <w:r w:rsidR="00D57F2A">
        <w:t xml:space="preserve">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9F6AB7">
        <w:t xml:space="preserve"> local funds can be held at the state level and be used as a </w:t>
      </w:r>
      <w:r w:rsidR="000B4F8D">
        <w:t>r</w:t>
      </w:r>
      <w:r w:rsidR="009F6AB7">
        <w:t xml:space="preserve">eserve </w:t>
      </w:r>
      <w:r w:rsidR="000B4F8D">
        <w:t>f</w:t>
      </w:r>
      <w:r w:rsidR="009F6AB7">
        <w:t>und.</w:t>
      </w:r>
      <w:r w:rsidR="00D84D9A">
        <w:t xml:space="preserve"> </w:t>
      </w:r>
      <w:r w:rsidR="00E73BA8">
        <w:t xml:space="preserve">The </w:t>
      </w:r>
      <w:r w:rsidR="00D84D9A">
        <w:t xml:space="preserve">CDE </w:t>
      </w:r>
      <w:r w:rsidR="00BA09E1">
        <w:t xml:space="preserve">receives two-thirds, and the CCCCO </w:t>
      </w:r>
      <w:r w:rsidR="0037236F">
        <w:t>receives one-third</w:t>
      </w:r>
      <w:r w:rsidR="00D84D9A">
        <w:t xml:space="preserve"> of the Administration </w:t>
      </w:r>
      <w:r w:rsidR="00F1270C">
        <w:t>F</w:t>
      </w:r>
      <w:r w:rsidR="00D84D9A">
        <w:t>unds.</w:t>
      </w:r>
      <w:r w:rsidR="006F5399">
        <w:t xml:space="preserve"> </w:t>
      </w:r>
      <w:r w:rsidR="00347E90">
        <w:t xml:space="preserve">State Leadership Funds are </w:t>
      </w:r>
      <w:r w:rsidR="00347E90">
        <w:lastRenderedPageBreak/>
        <w:t xml:space="preserve">distributed as </w:t>
      </w:r>
      <w:r w:rsidR="007D187F">
        <w:t>follows</w:t>
      </w:r>
      <w:r w:rsidR="00347E90">
        <w:t xml:space="preserve">: </w:t>
      </w:r>
      <w:r w:rsidR="00BA09E1">
        <w:t xml:space="preserve">A substantial portion of the </w:t>
      </w:r>
      <w:r w:rsidR="0061596D">
        <w:t xml:space="preserve">State </w:t>
      </w:r>
      <w:r w:rsidR="00D84D9A">
        <w:t xml:space="preserve">Leadership </w:t>
      </w:r>
      <w:r w:rsidR="00BA09E1">
        <w:t xml:space="preserve">Funds ($12.7 million) </w:t>
      </w:r>
      <w:r w:rsidR="00D84D9A">
        <w:t xml:space="preserve">are split </w:t>
      </w:r>
      <w:r w:rsidR="0061596D">
        <w:t>evenly between</w:t>
      </w:r>
      <w:r w:rsidR="00E73BA8">
        <w:t xml:space="preserve"> the</w:t>
      </w:r>
      <w:r w:rsidR="0061596D">
        <w:t xml:space="preserve"> CDE and </w:t>
      </w:r>
      <w:r w:rsidR="00E73BA8">
        <w:t xml:space="preserve">the </w:t>
      </w:r>
      <w:r w:rsidR="0061596D">
        <w:t>CCCCO</w:t>
      </w:r>
      <w:r w:rsidR="00BA09E1">
        <w:t xml:space="preserve"> (about $5.8 million each)</w:t>
      </w:r>
      <w:r w:rsidR="00401AE4">
        <w:t>,</w:t>
      </w:r>
      <w:r w:rsidR="0061596D">
        <w:t xml:space="preserve"> with the remainder </w:t>
      </w:r>
      <w:r w:rsidR="00401AE4">
        <w:t xml:space="preserve">of the State Leadership Funds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 xml:space="preserve">CCCCO); and nontraditional training and employment ($150,000 </w:t>
      </w:r>
      <w:r w:rsidR="00E317E6">
        <w:t xml:space="preserve">that </w:t>
      </w:r>
      <w:r w:rsidR="00E73BA8">
        <w:t xml:space="preserve">is allocated </w:t>
      </w:r>
      <w:r w:rsidR="00347E90">
        <w:t>to the CCCCO).</w:t>
      </w:r>
    </w:p>
    <w:p w14:paraId="49963D1D" w14:textId="3761C475" w:rsidR="00C33240" w:rsidRDefault="00C33240" w:rsidP="00C44FBF">
      <w:r w:rsidRPr="002F2687">
        <w:t>Th</w:t>
      </w:r>
      <w:r w:rsidR="00F1270C">
        <w:t>is formula for th</w:t>
      </w:r>
      <w:r w:rsidRPr="002F2687">
        <w:t>e distribution of funds</w:t>
      </w:r>
      <w:r w:rsidR="00E73BA8">
        <w:t>,</w:t>
      </w:r>
      <w:r w:rsidRPr="002F2687">
        <w:t xml:space="preserve"> originally approved for the </w:t>
      </w:r>
      <w:r w:rsidR="007D187F" w:rsidRPr="002F2687">
        <w:t>200</w:t>
      </w:r>
      <w:r w:rsidR="007D187F">
        <w:t>8</w:t>
      </w:r>
      <w:r w:rsidRPr="002F2687">
        <w:t xml:space="preserve">–12 </w:t>
      </w:r>
      <w:r w:rsidR="001801A4" w:rsidRPr="00E753DC">
        <w:t xml:space="preserve">Carl D. Perkins Career and Technical Education Act of 2006 </w:t>
      </w:r>
      <w:r w:rsidR="001801A4">
        <w:t>(</w:t>
      </w:r>
      <w:r w:rsidR="001801A4" w:rsidRPr="002F2687">
        <w:t>Perkins IV</w:t>
      </w:r>
      <w:r w:rsidR="001801A4">
        <w:t>)</w:t>
      </w:r>
      <w:r w:rsidR="001801A4" w:rsidRPr="002F2687">
        <w:t xml:space="preserve"> </w:t>
      </w:r>
      <w:r w:rsidR="003D0419" w:rsidRPr="002F2687">
        <w:t>S</w:t>
      </w:r>
      <w:r w:rsidRPr="002F2687">
        <w:t xml:space="preserve">tate </w:t>
      </w:r>
      <w:r w:rsidR="003D0419" w:rsidRPr="002F2687">
        <w:t>P</w:t>
      </w:r>
      <w:r w:rsidRPr="002F2687">
        <w:t xml:space="preserve">lan and </w:t>
      </w:r>
      <w:r w:rsidR="001801A4">
        <w:br/>
      </w:r>
      <w:r w:rsidRPr="002F2687">
        <w:t>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w:t>
      </w:r>
      <w:r w:rsidR="002D38DA">
        <w:t>revising the</w:t>
      </w:r>
      <w:r w:rsidR="002D38DA" w:rsidRPr="002F2687">
        <w:t xml:space="preserve"> </w:t>
      </w:r>
      <w:r w:rsidRPr="002F2687">
        <w:t xml:space="preserve">methods for distributing </w:t>
      </w:r>
      <w:r w:rsidR="002D38DA">
        <w:t xml:space="preserve">how </w:t>
      </w:r>
      <w:r w:rsidR="0024766B">
        <w:t>Perkins</w:t>
      </w:r>
      <w:r w:rsidR="002D38DA">
        <w:t xml:space="preserve"> funds will be dist</w:t>
      </w:r>
      <w:r w:rsidR="0024766B">
        <w:t>ributed</w:t>
      </w:r>
      <w:r w:rsidR="00837784">
        <w:t xml:space="preserve"> </w:t>
      </w:r>
      <w:r w:rsidRPr="002F2687">
        <w:t>in subsequent years. Any changes in the current distribution</w:t>
      </w:r>
      <w:r w:rsidR="00E317E6">
        <w:t>-</w:t>
      </w:r>
      <w:r w:rsidRPr="002F2687">
        <w:t>of</w:t>
      </w:r>
      <w:r w:rsidR="00E317E6">
        <w:t>-</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1801A4">
        <w:t xml:space="preserve">Federal </w:t>
      </w:r>
      <w:r w:rsidR="00F559CE">
        <w:t xml:space="preserve">Perkins V </w:t>
      </w:r>
      <w:r w:rsidR="003D0419" w:rsidRPr="002F2687">
        <w:t>State P</w:t>
      </w:r>
      <w:r w:rsidRPr="002F2687">
        <w:t>lan.</w:t>
      </w:r>
    </w:p>
    <w:p w14:paraId="1407F36F" w14:textId="10AC6B1A"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r w:rsidR="00A14821">
        <w:t>][</w:t>
      </w:r>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52C66898" w:rsidR="00C33240" w:rsidRPr="002F2687" w:rsidRDefault="00C33240" w:rsidP="00C44FBF">
      <w:r w:rsidRPr="002F2687">
        <w:t>In accordance with Section 122(d)(14) of Perkins V and the “</w:t>
      </w:r>
      <w:r w:rsidR="009A2066">
        <w:t>U</w:t>
      </w:r>
      <w:r w:rsidR="000B4F8D">
        <w:t>.</w:t>
      </w:r>
      <w:r w:rsidR="009A2066">
        <w:t>S</w:t>
      </w:r>
      <w:r w:rsidR="000B4F8D">
        <w:t>.</w:t>
      </w:r>
      <w:r w:rsidR="009A2066">
        <w:t xml:space="preserve"> Department of Education’s </w:t>
      </w:r>
      <w:r w:rsidRPr="002F2687">
        <w:t xml:space="preserve">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AB020D">
        <w:t xml:space="preserve"> Draft</w:t>
      </w:r>
      <w:r w:rsidR="00F559CE">
        <w:t xml:space="preserve"> </w:t>
      </w:r>
      <w:r w:rsidR="001801A4">
        <w:t xml:space="preserve">Federal </w:t>
      </w:r>
      <w:r w:rsidR="00F559CE">
        <w:t>Perkins V</w:t>
      </w:r>
      <w:r w:rsidRPr="002F2687">
        <w:t xml:space="preserve"> </w:t>
      </w:r>
      <w:r w:rsidR="003D0419" w:rsidRPr="002F2687">
        <w:t>S</w:t>
      </w:r>
      <w:r w:rsidRPr="002F2687">
        <w:t xml:space="preserve">tate </w:t>
      </w:r>
      <w:r w:rsidR="003D0419" w:rsidRPr="002F2687">
        <w:t>P</w:t>
      </w:r>
      <w:r w:rsidRPr="002F2687">
        <w:t xml:space="preserve">lan. Public </w:t>
      </w:r>
      <w:r w:rsidR="007D187F">
        <w:t>input sessions, including a webinar,</w:t>
      </w:r>
      <w:r w:rsidR="007D187F" w:rsidRPr="002F2687">
        <w:t xml:space="preserve"> </w:t>
      </w:r>
      <w:r w:rsidRPr="002F2687">
        <w:t>were conducted</w:t>
      </w:r>
      <w:r w:rsidR="00E161D9">
        <w:t xml:space="preserve"> f</w:t>
      </w:r>
      <w:r w:rsidR="007D187F" w:rsidRPr="002F2687">
        <w:t xml:space="preserve">or </w:t>
      </w:r>
      <w:r w:rsidRPr="002F2687">
        <w:t xml:space="preserve">the purpose of affording all segments of the public and interested organizations and groups (including charter school authorizers and organizers consistent with </w:t>
      </w:r>
      <w:r w:rsidR="007D1D68">
        <w:t>S</w:t>
      </w:r>
      <w:r w:rsidRPr="002F2687">
        <w:t xml:space="preserve">tate law, employers, labor organizations, parents, students, and community organizations) an opportunity to present their views and make recommendations regarding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w:t>
      </w:r>
    </w:p>
    <w:p w14:paraId="41A35EBA" w14:textId="2EDB58BE" w:rsidR="00C33240" w:rsidRPr="002F2687" w:rsidRDefault="00C33240" w:rsidP="00C44FBF">
      <w:r w:rsidRPr="002F2687">
        <w:t xml:space="preserve">The following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 xml:space="preserve">ection 122(d)(14) of </w:t>
      </w:r>
      <w:r w:rsidR="00DC222D" w:rsidRPr="002F2687">
        <w:t>Perkins</w:t>
      </w:r>
      <w:r w:rsidR="0062423C">
        <w:t xml:space="preserve"> </w:t>
      </w:r>
      <w:r w:rsidR="00DC222D" w:rsidRPr="002F2687">
        <w:t>V</w:t>
      </w:r>
      <w:r w:rsidRPr="002F2687">
        <w:t>:</w:t>
      </w:r>
    </w:p>
    <w:p w14:paraId="3375DDC3" w14:textId="5F9E09AE" w:rsidR="00C33240" w:rsidRPr="002F2687" w:rsidRDefault="00C33240" w:rsidP="0048078B">
      <w:pPr>
        <w:pStyle w:val="ListParagraph"/>
        <w:ind w:left="1170" w:hanging="450"/>
      </w:pPr>
      <w:r w:rsidRPr="002F2687">
        <w:lastRenderedPageBreak/>
        <w:t xml:space="preserve">Public meetings of the </w:t>
      </w:r>
      <w:r w:rsidR="00DC222D" w:rsidRPr="002F2687">
        <w:t xml:space="preserve">CWPJAC </w:t>
      </w:r>
      <w:r w:rsidR="0053610A" w:rsidRPr="002F2687">
        <w:t>(</w:t>
      </w:r>
      <w:r w:rsidR="0069511B">
        <w:t>s</w:t>
      </w:r>
      <w:r w:rsidR="0053610A" w:rsidRPr="00001BFC">
        <w:t>ee Appendix B</w:t>
      </w:r>
      <w:r w:rsidRPr="00001BFC">
        <w:t xml:space="preserve"> for</w:t>
      </w:r>
      <w:r w:rsidRPr="002F2687">
        <w:t xml:space="preserve"> dates of meetings)</w:t>
      </w:r>
    </w:p>
    <w:p w14:paraId="4BC953A9" w14:textId="77777777" w:rsidR="00C33240" w:rsidRPr="002F2687" w:rsidRDefault="00C33240" w:rsidP="0048078B">
      <w:pPr>
        <w:pStyle w:val="ListParagraph"/>
        <w:ind w:left="1170" w:hanging="45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4CE63AD1" w:rsidR="00C33240" w:rsidRDefault="00C33240" w:rsidP="0048078B">
      <w:pPr>
        <w:pStyle w:val="ListParagraph"/>
        <w:ind w:left="1170" w:hanging="450"/>
      </w:pPr>
      <w:r w:rsidRPr="002F2687">
        <w:t xml:space="preserve">Web-based input </w:t>
      </w:r>
      <w:r w:rsidR="0052268A">
        <w:t>on</w:t>
      </w:r>
      <w:r w:rsidRPr="002F2687">
        <w:t xml:space="preserve"> </w:t>
      </w:r>
      <w:r w:rsidR="001C6B58" w:rsidRPr="002F2687">
        <w:t xml:space="preserve">the </w:t>
      </w:r>
      <w:r w:rsidR="001801A4">
        <w:t>D</w:t>
      </w:r>
      <w:r w:rsidR="001801A4" w:rsidRPr="002F2687">
        <w:t xml:space="preserve">raft </w:t>
      </w:r>
      <w:r w:rsidR="001801A4">
        <w:t xml:space="preserve">Federal </w:t>
      </w:r>
      <w:r w:rsidR="00F559CE">
        <w:t xml:space="preserve">Perkins V </w:t>
      </w:r>
      <w:r w:rsidR="0089501F" w:rsidRPr="002F2687">
        <w:t>State P</w:t>
      </w:r>
      <w:r w:rsidRPr="002F2687">
        <w:t>lan</w:t>
      </w:r>
    </w:p>
    <w:p w14:paraId="6BB01928" w14:textId="376B3F44" w:rsidR="00EC0160" w:rsidRPr="002F2687" w:rsidRDefault="00EC0160" w:rsidP="0048078B">
      <w:pPr>
        <w:pStyle w:val="ListParagraph"/>
        <w:ind w:left="1170" w:hanging="450"/>
      </w:pPr>
      <w:r>
        <w:t xml:space="preserve">Professional </w:t>
      </w:r>
      <w:r w:rsidR="0069511B">
        <w:t>c</w:t>
      </w:r>
      <w:r>
        <w:t>onferences</w:t>
      </w:r>
    </w:p>
    <w:p w14:paraId="3500BC31" w14:textId="0C5E0595" w:rsidR="00C33240" w:rsidRPr="002F2687" w:rsidRDefault="0053610A" w:rsidP="0048078B">
      <w:pPr>
        <w:pStyle w:val="ListParagraph"/>
        <w:ind w:left="1170" w:hanging="450"/>
      </w:pPr>
      <w:r w:rsidRPr="002F2687">
        <w:t xml:space="preserve">Public </w:t>
      </w:r>
      <w:r w:rsidR="007D187F">
        <w:t>input sessions</w:t>
      </w:r>
      <w:r w:rsidR="007D187F" w:rsidRPr="002F2687">
        <w:t xml:space="preserve"> </w:t>
      </w:r>
      <w:r w:rsidRPr="002F2687">
        <w:t>(</w:t>
      </w:r>
      <w:r w:rsidR="0069511B">
        <w:t>see</w:t>
      </w:r>
      <w:r w:rsidR="005D4ACD" w:rsidRPr="00001BFC">
        <w:t xml:space="preserve"> </w:t>
      </w:r>
      <w:r w:rsidRPr="00001BFC">
        <w:t xml:space="preserve">Appendix </w:t>
      </w:r>
      <w:r w:rsidR="00C33240" w:rsidRPr="00001BFC">
        <w:t>B</w:t>
      </w:r>
      <w:r w:rsidR="0069511B">
        <w:t xml:space="preserve"> for dates of sessions</w:t>
      </w:r>
      <w:r w:rsidR="00AA258A" w:rsidRPr="00001BFC">
        <w:t>)</w:t>
      </w:r>
    </w:p>
    <w:p w14:paraId="7840704D" w14:textId="5B268617" w:rsidR="00C33240" w:rsidRPr="002F2687" w:rsidRDefault="00C33240" w:rsidP="0020041C">
      <w:r w:rsidRPr="002F2687">
        <w:t xml:space="preserve">Appropriate records for these mandated consultations </w:t>
      </w:r>
      <w:r w:rsidR="00CB6AF7">
        <w:t>are being</w:t>
      </w:r>
      <w:r w:rsidRPr="002F2687">
        <w:t xml:space="preserve"> maintained.</w:t>
      </w:r>
    </w:p>
    <w:p w14:paraId="5B212545" w14:textId="23A82D2D" w:rsidR="00C33240" w:rsidRPr="002F2687" w:rsidRDefault="00C33240" w:rsidP="0020041C">
      <w:r w:rsidRPr="002F2687">
        <w:rPr>
          <w:b/>
        </w:rPr>
        <w:t>Web-Based Input</w:t>
      </w:r>
      <w:r w:rsidR="009A2066">
        <w:rPr>
          <w:b/>
        </w:rPr>
        <w:t xml:space="preserve">: </w:t>
      </w:r>
      <w:r w:rsidRPr="002F2687">
        <w:t xml:space="preserve">A public </w:t>
      </w:r>
      <w:r w:rsidR="00DF4A63" w:rsidRPr="002F2687">
        <w:t>w</w:t>
      </w:r>
      <w:r w:rsidRPr="002F2687">
        <w:t xml:space="preserve">ebsite was developed by WestEd to publicize the opportunity to review and comment on the </w:t>
      </w:r>
      <w:r w:rsidR="00AB020D">
        <w:t xml:space="preserve">Draft </w:t>
      </w:r>
      <w:r w:rsidR="001801A4">
        <w:t xml:space="preserve">Federal </w:t>
      </w:r>
      <w:r w:rsidR="00F559CE">
        <w:t xml:space="preserve">Perkins V </w:t>
      </w:r>
      <w:r w:rsidR="0089501F" w:rsidRPr="002F2687">
        <w:t xml:space="preserve">State </w:t>
      </w:r>
      <w:r w:rsidR="0089501F" w:rsidRPr="00001BFC">
        <w:t>P</w:t>
      </w:r>
      <w:r w:rsidRPr="00001BFC">
        <w:t>lan</w:t>
      </w:r>
      <w:r w:rsidR="00CC633B">
        <w:t xml:space="preserve">. The website </w:t>
      </w:r>
      <w:r w:rsidR="00FE3149">
        <w:t>can be found at</w:t>
      </w:r>
      <w:r w:rsidR="004A26D0" w:rsidRPr="00001BFC">
        <w:t xml:space="preserve"> </w:t>
      </w:r>
      <w:hyperlink r:id="rId16" w:tooltip="The Perkins V State Plan Public Feedback Survey" w:history="1">
        <w:r w:rsidR="00FE3149">
          <w:rPr>
            <w:rStyle w:val="Hyperlink"/>
          </w:rPr>
          <w:t>https://www.wested.org/perkinsplanfeedback/</w:t>
        </w:r>
      </w:hyperlink>
      <w:r w:rsidR="00FE3149" w:rsidRPr="00FE3149">
        <w:t xml:space="preserve">. </w:t>
      </w:r>
      <w:r w:rsidRPr="002F2687">
        <w:t>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w:t>
      </w:r>
      <w:r w:rsidR="00325BB1">
        <w:t>in an electronic survey</w:t>
      </w:r>
      <w:r w:rsidRPr="002F2687">
        <w:t xml:space="preserve">. The </w:t>
      </w:r>
      <w:r w:rsidR="00DF4A63" w:rsidRPr="002F2687">
        <w:t>w</w:t>
      </w:r>
      <w:r w:rsidRPr="002F2687">
        <w:t xml:space="preserve">ebsite also included information about the public </w:t>
      </w:r>
      <w:r w:rsidR="00325BB1">
        <w:t>input sessions</w:t>
      </w:r>
      <w:r w:rsidR="00325BB1" w:rsidRPr="002F2687">
        <w:t xml:space="preserve"> </w:t>
      </w:r>
      <w:r w:rsidRPr="002F2687">
        <w:t xml:space="preserve">and the means by which individuals could participate either in person or via </w:t>
      </w:r>
      <w:r w:rsidR="00DF4A63" w:rsidRPr="002F2687">
        <w:t>w</w:t>
      </w:r>
      <w:r w:rsidRPr="002F2687">
        <w:t>ebcast.</w:t>
      </w:r>
    </w:p>
    <w:p w14:paraId="219FA61B" w14:textId="5B56A91E"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listservs,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48078B">
      <w:pPr>
        <w:pStyle w:val="ListParagraph"/>
        <w:ind w:left="1170" w:hanging="450"/>
      </w:pPr>
      <w:r w:rsidRPr="002F2687">
        <w:t>The CTE project listserv</w:t>
      </w:r>
    </w:p>
    <w:p w14:paraId="3FB2307D" w14:textId="77777777" w:rsidR="00C33240" w:rsidRPr="002F2687" w:rsidRDefault="00C33240" w:rsidP="0048078B">
      <w:pPr>
        <w:pStyle w:val="ListParagraph"/>
        <w:ind w:left="1170" w:hanging="450"/>
      </w:pPr>
      <w:r w:rsidRPr="002F2687">
        <w:t>The CDE high school listserv</w:t>
      </w:r>
    </w:p>
    <w:p w14:paraId="31FAF1C5" w14:textId="77777777" w:rsidR="00C33240" w:rsidRPr="002F2687" w:rsidRDefault="00DF4A63" w:rsidP="0048078B">
      <w:pPr>
        <w:pStyle w:val="ListParagraph"/>
        <w:ind w:left="1170" w:hanging="450"/>
      </w:pPr>
      <w:r w:rsidRPr="002F2687">
        <w:t xml:space="preserve">The </w:t>
      </w:r>
      <w:r w:rsidR="00C33240" w:rsidRPr="002F2687">
        <w:t>CCCCO listservs</w:t>
      </w:r>
    </w:p>
    <w:p w14:paraId="0319DB8D" w14:textId="58FD1A59" w:rsidR="00C33240" w:rsidRPr="002F2687" w:rsidRDefault="00C33240" w:rsidP="0048078B">
      <w:pPr>
        <w:pStyle w:val="ListParagraph"/>
        <w:ind w:left="1170" w:hanging="450"/>
      </w:pPr>
      <w:r w:rsidRPr="002F2687">
        <w:lastRenderedPageBreak/>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r w:rsidR="00325BB1">
        <w:t xml:space="preserve"> and charter schools</w:t>
      </w:r>
      <w:r w:rsidRPr="002F2687">
        <w:t>)</w:t>
      </w:r>
    </w:p>
    <w:p w14:paraId="1208608E" w14:textId="77777777" w:rsidR="00C33240" w:rsidRPr="002F2687" w:rsidRDefault="00C33240" w:rsidP="0048078B">
      <w:pPr>
        <w:pStyle w:val="ListParagraph"/>
        <w:ind w:left="1170" w:hanging="45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48078B">
      <w:pPr>
        <w:pStyle w:val="ListParagraph"/>
        <w:ind w:left="1170" w:hanging="45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48078B">
      <w:pPr>
        <w:pStyle w:val="ListParagraph"/>
        <w:ind w:left="1170" w:hanging="450"/>
      </w:pPr>
      <w:r w:rsidRPr="002F2687">
        <w:t>The University of California</w:t>
      </w:r>
      <w:r w:rsidR="00F2136B">
        <w:t xml:space="preserve"> (UC)</w:t>
      </w:r>
      <w:r w:rsidRPr="002F2687">
        <w:t xml:space="preserve"> Office of the President (for distribution to interested staff and faculty)</w:t>
      </w:r>
    </w:p>
    <w:p w14:paraId="47B155E0" w14:textId="3D04B760" w:rsidR="00C33240" w:rsidRPr="002F2687" w:rsidRDefault="00C33240" w:rsidP="0048078B">
      <w:pPr>
        <w:pStyle w:val="ListParagraph"/>
        <w:ind w:left="1170" w:hanging="450"/>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w:t>
      </w:r>
      <w:r w:rsidR="000B4F00">
        <w:t>its</w:t>
      </w:r>
      <w:r w:rsidR="000B4F00" w:rsidRPr="002F2687">
        <w:t xml:space="preserve"> </w:t>
      </w:r>
      <w:r w:rsidRPr="002F2687">
        <w:t>calendar and publications)</w:t>
      </w:r>
    </w:p>
    <w:p w14:paraId="79385FD8" w14:textId="77777777" w:rsidR="00C33240" w:rsidRPr="002F2687" w:rsidRDefault="00C33240" w:rsidP="0048078B">
      <w:pPr>
        <w:pStyle w:val="ListParagraph"/>
        <w:ind w:left="1170" w:hanging="450"/>
      </w:pPr>
      <w:r w:rsidRPr="002F2687">
        <w:t>The California School Boards Association (for distribution to members)</w:t>
      </w:r>
    </w:p>
    <w:p w14:paraId="02C1C9C6" w14:textId="210033E6" w:rsidR="00C33240" w:rsidRPr="002F2687" w:rsidRDefault="00C33240" w:rsidP="0048078B">
      <w:pPr>
        <w:pStyle w:val="ListParagraph"/>
        <w:ind w:left="1170" w:hanging="450"/>
      </w:pPr>
      <w:r w:rsidRPr="002F2687">
        <w:t xml:space="preserve">Business and industry organizations </w:t>
      </w:r>
    </w:p>
    <w:p w14:paraId="5F665E69" w14:textId="77777777" w:rsidR="00C33240" w:rsidRPr="002F2687" w:rsidRDefault="00C33240" w:rsidP="0048078B">
      <w:pPr>
        <w:pStyle w:val="ListParagraph"/>
        <w:ind w:left="1170" w:hanging="450"/>
      </w:pPr>
      <w:r w:rsidRPr="002F2687">
        <w:t>CTE professional associations and organizations</w:t>
      </w:r>
    </w:p>
    <w:p w14:paraId="7540C5CC" w14:textId="16142EFC"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w:t>
      </w:r>
      <w:r w:rsidR="00045632">
        <w:t xml:space="preserve"> </w:t>
      </w:r>
      <w:r w:rsidRPr="002F2687">
        <w:t xml:space="preserve">on both the CDE and </w:t>
      </w:r>
      <w:r w:rsidR="00FF0597" w:rsidRPr="002F2687">
        <w:t xml:space="preserve">the </w:t>
      </w:r>
      <w:r w:rsidRPr="002F2687">
        <w:t xml:space="preserve">CCCCO </w:t>
      </w:r>
      <w:r w:rsidR="00DF4A63" w:rsidRPr="002F2687">
        <w:t>w</w:t>
      </w:r>
      <w:r w:rsidRPr="002F2687">
        <w:t xml:space="preserve">eb pages. </w:t>
      </w:r>
      <w:r w:rsidR="0052268A">
        <w:t>Individuals’ o</w:t>
      </w:r>
      <w:r w:rsidRPr="002F2687">
        <w:t>ptions for responding included:</w:t>
      </w:r>
    </w:p>
    <w:p w14:paraId="50F12A48" w14:textId="49806EC4" w:rsidR="00C33240" w:rsidRPr="00001BFC" w:rsidRDefault="00C33240" w:rsidP="0048078B">
      <w:pPr>
        <w:pStyle w:val="ListParagraph"/>
        <w:ind w:left="1170" w:hanging="450"/>
      </w:pPr>
      <w:r w:rsidRPr="002F2687">
        <w:t>Web</w:t>
      </w:r>
      <w:r w:rsidR="0062423C">
        <w:t xml:space="preserve"> </w:t>
      </w:r>
      <w:r w:rsidRPr="002F2687">
        <w:t>(</w:t>
      </w:r>
      <w:proofErr w:type="spellStart"/>
      <w:r w:rsidRPr="002F2687">
        <w:t>WestEd</w:t>
      </w:r>
      <w:proofErr w:type="spellEnd"/>
      <w:r w:rsidRPr="002F2687">
        <w:t xml:space="preserve"> </w:t>
      </w:r>
      <w:r w:rsidR="00DF4A63" w:rsidRPr="00001BFC">
        <w:t>w</w:t>
      </w:r>
      <w:r w:rsidRPr="00001BFC">
        <w:t xml:space="preserve">ebsite: </w:t>
      </w:r>
      <w:hyperlink r:id="rId17" w:tooltip="WestEd public feedback page" w:history="1">
        <w:r w:rsidR="00CD3C0A">
          <w:rPr>
            <w:rStyle w:val="Hyperlink"/>
          </w:rPr>
          <w:t>https://www.wested.org/perkinspubliccomment/</w:t>
        </w:r>
      </w:hyperlink>
      <w:r w:rsidRPr="00001BFC">
        <w:t>)</w:t>
      </w:r>
    </w:p>
    <w:p w14:paraId="4EEFD9B5" w14:textId="10779E4F" w:rsidR="00C33240" w:rsidRPr="00001BFC" w:rsidRDefault="00C33240" w:rsidP="0048078B">
      <w:pPr>
        <w:pStyle w:val="ListParagraph"/>
        <w:ind w:left="1170" w:hanging="450"/>
      </w:pPr>
      <w:r w:rsidRPr="00001BFC">
        <w:t>Email (</w:t>
      </w:r>
      <w:hyperlink r:id="rId18" w:tooltip="path2work@cde.ca.gov email address" w:history="1">
        <w:r w:rsidR="00FE3149" w:rsidRPr="00872875">
          <w:rPr>
            <w:rStyle w:val="Hyperlink"/>
          </w:rPr>
          <w:t>path2work@cde.ca.gov</w:t>
        </w:r>
      </w:hyperlink>
      <w:r w:rsidRPr="00001BFC">
        <w:t>)</w:t>
      </w:r>
    </w:p>
    <w:p w14:paraId="5C228F05" w14:textId="4546F858" w:rsidR="00C33240" w:rsidRPr="002F2687" w:rsidRDefault="00C33240" w:rsidP="0048078B">
      <w:pPr>
        <w:pStyle w:val="ListParagraph"/>
        <w:ind w:left="1170" w:hanging="450"/>
      </w:pPr>
      <w:r w:rsidRPr="002F2687">
        <w:t xml:space="preserve">Regional public </w:t>
      </w:r>
      <w:r w:rsidR="00F1270C">
        <w:t>meetings</w:t>
      </w:r>
    </w:p>
    <w:p w14:paraId="34D59054" w14:textId="51AFB389" w:rsidR="00C33240" w:rsidRDefault="00C33240" w:rsidP="0020041C">
      <w:r w:rsidRPr="002F2687">
        <w:rPr>
          <w:b/>
        </w:rPr>
        <w:t xml:space="preserve">Public </w:t>
      </w:r>
      <w:r w:rsidR="00CB6AF7">
        <w:rPr>
          <w:b/>
        </w:rPr>
        <w:t>Meetings</w:t>
      </w:r>
      <w:r w:rsidR="009A2066">
        <w:rPr>
          <w:b/>
        </w:rPr>
        <w:t xml:space="preserve">: </w:t>
      </w:r>
      <w:r w:rsidRPr="002F2687">
        <w:t xml:space="preserve">For those individuals </w:t>
      </w:r>
      <w:r w:rsidR="00F1270C">
        <w:t xml:space="preserve">who </w:t>
      </w:r>
      <w:r w:rsidRPr="002F2687">
        <w:t>prefer</w:t>
      </w:r>
      <w:r w:rsidR="0052268A">
        <w:t>red</w:t>
      </w:r>
      <w:r w:rsidRPr="002F2687">
        <w:t xml:space="preserve">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who wish</w:t>
      </w:r>
      <w:r w:rsidR="0052268A">
        <w:t>ed</w:t>
      </w:r>
      <w:r w:rsidR="00F1270C">
        <w:t xml:space="preserve">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 xml:space="preserve">North Orange County in </w:t>
      </w:r>
      <w:r w:rsidR="000B4F8D">
        <w:t>S</w:t>
      </w:r>
      <w:r w:rsidR="00C7334B" w:rsidRPr="002F2687">
        <w:t>outhern California</w:t>
      </w:r>
      <w:r w:rsidR="008B72C1">
        <w:t xml:space="preserve">, and December </w:t>
      </w:r>
      <w:r w:rsidR="00330BD7" w:rsidRPr="00EE6792">
        <w:t>9</w:t>
      </w:r>
      <w:r w:rsidR="00330BD7" w:rsidRPr="002F2687">
        <w:t xml:space="preserve">, </w:t>
      </w:r>
      <w:r w:rsidR="008B72C1">
        <w:t xml:space="preserve">2019, </w:t>
      </w:r>
      <w:r w:rsidR="008B72C1" w:rsidRPr="002F2687">
        <w:t>in Sacramento</w:t>
      </w:r>
      <w:r w:rsidRPr="002F2687">
        <w:t xml:space="preserve">. The public also had the opportunity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State P</w:t>
      </w:r>
      <w:r w:rsidRPr="002F2687">
        <w:t xml:space="preserve">lan at </w:t>
      </w:r>
      <w:r w:rsidR="00C7334B" w:rsidRPr="002F2687">
        <w:t xml:space="preserve">several conferences around the </w:t>
      </w:r>
      <w:r w:rsidR="007D1D68">
        <w:t>S</w:t>
      </w:r>
      <w:r w:rsidR="00C7334B" w:rsidRPr="002F2687">
        <w:t xml:space="preserve">tate. </w:t>
      </w:r>
      <w:r w:rsidR="00274085">
        <w:t>A</w:t>
      </w:r>
      <w:r w:rsidR="00C7334B" w:rsidRPr="002F2687">
        <w:t xml:space="preserve">ll of the </w:t>
      </w:r>
      <w:r w:rsidRPr="002F2687">
        <w:t xml:space="preserve">CWPJAC meetings beginning in </w:t>
      </w:r>
      <w:r w:rsidR="00EC0160">
        <w:t>February</w:t>
      </w:r>
      <w:r w:rsidRPr="002F2687">
        <w:t xml:space="preserve"> 201</w:t>
      </w:r>
      <w:r w:rsidR="000B47AE">
        <w:t>9</w:t>
      </w:r>
      <w:r w:rsidRPr="002F2687">
        <w:t xml:space="preserve"> and spanning through </w:t>
      </w:r>
      <w:r w:rsidR="00B5434A">
        <w:t>March 2020</w:t>
      </w:r>
      <w:r w:rsidR="00C7334B" w:rsidRPr="002F2687">
        <w:t xml:space="preserve"> were open to the public </w:t>
      </w:r>
      <w:r w:rsidR="00C7334B" w:rsidRPr="002F2687">
        <w:lastRenderedPageBreak/>
        <w:t xml:space="preserve">and </w:t>
      </w:r>
      <w:r w:rsidR="0062423C">
        <w:t>allotted</w:t>
      </w:r>
      <w:r w:rsidR="00C7334B" w:rsidRPr="002F2687">
        <w:t xml:space="preserve"> time for public comment on the </w:t>
      </w:r>
      <w:r w:rsidR="001801A4">
        <w:t xml:space="preserve">Federal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public hearings were posted</w:t>
      </w:r>
      <w:r w:rsidR="00C61C20">
        <w:t>,</w:t>
      </w:r>
      <w:r w:rsidRPr="002F2687">
        <w:t xml:space="preserve"> per the Bagley-Keene Open Meeting Act requirements</w:t>
      </w:r>
      <w:r w:rsidR="00C61C20">
        <w:t>,</w:t>
      </w:r>
      <w:r w:rsidRPr="002F2687">
        <w:t xml:space="preserve"> on the </w:t>
      </w:r>
      <w:r w:rsidR="001801A4">
        <w:t xml:space="preserve">Federal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78BB4520" w14:textId="68F9EAA2" w:rsidR="00EB7C4C" w:rsidRPr="002F2687" w:rsidRDefault="00C24C0C" w:rsidP="0020041C">
      <w:r>
        <w:t>In summary, t</w:t>
      </w:r>
      <w:r w:rsidR="00EB7C4C">
        <w:t xml:space="preserve">he information gathered through stakeholder meetings, </w:t>
      </w:r>
      <w:r w:rsidR="00C61C20">
        <w:t xml:space="preserve">through </w:t>
      </w:r>
      <w:r w:rsidR="00EB7C4C">
        <w:t xml:space="preserve">discussions with key informants, and during the public comment period </w:t>
      </w:r>
      <w:r w:rsidR="00C61C20">
        <w:t>was</w:t>
      </w:r>
      <w:r w:rsidR="00EB7C4C">
        <w:t xml:space="preserve"> collated and curated by the Comprehensive Center</w:t>
      </w:r>
      <w:r w:rsidR="006E7D09">
        <w:t xml:space="preserve"> at WestEd</w:t>
      </w:r>
      <w:r w:rsidR="003466B6">
        <w:t>. Stakeholder and key</w:t>
      </w:r>
      <w:r w:rsidR="00C61C20">
        <w:t>-</w:t>
      </w:r>
      <w:r w:rsidR="003466B6">
        <w:t>informant comments were included in earlier versions of the Draft</w:t>
      </w:r>
      <w:r w:rsidR="001801A4">
        <w:t xml:space="preserve"> Federal</w:t>
      </w:r>
      <w:r w:rsidR="003466B6">
        <w:t xml:space="preserve"> Perkins V State Plan</w:t>
      </w:r>
      <w:r w:rsidR="003027EC">
        <w:t>.</w:t>
      </w:r>
      <w:r w:rsidR="00221798">
        <w:t xml:space="preserve"> </w:t>
      </w:r>
      <w:r w:rsidR="003027EC">
        <w:t xml:space="preserve">Comments </w:t>
      </w:r>
      <w:r w:rsidR="00221798">
        <w:t>from the general public</w:t>
      </w:r>
      <w:r w:rsidR="003027EC">
        <w:t xml:space="preserve"> were</w:t>
      </w:r>
      <w:r w:rsidR="00221798">
        <w:t xml:space="preserve"> included </w:t>
      </w:r>
      <w:r>
        <w:t xml:space="preserve">in the Draft </w:t>
      </w:r>
      <w:r w:rsidR="001801A4">
        <w:t xml:space="preserve">Federal </w:t>
      </w:r>
      <w:r>
        <w:t>Perkins V State Plan presented at the January</w:t>
      </w:r>
      <w:r w:rsidR="003027EC">
        <w:t xml:space="preserve"> 31, 2020</w:t>
      </w:r>
      <w:r w:rsidR="00C61C20">
        <w:t>,</w:t>
      </w:r>
      <w:r>
        <w:t xml:space="preserve"> CWPJAC meeting. To make all comments </w:t>
      </w:r>
      <w:r w:rsidR="00ED4E93">
        <w:t>publicly</w:t>
      </w:r>
      <w:r>
        <w:t xml:space="preserve"> available, a </w:t>
      </w:r>
      <w:r w:rsidR="003027EC">
        <w:t>Public Comment Report for the</w:t>
      </w:r>
      <w:r w:rsidR="00AB020D">
        <w:t xml:space="preserve"> Draft</w:t>
      </w:r>
      <w:r w:rsidR="003027EC">
        <w:t xml:space="preserve"> Federal Perkins V State Plan</w:t>
      </w:r>
      <w:r>
        <w:t xml:space="preserve"> </w:t>
      </w:r>
      <w:r w:rsidR="00AB020D">
        <w:t>was</w:t>
      </w:r>
      <w:r>
        <w:t xml:space="preserve"> made available in hard</w:t>
      </w:r>
      <w:r w:rsidR="00C61C20">
        <w:t>-</w:t>
      </w:r>
      <w:r>
        <w:t>copy form for review at the CDE</w:t>
      </w:r>
      <w:r w:rsidR="00C61C20">
        <w:t>,</w:t>
      </w:r>
      <w:r w:rsidR="003027EC">
        <w:t xml:space="preserve"> as well as </w:t>
      </w:r>
      <w:r w:rsidR="00FA511A">
        <w:t>posted on WestEd’s web</w:t>
      </w:r>
      <w:r w:rsidR="000B4F00">
        <w:t xml:space="preserve"> </w:t>
      </w:r>
      <w:r w:rsidR="00FA511A">
        <w:t xml:space="preserve">page, </w:t>
      </w:r>
      <w:r w:rsidR="00B5434A">
        <w:t xml:space="preserve">located </w:t>
      </w:r>
      <w:r w:rsidR="00FA511A">
        <w:t xml:space="preserve">at </w:t>
      </w:r>
      <w:hyperlink r:id="rId19" w:tooltip="WestEd to view public comments" w:history="1">
        <w:r w:rsidR="009D482B" w:rsidRPr="009D482B">
          <w:rPr>
            <w:rStyle w:val="Hyperlink"/>
          </w:rPr>
          <w:t>https://www.wested.org/perkinspubliccomment/</w:t>
        </w:r>
      </w:hyperlink>
      <w:r w:rsidR="009D482B">
        <w:t>.</w:t>
      </w:r>
    </w:p>
    <w:p w14:paraId="000EB45F" w14:textId="77777777" w:rsidR="00C33240" w:rsidRPr="002F2687" w:rsidRDefault="003B5FA0" w:rsidP="007C4FD4">
      <w:pPr>
        <w:pStyle w:val="Heading3"/>
      </w:pPr>
      <w:bookmarkStart w:id="25" w:name="_Toc18935411"/>
      <w:bookmarkStart w:id="26" w:name="_Toc21683331"/>
      <w:bookmarkStart w:id="27" w:name="_Toc21944235"/>
      <w:bookmarkStart w:id="28" w:name="_Toc33620402"/>
      <w:r w:rsidRPr="002F2687">
        <w:t>B.</w:t>
      </w:r>
      <w:r w:rsidR="00C66D7E" w:rsidRPr="002F2687">
        <w:t xml:space="preserve"> </w:t>
      </w:r>
      <w:r w:rsidR="00C33240" w:rsidRPr="002F2687">
        <w:t>Program Administration and Implementation</w:t>
      </w:r>
      <w:bookmarkEnd w:id="25"/>
      <w:bookmarkEnd w:id="26"/>
      <w:bookmarkEnd w:id="27"/>
      <w:bookmarkEnd w:id="28"/>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r w:rsidR="004F6ED1">
        <w:t>][</w:t>
      </w:r>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55EA4D58"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w:t>
      </w:r>
      <w:r w:rsidR="00A97D8C">
        <w:t>force. New demands from the 21</w:t>
      </w:r>
      <w:r w:rsidR="00A97D8C" w:rsidRPr="00A97D8C">
        <w:rPr>
          <w:vertAlign w:val="superscript"/>
        </w:rPr>
        <w:t>st</w:t>
      </w:r>
      <w:r w:rsidR="00B5434A">
        <w:t xml:space="preserve"> </w:t>
      </w:r>
      <w:r>
        <w:t>century workplace</w:t>
      </w:r>
      <w:r w:rsidR="000A445D">
        <w:t>;</w:t>
      </w:r>
      <w:r>
        <w:t xml:space="preserve"> rapid globalization</w:t>
      </w:r>
      <w:r w:rsidR="000A445D">
        <w:t>;</w:t>
      </w:r>
      <w:r>
        <w:t xml:space="preserve"> shifts in the State’s demographics</w:t>
      </w:r>
      <w:r w:rsidR="000A445D">
        <w:t>,</w:t>
      </w:r>
      <w:r>
        <w:t xml:space="preserve"> including immigration and baby</w:t>
      </w:r>
      <w:r w:rsidR="000A445D">
        <w:t>-</w:t>
      </w:r>
      <w:r>
        <w:t>boomer retirements</w:t>
      </w:r>
      <w:r w:rsidR="000A445D">
        <w:t>;</w:t>
      </w:r>
      <w:r>
        <w:t xml:space="preserve"> and </w:t>
      </w:r>
      <w:r w:rsidR="00EC0160" w:rsidRPr="00EC0160">
        <w:t xml:space="preserve">heightened expectations for equitable </w:t>
      </w:r>
      <w:r>
        <w:t>outcomes for K–12, adult school</w:t>
      </w:r>
      <w:r w:rsidR="004F6ED1">
        <w:t>s</w:t>
      </w:r>
      <w:r>
        <w:t xml:space="preserve">, and </w:t>
      </w:r>
      <w:r w:rsidR="004F6ED1">
        <w:t>CCC</w:t>
      </w:r>
      <w:r>
        <w:t xml:space="preserve"> students are creating a new </w:t>
      </w:r>
      <w:r>
        <w:lastRenderedPageBreak/>
        <w:t>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569829BC" w:rsidR="00721F60" w:rsidRDefault="00721F60" w:rsidP="00721F60">
      <w:r>
        <w:t>In California, given vast regional differences and powerful economic and demographic forces, completion of high school and ongoing training or education ha</w:t>
      </w:r>
      <w:r w:rsidR="00274085">
        <w:t>ve</w:t>
      </w:r>
      <w:r>
        <w:t xml:space="preserve"> become essential to </w:t>
      </w:r>
      <w:r w:rsidR="00060429">
        <w:t>meet workforce demands</w:t>
      </w:r>
      <w:r w:rsidR="00EC2A01">
        <w:t xml:space="preserve">. </w:t>
      </w:r>
      <w:r>
        <w:t xml:space="preserve">California intends to leverage </w:t>
      </w:r>
      <w:r w:rsidR="007D1D68">
        <w:t>S</w:t>
      </w:r>
      <w:r>
        <w:t>tate and federal efforts to improve the entire CTE system — to move toward a more coherent, world-class delivery system that serves as the primary engine for the State’s workforce and economic development, and as a key vehicle to engage students in learning.</w:t>
      </w:r>
      <w:r w:rsidR="00EC2A01">
        <w:t xml:space="preserve"> </w:t>
      </w:r>
      <w:r w:rsidR="00EC2A01" w:rsidRPr="00F954CD">
        <w:t xml:space="preserve">CTE </w:t>
      </w:r>
      <w:r w:rsidR="003027EC">
        <w:t>is</w:t>
      </w:r>
      <w:r w:rsidR="00EC2A01" w:rsidRPr="00F954CD">
        <w:t xml:space="preserve"> a critical component within a broad and deep curriculum that prepare</w:t>
      </w:r>
      <w:r w:rsidR="003027EC">
        <w:t>s</w:t>
      </w:r>
      <w:r w:rsidR="00EC2A01" w:rsidRPr="00F954CD">
        <w:t xml:space="preserve"> all students to be career and college ready.</w:t>
      </w:r>
    </w:p>
    <w:p w14:paraId="081DAD54" w14:textId="675C5052" w:rsidR="00721F60" w:rsidRDefault="00721F60" w:rsidP="00721F60">
      <w:r>
        <w:t>The State’s shifting economy has created a need for new knowledge, skills, and attitudes in the workplace. Employers view skills such as communication, critical thinking, problem</w:t>
      </w:r>
      <w:r w:rsidR="000D079F">
        <w:t>-</w:t>
      </w:r>
      <w:r>
        <w:t>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101CD3C2" w:rsidR="00721F60" w:rsidRDefault="00721F60" w:rsidP="00721F60">
      <w:r>
        <w:t>These skills</w:t>
      </w:r>
      <w:r w:rsidR="00277171">
        <w:t>, attitudes</w:t>
      </w:r>
      <w:r w:rsidR="00B5434A">
        <w:t>,</w:t>
      </w:r>
      <w:r>
        <w:t xml:space="preserve"> </w:t>
      </w:r>
      <w:r w:rsidR="002D7493">
        <w:t xml:space="preserve">and new knowledge </w:t>
      </w:r>
      <w:r>
        <w:t>are essential to success for all working adults</w:t>
      </w:r>
      <w:r w:rsidR="00277171" w:rsidRPr="00277171">
        <w:t xml:space="preserve"> across the spectrum of occupations</w:t>
      </w:r>
      <w:r>
        <w:t>, be they artists, scie</w:t>
      </w:r>
      <w:r w:rsidR="00B5434A">
        <w:t>ntists, nurses, or carpenters. Furthermore, t</w:t>
      </w:r>
      <w:r>
        <w:t xml:space="preserve">hey are essential to society in addressing the challenges posed </w:t>
      </w:r>
      <w:r w:rsidR="00D63DDB">
        <w:t xml:space="preserve">by </w:t>
      </w:r>
      <w:r>
        <w:t xml:space="preserve">not only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strong academic preparation and guided by basic principles of youth and adult development, CTE can complement and enhance learning </w:t>
      </w:r>
      <w:r>
        <w:lastRenderedPageBreak/>
        <w:t>in all disciplines, reinforcing</w:t>
      </w:r>
      <w:r w:rsidR="00D63DDB">
        <w:t>,</w:t>
      </w:r>
      <w:r>
        <w:t xml:space="preserve"> rather than compromising</w:t>
      </w:r>
      <w:r w:rsidR="00D63DDB">
        <w:t>,</w:t>
      </w:r>
      <w:r>
        <w:t xml:space="preserve"> the tenets of a solely academic education while preparing students for their future endeavors. </w:t>
      </w:r>
    </w:p>
    <w:p w14:paraId="0CE576FA" w14:textId="0E966127" w:rsidR="00721F60" w:rsidRDefault="00721F60" w:rsidP="00721F60">
      <w:r>
        <w:t xml:space="preserve">Many new priorities are reflected in the recent work </w:t>
      </w:r>
      <w:r w:rsidR="00F1270C">
        <w:t>of</w:t>
      </w:r>
      <w:r>
        <w:t xml:space="preserve"> the CWPJAC, as defined by </w:t>
      </w:r>
      <w:r w:rsidR="00F1270C">
        <w:t>its</w:t>
      </w:r>
      <w:r>
        <w:t xml:space="preserve"> Guiding Policy Principles and </w:t>
      </w:r>
      <w:r w:rsidR="00F1270C">
        <w:t>its</w:t>
      </w:r>
      <w:r>
        <w:t xml:space="preserve"> Essenti</w:t>
      </w:r>
      <w:r w:rsidR="00256426">
        <w:t>a</w:t>
      </w:r>
      <w:r>
        <w:t xml:space="preserve">l Elements of a </w:t>
      </w:r>
      <w:r w:rsidR="00256426">
        <w:t xml:space="preserve">High-Quality </w:t>
      </w:r>
      <w:r>
        <w:t>College and Career Pathway. The emerging emphas</w:t>
      </w:r>
      <w:r w:rsidR="005D0A16">
        <w:t>e</w:t>
      </w:r>
      <w:r>
        <w:t xml:space="preserve">s on regional partnerships, regional program development and implementation, and powerful economic changes all contribute </w:t>
      </w:r>
      <w:r w:rsidR="005D0A16">
        <w:t xml:space="preserve">to </w:t>
      </w:r>
      <w:r>
        <w:t>the need to strengthen California CTE programs.</w:t>
      </w:r>
      <w:r w:rsidR="006F5399">
        <w:t xml:space="preserve"> </w:t>
      </w:r>
      <w:r>
        <w:t>In this spirit, the CWPJAC has made it a priority to pivot toward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31984465" w:rsidR="00721F60" w:rsidRPr="002F2687" w:rsidRDefault="00C33240" w:rsidP="0020041C">
      <w:r w:rsidRPr="002F2687">
        <w:t xml:space="preserve">California’s public education system comprises </w:t>
      </w:r>
      <w:r w:rsidR="00B5434A">
        <w:t>pre-</w:t>
      </w:r>
      <w:r w:rsidRPr="002F2687">
        <w:t xml:space="preserve">K–12 schools, adult schools, </w:t>
      </w:r>
      <w:r w:rsidR="00781105">
        <w:t>CCC</w:t>
      </w:r>
      <w:r w:rsidRPr="002F2687">
        <w:t xml:space="preserve">, </w:t>
      </w:r>
      <w:r w:rsidR="00781105">
        <w:t>UCs</w:t>
      </w:r>
      <w:r w:rsidR="00C149EF">
        <w:t>,</w:t>
      </w:r>
      <w:r w:rsidR="00781105">
        <w:t xml:space="preserve">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w:t>
      </w:r>
      <w:r w:rsidR="000D079F">
        <w:t xml:space="preserve">a </w:t>
      </w:r>
      <w:r w:rsidRPr="002F2687">
        <w:t xml:space="preserve">finance system that are largely controlled by the </w:t>
      </w:r>
      <w:r w:rsidR="00DF4A63" w:rsidRPr="002F2687">
        <w:t>L</w:t>
      </w:r>
      <w:r w:rsidRPr="002F2687">
        <w:t xml:space="preserve">egislature and </w:t>
      </w:r>
      <w:r w:rsidR="00C149EF">
        <w:t xml:space="preserve">the </w:t>
      </w:r>
      <w:r w:rsidR="00DF4A63" w:rsidRPr="002F2687">
        <w:t>G</w:t>
      </w:r>
      <w:r w:rsidRPr="002F2687">
        <w:t>overnor.</w:t>
      </w:r>
    </w:p>
    <w:p w14:paraId="5BD392D3" w14:textId="7CD0EF18" w:rsidR="009C2666" w:rsidRDefault="00AD7DD0" w:rsidP="0020041C">
      <w:r w:rsidRPr="002F2687">
        <w:t xml:space="preserve">The </w:t>
      </w:r>
      <w:r w:rsidR="003C6F31">
        <w:t>s</w:t>
      </w:r>
      <w:r w:rsidRPr="002F2687">
        <w:t xml:space="preserve">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w:t>
      </w:r>
      <w:r w:rsidR="003C6F31">
        <w:t xml:space="preserve">just over </w:t>
      </w:r>
      <w:r w:rsidRPr="002F2687">
        <w:t>10,</w:t>
      </w:r>
      <w:r w:rsidR="003C6F31">
        <w:t>500</w:t>
      </w:r>
      <w:r w:rsidRPr="002F2687">
        <w:t xml:space="preserve"> schools. The </w:t>
      </w:r>
      <w:r w:rsidR="003C6F31">
        <w:t>s</w:t>
      </w:r>
      <w:r w:rsidRPr="002F2687">
        <w:t xml:space="preserve">tate provides educational services to </w:t>
      </w:r>
      <w:r w:rsidR="00F1270C">
        <w:t>more than</w:t>
      </w:r>
      <w:r w:rsidRPr="002F2687">
        <w:t xml:space="preserve"> 1 million adult learners through </w:t>
      </w:r>
      <w:r w:rsidR="000B4F8D">
        <w:t>a</w:t>
      </w:r>
      <w:r w:rsidRPr="002F2687">
        <w:t xml:space="preserve">dult </w:t>
      </w:r>
      <w:r w:rsidR="000B4F8D">
        <w:t>e</w:t>
      </w:r>
      <w:r w:rsidRPr="002F2687">
        <w:t xml:space="preserve">ducation </w:t>
      </w:r>
      <w:r w:rsidR="000B4F8D">
        <w:t>p</w:t>
      </w:r>
      <w:r w:rsidRPr="002F2687">
        <w:t xml:space="preserve">rograms delivered through both </w:t>
      </w:r>
      <w:r w:rsidR="009C0AA9" w:rsidRPr="002F2687">
        <w:t>K–1</w:t>
      </w:r>
      <w:r w:rsidRPr="002F2687">
        <w:t xml:space="preserve">2 </w:t>
      </w:r>
      <w:r w:rsidR="00F1270C">
        <w:t>schools</w:t>
      </w:r>
      <w:r w:rsidR="003027EC">
        <w:t>,</w:t>
      </w:r>
      <w:r w:rsidRPr="002F2687">
        <w:t xml:space="preserve"> </w:t>
      </w:r>
      <w:r w:rsidR="00781105">
        <w:t>CCC</w:t>
      </w:r>
      <w:r w:rsidR="003027EC">
        <w:t>, and other providers</w:t>
      </w:r>
      <w:r w:rsidRPr="002F2687">
        <w:t xml:space="preserve">. The </w:t>
      </w:r>
      <w:r w:rsidR="00E0027F">
        <w:t>CCC,</w:t>
      </w:r>
      <w:r w:rsidRPr="002F2687">
        <w:t xml:space="preserve">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BB7731">
        <w:t xml:space="preserve"> syste</w:t>
      </w:r>
      <w:r w:rsidR="001D76E0">
        <w:t>m</w:t>
      </w:r>
      <w:r w:rsidR="00457D02" w:rsidRPr="00457D02">
        <w:t>, along with public and private</w:t>
      </w:r>
      <w:r w:rsidR="00A906DE">
        <w:t>-</w:t>
      </w:r>
      <w:r w:rsidR="00457D02" w:rsidRPr="00457D02">
        <w:t xml:space="preserve">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w:t>
      </w:r>
      <w:r w:rsidR="00A35021">
        <w:t>,</w:t>
      </w:r>
      <w:r w:rsidR="00457D02" w:rsidRPr="00457D02">
        <w:t xml:space="preserve"> make up the core of California’s vast CTE infrastructure</w:t>
      </w:r>
      <w:r w:rsidR="005A3A5B">
        <w:t>.</w:t>
      </w:r>
      <w:r w:rsidR="003C6F31">
        <w:rPr>
          <w:rStyle w:val="FootnoteReference"/>
        </w:rPr>
        <w:footnoteReference w:id="6"/>
      </w:r>
      <w:bookmarkStart w:id="29" w:name="_Hlk24112332"/>
    </w:p>
    <w:p w14:paraId="0CC8DC9A" w14:textId="5FC0D37D" w:rsidR="00C33240" w:rsidRPr="002F2687" w:rsidRDefault="00C33240" w:rsidP="0020041C">
      <w:r w:rsidRPr="002F2687">
        <w:t>California’s CTE infrastructure, from the earliest education experiences until students exit K–12, adult school</w:t>
      </w:r>
      <w:r w:rsidR="0087305C">
        <w:t>s</w:t>
      </w:r>
      <w:r w:rsidRPr="002F2687">
        <w:t xml:space="preserve">, </w:t>
      </w:r>
      <w:r w:rsidR="00A906DE">
        <w:t xml:space="preserve">the </w:t>
      </w:r>
      <w:r w:rsidR="00781105">
        <w:t>CCC</w:t>
      </w:r>
      <w:r w:rsidR="00BB7731">
        <w:t xml:space="preserve"> system</w:t>
      </w:r>
      <w:r w:rsidRPr="002F2687">
        <w:t xml:space="preserve">, </w:t>
      </w:r>
      <w:r w:rsidR="00277171">
        <w:t>or beyond</w:t>
      </w:r>
      <w:r w:rsidR="00A906DE">
        <w:t>,</w:t>
      </w:r>
      <w:r w:rsidR="00277171">
        <w:t xml:space="preserve"> </w:t>
      </w:r>
      <w:r w:rsidRPr="002F2687">
        <w:t xml:space="preserve">is supported from a range of </w:t>
      </w:r>
      <w:r w:rsidRPr="002F2687">
        <w:lastRenderedPageBreak/>
        <w:t>resources</w:t>
      </w:r>
      <w:r w:rsidR="00A906DE">
        <w:t>,</w:t>
      </w:r>
      <w:r w:rsidR="00060429">
        <w:t xml:space="preserve"> including federal, </w:t>
      </w:r>
      <w:r w:rsidR="00601C3D">
        <w:t>s</w:t>
      </w:r>
      <w:r w:rsidR="00060429">
        <w:t>tate, local, and private funds.</w:t>
      </w:r>
      <w:r w:rsidRPr="002F2687">
        <w:t xml:space="preserve"> In addition to apportionment funds, which make up the majority of the funding, </w:t>
      </w:r>
      <w:r w:rsidR="007D1D68">
        <w:t>S</w:t>
      </w:r>
      <w:r w:rsidRPr="002F2687">
        <w:t>tate-funded programs support crucial aspects of CTE</w:t>
      </w:r>
      <w:r w:rsidR="009712FF">
        <w:t xml:space="preserve"> programming.</w:t>
      </w:r>
      <w:r w:rsidR="006F5399">
        <w:t xml:space="preserve"> </w:t>
      </w:r>
      <w:r w:rsidRPr="002F2687">
        <w:t xml:space="preserve">Key federal resources used to supplement and strengthen </w:t>
      </w:r>
      <w:r w:rsidR="00601C3D">
        <w:t>s</w:t>
      </w:r>
      <w:r w:rsidRPr="002F2687">
        <w:t>tate efforts include the Perkins V,</w:t>
      </w:r>
      <w:r w:rsidR="00F606D4">
        <w:t xml:space="preserve"> the</w:t>
      </w:r>
      <w:r w:rsidRPr="002F2687">
        <w:t xml:space="preserve"> </w:t>
      </w:r>
      <w:r w:rsidR="000B47AE">
        <w:t>ESSA,</w:t>
      </w:r>
      <w:r w:rsidR="00F606D4">
        <w:t xml:space="preserve"> the</w:t>
      </w:r>
      <w:r w:rsidR="000B47AE">
        <w:t xml:space="preserve"> </w:t>
      </w:r>
      <w:r w:rsidR="00F606D4" w:rsidRPr="00F606D4">
        <w:t xml:space="preserve">Individuals with Disabilities Education Act </w:t>
      </w:r>
      <w:r w:rsidR="00F606D4">
        <w:t>(</w:t>
      </w:r>
      <w:r w:rsidR="00D70086">
        <w:t>IDEA</w:t>
      </w:r>
      <w:r w:rsidR="00F606D4">
        <w:t>)</w:t>
      </w:r>
      <w:r w:rsidR="00A35021">
        <w:t>,</w:t>
      </w:r>
      <w:r w:rsidR="00D70086">
        <w:t xml:space="preserve"> </w:t>
      </w:r>
      <w:r w:rsidRPr="002F2687">
        <w:t xml:space="preserve">and </w:t>
      </w:r>
      <w:r w:rsidR="00F606D4">
        <w:t xml:space="preserve">the </w:t>
      </w:r>
      <w:r w:rsidRPr="002F2687">
        <w:t>WIOA.</w:t>
      </w:r>
    </w:p>
    <w:p w14:paraId="10C3AC4E" w14:textId="77777777" w:rsidR="00C33240" w:rsidRPr="00B24181" w:rsidRDefault="00C33240" w:rsidP="00E760C4">
      <w:pPr>
        <w:pStyle w:val="Heading6"/>
      </w:pPr>
      <w:bookmarkStart w:id="30" w:name="_Hlk24110630"/>
      <w:bookmarkEnd w:id="29"/>
      <w:r w:rsidRPr="00B24181">
        <w:t>The K–12 CTE Delivery Structure</w:t>
      </w:r>
    </w:p>
    <w:bookmarkEnd w:id="30"/>
    <w:p w14:paraId="3DB5F431" w14:textId="60968622" w:rsidR="005D36B9" w:rsidRPr="002F2687" w:rsidRDefault="005D36B9" w:rsidP="003A6CC9">
      <w:r w:rsidRPr="002F2687">
        <w:t xml:space="preserve">Within the CDE, the major responsibility for CTE program </w:t>
      </w:r>
      <w:r w:rsidR="00277171">
        <w:t xml:space="preserve">and administrative </w:t>
      </w:r>
      <w:r w:rsidRPr="002F2687">
        <w:t xml:space="preserve">oversight resides </w:t>
      </w:r>
      <w:r w:rsidR="00781105">
        <w:t>with</w:t>
      </w:r>
      <w:r w:rsidRPr="002F2687">
        <w:t>in the CCTD</w:t>
      </w:r>
      <w:r w:rsidR="00B5434A">
        <w:t>, as previously mentioned</w:t>
      </w:r>
      <w:r w:rsidRPr="002F2687">
        <w:t xml:space="preserve">. </w:t>
      </w:r>
      <w:r w:rsidR="00FC6B5B">
        <w:t>In addition</w:t>
      </w:r>
      <w:r w:rsidRPr="002F2687">
        <w:t>, the CCTD provides support and direction to LEAs regarding high school initiatives and adult education.</w:t>
      </w:r>
    </w:p>
    <w:p w14:paraId="46DE5972" w14:textId="7AC2EA92" w:rsidR="005D36B9" w:rsidRPr="002F2687" w:rsidRDefault="005D36B9" w:rsidP="0020041C">
      <w:r w:rsidRPr="002F2687">
        <w:t xml:space="preserve">CTE varies in focus, content, delivery, and intensity, beginning as early as elementary school and progressing throughout </w:t>
      </w:r>
      <w:r w:rsidR="00A344FE">
        <w:t>middle school</w:t>
      </w:r>
      <w:r w:rsidRPr="002F2687">
        <w:t>, high school, and higher education. Elementary and middle</w:t>
      </w:r>
      <w:r w:rsidR="00601C3D">
        <w:t xml:space="preserve"> school</w:t>
      </w:r>
      <w:r w:rsidRPr="002F2687">
        <w:t xml:space="preserve"> programs primarily focus on career awareness and exploration, with the goal of awakening students</w:t>
      </w:r>
      <w:r w:rsidR="00A217CE">
        <w:t>’</w:t>
      </w:r>
      <w:r w:rsidRPr="002F2687">
        <w:t xml:space="preserve"> imaginations about future possibilities. These programs consist of projects, speakers, field trips, and</w:t>
      </w:r>
      <w:r w:rsidR="00B24C7B">
        <w:t>,</w:t>
      </w:r>
      <w:r w:rsidRPr="002F2687">
        <w:t xml:space="preserve"> later</w:t>
      </w:r>
      <w:r w:rsidR="00B24C7B">
        <w:t>,</w:t>
      </w:r>
      <w:r w:rsidRPr="002F2687">
        <w:t xml:space="preserve"> job shadowing</w:t>
      </w:r>
      <w:r w:rsidR="00277171">
        <w:t>. T</w:t>
      </w:r>
      <w:r w:rsidRPr="002F2687">
        <w:t>hey help students learn through experience, expose students to career options, and reinforce the development of knowledge and skills associated with success in future careers</w:t>
      </w:r>
      <w:r w:rsidR="00B24C7B">
        <w:t xml:space="preserve"> </w:t>
      </w:r>
      <w:r w:rsidR="00B57868" w:rsidRPr="002F2687">
        <w:t>—</w:t>
      </w:r>
      <w:r w:rsidR="00B24C7B">
        <w:t xml:space="preserve"> </w:t>
      </w:r>
      <w:r w:rsidRPr="002F2687">
        <w:t>and in life. The career exploration and preparation process</w:t>
      </w:r>
      <w:r w:rsidR="00274085">
        <w:t>es</w:t>
      </w:r>
      <w:r w:rsidRPr="002F2687">
        <w:t xml:space="preserve">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349E927D" w:rsidR="00C33240" w:rsidRPr="002F2687" w:rsidRDefault="00C33240" w:rsidP="0020041C">
      <w:r w:rsidRPr="002F2687">
        <w:t xml:space="preserve">Once </w:t>
      </w:r>
      <w:r w:rsidR="004E63AD">
        <w:t xml:space="preserve">students are </w:t>
      </w:r>
      <w:r w:rsidRPr="002F2687">
        <w:t xml:space="preserve">in high school, </w:t>
      </w:r>
      <w:r w:rsidR="004E63AD">
        <w:t>their</w:t>
      </w:r>
      <w:r w:rsidR="004E63AD" w:rsidRPr="002F2687">
        <w:t xml:space="preserve"> </w:t>
      </w:r>
      <w:r w:rsidRPr="002F2687">
        <w:t>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introductory </w:t>
      </w:r>
      <w:r w:rsidR="001970D5">
        <w:t>WBL</w:t>
      </w:r>
      <w:r w:rsidR="00570009" w:rsidRPr="002F2687">
        <w:t xml:space="preserve"> </w:t>
      </w:r>
      <w:r w:rsidRPr="002F2687">
        <w:t>experiences</w:t>
      </w:r>
      <w:r w:rsidR="00376572">
        <w:t>,</w:t>
      </w:r>
      <w:r w:rsidRPr="002F2687">
        <w:t xml:space="preserve"> such as job shadowing and service</w:t>
      </w:r>
      <w:r w:rsidR="000D079F">
        <w:t>-</w:t>
      </w:r>
      <w:r w:rsidRPr="002F2687">
        <w:t>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w:t>
      </w:r>
      <w:r w:rsidRPr="002F2687">
        <w:lastRenderedPageBreak/>
        <w:t>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w:t>
      </w:r>
      <w:r w:rsidR="00796F51">
        <w:t xml:space="preserve"> (CPAs)</w:t>
      </w:r>
      <w:r w:rsidRPr="002F2687">
        <w:t>, and district adult school programs, providing on-the-job training in hundreds of occupations.</w:t>
      </w:r>
    </w:p>
    <w:p w14:paraId="6B1FFF1E" w14:textId="026C6686" w:rsidR="005D36B9" w:rsidRPr="002F2687" w:rsidRDefault="00C33240" w:rsidP="0020041C">
      <w:r w:rsidRPr="002F2687">
        <w:rPr>
          <w:b/>
        </w:rPr>
        <w:t>District-Supported High School Programs</w:t>
      </w:r>
      <w:r w:rsidR="007A6995">
        <w:rPr>
          <w:b/>
        </w:rPr>
        <w:t>:</w:t>
      </w:r>
      <w:r w:rsidRPr="007A6995">
        <w:t xml:space="preserve">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7"/>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w:t>
      </w:r>
      <w:r w:rsidR="00323023">
        <w:t xml:space="preserve"> Science and Medical Technology</w:t>
      </w:r>
      <w:r w:rsidR="005D36B9" w:rsidRPr="002F2687">
        <w:t>;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42669403" w:rsidR="00770A76" w:rsidRDefault="00770A76" w:rsidP="0020041C">
      <w:r w:rsidRPr="002F2687">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00796F51">
        <w:t>CPAs</w:t>
      </w:r>
      <w:r w:rsidRPr="002F2687">
        <w:t>, which require that programs have career themes, and the Specialized Secondary Programs, which often have career themes</w:t>
      </w:r>
      <w:r w:rsidR="00277171">
        <w:t>,</w:t>
      </w:r>
      <w:r w:rsidRPr="002F2687">
        <w:t xml:space="preserve"> but </w:t>
      </w:r>
      <w:r w:rsidR="00FC6B5B">
        <w:t xml:space="preserve">which </w:t>
      </w:r>
      <w:r w:rsidRPr="002F2687">
        <w:t xml:space="preserve">are not required. Currently, there are 340 </w:t>
      </w:r>
      <w:r w:rsidR="007D1D68">
        <w:t>S</w:t>
      </w:r>
      <w:r w:rsidRPr="002F2687">
        <w:t xml:space="preserve">tate-funded </w:t>
      </w:r>
      <w:r w:rsidR="00796F51">
        <w:t>CPAs</w:t>
      </w:r>
      <w:r w:rsidR="00277171">
        <w:t>.</w:t>
      </w:r>
      <w:r w:rsidRPr="002F2687">
        <w:rPr>
          <w:rStyle w:val="FootnoteReference"/>
          <w:rFonts w:cs="Arial"/>
        </w:rPr>
        <w:footnoteReference w:id="8"/>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B46A67">
        <w:t>,</w:t>
      </w:r>
      <w:r w:rsidR="00FC6B5B">
        <w:t xml:space="preserve"> have</w:t>
      </w:r>
      <w:r w:rsidRPr="002F2687">
        <w:t xml:space="preserve"> provided funds to develop regional partnerships </w:t>
      </w:r>
      <w:r w:rsidR="00B46A67">
        <w:t>among</w:t>
      </w:r>
      <w:r w:rsidR="00B46A67" w:rsidRPr="002F2687">
        <w:t xml:space="preserve"> </w:t>
      </w:r>
      <w:r w:rsidRPr="002F2687">
        <w:t xml:space="preserve">secondary schools, </w:t>
      </w:r>
      <w:r w:rsidR="00195FCC">
        <w:t>CCC</w:t>
      </w:r>
      <w:r w:rsidR="00B46A67">
        <w:t>,</w:t>
      </w:r>
      <w:r w:rsidRPr="002F2687">
        <w:t xml:space="preserve"> and business</w:t>
      </w:r>
      <w:r w:rsidR="00C30548">
        <w:t>es</w:t>
      </w:r>
      <w:r w:rsidR="00B46A67">
        <w:t>,</w:t>
      </w:r>
      <w:r w:rsidRPr="002F2687">
        <w:t xml:space="preserve">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w:t>
      </w:r>
      <w:r w:rsidR="00107195">
        <w:rPr>
          <w:lang w:val="en"/>
        </w:rPr>
        <w:t>I</w:t>
      </w:r>
      <w:r w:rsidRPr="002F2687">
        <w:rPr>
          <w:lang w:val="en"/>
        </w:rPr>
        <w:t xml:space="preserve">ndustry </w:t>
      </w:r>
      <w:r w:rsidR="00107195">
        <w:rPr>
          <w:lang w:val="en"/>
        </w:rPr>
        <w:t>S</w:t>
      </w:r>
      <w:r w:rsidRPr="002F2687">
        <w:rPr>
          <w:lang w:val="en"/>
        </w:rPr>
        <w:t xml:space="preserve">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lastRenderedPageBreak/>
        <w:t>(</w:t>
      </w:r>
      <w:r w:rsidR="00316C2F">
        <w:t>K–1</w:t>
      </w:r>
      <w:r w:rsidR="00316C2F" w:rsidRPr="00A35E11">
        <w:t>2</w:t>
      </w:r>
      <w:r w:rsidR="00316C2F">
        <w:t xml:space="preserve"> SWP</w:t>
      </w:r>
      <w:r w:rsidR="00F22DAE">
        <w:t>)</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144B0F1F" w14:textId="4197345C" w:rsidR="00C33240" w:rsidRPr="002F2687" w:rsidRDefault="00C33240" w:rsidP="0020041C">
      <w:r w:rsidRPr="002F2687">
        <w:rPr>
          <w:b/>
        </w:rPr>
        <w:t>ROCPs</w:t>
      </w:r>
      <w:r w:rsidR="001C0CE2">
        <w:rPr>
          <w:b/>
        </w:rPr>
        <w:t>:</w:t>
      </w:r>
      <w:r w:rsidRPr="007A6995">
        <w:t xml:space="preserve"> </w:t>
      </w:r>
      <w:r w:rsidRPr="002F2687">
        <w:t xml:space="preserve">ROCPs have been a component of California’s workforce preparation system </w:t>
      </w:r>
      <w:r w:rsidR="00B5434A">
        <w:t>since</w:t>
      </w:r>
      <w:r w:rsidRPr="002F2687">
        <w:t xml:space="preserve"> 1967</w:t>
      </w:r>
      <w:r w:rsidR="00B5434A">
        <w:t>, when they were initiated</w:t>
      </w:r>
      <w:r w:rsidRPr="002F2687">
        <w:t xml:space="preserve"> to extend and expand high school and adult CTE programs</w:t>
      </w:r>
      <w:r w:rsidR="00B5434A">
        <w:t>.</w:t>
      </w:r>
      <w:r w:rsidRPr="002F2687">
        <w:t xml:space="preserve"> ROCPs were established as regional </w:t>
      </w:r>
      <w:r w:rsidR="00957368">
        <w:t xml:space="preserve">centers or </w:t>
      </w:r>
      <w:r w:rsidRPr="002F2687">
        <w:t xml:space="preserve">programs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7448FF51" w:rsidR="00C33240" w:rsidRDefault="00C33240" w:rsidP="00D219DE">
      <w:r w:rsidRPr="002F2687">
        <w:rPr>
          <w:lang w:val="en"/>
        </w:rPr>
        <w:t>Beginning in 2013</w:t>
      </w:r>
      <w:r w:rsidR="002223CC" w:rsidRPr="002F2687">
        <w:rPr>
          <w:lang w:val="en"/>
        </w:rPr>
        <w:t>–</w:t>
      </w:r>
      <w:r w:rsidRPr="002F2687">
        <w:rPr>
          <w:lang w:val="en"/>
        </w:rPr>
        <w:t xml:space="preserve">14, </w:t>
      </w:r>
      <w:r w:rsidR="00B5434A">
        <w:rPr>
          <w:lang w:val="en"/>
        </w:rPr>
        <w:t xml:space="preserve">funding of </w:t>
      </w:r>
      <w:r w:rsidRPr="002F2687">
        <w:rPr>
          <w:lang w:val="en"/>
        </w:rPr>
        <w:t>ROCPs</w:t>
      </w:r>
      <w:r w:rsidR="00957368">
        <w:rPr>
          <w:lang w:val="en"/>
        </w:rPr>
        <w:t>’</w:t>
      </w:r>
      <w:r w:rsidRPr="002F2687">
        <w:rPr>
          <w:lang w:val="en"/>
        </w:rPr>
        <w:t xml:space="preserve">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ormula (LCFF</w:t>
      </w:r>
      <w:r w:rsidR="00B5434A">
        <w:rPr>
          <w:lang w:val="en"/>
        </w:rPr>
        <w:t>)</w:t>
      </w:r>
      <w:r w:rsidR="00601C3D">
        <w:rPr>
          <w:lang w:val="en"/>
        </w:rPr>
        <w:t xml:space="preserve">, </w:t>
      </w:r>
      <w:r w:rsidR="009F3839">
        <w:rPr>
          <w:lang w:val="en"/>
        </w:rPr>
        <w:t xml:space="preserve">which </w:t>
      </w:r>
      <w:r w:rsidR="00601C3D">
        <w:rPr>
          <w:lang w:val="en"/>
        </w:rPr>
        <w:t>replac</w:t>
      </w:r>
      <w:r w:rsidR="009F3839">
        <w:rPr>
          <w:lang w:val="en"/>
        </w:rPr>
        <w:t>ed</w:t>
      </w:r>
      <w:r w:rsidR="00601C3D">
        <w:rPr>
          <w:lang w:val="en"/>
        </w:rPr>
        <w:t xml:space="preserve"> the prior K</w:t>
      </w:r>
      <w:r w:rsidR="00C82B9D">
        <w:rPr>
          <w:lang w:val="en"/>
        </w:rPr>
        <w:t>–</w:t>
      </w:r>
      <w:r w:rsidR="00601C3D">
        <w:rPr>
          <w:lang w:val="en"/>
        </w:rPr>
        <w:t>12 finance system</w:t>
      </w:r>
      <w:r w:rsidRPr="002F2687">
        <w:rPr>
          <w:lang w:val="en"/>
        </w:rPr>
        <w:t>.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now responsible for identifying programs and approaches that correspond with </w:t>
      </w:r>
      <w:r w:rsidR="00F93016">
        <w:t xml:space="preserve">their </w:t>
      </w:r>
      <w:r w:rsidRPr="002F2687">
        <w:t xml:space="preserve">eight key </w:t>
      </w:r>
      <w:r w:rsidR="00071793">
        <w:t>s</w:t>
      </w:r>
      <w:r w:rsidR="00F93016">
        <w:t xml:space="preserve">tate </w:t>
      </w:r>
      <w:r w:rsidRPr="002F2687">
        <w:t xml:space="preserve">priorities, or ten </w:t>
      </w:r>
      <w:r w:rsidR="00601C3D">
        <w:t>s</w:t>
      </w:r>
      <w:r w:rsidR="00F93016">
        <w:t xml:space="preserve">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ducation, through a</w:t>
      </w:r>
      <w:r w:rsidR="00C32748">
        <w:t>n</w:t>
      </w:r>
      <w:r w:rsidRPr="002F2687">
        <w:t xml:space="preserve"> LCAP.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6B08C597" w14:textId="7AA0B55D" w:rsidR="00A7145C" w:rsidRPr="002F2687" w:rsidRDefault="00071793" w:rsidP="00A7145C">
      <w:r>
        <w:t xml:space="preserve">There are currently </w:t>
      </w:r>
      <w:r w:rsidR="00A7145C" w:rsidRPr="00A7145C">
        <w:t xml:space="preserve">49 ROCPs </w:t>
      </w:r>
      <w:r>
        <w:t xml:space="preserve">statewide </w:t>
      </w:r>
      <w:r w:rsidR="00A7145C" w:rsidRPr="00A7145C">
        <w:t>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Technology.</w:t>
      </w:r>
      <w:r w:rsidR="00A7145C">
        <w:t xml:space="preserve"> </w:t>
      </w:r>
      <w:r w:rsidR="00A7145C" w:rsidRPr="00A7145C">
        <w:t>ROCPs currently fall under one of three distinct organizational structures: school districts participating in an ROCP operated by a county office of education, school districts participating under a joint</w:t>
      </w:r>
      <w:r w:rsidR="00A240FC">
        <w:t>-</w:t>
      </w:r>
      <w:r w:rsidR="00A7145C" w:rsidRPr="00A7145C">
        <w:t xml:space="preserve">powers authority, </w:t>
      </w:r>
      <w:r w:rsidR="00B5434A">
        <w:t>or</w:t>
      </w:r>
      <w:r w:rsidR="00A7145C" w:rsidRPr="00A7145C">
        <w:t xml:space="preserve"> programs operated by a single school district.</w:t>
      </w:r>
    </w:p>
    <w:p w14:paraId="6F1EC60E" w14:textId="65E6199B" w:rsidR="00A7145C" w:rsidRDefault="00A7145C" w:rsidP="00A7145C">
      <w:r>
        <w:t xml:space="preserve">Like high school programs, the purpose of ROCPs is to prepare students to both pursue advanced education and enter the workforce with </w:t>
      </w:r>
      <w:r w:rsidR="00603666">
        <w:t xml:space="preserve">the necessary </w:t>
      </w:r>
      <w:r>
        <w:t xml:space="preserve">skills and </w:t>
      </w:r>
      <w:r>
        <w:lastRenderedPageBreak/>
        <w:t>competencies to succeed. In addition, ROCPs provide opportunities for adults to upgrade existing skills and knowledge. The programs are limited to those occupational areas with employment opportunities, postsecondary articulation, and sufficient student interest. It should be noted that ROCP courses are open to all secondary and adult students.</w:t>
      </w:r>
    </w:p>
    <w:p w14:paraId="0AA0FCBA" w14:textId="5E52454C" w:rsidR="00A7145C" w:rsidRDefault="00A7145C" w:rsidP="00A7145C">
      <w:r>
        <w:t xml:space="preserve">ROCPs offer both paid and </w:t>
      </w:r>
      <w:r w:rsidR="00603666">
        <w:t>un</w:t>
      </w:r>
      <w:r>
        <w:t>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tasks.</w:t>
      </w:r>
    </w:p>
    <w:p w14:paraId="2B069E7B" w14:textId="73C06158" w:rsidR="00A7145C" w:rsidRPr="002F2687" w:rsidRDefault="00A7145C" w:rsidP="00A7145C">
      <w:r>
        <w:t xml:space="preserve">Regionalization </w:t>
      </w:r>
      <w:r w:rsidR="009143C2">
        <w:t>remains</w:t>
      </w:r>
      <w:r>
        <w:t xml:space="preserve"> the primary focus of the ROCPs as they provide high</w:t>
      </w:r>
      <w:r w:rsidR="00603666">
        <w:t>-</w:t>
      </w:r>
      <w:r>
        <w:t>quality CTE by efficiently using limited resources while allowing student</w:t>
      </w:r>
      <w:r w:rsidR="00603666">
        <w:t>s</w:t>
      </w:r>
      <w:r>
        <w:t xml:space="preserve"> access to a broad array of education and training opportunities that often require expensive technical equipment and specially trained and experienced instructors.</w:t>
      </w:r>
      <w:r w:rsidR="008B49C9">
        <w:t xml:space="preserve"> </w:t>
      </w:r>
      <w:r w:rsidR="007B624D">
        <w:t xml:space="preserve">It should </w:t>
      </w:r>
      <w:r w:rsidR="00686096">
        <w:t xml:space="preserve">be </w:t>
      </w:r>
      <w:r w:rsidR="00243C92">
        <w:t xml:space="preserve">pointed </w:t>
      </w:r>
      <w:r w:rsidR="00686096">
        <w:t xml:space="preserve">out </w:t>
      </w:r>
      <w:r w:rsidR="00243C92">
        <w:t xml:space="preserve">that this regionalization </w:t>
      </w:r>
      <w:r w:rsidR="00686096">
        <w:t>of CTE</w:t>
      </w:r>
      <w:r w:rsidR="00243C92">
        <w:t xml:space="preserve"> </w:t>
      </w:r>
      <w:r w:rsidR="002D7493">
        <w:t xml:space="preserve">permits </w:t>
      </w:r>
      <w:r w:rsidR="00577E58">
        <w:t>entities like t</w:t>
      </w:r>
      <w:r w:rsidR="002D7493">
        <w:t xml:space="preserve">he ROCPs </w:t>
      </w:r>
      <w:r w:rsidR="00AE3318">
        <w:t>to braid several</w:t>
      </w:r>
      <w:r w:rsidR="00243C92">
        <w:t xml:space="preserve"> </w:t>
      </w:r>
      <w:r w:rsidR="007D1D68">
        <w:t>S</w:t>
      </w:r>
      <w:r w:rsidR="00243C92">
        <w:t xml:space="preserve">tate </w:t>
      </w:r>
      <w:r w:rsidR="00686096">
        <w:t xml:space="preserve">and federal </w:t>
      </w:r>
      <w:r w:rsidR="00243C92">
        <w:t>funding</w:t>
      </w:r>
      <w:r w:rsidR="0037236F">
        <w:t xml:space="preserve"> opportunities</w:t>
      </w:r>
      <w:r w:rsidR="00AE3318">
        <w:t xml:space="preserve">. In other words, </w:t>
      </w:r>
      <w:r w:rsidR="00686096">
        <w:t xml:space="preserve">having </w:t>
      </w:r>
      <w:r w:rsidR="00577E58">
        <w:t xml:space="preserve">a regional </w:t>
      </w:r>
      <w:r w:rsidR="00686096">
        <w:t xml:space="preserve">structure and policy already in place would be a good model to emulate, particularly when students are typically </w:t>
      </w:r>
      <w:bookmarkStart w:id="31" w:name="_Hlk29971897"/>
      <w:r w:rsidR="00686096" w:rsidRPr="008E2115">
        <w:rPr>
          <w:rFonts w:cs="Arial"/>
          <w:color w:val="000000"/>
        </w:rPr>
        <w:t>from lower</w:t>
      </w:r>
      <w:r w:rsidR="002264D7">
        <w:rPr>
          <w:rStyle w:val="CommentReference"/>
        </w:rPr>
        <w:t>-</w:t>
      </w:r>
      <w:r w:rsidR="00686096" w:rsidRPr="008E2115">
        <w:rPr>
          <w:rFonts w:cs="Arial"/>
          <w:color w:val="000000"/>
        </w:rPr>
        <w:t>achieving and lower</w:t>
      </w:r>
      <w:r w:rsidR="002264D7">
        <w:rPr>
          <w:rStyle w:val="CommentReference"/>
        </w:rPr>
        <w:t>-</w:t>
      </w:r>
      <w:r w:rsidR="00686096" w:rsidRPr="008E2115">
        <w:rPr>
          <w:rFonts w:cs="Arial"/>
          <w:color w:val="000000"/>
        </w:rPr>
        <w:t xml:space="preserve">socioeconomic status than peers, but </w:t>
      </w:r>
      <w:r w:rsidR="00513198">
        <w:rPr>
          <w:rFonts w:cs="Arial"/>
          <w:color w:val="000000"/>
        </w:rPr>
        <w:t>a</w:t>
      </w:r>
      <w:r w:rsidR="00686096" w:rsidRPr="008E2115">
        <w:rPr>
          <w:rFonts w:cs="Arial"/>
          <w:color w:val="000000"/>
        </w:rPr>
        <w:t>re just as likely to enroll in postsecondary education and eventually earn higher wages</w:t>
      </w:r>
      <w:bookmarkEnd w:id="31"/>
      <w:r w:rsidR="00686096">
        <w:rPr>
          <w:rFonts w:cs="Arial"/>
          <w:color w:val="000000"/>
        </w:rPr>
        <w:t>.</w:t>
      </w:r>
      <w:r w:rsidR="00686096">
        <w:t xml:space="preserve"> </w:t>
      </w:r>
    </w:p>
    <w:p w14:paraId="6DBDC55D" w14:textId="12F92CC9" w:rsidR="00B863F8" w:rsidRDefault="00B863F8" w:rsidP="00B863F8">
      <w:r w:rsidRPr="001C0CE2">
        <w:rPr>
          <w:b/>
        </w:rPr>
        <w:t>WBL:</w:t>
      </w:r>
      <w:r>
        <w:t xml:space="preserve"> Growing interest </w:t>
      </w:r>
      <w:r w:rsidR="001C0CE2">
        <w:t xml:space="preserve">in </w:t>
      </w:r>
      <w:r>
        <w:t>WBL has resulted in its inclusion as a focus area within several federal</w:t>
      </w:r>
      <w:r w:rsidR="0034129E">
        <w:t>ly</w:t>
      </w:r>
      <w:r w:rsidR="00B5434A">
        <w:t>-</w:t>
      </w:r>
      <w:r w:rsidR="0034129E">
        <w:t>funded</w:t>
      </w:r>
      <w:r>
        <w:t xml:space="preserve"> and </w:t>
      </w:r>
      <w:r w:rsidR="007D1D68">
        <w:t>S</w:t>
      </w:r>
      <w:r>
        <w:t>tate</w:t>
      </w:r>
      <w:r w:rsidR="0034129E">
        <w:t>-</w:t>
      </w:r>
      <w:r>
        <w:t>funded programs, including Perkins V. School districts are offering a variety of opportunities to students across the WBL continuum. For instance, high schools offer WBL through Work Experience Education (WEE</w:t>
      </w:r>
      <w:r w:rsidR="009143C2">
        <w:t>)</w:t>
      </w:r>
      <w:r w:rsidR="0024766B">
        <w:t>,</w:t>
      </w:r>
      <w:r>
        <w:rPr>
          <w:rStyle w:val="FootnoteReference"/>
        </w:rPr>
        <w:footnoteReference w:id="9"/>
      </w:r>
      <w:r>
        <w:t xml:space="preserve"> administered by school districts or other LEAs. WEE programs combine an on-the-job component with related classroom instruction designed to maximize the value of on-the-job experiences. WEE is intended to help students explore careers, develop essential </w:t>
      </w:r>
      <w:r>
        <w:lastRenderedPageBreak/>
        <w:t xml:space="preserve">workplace skills such as workplace readiness skills, and prepare for full-time employment. It is important to expose students both </w:t>
      </w:r>
      <w:r w:rsidR="003655C0">
        <w:t xml:space="preserve">to </w:t>
      </w:r>
      <w:r>
        <w:t>the requirements o</w:t>
      </w:r>
      <w:r w:rsidR="00B5434A">
        <w:t xml:space="preserve">f a specific occupation and to </w:t>
      </w:r>
      <w:r>
        <w:t>all aspects of an industry</w:t>
      </w:r>
      <w:r w:rsidR="009143C2">
        <w:t xml:space="preserve">. This </w:t>
      </w:r>
      <w:r>
        <w:t xml:space="preserve">broad exposure </w:t>
      </w:r>
      <w:r w:rsidR="009143C2">
        <w:t xml:space="preserve">is </w:t>
      </w:r>
      <w:r>
        <w:t xml:space="preserve">a fundamental tenet of career exploration and </w:t>
      </w:r>
      <w:r w:rsidR="00914FEC">
        <w:t xml:space="preserve">is </w:t>
      </w:r>
      <w:r>
        <w:t>important in any occupational area.</w:t>
      </w:r>
    </w:p>
    <w:p w14:paraId="22D14E2B" w14:textId="6292BE11" w:rsidR="00980238" w:rsidRDefault="00A240FC" w:rsidP="003037A0">
      <w:r>
        <w:t xml:space="preserve">Pre-apprenticeships and apprenticeships are at the top end of the WBL continuum. </w:t>
      </w:r>
      <w:r w:rsidR="003037A0">
        <w:t>S</w:t>
      </w:r>
      <w:r w:rsidR="00B863F8">
        <w:t>chool districts receiving CPA grant</w:t>
      </w:r>
      <w:r w:rsidR="00914FEC">
        <w:t>s</w:t>
      </w:r>
      <w:r w:rsidR="00B863F8">
        <w:t xml:space="preserve"> </w:t>
      </w:r>
      <w:r w:rsidR="009143C2">
        <w:t xml:space="preserve">incorporate </w:t>
      </w:r>
      <w:r w:rsidR="00B863F8">
        <w:t>pre-apprenticeship and internship opportunities</w:t>
      </w:r>
      <w:r w:rsidR="00914FEC">
        <w:t>,</w:t>
      </w:r>
      <w:r w:rsidR="00B863F8">
        <w:t xml:space="preserve"> as the grant requires these opportunities as criteria for selection.</w:t>
      </w:r>
      <w:r w:rsidR="003037A0">
        <w:t xml:space="preserve"> </w:t>
      </w:r>
    </w:p>
    <w:p w14:paraId="744499C4" w14:textId="5ABC3236" w:rsidR="003037A0" w:rsidRDefault="003037A0" w:rsidP="003037A0">
      <w:r>
        <w:t xml:space="preserve">The Division of Apprenticeship Standards within the California Department of Industrial Relations administers California apprenticeship programs and enforces apprenticeship standards for wages, hours, working conditions, and the specific skills required for </w:t>
      </w:r>
      <w:r w:rsidR="007D1D68">
        <w:t>S</w:t>
      </w:r>
      <w:r>
        <w:t>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06CBE8B8" w14:textId="7C85157B" w:rsidR="003037A0" w:rsidRPr="001C0CE2" w:rsidRDefault="003037A0" w:rsidP="001C0CE2">
      <w:r w:rsidRPr="001C0CE2">
        <w:t xml:space="preserve">The CDE supports </w:t>
      </w:r>
      <w:r w:rsidR="00722512" w:rsidRPr="001C0CE2">
        <w:t xml:space="preserve">34 local adult education and ROCP agencies </w:t>
      </w:r>
      <w:r w:rsidR="00722512">
        <w:t>that provide</w:t>
      </w:r>
      <w:r w:rsidRPr="001C0CE2">
        <w:t xml:space="preserve"> </w:t>
      </w:r>
      <w:r w:rsidR="00A240FC">
        <w:t>“</w:t>
      </w:r>
      <w:r w:rsidR="002264D7">
        <w:t>r</w:t>
      </w:r>
      <w:r w:rsidRPr="001C0CE2">
        <w:t>elated and supplementary instruction</w:t>
      </w:r>
      <w:r w:rsidR="00A240FC">
        <w:t>”</w:t>
      </w:r>
      <w:r w:rsidRPr="001C0CE2">
        <w:t xml:space="preserve"> (RSI) in more than 200 apprenticeship programs, involving approximately 31,000 registered apprentices.</w:t>
      </w:r>
    </w:p>
    <w:p w14:paraId="559E7E3B" w14:textId="57AB9FB4" w:rsidR="00B863F8" w:rsidRPr="001C0CE2" w:rsidRDefault="003037A0" w:rsidP="001C0CE2">
      <w:r w:rsidRPr="001C0CE2">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71B26516" w14:textId="2040FD92" w:rsidR="00330BD7" w:rsidRDefault="00330BD7" w:rsidP="00330BD7">
      <w:r w:rsidRPr="000378EE">
        <w:rPr>
          <w:b/>
        </w:rPr>
        <w:t>Opportunity Programs:</w:t>
      </w:r>
      <w:r>
        <w:t xml:space="preserve"> </w:t>
      </w:r>
      <w:r w:rsidR="000672C0" w:rsidRPr="00127EC1">
        <w:t>Students in continuation education, opportunity education, county community and court schools, district community day schools, and those incarcerated by the California Division of Juvenile Justice</w:t>
      </w:r>
      <w:r w:rsidR="000672C0">
        <w:t xml:space="preserve"> </w:t>
      </w:r>
      <w:r w:rsidR="000672C0" w:rsidRPr="00127EC1">
        <w:t>may be overcoming attendance and/or behavioral challenges</w:t>
      </w:r>
      <w:r w:rsidR="000672C0">
        <w:t>.</w:t>
      </w:r>
      <w:r w:rsidR="000672C0" w:rsidRPr="00127EC1">
        <w:t xml:space="preserve"> It is important to have a framework of supportive interventions that are designed to be educational and developmental, rather than be punitive, </w:t>
      </w:r>
      <w:r w:rsidR="000672C0">
        <w:t>particularly when these supportive interventions are considered within the large</w:t>
      </w:r>
      <w:r w:rsidR="00E4467F">
        <w:t xml:space="preserve">r </w:t>
      </w:r>
      <w:r w:rsidR="000672C0">
        <w:t>context of workforce readiness</w:t>
      </w:r>
      <w:r w:rsidR="000672C0" w:rsidRPr="00127EC1">
        <w:t xml:space="preserve">. </w:t>
      </w:r>
      <w:r w:rsidR="00E4467F">
        <w:t>Opportunity program s</w:t>
      </w:r>
      <w:r w:rsidR="000672C0" w:rsidRPr="00127EC1">
        <w:t xml:space="preserve">tudents serve to benefit </w:t>
      </w:r>
      <w:r w:rsidR="000672C0" w:rsidRPr="00127EC1">
        <w:lastRenderedPageBreak/>
        <w:t xml:space="preserve">the most </w:t>
      </w:r>
      <w:r w:rsidR="000672C0">
        <w:t>when CTE is coupled with these supportive interventions</w:t>
      </w:r>
      <w:r w:rsidR="00E4467F">
        <w:t xml:space="preserve"> such as credit recovery and independent study programs</w:t>
      </w:r>
      <w:r w:rsidR="000672C0" w:rsidRPr="00127EC1">
        <w:t>. How students in opportunity programs can achieve success through CTE will be examined more deeply under Perkins V implementation.</w:t>
      </w:r>
    </w:p>
    <w:p w14:paraId="3D6B93B4" w14:textId="0D7A9442" w:rsidR="009B12AC" w:rsidRDefault="00577E58" w:rsidP="009B12AC">
      <w:r>
        <w:t>S</w:t>
      </w:r>
      <w:r w:rsidR="00330BD7" w:rsidRPr="002F2687">
        <w:t xml:space="preserve">ome </w:t>
      </w:r>
      <w:r w:rsidR="00330BD7">
        <w:t>c</w:t>
      </w:r>
      <w:r w:rsidR="00330BD7" w:rsidRPr="002F2687">
        <w:t xml:space="preserve">ounty </w:t>
      </w:r>
      <w:r w:rsidR="00330BD7">
        <w:t>o</w:t>
      </w:r>
      <w:r w:rsidR="00330BD7" w:rsidRPr="002F2687">
        <w:t xml:space="preserve">ffices of </w:t>
      </w:r>
      <w:r w:rsidR="00330BD7">
        <w:t>e</w:t>
      </w:r>
      <w:r w:rsidR="00330BD7" w:rsidRPr="002F2687">
        <w:t>ducation and districts provide career exploration and internship opportunities</w:t>
      </w:r>
      <w:r w:rsidR="000871A7">
        <w:t xml:space="preserve"> for students</w:t>
      </w:r>
      <w:r w:rsidR="006A3362">
        <w:t xml:space="preserve"> participating</w:t>
      </w:r>
      <w:r w:rsidR="007C3951">
        <w:t xml:space="preserve"> in opportunity programs</w:t>
      </w:r>
      <w:r w:rsidR="00330BD7" w:rsidRPr="002F2687">
        <w:t xml:space="preserve">. In addition, the </w:t>
      </w:r>
      <w:r w:rsidR="004F508E">
        <w:t>s</w:t>
      </w:r>
      <w:r w:rsidR="00330BD7" w:rsidRPr="002F2687">
        <w:t xml:space="preserve">tate’s special schools for the deaf and blind, the Division of Juvenile Justice, and the California Department of Corrections and Rehabilitation </w:t>
      </w:r>
      <w:r w:rsidR="00AE3318">
        <w:t xml:space="preserve">together </w:t>
      </w:r>
      <w:r w:rsidR="00330BD7">
        <w:t>receive</w:t>
      </w:r>
      <w:r w:rsidR="00330BD7" w:rsidRPr="002F2687">
        <w:t xml:space="preserve"> the </w:t>
      </w:r>
      <w:r w:rsidR="00330BD7">
        <w:t xml:space="preserve">two </w:t>
      </w:r>
      <w:r w:rsidR="00330BD7" w:rsidRPr="002F2687">
        <w:t xml:space="preserve">percent of Perkins V funds allowed for </w:t>
      </w:r>
      <w:r w:rsidR="009A2066">
        <w:t>S</w:t>
      </w:r>
      <w:r w:rsidR="00330BD7" w:rsidRPr="002F2687">
        <w:t xml:space="preserve">tate </w:t>
      </w:r>
      <w:r w:rsidR="009A2066">
        <w:t>I</w:t>
      </w:r>
      <w:r w:rsidR="00330BD7" w:rsidRPr="002F2687">
        <w:t>nstitutions.</w:t>
      </w:r>
      <w:r w:rsidR="00330BD7">
        <w:t xml:space="preserve"> </w:t>
      </w:r>
      <w:bookmarkStart w:id="32" w:name="_Hlk29969491"/>
      <w:r w:rsidR="002264D7">
        <w:t>The s</w:t>
      </w:r>
      <w:r w:rsidR="009B12AC" w:rsidRPr="006F432E">
        <w:rPr>
          <w:rFonts w:cs="Arial"/>
        </w:rPr>
        <w:t>chool-to-</w:t>
      </w:r>
      <w:r w:rsidR="002264D7">
        <w:rPr>
          <w:rFonts w:cs="Arial"/>
        </w:rPr>
        <w:t>p</w:t>
      </w:r>
      <w:r w:rsidR="009B12AC" w:rsidRPr="006F432E">
        <w:rPr>
          <w:rFonts w:cs="Arial"/>
        </w:rPr>
        <w:t xml:space="preserve">rison </w:t>
      </w:r>
      <w:r w:rsidR="002264D7">
        <w:rPr>
          <w:rFonts w:cs="Arial"/>
        </w:rPr>
        <w:t>p</w:t>
      </w:r>
      <w:r w:rsidR="009B12AC" w:rsidRPr="006F432E">
        <w:rPr>
          <w:rFonts w:cs="Arial"/>
        </w:rPr>
        <w:t>ipeline could be significan</w:t>
      </w:r>
      <w:r w:rsidR="00B5434A">
        <w:rPr>
          <w:rFonts w:cs="Arial"/>
        </w:rPr>
        <w:t>tly reduced if students who had</w:t>
      </w:r>
      <w:r w:rsidR="009B12AC" w:rsidRPr="006F432E">
        <w:rPr>
          <w:rFonts w:cs="Arial"/>
        </w:rPr>
        <w:t xml:space="preserve"> repeatedly presented attendance </w:t>
      </w:r>
      <w:r w:rsidR="00130C45">
        <w:rPr>
          <w:rFonts w:cs="Arial"/>
        </w:rPr>
        <w:t>or</w:t>
      </w:r>
      <w:r w:rsidR="00130C45" w:rsidRPr="006F432E">
        <w:rPr>
          <w:rFonts w:cs="Arial"/>
        </w:rPr>
        <w:t xml:space="preserve"> </w:t>
      </w:r>
      <w:r w:rsidR="009B12AC" w:rsidRPr="006F432E">
        <w:rPr>
          <w:rFonts w:cs="Arial"/>
        </w:rPr>
        <w:t xml:space="preserve">other behavioral challenges </w:t>
      </w:r>
      <w:r w:rsidR="00B5434A">
        <w:rPr>
          <w:rFonts w:cs="Arial"/>
        </w:rPr>
        <w:t>we</w:t>
      </w:r>
      <w:r w:rsidR="009B12AC" w:rsidRPr="006F432E">
        <w:rPr>
          <w:rFonts w:cs="Arial"/>
        </w:rPr>
        <w:t>re supported</w:t>
      </w:r>
      <w:r w:rsidR="0037236F">
        <w:rPr>
          <w:rFonts w:cs="Arial"/>
        </w:rPr>
        <w:t xml:space="preserve"> </w:t>
      </w:r>
      <w:r w:rsidR="0072107C">
        <w:rPr>
          <w:rFonts w:cs="Arial"/>
        </w:rPr>
        <w:t xml:space="preserve">even more strongly </w:t>
      </w:r>
      <w:r w:rsidR="00AE3318">
        <w:rPr>
          <w:rFonts w:cs="Arial"/>
        </w:rPr>
        <w:t xml:space="preserve">through </w:t>
      </w:r>
      <w:r w:rsidR="0072107C">
        <w:rPr>
          <w:rFonts w:cs="Arial"/>
        </w:rPr>
        <w:t>a combination of an educational framework that integrates CTE into the basic curriculum framework along with co-requisite supporting interventions</w:t>
      </w:r>
      <w:r w:rsidR="00AE3318">
        <w:rPr>
          <w:rFonts w:cs="Arial"/>
        </w:rPr>
        <w:t>.</w:t>
      </w:r>
      <w:r w:rsidR="00AE3318" w:rsidRPr="006F432E">
        <w:rPr>
          <w:rFonts w:cs="Arial"/>
        </w:rPr>
        <w:t xml:space="preserve"> </w:t>
      </w:r>
      <w:r w:rsidR="00AE3318">
        <w:rPr>
          <w:rFonts w:cs="Arial"/>
        </w:rPr>
        <w:t xml:space="preserve">In particular, such students could </w:t>
      </w:r>
      <w:r w:rsidR="009B12AC" w:rsidRPr="006F432E">
        <w:rPr>
          <w:rFonts w:cs="Arial"/>
        </w:rPr>
        <w:t xml:space="preserve">successfully develop workforce readiness skills </w:t>
      </w:r>
      <w:r w:rsidR="00AE3318">
        <w:rPr>
          <w:rFonts w:cs="Arial"/>
        </w:rPr>
        <w:t>that w</w:t>
      </w:r>
      <w:r w:rsidR="00B5434A">
        <w:rPr>
          <w:rFonts w:cs="Arial"/>
        </w:rPr>
        <w:t xml:space="preserve">ould </w:t>
      </w:r>
      <w:r w:rsidR="00AE3318">
        <w:rPr>
          <w:rFonts w:cs="Arial"/>
        </w:rPr>
        <w:t xml:space="preserve">minimize </w:t>
      </w:r>
      <w:r w:rsidR="00AE3318" w:rsidRPr="006F432E">
        <w:rPr>
          <w:rFonts w:cs="Arial"/>
        </w:rPr>
        <w:t xml:space="preserve">attendance </w:t>
      </w:r>
      <w:r w:rsidR="00AE3318">
        <w:rPr>
          <w:rFonts w:cs="Arial"/>
        </w:rPr>
        <w:t>or</w:t>
      </w:r>
      <w:r w:rsidR="00AE3318" w:rsidRPr="006F432E">
        <w:rPr>
          <w:rFonts w:cs="Arial"/>
        </w:rPr>
        <w:t xml:space="preserve"> other behavioral challenges </w:t>
      </w:r>
      <w:r w:rsidR="00AE3318">
        <w:rPr>
          <w:rFonts w:cs="Arial"/>
        </w:rPr>
        <w:t xml:space="preserve">and prepare </w:t>
      </w:r>
      <w:r w:rsidR="00980238">
        <w:rPr>
          <w:rFonts w:cs="Arial"/>
        </w:rPr>
        <w:t xml:space="preserve">these students </w:t>
      </w:r>
      <w:r w:rsidR="00596A8D">
        <w:rPr>
          <w:rFonts w:cs="Arial"/>
        </w:rPr>
        <w:t xml:space="preserve">for </w:t>
      </w:r>
      <w:r w:rsidR="005F0D72">
        <w:rPr>
          <w:rFonts w:cs="Arial"/>
        </w:rPr>
        <w:t>success</w:t>
      </w:r>
      <w:r w:rsidR="00972DD6">
        <w:rPr>
          <w:rFonts w:cs="Arial"/>
        </w:rPr>
        <w:t xml:space="preserve"> and </w:t>
      </w:r>
      <w:r w:rsidR="00F94D02">
        <w:rPr>
          <w:rFonts w:cs="Arial"/>
        </w:rPr>
        <w:t xml:space="preserve">to make </w:t>
      </w:r>
      <w:r w:rsidR="00972DD6">
        <w:rPr>
          <w:rFonts w:cs="Arial"/>
        </w:rPr>
        <w:t>greater contributions to the workforce</w:t>
      </w:r>
      <w:r w:rsidR="005F0D72">
        <w:rPr>
          <w:rFonts w:cs="Arial"/>
        </w:rPr>
        <w:t xml:space="preserve"> than</w:t>
      </w:r>
      <w:r w:rsidR="00F94D02">
        <w:rPr>
          <w:rFonts w:cs="Arial"/>
        </w:rPr>
        <w:t xml:space="preserve"> likely without these skills</w:t>
      </w:r>
      <w:bookmarkEnd w:id="32"/>
      <w:r w:rsidR="000378EE">
        <w:rPr>
          <w:rFonts w:cs="Arial"/>
        </w:rPr>
        <w:t>.</w:t>
      </w:r>
    </w:p>
    <w:p w14:paraId="17284C61" w14:textId="34FCDA1B" w:rsidR="00330BD7" w:rsidRPr="002F2687" w:rsidRDefault="00330BD7" w:rsidP="00330BD7">
      <w:r>
        <w:t>More broadly, in a tight labor market, f</w:t>
      </w:r>
      <w:r w:rsidRPr="004522C6">
        <w:t>raming chronic absenteeism rates and incidences of behavioral challenges as showing a lack of development in workforce readiness skills can have a significant impact on reducing the likelihood that a student will drop out of school. Continu</w:t>
      </w:r>
      <w:r w:rsidR="004F508E">
        <w:t>ing</w:t>
      </w:r>
      <w:r w:rsidRPr="004522C6">
        <w:t xml:space="preserve"> education, opportunity education, district community day schools, and county court and community schools have also shown promise as effective educational options that incorporate a focus on CTE. </w:t>
      </w:r>
    </w:p>
    <w:p w14:paraId="5554C4EF" w14:textId="0E389EE3" w:rsidR="008A3324" w:rsidRDefault="009B12AC" w:rsidP="00D219DE">
      <w:r w:rsidRPr="00EE6792">
        <w:rPr>
          <w:b/>
        </w:rPr>
        <w:t xml:space="preserve">Out-of-School and </w:t>
      </w:r>
      <w:r w:rsidRPr="00EF2E73">
        <w:rPr>
          <w:b/>
        </w:rPr>
        <w:t xml:space="preserve">Extended </w:t>
      </w:r>
      <w:r w:rsidRPr="00EE6792">
        <w:rPr>
          <w:b/>
        </w:rPr>
        <w:t>Opportunities</w:t>
      </w:r>
      <w:r w:rsidRPr="000378EE">
        <w:rPr>
          <w:b/>
        </w:rPr>
        <w:t>:</w:t>
      </w:r>
      <w:r>
        <w:t xml:space="preserve"> </w:t>
      </w:r>
      <w:r w:rsidR="008A3324" w:rsidRPr="008A3324">
        <w:t xml:space="preserve">The </w:t>
      </w:r>
      <w:r w:rsidR="00980238">
        <w:t xml:space="preserve">purpose of the </w:t>
      </w:r>
      <w:r w:rsidR="00A97D8C">
        <w:t>21</w:t>
      </w:r>
      <w:r w:rsidR="00A97D8C" w:rsidRPr="00A97D8C">
        <w:rPr>
          <w:vertAlign w:val="superscript"/>
        </w:rPr>
        <w:t>st</w:t>
      </w:r>
      <w:r w:rsidR="00A97D8C">
        <w:t xml:space="preserve"> </w:t>
      </w:r>
      <w:r w:rsidR="008A3324" w:rsidRPr="008A3324">
        <w:t>Century Community Learning Centers Program, as described in federal statute, is to provide opportunities for communities to establish or expand activities that focus on improved academic achievement; enrichment services that reinforce and complement the academic program; and family literacy and related educational development services.</w:t>
      </w:r>
      <w:r w:rsidR="008A3324">
        <w:t xml:space="preserve"> </w:t>
      </w:r>
      <w:r w:rsidR="008A3324" w:rsidRPr="008A3324">
        <w:t>After-school programs hold promise for extending the school day in ways that allow students to participate in valuable integrated experiences, such as project-based and service</w:t>
      </w:r>
      <w:r w:rsidR="000D079F">
        <w:t>-</w:t>
      </w:r>
      <w:r w:rsidR="008A3324" w:rsidRPr="008A3324">
        <w:t xml:space="preserve">learning opportunities, career exploration, and </w:t>
      </w:r>
      <w:r w:rsidR="002264D7">
        <w:t>WBL</w:t>
      </w:r>
      <w:r w:rsidR="008A3324" w:rsidRPr="008A3324">
        <w:t xml:space="preserve">. </w:t>
      </w:r>
    </w:p>
    <w:p w14:paraId="7B44A669" w14:textId="667C179C" w:rsidR="00330BD7" w:rsidRPr="00EE6792" w:rsidRDefault="008A3324" w:rsidP="00D219DE">
      <w:r w:rsidRPr="008A3324">
        <w:lastRenderedPageBreak/>
        <w:t xml:space="preserve">The CDE currently funds after-school programs through its </w:t>
      </w:r>
      <w:r w:rsidR="00A97D8C">
        <w:t>21</w:t>
      </w:r>
      <w:r w:rsidR="00A97D8C" w:rsidRPr="00A97D8C">
        <w:rPr>
          <w:vertAlign w:val="superscript"/>
        </w:rPr>
        <w:t>st</w:t>
      </w:r>
      <w:r w:rsidRPr="008A3324">
        <w:t xml:space="preserve"> Century Community Learning Centers, including high schools through its </w:t>
      </w:r>
      <w:r w:rsidR="00A97D8C">
        <w:t>21</w:t>
      </w:r>
      <w:r w:rsidR="00A97D8C" w:rsidRPr="00A97D8C">
        <w:rPr>
          <w:vertAlign w:val="superscript"/>
        </w:rPr>
        <w:t>st</w:t>
      </w:r>
      <w:r w:rsidR="00A97D8C">
        <w:t xml:space="preserve"> </w:t>
      </w:r>
      <w:r w:rsidRPr="008A3324">
        <w:t>Century High School After School Safety and Enrich</w:t>
      </w:r>
      <w:r w:rsidR="00843FC6">
        <w:t xml:space="preserve">ment for Teens </w:t>
      </w:r>
      <w:r w:rsidR="001773A4">
        <w:t xml:space="preserve">(ASSETs) </w:t>
      </w:r>
      <w:r w:rsidR="00843FC6">
        <w:t>Program</w:t>
      </w:r>
      <w:r w:rsidRPr="008A3324">
        <w:t>. The CDE also supports elementary and middle schools in its</w:t>
      </w:r>
      <w:r w:rsidR="003457EA">
        <w:t xml:space="preserve"> state-funded</w:t>
      </w:r>
      <w:r w:rsidRPr="008A3324">
        <w:t xml:space="preserve"> After School Educational and Safety </w:t>
      </w:r>
      <w:r w:rsidR="001773A4">
        <w:t xml:space="preserve">(ASES) </w:t>
      </w:r>
      <w:r w:rsidRPr="008A3324">
        <w:t xml:space="preserve">programs. In addition, </w:t>
      </w:r>
      <w:r w:rsidR="001A3951">
        <w:t xml:space="preserve">the </w:t>
      </w:r>
      <w:r w:rsidRPr="008A3324">
        <w:t>CDE conducts professional development</w:t>
      </w:r>
      <w:r w:rsidR="006F061E">
        <w:t xml:space="preserve"> (PD)</w:t>
      </w:r>
      <w:r w:rsidRPr="008A3324">
        <w:t xml:space="preserve"> and technical assistance to strengthen after-school programming, including effective youth development strategies. This may offer an opportunity to expand career exploration and </w:t>
      </w:r>
      <w:r w:rsidR="000378EE">
        <w:t>WBL</w:t>
      </w:r>
      <w:r w:rsidRPr="008A3324">
        <w:t xml:space="preserve"> for students </w:t>
      </w:r>
      <w:r w:rsidR="00980238">
        <w:t xml:space="preserve">enrolled </w:t>
      </w:r>
      <w:r w:rsidRPr="008A3324">
        <w:t>in these programs.</w:t>
      </w:r>
      <w:r>
        <w:t xml:space="preserve"> </w:t>
      </w:r>
    </w:p>
    <w:p w14:paraId="05EB3E94" w14:textId="63FDCDF7" w:rsidR="00E22364" w:rsidRPr="002F2687" w:rsidRDefault="00E22364" w:rsidP="00D219DE">
      <w:bookmarkStart w:id="33"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xml:space="preserve">, is supported with funds from a broad range of resources. In addition to apportionment funds, which make up the majority of the funding, </w:t>
      </w:r>
      <w:r w:rsidR="007D1D68">
        <w:t>S</w:t>
      </w:r>
      <w:r w:rsidRPr="00E22364">
        <w:t>tate-funded programs that support crucial aspects of CTE include the CTE Incentive Grant (CTEIG),</w:t>
      </w:r>
      <w:r w:rsidR="00980238">
        <w:t xml:space="preserve"> the </w:t>
      </w:r>
      <w:r w:rsidR="00386BFD">
        <w:t>K–12 SWP,</w:t>
      </w:r>
      <w:r w:rsidRPr="00E22364">
        <w:t xml:space="preserve"> the California Work Opportunity and Responsibility to Kids (CalWORKs), </w:t>
      </w:r>
      <w:r w:rsidR="000378EE">
        <w:t>CPAs</w:t>
      </w:r>
      <w:r w:rsidRPr="00E22364">
        <w:t xml:space="preserve">, Specialized Secondary Programs, Agricultural Education Incentive Grants, and </w:t>
      </w:r>
      <w:r w:rsidR="007D1D68">
        <w:t>S</w:t>
      </w:r>
      <w:r>
        <w:t xml:space="preserve">tate </w:t>
      </w:r>
      <w:r w:rsidRPr="00E22364">
        <w:t xml:space="preserve">funding for CTE facilities. </w:t>
      </w:r>
      <w:r w:rsidR="00386BFD">
        <w:t xml:space="preserve">More information about California’s ongoing State programs </w:t>
      </w:r>
      <w:r w:rsidR="00054F67">
        <w:t>is provided</w:t>
      </w:r>
      <w:r w:rsidR="00386BFD">
        <w:t xml:space="preserve"> in </w:t>
      </w:r>
      <w:r w:rsidR="00872757">
        <w:t xml:space="preserve">the response to </w:t>
      </w:r>
      <w:r w:rsidR="00D769DA">
        <w:t xml:space="preserve">prompt </w:t>
      </w:r>
      <w:r w:rsidR="00771C71">
        <w:t>B(</w:t>
      </w:r>
      <w:r w:rsidR="00386BFD">
        <w:t>2</w:t>
      </w:r>
      <w:r w:rsidR="00771C71">
        <w:t>)</w:t>
      </w:r>
      <w:r w:rsidR="00386BFD">
        <w:t xml:space="preserve">(b)(ii). </w:t>
      </w:r>
      <w:r w:rsidRPr="00E22364">
        <w:t>Key federal resources</w:t>
      </w:r>
      <w:r>
        <w:t xml:space="preserve">, such as </w:t>
      </w:r>
      <w:r w:rsidR="000378EE">
        <w:t xml:space="preserve">the </w:t>
      </w:r>
      <w:r>
        <w:t>Perkins</w:t>
      </w:r>
      <w:r w:rsidR="008A11FA">
        <w:t xml:space="preserve"> V</w:t>
      </w:r>
      <w:r>
        <w:t xml:space="preserve">, </w:t>
      </w:r>
      <w:r w:rsidR="000378EE">
        <w:t xml:space="preserve">the </w:t>
      </w:r>
      <w:r>
        <w:t xml:space="preserve">ESSA, and </w:t>
      </w:r>
      <w:r w:rsidR="00BB1793">
        <w:t xml:space="preserve">the </w:t>
      </w:r>
      <w:r>
        <w:t>WIOA, are</w:t>
      </w:r>
      <w:r w:rsidRPr="00E22364">
        <w:t xml:space="preserve"> used to supplement and strengthen </w:t>
      </w:r>
      <w:r w:rsidR="007D1D68">
        <w:t>S</w:t>
      </w:r>
      <w:r w:rsidRPr="00E22364">
        <w:t xml:space="preserve">tate efforts </w:t>
      </w:r>
      <w:r w:rsidR="00A61FD1">
        <w:t xml:space="preserve">to </w:t>
      </w:r>
      <w:r>
        <w:t>optimiz</w:t>
      </w:r>
      <w:r w:rsidR="00A61FD1">
        <w:t>e</w:t>
      </w:r>
      <w:r>
        <w:t xml:space="preserve"> the K</w:t>
      </w:r>
      <w:r w:rsidR="008A11FA" w:rsidRPr="00E22364">
        <w:t>–</w:t>
      </w:r>
      <w:r>
        <w:t>12 CTE delivery system.</w:t>
      </w:r>
    </w:p>
    <w:p w14:paraId="0E39705F" w14:textId="1FE0C92D" w:rsidR="00E13763" w:rsidRPr="00B24181" w:rsidRDefault="00E13763" w:rsidP="00E760C4">
      <w:pPr>
        <w:pStyle w:val="Heading6"/>
      </w:pPr>
      <w:bookmarkStart w:id="34" w:name="_Toc18774632"/>
      <w:bookmarkStart w:id="35" w:name="_Toc18935356"/>
      <w:bookmarkStart w:id="36" w:name="_Toc18935519"/>
      <w:bookmarkStart w:id="37" w:name="_Toc21682971"/>
      <w:bookmarkStart w:id="38" w:name="_Toc21683275"/>
      <w:bookmarkEnd w:id="33"/>
      <w:r w:rsidRPr="00B24181">
        <w:t xml:space="preserve">The </w:t>
      </w:r>
      <w:r w:rsidR="006B591B" w:rsidRPr="00B24181">
        <w:t>CCC</w:t>
      </w:r>
      <w:r w:rsidRPr="00B24181">
        <w:t xml:space="preserve"> CTE Delivery Structure</w:t>
      </w:r>
      <w:bookmarkEnd w:id="34"/>
      <w:bookmarkEnd w:id="35"/>
      <w:bookmarkEnd w:id="36"/>
      <w:bookmarkEnd w:id="37"/>
      <w:bookmarkEnd w:id="38"/>
    </w:p>
    <w:p w14:paraId="4C98A695" w14:textId="40BECFD3" w:rsidR="00E13763" w:rsidRPr="002F2687" w:rsidRDefault="00E13763" w:rsidP="003A6CC9">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and degree programs leading directly to employment; “transfer” programs that prepare students for</w:t>
      </w:r>
      <w:r w:rsidR="007033C8">
        <w:t xml:space="preserve"> the</w:t>
      </w:r>
      <w:r w:rsidRPr="002F2687">
        <w:t xml:space="preserve"> transition to four-year institutions; and programs to enhance skills and retraining of incumbent and re-entering workers. Across the system, courses are offered in more than 270 occupational program areas</w:t>
      </w:r>
      <w:r w:rsidR="005A6C29">
        <w:t>,</w:t>
      </w:r>
      <w:r w:rsidRPr="002F2687">
        <w:t xml:space="preserve">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2A9F3DB7" w:rsidR="00E13763" w:rsidRPr="002F2687" w:rsidRDefault="00E13763" w:rsidP="00674637">
      <w:r w:rsidRPr="002F2687">
        <w:lastRenderedPageBreak/>
        <w:t>Given the diversity of the California economy</w:t>
      </w:r>
      <w:r w:rsidR="005A6C29">
        <w:t>;</w:t>
      </w:r>
      <w:r w:rsidRPr="002F2687">
        <w:t xml:space="preserve"> the regionalization of industries such as agriculture, media, computer information systems, technology, and natural resources</w:t>
      </w:r>
      <w:r w:rsidR="005A6C29">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Pr="002F2687">
        <w:t xml:space="preserve"> are organized into ten macro</w:t>
      </w:r>
      <w:r w:rsidR="004868B6">
        <w:t>-</w:t>
      </w:r>
      <w:r w:rsidRPr="002F2687">
        <w:t>regions and 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48078B">
      <w:pPr>
        <w:pStyle w:val="ListParagraph"/>
        <w:ind w:left="1170" w:hanging="450"/>
      </w:pPr>
      <w:r w:rsidRPr="002F2687">
        <w:t>North/Far North</w:t>
      </w:r>
    </w:p>
    <w:p w14:paraId="6DE89562" w14:textId="77777777" w:rsidR="00E13763" w:rsidRPr="002F2687" w:rsidRDefault="00E13763" w:rsidP="0048078B">
      <w:pPr>
        <w:pStyle w:val="ListParagraph"/>
        <w:ind w:left="1170" w:hanging="450"/>
      </w:pPr>
      <w:r w:rsidRPr="002F2687">
        <w:t>Bay/Interior Bay</w:t>
      </w:r>
    </w:p>
    <w:p w14:paraId="0EB7BFB9" w14:textId="77777777" w:rsidR="00E13763" w:rsidRPr="002F2687" w:rsidRDefault="00E13763" w:rsidP="0048078B">
      <w:pPr>
        <w:pStyle w:val="ListParagraph"/>
        <w:ind w:left="1170" w:hanging="450"/>
      </w:pPr>
      <w:r w:rsidRPr="002F2687">
        <w:t>Central</w:t>
      </w:r>
    </w:p>
    <w:p w14:paraId="3A42DE12" w14:textId="77777777" w:rsidR="00E13763" w:rsidRPr="002F2687" w:rsidRDefault="00E13763" w:rsidP="0048078B">
      <w:pPr>
        <w:pStyle w:val="ListParagraph"/>
        <w:ind w:left="1170" w:hanging="450"/>
      </w:pPr>
      <w:r w:rsidRPr="002F2687">
        <w:t>South Central Coast</w:t>
      </w:r>
    </w:p>
    <w:p w14:paraId="324E256B" w14:textId="77777777" w:rsidR="00E13763" w:rsidRPr="002F2687" w:rsidRDefault="00E13763" w:rsidP="0048078B">
      <w:pPr>
        <w:pStyle w:val="ListParagraph"/>
        <w:ind w:left="1170" w:hanging="450"/>
      </w:pPr>
      <w:r w:rsidRPr="002F2687">
        <w:t>Los Angeles/Orange County</w:t>
      </w:r>
    </w:p>
    <w:p w14:paraId="7AFE3B48" w14:textId="40F55AD1" w:rsidR="00E13763" w:rsidRPr="002F2687" w:rsidRDefault="006D1F01" w:rsidP="0048078B">
      <w:pPr>
        <w:pStyle w:val="ListParagraph"/>
        <w:ind w:left="1170" w:hanging="450"/>
      </w:pPr>
      <w:r>
        <w:t>Inland Empire/</w:t>
      </w:r>
      <w:r w:rsidR="00E13763" w:rsidRPr="002F2687">
        <w:t>Desert</w:t>
      </w:r>
    </w:p>
    <w:p w14:paraId="063528F4" w14:textId="77777777" w:rsidR="00E13763" w:rsidRPr="002F2687" w:rsidRDefault="00E13763" w:rsidP="0048078B">
      <w:pPr>
        <w:pStyle w:val="ListParagraph"/>
        <w:ind w:left="1170" w:hanging="450"/>
      </w:pPr>
      <w:r w:rsidRPr="002F2687">
        <w:t>San Diego/Imperial</w:t>
      </w:r>
    </w:p>
    <w:p w14:paraId="4070CC6B" w14:textId="22182C83" w:rsidR="00E13763" w:rsidRPr="002F2687" w:rsidRDefault="00E13763" w:rsidP="00674637">
      <w:r w:rsidRPr="002F2687">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w:t>
      </w:r>
      <w:r w:rsidR="007D1D68">
        <w:t>S</w:t>
      </w:r>
      <w:r w:rsidRPr="002F2687">
        <w:t xml:space="preserve">tate leaders, disseminating effective practices, recommending funding priorities, and supporting the achievement of </w:t>
      </w:r>
      <w:r w:rsidR="000B4F8D">
        <w:t>s</w:t>
      </w:r>
      <w:r w:rsidRPr="002F2687">
        <w:t>tatewide leadership policies, goals, initiatives, and metrics. They are key in program approval, checking that labor demands and training facilities are sufficient to justify any new program.</w:t>
      </w:r>
    </w:p>
    <w:p w14:paraId="425EEC0E" w14:textId="49334501" w:rsidR="00E13763" w:rsidRPr="002F2687" w:rsidRDefault="00E13763" w:rsidP="00674637">
      <w:r w:rsidRPr="002F2687">
        <w:t>The role of the</w:t>
      </w:r>
      <w:r w:rsidR="00AC0764">
        <w:t>se</w:t>
      </w:r>
      <w:r w:rsidRPr="002F2687">
        <w:t xml:space="preserve"> </w:t>
      </w:r>
      <w:r w:rsidR="0037236F">
        <w:t>r</w:t>
      </w:r>
      <w:r w:rsidRPr="002F2687">
        <w:t xml:space="preserve">egional </w:t>
      </w:r>
      <w:r w:rsidR="0037236F">
        <w:t>c</w:t>
      </w:r>
      <w:r w:rsidR="00AC0764" w:rsidRPr="002F2687">
        <w:t>onsort</w:t>
      </w:r>
      <w:r w:rsidR="00AC0764">
        <w:t xml:space="preserve">ia </w:t>
      </w:r>
      <w:r w:rsidRPr="002F2687">
        <w:t>is to develop a workforce development plan inclusive of the region</w:t>
      </w:r>
      <w:r w:rsidR="00F01AE5" w:rsidRPr="002F2687">
        <w:t>’</w:t>
      </w:r>
      <w:r w:rsidRPr="002F2687">
        <w:t>s colleges, K</w:t>
      </w:r>
      <w:r w:rsidR="00F22DAE" w:rsidRPr="002F2687">
        <w:t>–</w:t>
      </w:r>
      <w:r w:rsidRPr="002F2687">
        <w:t>12</w:t>
      </w:r>
      <w:r w:rsidR="00F93016">
        <w:t xml:space="preserve"> schools</w:t>
      </w:r>
      <w:r w:rsidRPr="002F2687">
        <w:t xml:space="preserve">, and other workforce development stakeholders. This regional structure recognizes the unique strengths of each regional ecosystem and organizes the </w:t>
      </w:r>
      <w:r w:rsidR="007D1D68">
        <w:t>S</w:t>
      </w:r>
      <w:r w:rsidRPr="002F2687">
        <w:t>tate around regional collaborative activities, support</w:t>
      </w:r>
      <w:r w:rsidR="006779BD">
        <w:t>,</w:t>
      </w:r>
      <w:r w:rsidRPr="002F2687">
        <w:t xml:space="preserve"> and funding.</w:t>
      </w:r>
    </w:p>
    <w:p w14:paraId="4E929DFE" w14:textId="5BA74627" w:rsidR="00E13763" w:rsidRPr="002F2687" w:rsidRDefault="00470838" w:rsidP="00674637">
      <w:r w:rsidRPr="002F2687">
        <w:t>Within the CCCCO, t</w:t>
      </w:r>
      <w:r w:rsidR="00E13763" w:rsidRPr="002F2687">
        <w:t xml:space="preserve">he WEDD ensures that CTE programs are responsive to the workforce needs of business and industry while creating pathway opportunities for students </w:t>
      </w:r>
      <w:r w:rsidRPr="002F2687">
        <w:t>with</w:t>
      </w:r>
      <w:r w:rsidR="00E13763" w:rsidRPr="002F2687">
        <w:t xml:space="preserve"> diverse </w:t>
      </w:r>
      <w:r w:rsidRPr="002F2687">
        <w:t>goals</w:t>
      </w:r>
      <w:r w:rsidR="00E13763" w:rsidRPr="002F2687">
        <w:t xml:space="preserve">. These programs aim to advance the State’s economic </w:t>
      </w:r>
      <w:r w:rsidR="00E13763" w:rsidRPr="002F2687">
        <w:lastRenderedPageBreak/>
        <w:t>growth and global competitiveness through quality education and student services focused on continuous workforce development, technology deployment, entrepreneurship, and documentation of workforce needs and trends</w:t>
      </w:r>
      <w:r w:rsidR="00453F73">
        <w:t>,</w:t>
      </w:r>
      <w:r w:rsidR="00E13763" w:rsidRPr="002F2687">
        <w:t xml:space="preserve"> as well as </w:t>
      </w:r>
      <w:r w:rsidR="006779BD">
        <w:t>o</w:t>
      </w:r>
      <w:r w:rsidR="001D76E0">
        <w:t>n</w:t>
      </w:r>
      <w:r w:rsidR="006779BD">
        <w:t xml:space="preserve"> </w:t>
      </w:r>
      <w:r w:rsidR="00E13763" w:rsidRPr="002F2687">
        <w:t>barriers outside the campus that inordinately impact economically disadvantaged students.</w:t>
      </w:r>
    </w:p>
    <w:p w14:paraId="69C3E8FF" w14:textId="09E0B246" w:rsidR="00E13763" w:rsidRPr="002F2687" w:rsidRDefault="00E13763" w:rsidP="00674637">
      <w:r w:rsidRPr="002F2687">
        <w:t>The Strong Workforce Program (SWP) infrastructure</w:t>
      </w:r>
      <w:r w:rsidR="00BB1793">
        <w:t xml:space="preserve"> </w:t>
      </w:r>
      <w:r w:rsidRPr="002F2687">
        <w:t>supports $2</w:t>
      </w:r>
      <w:r w:rsidR="00815332">
        <w:t xml:space="preserve">36 </w:t>
      </w:r>
      <w:r w:rsidRPr="002F2687">
        <w:t xml:space="preserve">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7A0203DA" w:rsidR="00E13763" w:rsidRPr="002F2687" w:rsidRDefault="00E13763" w:rsidP="0048078B">
      <w:pPr>
        <w:pStyle w:val="ListParagraph"/>
        <w:ind w:left="1170" w:hanging="450"/>
      </w:pPr>
      <w:r w:rsidRPr="002F2687">
        <w:t>Regional priority settings</w:t>
      </w:r>
    </w:p>
    <w:p w14:paraId="57AC0067" w14:textId="2F446897" w:rsidR="00E13763" w:rsidRPr="002F2687" w:rsidRDefault="00E13763" w:rsidP="0048078B">
      <w:pPr>
        <w:pStyle w:val="ListParagraph"/>
        <w:ind w:left="1170" w:hanging="450"/>
      </w:pPr>
      <w:r w:rsidRPr="002F2687">
        <w:t xml:space="preserve">Shared data </w:t>
      </w:r>
      <w:r w:rsidR="001D76E0">
        <w:t xml:space="preserve">on </w:t>
      </w:r>
      <w:r w:rsidRPr="002F2687">
        <w:t>validated student outcome measures</w:t>
      </w:r>
    </w:p>
    <w:p w14:paraId="7C9857CA" w14:textId="6EC18E0F" w:rsidR="00E13763" w:rsidRPr="002F2687" w:rsidRDefault="00E13763" w:rsidP="0048078B">
      <w:pPr>
        <w:pStyle w:val="ListParagraph"/>
        <w:ind w:left="1170" w:hanging="450"/>
      </w:pPr>
      <w:r w:rsidRPr="002F2687">
        <w:t>Data</w:t>
      </w:r>
      <w:r w:rsidR="00A92EDA">
        <w:t>-</w:t>
      </w:r>
      <w:r w:rsidRPr="002F2687">
        <w:t>driven planning process</w:t>
      </w:r>
    </w:p>
    <w:p w14:paraId="7B6CE18E" w14:textId="25B067E8"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around </w:t>
      </w:r>
      <w:r w:rsidR="00BB1793">
        <w:t xml:space="preserve">the following </w:t>
      </w:r>
      <w:r w:rsidRPr="002F2687">
        <w:t>10</w:t>
      </w:r>
      <w:r w:rsidR="00150838" w:rsidRPr="002F2687">
        <w:t xml:space="preserve"> priority</w:t>
      </w:r>
      <w:r w:rsidRPr="002F2687">
        <w:t xml:space="preserve"> </w:t>
      </w:r>
      <w:r w:rsidR="00107195">
        <w:t>I</w:t>
      </w:r>
      <w:r w:rsidR="00150838" w:rsidRPr="002F2687">
        <w:t xml:space="preserve">ndustry </w:t>
      </w:r>
      <w:r w:rsidR="00107195">
        <w:t>S</w:t>
      </w:r>
      <w:r w:rsidR="00150838" w:rsidRPr="002F2687">
        <w:t>ectors aligned with California’s labor market needs</w:t>
      </w:r>
      <w:r w:rsidR="0095539E">
        <w:t>:</w:t>
      </w:r>
    </w:p>
    <w:p w14:paraId="1B160A7C" w14:textId="2496BA00" w:rsidR="0042176B" w:rsidRPr="002F2687" w:rsidRDefault="0042176B" w:rsidP="0048078B">
      <w:pPr>
        <w:pStyle w:val="ListParagraph"/>
        <w:numPr>
          <w:ilvl w:val="0"/>
          <w:numId w:val="23"/>
        </w:numPr>
        <w:ind w:left="1170" w:hanging="450"/>
      </w:pPr>
      <w:r w:rsidRPr="002F2687">
        <w:t>Advanced Manufacturing</w:t>
      </w:r>
    </w:p>
    <w:p w14:paraId="379D014D" w14:textId="456A56DC" w:rsidR="0042176B" w:rsidRPr="002F2687" w:rsidRDefault="0042176B" w:rsidP="0048078B">
      <w:pPr>
        <w:pStyle w:val="ListParagraph"/>
        <w:numPr>
          <w:ilvl w:val="0"/>
          <w:numId w:val="23"/>
        </w:numPr>
        <w:ind w:left="1170" w:hanging="450"/>
      </w:pPr>
      <w:r w:rsidRPr="002F2687">
        <w:t>Advanced Transportation and Renewables</w:t>
      </w:r>
    </w:p>
    <w:p w14:paraId="1D47C10A" w14:textId="1B930CFE" w:rsidR="0042176B" w:rsidRPr="002F2687" w:rsidRDefault="0042176B" w:rsidP="0048078B">
      <w:pPr>
        <w:pStyle w:val="ListParagraph"/>
        <w:numPr>
          <w:ilvl w:val="0"/>
          <w:numId w:val="23"/>
        </w:numPr>
        <w:ind w:left="1170" w:hanging="450"/>
      </w:pPr>
      <w:r w:rsidRPr="002F2687">
        <w:t>Agriculture, Water, and Environmental Technologies</w:t>
      </w:r>
    </w:p>
    <w:p w14:paraId="64C55CD8" w14:textId="7366224B" w:rsidR="0042176B" w:rsidRPr="002F2687" w:rsidRDefault="0042176B" w:rsidP="0048078B">
      <w:pPr>
        <w:pStyle w:val="ListParagraph"/>
        <w:numPr>
          <w:ilvl w:val="0"/>
          <w:numId w:val="23"/>
        </w:numPr>
        <w:ind w:left="1170" w:hanging="450"/>
      </w:pPr>
      <w:r w:rsidRPr="002F2687">
        <w:t>Energy, Construction, and Utilities</w:t>
      </w:r>
    </w:p>
    <w:p w14:paraId="0287BDDD" w14:textId="303E9607" w:rsidR="0042176B" w:rsidRPr="002F2687" w:rsidRDefault="0042176B" w:rsidP="0048078B">
      <w:pPr>
        <w:pStyle w:val="ListParagraph"/>
        <w:numPr>
          <w:ilvl w:val="0"/>
          <w:numId w:val="23"/>
        </w:numPr>
        <w:ind w:left="1170" w:hanging="450"/>
      </w:pPr>
      <w:r w:rsidRPr="002F2687">
        <w:t>Global Trade and Logistics</w:t>
      </w:r>
    </w:p>
    <w:p w14:paraId="2C8B7046" w14:textId="6C0E4AE7" w:rsidR="0042176B" w:rsidRPr="002F2687" w:rsidRDefault="0042176B" w:rsidP="0048078B">
      <w:pPr>
        <w:pStyle w:val="ListParagraph"/>
        <w:numPr>
          <w:ilvl w:val="0"/>
          <w:numId w:val="23"/>
        </w:numPr>
        <w:ind w:left="1170" w:hanging="450"/>
      </w:pPr>
      <w:r w:rsidRPr="002F2687">
        <w:t>Health</w:t>
      </w:r>
    </w:p>
    <w:p w14:paraId="7C5EEE9E" w14:textId="7B5C813E" w:rsidR="0042176B" w:rsidRPr="002F2687" w:rsidRDefault="0042176B" w:rsidP="0048078B">
      <w:pPr>
        <w:pStyle w:val="ListParagraph"/>
        <w:numPr>
          <w:ilvl w:val="0"/>
          <w:numId w:val="23"/>
        </w:numPr>
        <w:ind w:left="1170" w:hanging="450"/>
      </w:pPr>
      <w:r w:rsidRPr="002F2687">
        <w:lastRenderedPageBreak/>
        <w:t>Information and Communication Technologies</w:t>
      </w:r>
    </w:p>
    <w:p w14:paraId="60F5154A" w14:textId="26D71525" w:rsidR="0042176B" w:rsidRPr="002F2687" w:rsidRDefault="0042176B" w:rsidP="0048078B">
      <w:pPr>
        <w:pStyle w:val="ListParagraph"/>
        <w:numPr>
          <w:ilvl w:val="0"/>
          <w:numId w:val="23"/>
        </w:numPr>
        <w:ind w:left="1170" w:hanging="450"/>
      </w:pPr>
      <w:r w:rsidRPr="002F2687">
        <w:t>Life Sciences and Biotechnology</w:t>
      </w:r>
    </w:p>
    <w:p w14:paraId="353E9552" w14:textId="2452FC64" w:rsidR="0042176B" w:rsidRPr="002F2687" w:rsidRDefault="0042176B" w:rsidP="0048078B">
      <w:pPr>
        <w:pStyle w:val="ListParagraph"/>
        <w:numPr>
          <w:ilvl w:val="0"/>
          <w:numId w:val="23"/>
        </w:numPr>
        <w:ind w:left="1170" w:hanging="450"/>
      </w:pPr>
      <w:r w:rsidRPr="002F2687">
        <w:t>Retail, Hospitality, and Tourism</w:t>
      </w:r>
    </w:p>
    <w:p w14:paraId="3CF331AC" w14:textId="77777777" w:rsidR="0042176B" w:rsidRPr="002F2687" w:rsidRDefault="0042176B" w:rsidP="0048078B">
      <w:pPr>
        <w:pStyle w:val="ListParagraph"/>
        <w:numPr>
          <w:ilvl w:val="0"/>
          <w:numId w:val="23"/>
        </w:numPr>
        <w:ind w:left="1170" w:hanging="450"/>
      </w:pPr>
      <w:r w:rsidRPr="002F2687">
        <w:t>Small Business</w:t>
      </w:r>
    </w:p>
    <w:p w14:paraId="58C566E1" w14:textId="1454E916" w:rsidR="0042176B" w:rsidRPr="002F2687" w:rsidRDefault="0042176B" w:rsidP="00674637">
      <w:r w:rsidRPr="002F2687">
        <w:t xml:space="preserve">Each SWP consortium </w:t>
      </w:r>
      <w:r w:rsidR="004F508E">
        <w:t>also has</w:t>
      </w:r>
      <w:r w:rsidRPr="002F2687">
        <w:t xml:space="preserve">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bookmarkStart w:id="39" w:name="_Hlk31266252"/>
      <w:r w:rsidRPr="00001BFC">
        <w:t>See Appendix C for</w:t>
      </w:r>
      <w:r w:rsidRPr="002F2687">
        <w:t xml:space="preserve"> a crosswalk </w:t>
      </w:r>
      <w:r w:rsidR="00892BEC">
        <w:t>of</w:t>
      </w:r>
      <w:r w:rsidRPr="002F2687">
        <w:t xml:space="preserve"> the CTE </w:t>
      </w:r>
      <w:r w:rsidR="001D76E0">
        <w:t>I</w:t>
      </w:r>
      <w:r w:rsidRPr="002F2687">
        <w:t xml:space="preserve">ndustry </w:t>
      </w:r>
      <w:r w:rsidR="001D76E0">
        <w:t>S</w:t>
      </w:r>
      <w:r w:rsidRPr="002F2687">
        <w:t xml:space="preserve">ectors and </w:t>
      </w:r>
      <w:r w:rsidR="001D76E0">
        <w:t>P</w:t>
      </w:r>
      <w:r w:rsidRPr="002F2687">
        <w:t xml:space="preserve">athways at the CDE with the CCC </w:t>
      </w:r>
      <w:r w:rsidR="00107195">
        <w:t>I</w:t>
      </w:r>
      <w:r w:rsidRPr="002F2687">
        <w:t xml:space="preserve">ndustry </w:t>
      </w:r>
      <w:r w:rsidR="00107195">
        <w:t>S</w:t>
      </w:r>
      <w:r w:rsidRPr="002F2687">
        <w:t>ectors.</w:t>
      </w:r>
    </w:p>
    <w:bookmarkEnd w:id="39"/>
    <w:p w14:paraId="2808A5F3" w14:textId="5CBD8D25" w:rsidR="00E13763" w:rsidRPr="002F2687" w:rsidRDefault="00AC0764" w:rsidP="00674637">
      <w:r>
        <w:t xml:space="preserve">SWP initiatives </w:t>
      </w:r>
      <w:r w:rsidR="00E13763" w:rsidRPr="002F2687">
        <w:t>include business incubation, technology transfer, and workforce training. Moving forward, these network</w:t>
      </w:r>
      <w:r w:rsidR="0042176B" w:rsidRPr="002F2687">
        <w:t>s</w:t>
      </w:r>
      <w:r w:rsidR="00E13763" w:rsidRPr="002F2687">
        <w:t xml:space="preserve"> of grantees will focus on supporting</w:t>
      </w:r>
      <w:r w:rsidR="00B54FEA">
        <w:t xml:space="preserve"> the</w:t>
      </w:r>
      <w:r w:rsidR="00E13763"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00E13763" w:rsidRPr="002F2687">
        <w:t xml:space="preserve"> regional consorti</w:t>
      </w:r>
      <w:r w:rsidR="00F93016">
        <w:t>a</w:t>
      </w:r>
      <w:r w:rsidR="00E13763" w:rsidRPr="002F2687">
        <w:t xml:space="preserve"> to ensure CTE investments support regional economies</w:t>
      </w:r>
      <w:r w:rsidR="006B591B">
        <w:t>,</w:t>
      </w:r>
      <w:r w:rsidR="00E13763" w:rsidRPr="002F2687">
        <w:t xml:space="preserve"> while striving to ensure students take advantage of the occupations that are key to industries that fuel growth.</w:t>
      </w:r>
    </w:p>
    <w:p w14:paraId="35C7DBED" w14:textId="0AC0258D" w:rsidR="00815332" w:rsidRDefault="00815332" w:rsidP="00815332">
      <w:r w:rsidRPr="00F22FAD">
        <w:rPr>
          <w:b/>
        </w:rPr>
        <w:t>K</w:t>
      </w:r>
      <w:r w:rsidR="00C82B9D">
        <w:rPr>
          <w:b/>
        </w:rPr>
        <w:t>–</w:t>
      </w:r>
      <w:r w:rsidR="00F22FAD" w:rsidRPr="00F22FAD">
        <w:rPr>
          <w:b/>
        </w:rPr>
        <w:t>12 SWP</w:t>
      </w:r>
      <w:r w:rsidR="00F22FAD" w:rsidRPr="00453F73">
        <w:rPr>
          <w:b/>
        </w:rPr>
        <w:t>.</w:t>
      </w:r>
      <w:r w:rsidR="00F22FAD">
        <w:t xml:space="preserve"> </w:t>
      </w:r>
      <w:r>
        <w:t xml:space="preserve">In 2018−19, </w:t>
      </w:r>
      <w:r w:rsidRPr="00B5434A">
        <w:rPr>
          <w:i/>
        </w:rPr>
        <w:t>EC</w:t>
      </w:r>
      <w:r>
        <w:t xml:space="preserve">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w:t>
      </w:r>
      <w:r w:rsidR="006F061E">
        <w:br/>
      </w:r>
      <w:r>
        <w:t>K–12 SWP State initiatives.</w:t>
      </w:r>
    </w:p>
    <w:p w14:paraId="333744C9" w14:textId="05923DE2" w:rsidR="007412C3" w:rsidRPr="002F2687" w:rsidRDefault="000E1021" w:rsidP="00674637">
      <w:r>
        <w:t xml:space="preserve">In the CCC, </w:t>
      </w:r>
      <w:r w:rsidR="007412C3" w:rsidRPr="002F2687">
        <w:t xml:space="preserve">CTE is offered through several types of programs. All of these programs </w:t>
      </w:r>
      <w:r w:rsidR="00E676A8">
        <w:t>facilitate</w:t>
      </w:r>
      <w:r w:rsidR="007412C3" w:rsidRPr="002F2687">
        <w:t xml:space="preserve"> access to education at convenient locations and </w:t>
      </w:r>
      <w:r w:rsidR="00B147AD">
        <w:t xml:space="preserve">at convenient </w:t>
      </w:r>
      <w:r w:rsidR="007412C3" w:rsidRPr="002F2687">
        <w:t>times</w:t>
      </w:r>
      <w:r w:rsidR="00B147AD">
        <w:t>,</w:t>
      </w:r>
      <w:r w:rsidR="007412C3" w:rsidRPr="002F2687">
        <w:t xml:space="preserve"> including evenings and weekends. </w:t>
      </w:r>
      <w:r w:rsidR="00E0027F">
        <w:t>CCC</w:t>
      </w:r>
      <w:r w:rsidR="007412C3" w:rsidRPr="002F2687">
        <w:t xml:space="preserve"> maintain market-responsive CTE programs </w:t>
      </w:r>
      <w:r>
        <w:t>through</w:t>
      </w:r>
      <w:r w:rsidR="00E676A8">
        <w:t xml:space="preserve"> </w:t>
      </w:r>
      <w:r w:rsidR="0042176B" w:rsidRPr="002F2687">
        <w:t xml:space="preserve">the </w:t>
      </w:r>
      <w:r w:rsidR="00B147AD">
        <w:lastRenderedPageBreak/>
        <w:t xml:space="preserve">previously mentioned </w:t>
      </w:r>
      <w:r w:rsidR="007412C3" w:rsidRPr="002F2687">
        <w:t>collaborative structures</w:t>
      </w:r>
      <w:r w:rsidR="00880D38">
        <w:t>,</w:t>
      </w:r>
      <w:r w:rsidR="007412C3" w:rsidRPr="002F2687">
        <w:t xml:space="preserve"> as well as through local college program-level business and industry program advisory committees.</w:t>
      </w:r>
    </w:p>
    <w:p w14:paraId="6A569AE0" w14:textId="0A950D6C" w:rsidR="007412C3" w:rsidRPr="002F2687" w:rsidRDefault="00880D38" w:rsidP="00674637">
      <w:r>
        <w:rPr>
          <w:b/>
        </w:rPr>
        <w:t>CCC</w:t>
      </w:r>
      <w:r w:rsidR="007412C3" w:rsidRPr="002F2687">
        <w:rPr>
          <w:b/>
        </w:rPr>
        <w:t xml:space="preserve"> Credit-Bearing Occupational Programs</w:t>
      </w:r>
      <w:r w:rsidR="007A6995">
        <w:rPr>
          <w:b/>
        </w:rPr>
        <w:t>:</w:t>
      </w:r>
      <w:r w:rsidR="007412C3" w:rsidRPr="002F2687">
        <w:t xml:space="preserve"> </w:t>
      </w:r>
      <w:r w:rsidR="00B5434A">
        <w:t xml:space="preserve">The </w:t>
      </w:r>
      <w:r>
        <w:t>CCC</w:t>
      </w:r>
      <w:r w:rsidR="007412C3" w:rsidRPr="002F2687">
        <w:t xml:space="preserve"> offer college-level courses in more than 270 occupational program areas</w:t>
      </w:r>
      <w:r w:rsidR="00457DCF">
        <w:t xml:space="preserve"> —</w:t>
      </w:r>
      <w:r w:rsidR="007412C3" w:rsidRPr="002F2687">
        <w:t xml:space="preserve"> ranging from accounting to internet administration</w:t>
      </w:r>
      <w:r w:rsidR="00457DCF">
        <w:t xml:space="preserve"> —</w:t>
      </w:r>
      <w:r w:rsidR="007412C3" w:rsidRPr="002F2687">
        <w:t xml:space="preserve"> many of which lead to certificates or licenses based on industry standards. These programs range in length from a few courses to two full years of coursework. More than 5,744 CTE </w:t>
      </w:r>
      <w:r w:rsidR="000E1021">
        <w:t xml:space="preserve">for-credit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rsidR="007412C3" w:rsidRPr="002F2687">
        <w:t>.</w:t>
      </w:r>
    </w:p>
    <w:p w14:paraId="178064A2" w14:textId="75008511" w:rsidR="007412C3" w:rsidRPr="002F2687" w:rsidRDefault="00B5434A" w:rsidP="00674637">
      <w:r>
        <w:t>As previously mentioned, t</w:t>
      </w:r>
      <w:r w:rsidR="007412C3" w:rsidRPr="002F2687">
        <w:t>he WEDD administers the SWP, which provides $2</w:t>
      </w:r>
      <w:r w:rsidR="004F508E">
        <w:t>36</w:t>
      </w:r>
      <w:r w:rsidR="007412C3" w:rsidRPr="002F2687">
        <w:t xml:space="preserve"> million </w:t>
      </w:r>
      <w:r w:rsidR="004F508E">
        <w:t>annually in program</w:t>
      </w:r>
      <w:r>
        <w:t xml:space="preserve"> funds</w:t>
      </w:r>
      <w:r w:rsidR="007412C3" w:rsidRPr="002F2687">
        <w:t xml:space="preserve"> to support </w:t>
      </w:r>
      <w:r w:rsidR="00880D38">
        <w:t>CCC</w:t>
      </w:r>
      <w:r w:rsidR="007412C3" w:rsidRPr="002F2687">
        <w:t xml:space="preserve"> efforts to ensure </w:t>
      </w:r>
      <w:r w:rsidR="00457DCF">
        <w:t>their</w:t>
      </w:r>
      <w:r w:rsidR="00457DCF" w:rsidRPr="002F2687">
        <w:t xml:space="preserve"> </w:t>
      </w:r>
      <w:r w:rsidR="007412C3" w:rsidRPr="002F2687">
        <w:t>CTE programs are keeping pace with a continuously evolving labor market that is being shaped by technological advancements in today’s workplaces across all industries</w:t>
      </w:r>
      <w:r w:rsidR="00E92710">
        <w:t>,</w:t>
      </w:r>
      <w:r w:rsidR="007412C3" w:rsidRPr="002F2687">
        <w:t xml:space="preserve"> and </w:t>
      </w:r>
      <w:r w:rsidR="000E1021">
        <w:t xml:space="preserve">by </w:t>
      </w:r>
      <w:r w:rsidR="007412C3" w:rsidRPr="002F2687">
        <w:t xml:space="preserve">regional advantages that will </w:t>
      </w:r>
      <w:r w:rsidR="00F93016">
        <w:t>identify</w:t>
      </w:r>
      <w:r w:rsidR="007412C3" w:rsidRPr="002F2687">
        <w:t xml:space="preserve"> emergent industries. </w:t>
      </w:r>
      <w:r w:rsidR="00E676A8">
        <w:t>In addition to the SWP</w:t>
      </w:r>
      <w:r w:rsidR="007412C3" w:rsidRPr="002F2687">
        <w:t xml:space="preserve">, </w:t>
      </w:r>
      <w:r w:rsidR="00B147AD">
        <w:t xml:space="preserve">the </w:t>
      </w:r>
      <w:r w:rsidR="007412C3" w:rsidRPr="002F2687">
        <w:t>WEDD utilize</w:t>
      </w:r>
      <w:r w:rsidR="00E566D2">
        <w:t>s</w:t>
      </w:r>
      <w:r w:rsidR="007412C3" w:rsidRPr="002F2687">
        <w:t xml:space="preserve"> its portfolio of nearly $1 billion to help colleges leverage their quality CTE programs to facilitate pathways for students</w:t>
      </w:r>
      <w:r w:rsidR="004F508E">
        <w:t xml:space="preserve"> and provide</w:t>
      </w:r>
      <w:r w:rsidR="00880D38">
        <w:t xml:space="preserve"> a</w:t>
      </w:r>
      <w:r w:rsidR="007412C3" w:rsidRPr="002F2687">
        <w:t xml:space="preserve"> myriad of support services, in keeping with the </w:t>
      </w:r>
      <w:r w:rsidR="00871C8D">
        <w:t>CCCCO’s</w:t>
      </w:r>
      <w:r w:rsidR="007412C3" w:rsidRPr="002F2687">
        <w:t xml:space="preserve"> Guided Pathway</w:t>
      </w:r>
      <w:r w:rsidR="00E566D2">
        <w:t>s</w:t>
      </w:r>
      <w:r w:rsidR="007412C3" w:rsidRPr="002F2687">
        <w:t xml:space="preserve"> </w:t>
      </w:r>
      <w:r w:rsidR="004F508E">
        <w:t>program</w:t>
      </w:r>
      <w:r w:rsidR="007412C3" w:rsidRPr="002F2687">
        <w:t xml:space="preserve"> and Vision for Success goals. </w:t>
      </w:r>
      <w:r w:rsidR="00E566D2">
        <w:t>Specifically,</w:t>
      </w:r>
      <w:r w:rsidR="007412C3" w:rsidRPr="002F2687">
        <w:t xml:space="preserve"> </w:t>
      </w:r>
      <w:r w:rsidR="00B147AD">
        <w:t xml:space="preserve">the </w:t>
      </w:r>
      <w:r w:rsidR="007412C3" w:rsidRPr="002F2687">
        <w:t>WEDD support</w:t>
      </w:r>
      <w:r w:rsidR="00E566D2">
        <w:t>s</w:t>
      </w:r>
      <w:r w:rsidR="007412C3" w:rsidRPr="002F2687">
        <w:t xml:space="preserve"> programs designed to </w:t>
      </w:r>
      <w:r w:rsidR="004F508E">
        <w:t xml:space="preserve">help meet </w:t>
      </w:r>
      <w:r w:rsidR="007412C3" w:rsidRPr="002F2687">
        <w:t>the needs of California’s diverse population</w:t>
      </w:r>
      <w:r w:rsidR="00872D07">
        <w:t>, which are intended to result</w:t>
      </w:r>
      <w:r w:rsidR="007412C3" w:rsidRPr="002F2687">
        <w:t xml:space="preserve"> in student outcomes that </w:t>
      </w:r>
      <w:r w:rsidR="000E1021">
        <w:t>enable</w:t>
      </w:r>
      <w:r w:rsidR="007412C3" w:rsidRPr="002F2687">
        <w:t xml:space="preserve"> students to gain job skills and earn certificates for entry into, or advancement in, employment.</w:t>
      </w:r>
    </w:p>
    <w:p w14:paraId="33A16BDA" w14:textId="30C89D24" w:rsidR="007412C3" w:rsidRPr="002F2687" w:rsidRDefault="007412C3" w:rsidP="00674637">
      <w:r w:rsidRPr="002F2687">
        <w:t xml:space="preserve">Programs on most campuses are overseen by </w:t>
      </w:r>
      <w:r w:rsidR="00F23BDF">
        <w:t>Vocational Deans or</w:t>
      </w:r>
      <w:r w:rsidR="006D1F01">
        <w:t xml:space="preserve"> </w:t>
      </w:r>
      <w:r w:rsidR="00F23BDF">
        <w:t xml:space="preserve">Career </w:t>
      </w:r>
      <w:r w:rsidR="00033DA9">
        <w:t>Deans</w:t>
      </w:r>
      <w:r w:rsidRPr="002F2687">
        <w:t xml:space="preserve">. All new CTE programs must be approved through </w:t>
      </w:r>
      <w:r w:rsidR="00E566D2">
        <w:t>a</w:t>
      </w:r>
      <w:r w:rsidRPr="002F2687">
        <w:t xml:space="preserve"> </w:t>
      </w:r>
      <w:r w:rsidR="00F93016">
        <w:t xml:space="preserve">local </w:t>
      </w:r>
      <w:r w:rsidRPr="002F2687">
        <w:t xml:space="preserve">district curriculum committee process and </w:t>
      </w:r>
      <w:r w:rsidR="00E92710">
        <w:t xml:space="preserve">must </w:t>
      </w:r>
      <w:r w:rsidRPr="002F2687">
        <w:t xml:space="preserve">demonstrate sufficient labor market demand for graduates. Credit programs that require 12 or more credits and </w:t>
      </w:r>
      <w:r w:rsidR="00E92710">
        <w:t xml:space="preserve">that </w:t>
      </w:r>
      <w:r w:rsidRPr="002F2687">
        <w:t>appear on students’ transcripts must</w:t>
      </w:r>
      <w:r w:rsidR="00E566D2">
        <w:t xml:space="preserve"> also be approved by the CCCCO.</w:t>
      </w:r>
    </w:p>
    <w:p w14:paraId="52B34B3B" w14:textId="2E4943E5" w:rsidR="007412C3" w:rsidRPr="002F2687" w:rsidRDefault="007412C3" w:rsidP="00674637">
      <w:r w:rsidRPr="002F2687">
        <w:t xml:space="preserve">Beyond meeting college course and program standards, courses and programs must meet </w:t>
      </w:r>
      <w:r w:rsidR="00880D38">
        <w:t xml:space="preserve">the </w:t>
      </w:r>
      <w:r w:rsidRPr="002F2687">
        <w:t xml:space="preserve">standards set forth in the </w:t>
      </w:r>
      <w:r w:rsidRPr="002F2687">
        <w:rPr>
          <w:i/>
          <w:iCs/>
        </w:rPr>
        <w:t>Program and Course Approval Handbook</w:t>
      </w:r>
      <w:r w:rsidR="000E1021">
        <w:rPr>
          <w:iCs/>
        </w:rPr>
        <w:t>,</w:t>
      </w:r>
      <w:r w:rsidRPr="002F2687">
        <w:rPr>
          <w:i/>
          <w:iCs/>
        </w:rPr>
        <w:t xml:space="preserve"> </w:t>
      </w:r>
      <w:r w:rsidRPr="002F2687">
        <w:t>published by the CCCCO</w:t>
      </w:r>
      <w:r w:rsidR="00E92710">
        <w:t>;</w:t>
      </w:r>
      <w:r w:rsidRPr="002F2687">
        <w:t xml:space="preserve"> Title 5 of the </w:t>
      </w:r>
      <w:r w:rsidRPr="008A6819">
        <w:rPr>
          <w:i/>
        </w:rPr>
        <w:t>California Code of Regulations</w:t>
      </w:r>
      <w:r w:rsidR="00E92710">
        <w:t>;</w:t>
      </w:r>
      <w:r w:rsidRPr="002F2687">
        <w:t xml:space="preserve"> and the California </w:t>
      </w:r>
      <w:r w:rsidRPr="002F2687">
        <w:rPr>
          <w:i/>
        </w:rPr>
        <w:t>EC</w:t>
      </w:r>
      <w:r w:rsidRPr="002F2687">
        <w:t xml:space="preserve">. </w:t>
      </w:r>
      <w:r w:rsidR="000E1021">
        <w:t xml:space="preserve">In </w:t>
      </w:r>
      <w:r w:rsidR="000E1021">
        <w:lastRenderedPageBreak/>
        <w:t>addition</w:t>
      </w:r>
      <w:r w:rsidRPr="002F2687">
        <w:t xml:space="preserve">,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14:paraId="435A09C0" w14:textId="6DD54F25"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w:t>
      </w:r>
      <w:r w:rsidR="00E92710">
        <w:t>,</w:t>
      </w:r>
      <w:r w:rsidRPr="002F2687">
        <w:t xml:space="preserve"> every two years</w:t>
      </w:r>
      <w:r w:rsidR="00E92710">
        <w:t>,</w:t>
      </w:r>
      <w:r w:rsidRPr="002F2687">
        <w:t xml:space="preserve"> that the program:</w:t>
      </w:r>
    </w:p>
    <w:p w14:paraId="7034D321" w14:textId="4E0FC483" w:rsidR="007412C3" w:rsidRPr="002F2687" w:rsidRDefault="007412C3" w:rsidP="0048078B">
      <w:pPr>
        <w:pStyle w:val="ListParagraph"/>
        <w:ind w:left="1170" w:hanging="450"/>
      </w:pPr>
      <w:r w:rsidRPr="002F2687">
        <w:t>Meets a documented labor market demand</w:t>
      </w:r>
      <w:r w:rsidR="00E92710">
        <w:t>;</w:t>
      </w:r>
    </w:p>
    <w:p w14:paraId="359484A9" w14:textId="256D4C2A" w:rsidR="007412C3" w:rsidRPr="002F2687" w:rsidRDefault="007412C3" w:rsidP="0048078B">
      <w:pPr>
        <w:pStyle w:val="ListParagraph"/>
        <w:ind w:left="1170" w:hanging="450"/>
      </w:pPr>
      <w:r w:rsidRPr="002F2687">
        <w:t>Does not represent unnecessary duplication of other manpower training programs in the area</w:t>
      </w:r>
      <w:r w:rsidR="00E92710">
        <w:t>; and</w:t>
      </w:r>
    </w:p>
    <w:p w14:paraId="1DB221FC" w14:textId="6D0FBE8C" w:rsidR="007412C3" w:rsidRPr="002F2687" w:rsidRDefault="007412C3" w:rsidP="0048078B">
      <w:pPr>
        <w:pStyle w:val="ListParagraph"/>
        <w:ind w:left="1170" w:hanging="450"/>
      </w:pPr>
      <w:r w:rsidRPr="002F2687">
        <w:t>Is of demonstrated effectiveness as measured by the employment and completion success of its students</w:t>
      </w:r>
      <w:r w:rsidR="00E92710">
        <w:t>.</w:t>
      </w:r>
    </w:p>
    <w:p w14:paraId="55CE8B2D" w14:textId="76760B61" w:rsidR="007412C3" w:rsidRPr="002F2687" w:rsidRDefault="00F93016" w:rsidP="00674637">
      <w:r>
        <w:t>Like K</w:t>
      </w:r>
      <w:r w:rsidRPr="002F2687">
        <w:t>–12</w:t>
      </w:r>
      <w:r w:rsidR="007412C3" w:rsidRPr="002F2687">
        <w:t xml:space="preserve">, all of </w:t>
      </w:r>
      <w:r w:rsidR="00E92710">
        <w:t xml:space="preserve">the </w:t>
      </w:r>
      <w:r w:rsidR="00880D38">
        <w:t>CCC</w:t>
      </w:r>
      <w:r w:rsidR="007412C3" w:rsidRPr="002F2687">
        <w:t xml:space="preserve"> offer Cooperative WEE (</w:t>
      </w:r>
      <w:r w:rsidR="000E1021">
        <w:t>c</w:t>
      </w:r>
      <w:r w:rsidR="007412C3" w:rsidRPr="002F2687">
        <w:t xml:space="preserve">o-op),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w:t>
      </w:r>
      <w:r w:rsidR="00114537">
        <w:t xml:space="preserve">to </w:t>
      </w:r>
      <w:r w:rsidR="007412C3" w:rsidRPr="002F2687">
        <w:t xml:space="preserve">reinforce academic skills, workplace competencies, or occupation-specific technical skills; and </w:t>
      </w:r>
      <w:r w:rsidR="00114537">
        <w:t xml:space="preserve">to </w:t>
      </w:r>
      <w:r w:rsidR="007412C3" w:rsidRPr="002F2687">
        <w:t xml:space="preserve">assist in transitions to employment. Co-op courses are not restricted to students </w:t>
      </w:r>
      <w:r w:rsidR="00187716">
        <w:t xml:space="preserve">enrolled </w:t>
      </w:r>
      <w:r w:rsidR="007412C3" w:rsidRPr="002F2687">
        <w:t xml:space="preserve">in occupational programs, </w:t>
      </w:r>
      <w:r w:rsidR="00187716">
        <w:t>as</w:t>
      </w:r>
      <w:r w:rsidR="007412C3" w:rsidRPr="002F2687">
        <w:t xml:space="preserve"> they may be offered in association with non-occupational academic programs or as a means to integrate classroom study with planned and supervised experiences in the workplace.</w:t>
      </w:r>
    </w:p>
    <w:p w14:paraId="6B3D6DF7" w14:textId="1BEF3CD2" w:rsidR="008E1C83" w:rsidRPr="00EE6792" w:rsidRDefault="008E1C83" w:rsidP="00674637">
      <w:r>
        <w:rPr>
          <w:b/>
        </w:rPr>
        <w:t>Baccalaureate Degree Programs</w:t>
      </w:r>
      <w:r w:rsidR="007A6995">
        <w:rPr>
          <w:b/>
        </w:rPr>
        <w:t>:</w:t>
      </w:r>
      <w:r>
        <w:t xml:space="preserve"> </w:t>
      </w:r>
      <w:r w:rsidR="00690A06">
        <w:t>Of the 73 CCC</w:t>
      </w:r>
      <w:r w:rsidR="00277DE3">
        <w:t xml:space="preserve"> districts</w:t>
      </w:r>
      <w:r w:rsidR="00690A06">
        <w:t xml:space="preserve">, 15 </w:t>
      </w:r>
      <w:r>
        <w:t xml:space="preserve">are now </w:t>
      </w:r>
      <w:r w:rsidR="007C3951">
        <w:t>piloting</w:t>
      </w:r>
      <w:r>
        <w:t xml:space="preserve"> CTE-focused bachelor’s degree programs, </w:t>
      </w:r>
      <w:r w:rsidR="00BA679C">
        <w:t xml:space="preserve">which </w:t>
      </w:r>
      <w:r>
        <w:t xml:space="preserve">are currently not offered </w:t>
      </w:r>
      <w:r w:rsidR="00B5434A">
        <w:t>by</w:t>
      </w:r>
      <w:r>
        <w:t xml:space="preserve"> the CSU or UC systems. Typically, these programs are in health and technology subjects</w:t>
      </w:r>
      <w:r w:rsidR="00114537">
        <w:t>,</w:t>
      </w:r>
      <w:r>
        <w:t xml:space="preserve"> such as biomanufacturing, health information management, airframe manufacturing</w:t>
      </w:r>
      <w:r w:rsidR="00114537">
        <w:t>,</w:t>
      </w:r>
      <w:r>
        <w:t xml:space="preserve"> and respi</w:t>
      </w:r>
      <w:r w:rsidR="00690A06">
        <w:t xml:space="preserve">ratory care. The aim </w:t>
      </w:r>
      <w:r w:rsidR="00BA679C">
        <w:t>is to increase the graduation rate for</w:t>
      </w:r>
      <w:r w:rsidR="00690A06">
        <w:t xml:space="preserve"> low-income and minority students and </w:t>
      </w:r>
      <w:r w:rsidR="00114537">
        <w:t xml:space="preserve">to </w:t>
      </w:r>
      <w:r w:rsidR="00690A06">
        <w:t>improve the pathways to college</w:t>
      </w:r>
      <w:r>
        <w:t xml:space="preserve">. </w:t>
      </w:r>
      <w:r w:rsidR="00690A06">
        <w:t xml:space="preserve">The </w:t>
      </w:r>
      <w:r w:rsidR="009A26F9">
        <w:t xml:space="preserve">pilot </w:t>
      </w:r>
      <w:r w:rsidR="00690A06">
        <w:t>program has been extended</w:t>
      </w:r>
      <w:r w:rsidR="00114537">
        <w:t>,</w:t>
      </w:r>
      <w:r w:rsidR="00690A06">
        <w:t xml:space="preserve"> through </w:t>
      </w:r>
      <w:r w:rsidR="00B5434A">
        <w:t>SB 406</w:t>
      </w:r>
      <w:r w:rsidR="00114537">
        <w:t>,</w:t>
      </w:r>
      <w:r w:rsidR="00690A06">
        <w:t xml:space="preserve"> until July 2026.</w:t>
      </w:r>
    </w:p>
    <w:p w14:paraId="6FBE13E3" w14:textId="117C2C9A" w:rsidR="007412C3" w:rsidRDefault="007412C3" w:rsidP="00674637">
      <w:r w:rsidRPr="002F2687">
        <w:rPr>
          <w:b/>
        </w:rPr>
        <w:t>Community College</w:t>
      </w:r>
      <w:r w:rsidR="00114537">
        <w:rPr>
          <w:b/>
        </w:rPr>
        <w:t>–</w:t>
      </w:r>
      <w:r w:rsidRPr="002F2687">
        <w:rPr>
          <w:b/>
        </w:rPr>
        <w:t>Based Apprenticeship</w:t>
      </w:r>
      <w:r w:rsidR="007A6995">
        <w:rPr>
          <w:b/>
        </w:rPr>
        <w:t>:</w:t>
      </w:r>
      <w:r w:rsidRPr="002F2687">
        <w:rPr>
          <w:b/>
        </w:rPr>
        <w:t xml:space="preserve"> </w:t>
      </w:r>
      <w:r w:rsidRPr="002F2687">
        <w:t>The apprenticeship training model provide</w:t>
      </w:r>
      <w:r w:rsidR="00E566D2">
        <w:t>s</w:t>
      </w:r>
      <w:r w:rsidRPr="002F2687">
        <w:t xml:space="preserve"> employers with a skilled workforce and has proven to be one of the most </w:t>
      </w:r>
      <w:r w:rsidRPr="002F2687">
        <w:lastRenderedPageBreak/>
        <w:t>effective training methods available to a wide variety of employers. An apprenticeship combines classroom and/or lab instruction (</w:t>
      </w:r>
      <w:r w:rsidR="00C71A3B">
        <w:t>e.g.</w:t>
      </w:r>
      <w:r w:rsidRPr="002F2687">
        <w:t xml:space="preserve"> RSI) with </w:t>
      </w:r>
      <w:r w:rsidR="000E1021">
        <w:t>o</w:t>
      </w:r>
      <w:r w:rsidRPr="002F2687">
        <w:t>n</w:t>
      </w:r>
      <w:r w:rsidR="00114537">
        <w:t>-</w:t>
      </w:r>
      <w:r w:rsidRPr="002F2687">
        <w:t>the</w:t>
      </w:r>
      <w:r w:rsidR="00114537">
        <w:t>-</w:t>
      </w:r>
      <w:r w:rsidR="000E1021">
        <w:t>j</w:t>
      </w:r>
      <w:r w:rsidRPr="002F2687">
        <w:t xml:space="preserve">ob </w:t>
      </w:r>
      <w:r w:rsidR="000E1021">
        <w:t>t</w:t>
      </w:r>
      <w:r w:rsidRPr="002F2687">
        <w:t xml:space="preserve">raining (OJT) </w:t>
      </w:r>
      <w:r w:rsidR="000E1021">
        <w:t xml:space="preserve">or WBL </w:t>
      </w:r>
      <w:r w:rsidRPr="002F2687">
        <w:t xml:space="preserve">in which </w:t>
      </w:r>
      <w:r w:rsidR="00E566D2">
        <w:t>an</w:t>
      </w:r>
      <w:r w:rsidRPr="002F2687">
        <w:t xml:space="preserve"> apprentice is paid a salary while learn</w:t>
      </w:r>
      <w:r w:rsidR="00E566D2">
        <w:t>ing</w:t>
      </w:r>
      <w:r w:rsidRPr="002F2687">
        <w:t xml:space="preserve">. Apprentices attend classes to gain knowledge in their chosen career and then apply that knowledge in the 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s and</w:t>
      </w:r>
      <w:r w:rsidR="00114537">
        <w:t>,</w:t>
      </w:r>
      <w:r w:rsidRPr="002F2687">
        <w:t xml:space="preserve"> in the current model</w:t>
      </w:r>
      <w:r w:rsidR="00114537">
        <w:t>,</w:t>
      </w:r>
      <w:r w:rsidRPr="002F2687">
        <w:t xml:space="preserve"> pays the majority of the training costs incurred </w:t>
      </w:r>
      <w:r w:rsidR="000E1021">
        <w:t>in</w:t>
      </w:r>
      <w:r w:rsidRPr="002F2687">
        <w:t xml:space="preserve"> bring</w:t>
      </w:r>
      <w:r w:rsidR="000E1021">
        <w:t>ing</w:t>
      </w:r>
      <w:r w:rsidRPr="002F2687">
        <w:t xml:space="preserve"> apprentice</w:t>
      </w:r>
      <w:r w:rsidR="000E1021">
        <w:t>s</w:t>
      </w:r>
      <w:r w:rsidRPr="002F2687">
        <w:t xml:space="preserve"> up to speed </w:t>
      </w:r>
      <w:r w:rsidR="000E1021">
        <w:t>so they can</w:t>
      </w:r>
      <w:r w:rsidRPr="002F2687">
        <w:t xml:space="preserve"> become productive.</w:t>
      </w:r>
    </w:p>
    <w:p w14:paraId="36576A9B" w14:textId="630CCA2B" w:rsidR="00F22FAD" w:rsidRPr="002F2687" w:rsidRDefault="00F22FAD" w:rsidP="00674637">
      <w:r w:rsidRPr="00F22FAD">
        <w:t>Apprenticeship training programs and pre-apprenticeship training programs are seeded by the WEDD to ensure that apprenticeship training programs expand into industries that have not utilized this approach to workforce development. In large part, the WEDD’s advancement of apprenticeship training programs focuses on expanding WBL, leveraging quality CTE programs to expand apprenticeship training programs, and to align curriculum with today’s technologically advanced workplace. In addition, pre</w:t>
      </w:r>
      <w:r>
        <w:t>-</w:t>
      </w:r>
      <w:r w:rsidRPr="00F22FAD">
        <w:t xml:space="preserve"> apprenticeship training programs are central to the WEDD’s efforts to target populations that are underrepresented in industries that utilize the apprenticeship training program model. These objectives are embodied in the WEDD’s California Apprenticeship Initiative (CAI). Beyond seeding new programs through the CAI, the WEDD oversees the distribution of RSI funding for existing apprenticeship training programs, which is key to these programs’ sustainability.</w:t>
      </w:r>
    </w:p>
    <w:p w14:paraId="6A0DE3CC" w14:textId="086D5BA8" w:rsidR="007412C3" w:rsidRPr="002F2687" w:rsidRDefault="007412C3" w:rsidP="00674637">
      <w:r w:rsidRPr="002F2687">
        <w:t xml:space="preserve">In </w:t>
      </w:r>
      <w:r w:rsidR="00D660A5">
        <w:t>FY</w:t>
      </w:r>
      <w:r w:rsidRPr="002F2687">
        <w:t xml:space="preserve"> 2018</w:t>
      </w:r>
      <w:r w:rsidR="000B2622" w:rsidRPr="002F2687">
        <w:t>–</w:t>
      </w:r>
      <w:r w:rsidRPr="002F2687">
        <w:t>19</w:t>
      </w:r>
      <w:r w:rsidR="00114537">
        <w:t>,</w:t>
      </w:r>
      <w:r w:rsidRPr="002F2687">
        <w:t xml:space="preserve"> the State </w:t>
      </w:r>
      <w:r w:rsidR="00E566D2">
        <w:t xml:space="preserve">authorized </w:t>
      </w:r>
      <w:r w:rsidRPr="002F2687">
        <w:t xml:space="preserve">$11 million for RSI and the </w:t>
      </w:r>
      <w:r w:rsidR="00C71A3B">
        <w:t>CAI</w:t>
      </w:r>
      <w:r w:rsidRPr="002F2687">
        <w:t xml:space="preserve">. </w:t>
      </w:r>
      <w:r w:rsidR="00CB4299">
        <w:t>T</w:t>
      </w:r>
      <w:r w:rsidRPr="002F2687">
        <w:t xml:space="preserve">he CCCCO’s </w:t>
      </w:r>
      <w:r w:rsidR="006F423B">
        <w:t>FY</w:t>
      </w:r>
      <w:r w:rsidR="006F061E">
        <w:t xml:space="preserve"> </w:t>
      </w:r>
      <w:r w:rsidR="006F423B">
        <w:t xml:space="preserve">2019-20 </w:t>
      </w:r>
      <w:r w:rsidRPr="002F2687">
        <w:t xml:space="preserve">CAI New </w:t>
      </w:r>
      <w:r w:rsidR="00453F73">
        <w:t xml:space="preserve">and </w:t>
      </w:r>
      <w:r w:rsidRPr="002F2687">
        <w:t xml:space="preserve">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w:t>
      </w:r>
      <w:r w:rsidR="00CB4299">
        <w:t>,</w:t>
      </w:r>
      <w:r w:rsidRPr="002F2687">
        <w:t xml:space="preserve"> and </w:t>
      </w:r>
      <w:r w:rsidR="00CB4299">
        <w:t xml:space="preserve">will </w:t>
      </w:r>
      <w:r w:rsidRPr="002F2687">
        <w:t>actively engage underrepresented</w:t>
      </w:r>
      <w:r w:rsidR="00E566D2">
        <w:t xml:space="preserve"> populations in apprenticeship, which also</w:t>
      </w:r>
      <w:r w:rsidRPr="002F2687">
        <w:t xml:space="preserve"> aligns with the </w:t>
      </w:r>
      <w:r w:rsidR="00E0027F">
        <w:t>CCC</w:t>
      </w:r>
      <w:r w:rsidR="007A6995">
        <w:t>’s</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0E76D55B" w:rsidR="007412C3" w:rsidRPr="002F2687" w:rsidRDefault="007412C3" w:rsidP="00674637">
      <w:r w:rsidRPr="002F2687">
        <w:rPr>
          <w:b/>
        </w:rPr>
        <w:lastRenderedPageBreak/>
        <w:t>Guided Pathways</w:t>
      </w:r>
      <w:r w:rsidR="007A6995">
        <w:rPr>
          <w:b/>
        </w:rPr>
        <w:t>:</w:t>
      </w:r>
      <w:r w:rsidRPr="007A6995">
        <w:t xml:space="preserve"> </w:t>
      </w:r>
      <w:bookmarkStart w:id="40" w:name="_Hlk31270673"/>
      <w:r w:rsidRPr="002F2687">
        <w:t>The CCCCO introduced the Guided Pathways framework in the fall of 2017</w:t>
      </w:r>
      <w:r w:rsidR="00C33249">
        <w:t>, and it</w:t>
      </w:r>
      <w:r w:rsidR="00E566D2">
        <w:t xml:space="preserve"> is currently being implemented </w:t>
      </w:r>
      <w:r w:rsidR="006F423B">
        <w:t>across the CCC system</w:t>
      </w:r>
      <w:r w:rsidRPr="002F2687">
        <w:t>. The Guided Pathways framework creates a highly structured approach to student success</w:t>
      </w:r>
      <w:r w:rsidR="00A32206">
        <w:t>,</w:t>
      </w:r>
      <w:r w:rsidRPr="002F2687">
        <w:t xml:space="preserve"> </w:t>
      </w:r>
      <w:r w:rsidR="00A32206">
        <w:t>which</w:t>
      </w:r>
      <w:r w:rsidR="00A32206" w:rsidRPr="002F2687">
        <w:t xml:space="preserve"> </w:t>
      </w:r>
      <w:r w:rsidRPr="002F2687">
        <w:t>provides all student</w:t>
      </w:r>
      <w:r w:rsidR="009A03D8">
        <w:t>s</w:t>
      </w:r>
      <w:r w:rsidRPr="002F2687">
        <w:t xml:space="preserve"> with a set of clear course-taking patterns to promote better enrollment decisions and </w:t>
      </w:r>
      <w:r w:rsidR="00A32206">
        <w:t xml:space="preserve">to </w:t>
      </w:r>
      <w:r w:rsidRPr="002F2687">
        <w:t xml:space="preserve">prepare students for future success. </w:t>
      </w:r>
      <w:r w:rsidR="006F423B">
        <w:t>It</w:t>
      </w:r>
      <w:r w:rsidR="00E566D2">
        <w:t xml:space="preserve">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to effectively support seamless pathways. </w:t>
      </w:r>
      <w:r w:rsidR="006F423B">
        <w:t xml:space="preserve">By </w:t>
      </w:r>
      <w:r w:rsidR="00A32206">
        <w:t>a</w:t>
      </w:r>
      <w:r w:rsidRPr="002F2687">
        <w:t>dopting the Guided Pathways framework</w:t>
      </w:r>
      <w:r w:rsidR="006F423B">
        <w:t>, colleges</w:t>
      </w:r>
      <w:r w:rsidRPr="002F2687">
        <w:t xml:space="preserve"> can improve student achievement and transfer</w:t>
      </w:r>
      <w:r w:rsidR="004F51FE">
        <w:t xml:space="preserve"> rates</w:t>
      </w:r>
      <w:r w:rsidRPr="002F2687">
        <w:t xml:space="preserve">, cut down on the total number of units </w:t>
      </w:r>
      <w:r w:rsidR="00A32206">
        <w:t xml:space="preserve">that students take </w:t>
      </w:r>
      <w:r w:rsidRPr="002F2687">
        <w:t>while earning a degree, increase career certifications</w:t>
      </w:r>
      <w:r w:rsidR="00A32206">
        <w:t>,</w:t>
      </w:r>
      <w:r w:rsidRPr="002F2687">
        <w:t xml:space="preserve"> and eliminate achievement gaps.</w:t>
      </w:r>
    </w:p>
    <w:p w14:paraId="5279265B" w14:textId="77777777" w:rsidR="007412C3" w:rsidRPr="002F2687" w:rsidRDefault="007412C3" w:rsidP="00674637">
      <w:r w:rsidRPr="002F2687">
        <w:t xml:space="preserve">The Guided Pathways framework rests on four pillars: </w:t>
      </w:r>
    </w:p>
    <w:p w14:paraId="0CC15C6F" w14:textId="1B689D91" w:rsidR="007412C3" w:rsidRPr="002F2687" w:rsidRDefault="007412C3" w:rsidP="0048078B">
      <w:pPr>
        <w:pStyle w:val="ListParagraph"/>
        <w:ind w:left="1170" w:hanging="450"/>
      </w:pPr>
      <w:r w:rsidRPr="002F2687">
        <w:t>Create clear curricular pathways to employment and to further education</w:t>
      </w:r>
      <w:r w:rsidR="00A32206">
        <w:t>;</w:t>
      </w:r>
    </w:p>
    <w:p w14:paraId="7103CCF6" w14:textId="177182FE" w:rsidR="007412C3" w:rsidRPr="002F2687" w:rsidRDefault="007412C3" w:rsidP="0048078B">
      <w:pPr>
        <w:pStyle w:val="ListParagraph"/>
        <w:ind w:left="1170" w:hanging="450"/>
      </w:pPr>
      <w:r w:rsidRPr="002F2687">
        <w:t>Help students choose and enter their pathway</w:t>
      </w:r>
      <w:r w:rsidR="00A32206">
        <w:t>;</w:t>
      </w:r>
    </w:p>
    <w:p w14:paraId="39DAF3E0" w14:textId="65CD9D38" w:rsidR="007412C3" w:rsidRPr="002F2687" w:rsidRDefault="00274FEF" w:rsidP="0048078B">
      <w:pPr>
        <w:pStyle w:val="ListParagraph"/>
        <w:ind w:left="1170" w:hanging="450"/>
      </w:pPr>
      <w:r>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r w:rsidR="00A32206">
        <w:t>; and</w:t>
      </w:r>
    </w:p>
    <w:p w14:paraId="1FCAB19E" w14:textId="1C155AAB" w:rsidR="007412C3" w:rsidRPr="002F2687" w:rsidRDefault="007412C3" w:rsidP="0048078B">
      <w:pPr>
        <w:pStyle w:val="ListParagraph"/>
        <w:ind w:left="1170" w:hanging="450"/>
      </w:pPr>
      <w:r w:rsidRPr="002F2687">
        <w:t>Ensure learning is happening with intentional outcomes</w:t>
      </w:r>
      <w:r w:rsidR="00A32206">
        <w:t>.</w:t>
      </w:r>
    </w:p>
    <w:bookmarkEnd w:id="40"/>
    <w:p w14:paraId="3E0CBAB0" w14:textId="51CED254" w:rsidR="007412C3" w:rsidRPr="002F2687" w:rsidRDefault="007412C3" w:rsidP="00674637">
      <w:r w:rsidRPr="002F2687">
        <w:rPr>
          <w:b/>
        </w:rPr>
        <w:t xml:space="preserve">K−12 </w:t>
      </w:r>
      <w:r w:rsidR="00F22DAE">
        <w:rPr>
          <w:b/>
        </w:rPr>
        <w:t>SWP</w:t>
      </w:r>
      <w:r w:rsidR="007A6995">
        <w:rPr>
          <w:b/>
        </w:rPr>
        <w:t>:</w:t>
      </w:r>
      <w:r w:rsidRPr="007A6995">
        <w:t xml:space="preserve"> </w:t>
      </w:r>
      <w:r w:rsidR="006F423B">
        <w:t xml:space="preserve">As part of the </w:t>
      </w:r>
      <w:r w:rsidR="00CF4D9E">
        <w:t xml:space="preserve">2018-19 </w:t>
      </w:r>
      <w:r w:rsidR="006F423B">
        <w:t>budget act, t</w:t>
      </w:r>
      <w:r w:rsidR="00187716">
        <w:t xml:space="preserve">he Brown </w:t>
      </w:r>
      <w:r w:rsidR="00453F73">
        <w:t>A</w:t>
      </w:r>
      <w:r w:rsidR="00BA679C">
        <w:t>dministration</w:t>
      </w:r>
      <w:r w:rsidR="00187716">
        <w:t xml:space="preserve"> </w:t>
      </w:r>
      <w:r w:rsidRPr="002F2687">
        <w:t xml:space="preserve">introduced the </w:t>
      </w:r>
      <w:r w:rsidR="00F22DAE" w:rsidRPr="00F22DAE">
        <w:t>K−12</w:t>
      </w:r>
      <w:r w:rsidR="00292AF2">
        <w:t xml:space="preserve"> </w:t>
      </w:r>
      <w:r w:rsidRPr="002F2687">
        <w:t xml:space="preserve">SWP as an ongoing statewide </w:t>
      </w:r>
      <w:r w:rsidR="00BA679C">
        <w:t>program</w:t>
      </w:r>
      <w:r w:rsidRPr="002F2687">
        <w:t xml:space="preserve"> designed to support K–12 LEAs in creating, improving, and expanding CTE courses, course sequences, programs of study</w:t>
      </w:r>
      <w:r w:rsidR="008D7AD4">
        <w:t xml:space="preserve"> (POS)</w:t>
      </w:r>
      <w:r w:rsidR="00D76AFD">
        <w:t xml:space="preserve"> </w:t>
      </w:r>
      <w:r w:rsidR="00D76AFD" w:rsidRPr="002F2687">
        <w:t>(referred to as career pathways in California</w:t>
      </w:r>
      <w:r w:rsidR="00D76AFD">
        <w:t>)</w:t>
      </w:r>
      <w:r w:rsidRPr="002F2687">
        <w:t xml:space="preserve">, and pathways for students transitioning from secondary education to postsecondary education </w:t>
      </w:r>
      <w:r w:rsidR="00274FEF">
        <w:t xml:space="preserve">and </w:t>
      </w:r>
      <w:r w:rsidRPr="002F2687">
        <w:t>to living</w:t>
      </w:r>
      <w:r w:rsidR="00674637" w:rsidRPr="002F2687">
        <w:noBreakHyphen/>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Pr="002F2687">
        <w:t xml:space="preserve"> the following:</w:t>
      </w:r>
    </w:p>
    <w:p w14:paraId="0962C5F0" w14:textId="3314479C" w:rsidR="007412C3" w:rsidRPr="002F2687" w:rsidRDefault="009A03D8" w:rsidP="0048078B">
      <w:pPr>
        <w:pStyle w:val="ListParagraph"/>
        <w:ind w:left="1170" w:hanging="450"/>
      </w:pPr>
      <w:r>
        <w:t>S</w:t>
      </w:r>
      <w:r w:rsidR="007412C3" w:rsidRPr="002F2687">
        <w:t>upport essential collaboration across education systems</w:t>
      </w:r>
      <w:r w:rsidR="00463EC3">
        <w:t>,</w:t>
      </w:r>
      <w:r w:rsidR="007412C3" w:rsidRPr="002F2687">
        <w:t xml:space="preserve"> between the K–12 sector and </w:t>
      </w:r>
      <w:r w:rsidR="00292AF2">
        <w:t>CCC</w:t>
      </w:r>
      <w:r w:rsidR="007412C3" w:rsidRPr="002F2687">
        <w:t>, or intersegmental partnerships, with involvement from industry businesses and organizations</w:t>
      </w:r>
      <w:r w:rsidR="00463EC3">
        <w:t>,</w:t>
      </w:r>
      <w:r w:rsidR="007412C3" w:rsidRPr="002F2687">
        <w:t xml:space="preserve"> in strengthening CTE programs and pathways aligned with regional workforce needs.</w:t>
      </w:r>
    </w:p>
    <w:p w14:paraId="2D502D0E" w14:textId="2A9985FF" w:rsidR="007412C3" w:rsidRPr="002F2687" w:rsidRDefault="009A03D8" w:rsidP="0048078B">
      <w:pPr>
        <w:pStyle w:val="ListParagraph"/>
        <w:ind w:left="1170" w:hanging="450"/>
      </w:pPr>
      <w:r>
        <w:lastRenderedPageBreak/>
        <w:t>S</w:t>
      </w:r>
      <w:r w:rsidR="007412C3" w:rsidRPr="002F2687">
        <w:t xml:space="preserve">upport LEAs in developing and implementing </w:t>
      </w:r>
      <w:r w:rsidR="006E7D09">
        <w:t>h</w:t>
      </w:r>
      <w:r w:rsidR="007412C3" w:rsidRPr="002F2687">
        <w:t>igh-</w:t>
      </w:r>
      <w:r w:rsidR="006E7D09">
        <w:t>q</w:t>
      </w:r>
      <w:r w:rsidR="007412C3" w:rsidRPr="002F2687">
        <w:t xml:space="preserve">uality, </w:t>
      </w:r>
      <w:r w:rsidR="00246C6F">
        <w:t>k</w:t>
      </w:r>
      <w:r w:rsidR="00C062FC">
        <w:t xml:space="preserve">indergarten through </w:t>
      </w:r>
      <w:r w:rsidR="00246C6F">
        <w:t>g</w:t>
      </w:r>
      <w:r w:rsidR="00C062FC">
        <w:t xml:space="preserve">rade </w:t>
      </w:r>
      <w:r w:rsidR="00246C6F">
        <w:t>f</w:t>
      </w:r>
      <w:r w:rsidR="00C062FC">
        <w:t>ourteen (</w:t>
      </w:r>
      <w:r w:rsidR="007412C3" w:rsidRPr="002F2687">
        <w:t>K–14</w:t>
      </w:r>
      <w:r w:rsidR="00C062FC">
        <w:t>)</w:t>
      </w:r>
      <w:r w:rsidR="007412C3" w:rsidRPr="002F2687">
        <w:t xml:space="preserve"> CTE course sequences, programs, and pathways that:</w:t>
      </w:r>
    </w:p>
    <w:p w14:paraId="77DD33A5" w14:textId="387564F1" w:rsidR="007412C3" w:rsidRPr="002F2687" w:rsidRDefault="007412C3" w:rsidP="0048078B">
      <w:pPr>
        <w:pStyle w:val="ListParagraph"/>
        <w:numPr>
          <w:ilvl w:val="1"/>
          <w:numId w:val="22"/>
        </w:numPr>
        <w:ind w:left="1890" w:hanging="450"/>
      </w:pPr>
      <w:r w:rsidRPr="002F2687">
        <w:t>Facilitate K–12 student exploration and selection of learning opportunities leading to career paths</w:t>
      </w:r>
      <w:r w:rsidR="00463EC3">
        <w:t>;</w:t>
      </w:r>
    </w:p>
    <w:p w14:paraId="7C133EAB" w14:textId="0AAE500A" w:rsidR="007412C3" w:rsidRPr="002F2687" w:rsidRDefault="007412C3" w:rsidP="0048078B">
      <w:pPr>
        <w:pStyle w:val="ListParagraph"/>
        <w:numPr>
          <w:ilvl w:val="1"/>
          <w:numId w:val="22"/>
        </w:numPr>
        <w:ind w:left="1890" w:hanging="450"/>
      </w:pPr>
      <w:r w:rsidRPr="002F2687">
        <w:t>Build foundational career path</w:t>
      </w:r>
      <w:r w:rsidR="00292AF2">
        <w:t>way</w:t>
      </w:r>
      <w:r w:rsidRPr="002F2687">
        <w:t xml:space="preserve"> skills and knowledge essential to subsequent success in college and early career exploration</w:t>
      </w:r>
      <w:r w:rsidR="00463EC3">
        <w:t>;</w:t>
      </w:r>
    </w:p>
    <w:p w14:paraId="09581E89" w14:textId="5C4144FB" w:rsidR="00B55F62" w:rsidRPr="002F2687" w:rsidRDefault="007412C3" w:rsidP="0048078B">
      <w:pPr>
        <w:pStyle w:val="ListParagraph"/>
        <w:numPr>
          <w:ilvl w:val="1"/>
          <w:numId w:val="22"/>
        </w:numPr>
        <w:ind w:left="1890" w:hanging="450"/>
      </w:pPr>
      <w:r w:rsidRPr="002F2687">
        <w:t>Enable a seamless and successful transition from secondary to postsecondary education within th</w:t>
      </w:r>
      <w:r w:rsidR="00B55F62" w:rsidRPr="002F2687">
        <w:t>e same or related career paths</w:t>
      </w:r>
      <w:r w:rsidR="00463EC3">
        <w:t>;</w:t>
      </w:r>
    </w:p>
    <w:p w14:paraId="14981D5A" w14:textId="4F00379C" w:rsidR="007412C3" w:rsidRPr="002F2687" w:rsidRDefault="007412C3" w:rsidP="0048078B">
      <w:pPr>
        <w:pStyle w:val="ListParagraph"/>
        <w:numPr>
          <w:ilvl w:val="1"/>
          <w:numId w:val="22"/>
        </w:numPr>
        <w:ind w:left="1890" w:hanging="450"/>
      </w:pPr>
      <w:r w:rsidRPr="002F2687">
        <w:t xml:space="preserve">Lead to completion of industry-valued certificates, degrees, or transfers to four-year </w:t>
      </w:r>
      <w:r w:rsidR="00292AF2">
        <w:t>u</w:t>
      </w:r>
      <w:r w:rsidR="00B55F62" w:rsidRPr="002F2687">
        <w:t>niversity</w:t>
      </w:r>
      <w:r w:rsidRPr="002F2687">
        <w:t xml:space="preserve"> or college</w:t>
      </w:r>
      <w:r w:rsidR="00463EC3">
        <w:t>;</w:t>
      </w:r>
    </w:p>
    <w:p w14:paraId="2AAAC649" w14:textId="6CAEECEA" w:rsidR="007412C3" w:rsidRPr="002F2687" w:rsidRDefault="007412C3" w:rsidP="0048078B">
      <w:pPr>
        <w:pStyle w:val="ListParagraph"/>
        <w:numPr>
          <w:ilvl w:val="1"/>
          <w:numId w:val="22"/>
        </w:numPr>
        <w:ind w:left="1890" w:hanging="450"/>
      </w:pPr>
      <w:r w:rsidRPr="002F2687">
        <w:t xml:space="preserve">Prepare students to enter into employment in occupations for which there </w:t>
      </w:r>
      <w:r w:rsidR="00B65859">
        <w:t>are</w:t>
      </w:r>
      <w:r w:rsidRPr="002F2687">
        <w:t xml:space="preserve"> documented demand and </w:t>
      </w:r>
      <w:r w:rsidR="004F51FE">
        <w:t>that</w:t>
      </w:r>
      <w:r w:rsidRPr="002F2687">
        <w:t xml:space="preserve"> pay a livable wage</w:t>
      </w:r>
      <w:r w:rsidR="00463EC3">
        <w:t>; and</w:t>
      </w:r>
    </w:p>
    <w:p w14:paraId="7485A805" w14:textId="221637F5" w:rsidR="007412C3" w:rsidRPr="002F2687" w:rsidRDefault="007412C3" w:rsidP="0048078B">
      <w:pPr>
        <w:pStyle w:val="ListParagraph"/>
        <w:numPr>
          <w:ilvl w:val="1"/>
          <w:numId w:val="22"/>
        </w:numPr>
        <w:ind w:left="1890" w:hanging="450"/>
      </w:pPr>
      <w:r w:rsidRPr="002F2687">
        <w:t xml:space="preserve">Contribute toward meeting the projected need for </w:t>
      </w:r>
      <w:r w:rsidR="004F51FE">
        <w:t>1</w:t>
      </w:r>
      <w:r w:rsidRPr="002F2687">
        <w:t xml:space="preserve"> million completers of CTE programs aligned with the </w:t>
      </w:r>
      <w:r w:rsidR="007D1D68">
        <w:t>S</w:t>
      </w:r>
      <w:r w:rsidRPr="002F2687">
        <w:t>tate’s labor markets.</w:t>
      </w:r>
    </w:p>
    <w:p w14:paraId="468BCF49" w14:textId="66E2B23A" w:rsidR="007412C3" w:rsidRPr="002F2687" w:rsidRDefault="007412C3" w:rsidP="00674637">
      <w:r w:rsidRPr="002F2687">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6E7D09">
        <w:t>h</w:t>
      </w:r>
      <w:r w:rsidRPr="002F2687">
        <w:t>igh-</w:t>
      </w:r>
      <w:r w:rsidR="006E7D09">
        <w:t>q</w:t>
      </w:r>
      <w:r w:rsidRPr="002F2687">
        <w:t>uality career education programs at the K–12 level that are aligned with workforce development efforts through regional priorities.</w:t>
      </w:r>
    </w:p>
    <w:p w14:paraId="7C9C0CF1" w14:textId="10736CB7" w:rsidR="007412C3" w:rsidRPr="002F2687" w:rsidRDefault="007412C3" w:rsidP="00674637">
      <w:r w:rsidRPr="002F2687">
        <w:t xml:space="preserve">Eligible LEAs participate in a collaborative process </w:t>
      </w:r>
      <w:r w:rsidR="00434328">
        <w:t>by</w:t>
      </w:r>
      <w:r w:rsidRPr="002F2687">
        <w:t xml:space="preserve"> </w:t>
      </w:r>
      <w:r w:rsidR="00187716">
        <w:t>submit</w:t>
      </w:r>
      <w:r w:rsidR="00434328">
        <w:t>ting</w:t>
      </w:r>
      <w:r w:rsidRPr="002F2687">
        <w:t xml:space="preserve"> an application consisting of one or more of any combination of the following eligible applicants:</w:t>
      </w:r>
    </w:p>
    <w:p w14:paraId="09A96933" w14:textId="6789F078" w:rsidR="007412C3" w:rsidRPr="002F2687" w:rsidRDefault="007412C3" w:rsidP="0048078B">
      <w:pPr>
        <w:pStyle w:val="ListParagraph"/>
        <w:ind w:left="1170" w:hanging="450"/>
      </w:pPr>
      <w:r w:rsidRPr="002F2687">
        <w:t>School districts</w:t>
      </w:r>
      <w:r w:rsidR="00AA57C1">
        <w:t>;</w:t>
      </w:r>
    </w:p>
    <w:p w14:paraId="43356F84" w14:textId="31DB1A0A" w:rsidR="007412C3" w:rsidRPr="002F2687" w:rsidRDefault="007412C3" w:rsidP="0048078B">
      <w:pPr>
        <w:pStyle w:val="ListParagraph"/>
        <w:ind w:left="1170" w:hanging="450"/>
      </w:pPr>
      <w:r w:rsidRPr="002F2687">
        <w:t>County offices of education</w:t>
      </w:r>
      <w:r w:rsidR="00AA57C1">
        <w:t>;</w:t>
      </w:r>
      <w:r w:rsidRPr="002F2687">
        <w:t xml:space="preserve"> </w:t>
      </w:r>
    </w:p>
    <w:p w14:paraId="7403F850" w14:textId="15C0B1B7" w:rsidR="007412C3" w:rsidRPr="002F2687" w:rsidRDefault="007412C3" w:rsidP="0048078B">
      <w:pPr>
        <w:pStyle w:val="ListParagraph"/>
        <w:ind w:left="1170" w:hanging="450"/>
      </w:pPr>
      <w:r w:rsidRPr="002F2687">
        <w:t>Charter schools</w:t>
      </w:r>
      <w:r w:rsidR="00AA57C1">
        <w:t>; and/or</w:t>
      </w:r>
    </w:p>
    <w:p w14:paraId="5759FB57" w14:textId="1BC093F6" w:rsidR="007412C3" w:rsidRPr="002F2687" w:rsidRDefault="007412C3" w:rsidP="0048078B">
      <w:pPr>
        <w:pStyle w:val="ListParagraph"/>
        <w:ind w:left="1170" w:hanging="450"/>
      </w:pPr>
      <w:r w:rsidRPr="002F2687">
        <w:lastRenderedPageBreak/>
        <w:t>ROCP</w:t>
      </w:r>
      <w:r w:rsidR="00B14CB3">
        <w:t>s</w:t>
      </w:r>
      <w:r w:rsidRPr="002F2687">
        <w:t xml:space="preserve"> operated by either a joint powers authority or a county office of education, provided that the application has the written consent of each participating </w:t>
      </w:r>
      <w:r w:rsidR="00871C8D">
        <w:t>LEA</w:t>
      </w:r>
      <w:r w:rsidR="00AA57C1">
        <w:t>.</w:t>
      </w:r>
    </w:p>
    <w:p w14:paraId="320C1033" w14:textId="6495081E" w:rsidR="007412C3" w:rsidRPr="002F2687" w:rsidRDefault="007412C3" w:rsidP="00674637">
      <w:r w:rsidRPr="002F2687">
        <w:rPr>
          <w:b/>
        </w:rPr>
        <w:t>Contract Education</w:t>
      </w:r>
      <w:r w:rsidR="007A6995">
        <w:rPr>
          <w:b/>
        </w:rPr>
        <w:t>:</w:t>
      </w:r>
      <w:r w:rsidRPr="007A6995">
        <w:t xml:space="preserve"> </w:t>
      </w:r>
      <w:r w:rsidRPr="002F2687">
        <w:t xml:space="preserve">Beyond providing ongoing classes on their campuses, </w:t>
      </w:r>
      <w:r w:rsidR="00E0027F">
        <w:t xml:space="preserve">CCC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The colleges deliver training programs for both future and current workers</w:t>
      </w:r>
      <w:r w:rsidR="00AA57C1">
        <w:rPr>
          <w:lang w:val="en"/>
        </w:rPr>
        <w:t>,</w:t>
      </w:r>
      <w:r w:rsidRPr="002F2687">
        <w:rPr>
          <w:lang w:val="en"/>
        </w:rPr>
        <w:t xml:space="preserve">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Pr="002F2687">
        <w:t xml:space="preserve"> have served more than 26,000 businesses through contract education services.</w:t>
      </w:r>
    </w:p>
    <w:p w14:paraId="1BBAC9AA" w14:textId="1E30F60F" w:rsidR="00274FEF" w:rsidRDefault="007412C3" w:rsidP="00674637">
      <w:r w:rsidRPr="004715B7">
        <w:rPr>
          <w:b/>
        </w:rPr>
        <w:t>Foundation for California Community Colleges</w:t>
      </w:r>
      <w:r w:rsidR="007A6995">
        <w:rPr>
          <w:b/>
        </w:rPr>
        <w:t>:</w:t>
      </w:r>
      <w:r w:rsidR="004715B7">
        <w:t xml:space="preserve"> </w:t>
      </w:r>
      <w:r w:rsidRPr="002F2687">
        <w:t xml:space="preserve">The Foundation for </w:t>
      </w:r>
      <w:r w:rsidR="00292AF2">
        <w:t>CCC</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xml:space="preserve">, and the </w:t>
      </w:r>
      <w:r w:rsidR="00EB0D85">
        <w:t xml:space="preserve">CCC </w:t>
      </w:r>
      <w:r w:rsidRPr="002F2687">
        <w:t xml:space="preserve">system at regional, district, and college levels. The Foundation’s programs seek to expand the capacity of the community college system to meet </w:t>
      </w:r>
      <w:r w:rsidR="00960C2E">
        <w:t>its</w:t>
      </w:r>
      <w:r w:rsidR="00960C2E" w:rsidRPr="002F2687">
        <w:t xml:space="preserve"> </w:t>
      </w:r>
      <w:r w:rsidRPr="002F2687">
        <w:t>mission in five core areas</w:t>
      </w:r>
      <w:r w:rsidR="00960C2E">
        <w:t xml:space="preserve">: </w:t>
      </w:r>
      <w:r w:rsidRPr="002F2687">
        <w:t xml:space="preserve">workforce development, student success, equity, community impact, and system supports and services. </w:t>
      </w:r>
    </w:p>
    <w:p w14:paraId="67D741BE" w14:textId="234CCBEA" w:rsidR="007412C3" w:rsidRPr="002F2687" w:rsidRDefault="007412C3" w:rsidP="00674637">
      <w:r w:rsidRPr="002F2687">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w:t>
      </w:r>
      <w:r w:rsidR="00EB0D85">
        <w:t>CCC</w:t>
      </w:r>
      <w:r w:rsidR="00871C8D">
        <w:t xml:space="preserve"> </w:t>
      </w:r>
      <w:r w:rsidRPr="002F2687">
        <w:t xml:space="preserve">system in these areas. The Foundation also administers grants and provides direct technical assistance to colleges to design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w:t>
      </w:r>
      <w:r w:rsidR="004F51FE">
        <w:t>enabled</w:t>
      </w:r>
      <w:r w:rsidRPr="002F2687">
        <w:t xml:space="preserve"> thousands of students to complete paid work experiences</w:t>
      </w:r>
      <w:r w:rsidR="00C072E1">
        <w:t>,</w:t>
      </w:r>
      <w:r w:rsidRPr="002F2687">
        <w:t xml:space="preserve"> by significantly reducing the administrative and human</w:t>
      </w:r>
      <w:r w:rsidR="00C072E1">
        <w:t>-</w:t>
      </w:r>
      <w:r w:rsidRPr="002F2687">
        <w:t>resources burden</w:t>
      </w:r>
      <w:r w:rsidR="00C072E1">
        <w:t>s</w:t>
      </w:r>
      <w:r w:rsidRPr="002F2687">
        <w:t xml:space="preserve"> and liability concerns that employers traditionally incur in offering such </w:t>
      </w:r>
      <w:r w:rsidRPr="002F2687">
        <w:lastRenderedPageBreak/>
        <w:t xml:space="preserve">opportunities. The Foundation also leads efforts to create stronger linkages </w:t>
      </w:r>
      <w:r w:rsidR="00C072E1">
        <w:t>among</w:t>
      </w:r>
      <w:r w:rsidR="00C072E1" w:rsidRPr="002F2687">
        <w:t xml:space="preserve"> </w:t>
      </w:r>
      <w:r w:rsidR="007A6995">
        <w:br/>
      </w:r>
      <w:r w:rsidR="009C0AA9" w:rsidRPr="002F2687">
        <w:t>K–1</w:t>
      </w:r>
      <w:r w:rsidRPr="002F2687">
        <w:t>2</w:t>
      </w:r>
      <w:r w:rsidR="004F51FE">
        <w:t xml:space="preserve"> schools</w:t>
      </w:r>
      <w:r w:rsidRPr="002F2687">
        <w:t xml:space="preserve">, adult schools, </w:t>
      </w:r>
      <w:r w:rsidR="00F95DD3">
        <w:t>CCC</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7A212559" w:rsidR="007412C3" w:rsidRPr="002F2687" w:rsidRDefault="007412C3" w:rsidP="00674637">
      <w:r w:rsidRPr="002F2687">
        <w:t>The Foundation also provided critical support to the Workforce, Job Creation, and a Strong Economy Task Force</w:t>
      </w:r>
      <w:r w:rsidR="004F51FE">
        <w:t xml:space="preserve"> (</w:t>
      </w:r>
      <w:r w:rsidR="00B5434A">
        <w:t xml:space="preserve">Strong Workforce </w:t>
      </w:r>
      <w:r w:rsidR="004F51FE">
        <w:t>Task Force)</w:t>
      </w:r>
      <w:r w:rsidRPr="002F2687">
        <w:t xml:space="preserve">, </w:t>
      </w:r>
      <w:r w:rsidR="00645BB1">
        <w:t xml:space="preserve">which was </w:t>
      </w:r>
      <w:r w:rsidRPr="002F2687">
        <w:t>launched in 2015</w:t>
      </w:r>
      <w:r w:rsidR="00645BB1">
        <w:t xml:space="preserve">. The </w:t>
      </w:r>
      <w:r w:rsidR="00B5434A">
        <w:t xml:space="preserve">Strong Workforce </w:t>
      </w:r>
      <w:r w:rsidR="00645BB1">
        <w:t xml:space="preserve">Task Force </w:t>
      </w:r>
      <w:r w:rsidRPr="002F2687">
        <w:t>released 25 recommendations to reform and enhance current college workforce development efforts.</w:t>
      </w:r>
    </w:p>
    <w:p w14:paraId="0F94E95B" w14:textId="4B92A567" w:rsidR="007412C3" w:rsidRDefault="007412C3" w:rsidP="00674637">
      <w:r w:rsidRPr="002F2687">
        <w:t xml:space="preserve">The Foundation raised philanthropic support that enabled the </w:t>
      </w:r>
      <w:r w:rsidR="00A25499">
        <w:t xml:space="preserve">Strong Workforce </w:t>
      </w:r>
      <w:r w:rsidRPr="002F2687">
        <w:t>Task Force to gather extensive input from more than 1,200 stakeholders</w:t>
      </w:r>
      <w:r w:rsidR="00C072E1">
        <w:t>,</w:t>
      </w:r>
      <w:r w:rsidRPr="002F2687">
        <w:t xml:space="preserve"> </w:t>
      </w:r>
      <w:r w:rsidR="00C072E1">
        <w:t>which</w:t>
      </w:r>
      <w:r w:rsidR="00C072E1" w:rsidRPr="002F2687">
        <w:t xml:space="preserve"> </w:t>
      </w:r>
      <w:r w:rsidRPr="002F2687">
        <w:t xml:space="preserve">culminated in a comprehensive plan for creating incentives, streamlining processes, and identifying and showcasing best practices. The resulting SWP provides an annual investment of </w:t>
      </w:r>
      <w:r w:rsidR="00C072E1">
        <w:br w:type="textWrapping" w:clear="all"/>
      </w:r>
      <w:r w:rsidRPr="002F2687">
        <w:t>$2</w:t>
      </w:r>
      <w:r w:rsidR="00645BB1">
        <w:t>36</w:t>
      </w:r>
      <w:r w:rsidRPr="002F2687">
        <w:t xml:space="preserve"> million, which guides the direction, regional organization, and delivery of CTE throughout the system</w:t>
      </w:r>
      <w:r w:rsidR="00274FEF">
        <w:t xml:space="preserve"> </w:t>
      </w:r>
      <w:r w:rsidR="004F51FE">
        <w:t xml:space="preserve">and is </w:t>
      </w:r>
      <w:r w:rsidR="00274FEF">
        <w:t xml:space="preserve">in addition to the K–12 SWP </w:t>
      </w:r>
      <w:r w:rsidR="00EB0D85">
        <w:t xml:space="preserve">investment </w:t>
      </w:r>
      <w:r w:rsidR="00274FEF">
        <w:t>of $150 million annually</w:t>
      </w:r>
      <w:r w:rsidRPr="002F2687">
        <w:t>.</w:t>
      </w:r>
    </w:p>
    <w:p w14:paraId="2B415494" w14:textId="1FD57D50" w:rsidR="00B14CB3" w:rsidRDefault="006E5299" w:rsidP="004721C9">
      <w:r w:rsidRPr="006E5299">
        <w:t xml:space="preserve">In summary, </w:t>
      </w:r>
      <w:r w:rsidR="00052001">
        <w:t xml:space="preserve">the </w:t>
      </w:r>
      <w:r w:rsidR="00F95DD3">
        <w:t>CCC</w:t>
      </w:r>
      <w:r>
        <w:t xml:space="preserve"> </w:t>
      </w:r>
      <w:r w:rsidR="00B3331A">
        <w:t xml:space="preserve">CTE </w:t>
      </w:r>
      <w:r w:rsidR="00747DBE">
        <w:t xml:space="preserve">delivery </w:t>
      </w:r>
      <w:r w:rsidR="00B3331A">
        <w:t xml:space="preserve">structure </w:t>
      </w:r>
      <w:r w:rsidRPr="006E5299">
        <w:t xml:space="preserve">is supported with funds from a broad range of resources. In addition to apportionment funds, which make up the majority of the funding, </w:t>
      </w:r>
      <w:r w:rsidR="007D1D68">
        <w:t>S</w:t>
      </w:r>
      <w:r w:rsidRPr="006E5299">
        <w:t>tate-funded programs that support crucial aspects of CTE include Guided Pathways</w:t>
      </w:r>
      <w:r w:rsidR="00747DBE">
        <w:t xml:space="preserve">, </w:t>
      </w:r>
      <w:r w:rsidR="00BA679C">
        <w:t xml:space="preserve">the SWP (both </w:t>
      </w:r>
      <w:r w:rsidR="009C3553">
        <w:t xml:space="preserve">the </w:t>
      </w:r>
      <w:r w:rsidR="00BA679C">
        <w:t xml:space="preserve">community college component and the K–12 component), </w:t>
      </w:r>
      <w:r w:rsidR="00747DBE">
        <w:t xml:space="preserve">and </w:t>
      </w:r>
      <w:r w:rsidR="00B14CB3">
        <w:t>the CAI</w:t>
      </w:r>
      <w:r w:rsidRPr="006E5299">
        <w:t xml:space="preserve">. Key federal resources used to supplement and strengthen </w:t>
      </w:r>
      <w:r w:rsidR="007D1D68">
        <w:t>S</w:t>
      </w:r>
      <w:r w:rsidRPr="006E5299">
        <w:t xml:space="preserve">tate efforts include </w:t>
      </w:r>
      <w:r w:rsidR="003649F5">
        <w:t xml:space="preserve">the </w:t>
      </w:r>
      <w:r w:rsidRPr="006E5299">
        <w:t xml:space="preserve">Perkins V and </w:t>
      </w:r>
      <w:r w:rsidR="004F51FE">
        <w:t xml:space="preserve">the </w:t>
      </w:r>
      <w:r w:rsidRPr="006E5299">
        <w:t>WIOA.</w:t>
      </w:r>
      <w:bookmarkStart w:id="41" w:name="_Toc21682972"/>
      <w:bookmarkStart w:id="42" w:name="_Toc21683276"/>
    </w:p>
    <w:p w14:paraId="5DC89B10" w14:textId="1ECCA0CB" w:rsidR="007412C3" w:rsidRPr="00B24181" w:rsidRDefault="007412C3" w:rsidP="00B14CB3">
      <w:pPr>
        <w:pStyle w:val="Heading6"/>
      </w:pPr>
      <w:r w:rsidRPr="00B24181">
        <w:t>The Adult Education Delivery System</w:t>
      </w:r>
      <w:bookmarkEnd w:id="41"/>
      <w:bookmarkEnd w:id="42"/>
    </w:p>
    <w:p w14:paraId="73F1A02F" w14:textId="2ED5FBA4" w:rsidR="007412C3" w:rsidRPr="002F2687" w:rsidRDefault="007412C3" w:rsidP="003A6CC9">
      <w:r w:rsidRPr="002F2687">
        <w:t xml:space="preserve">In an era of rapid technological, economic, and social change, the mission of adult education is to provide </w:t>
      </w:r>
      <w:r w:rsidR="006E7D09">
        <w:t>h</w:t>
      </w:r>
      <w:r w:rsidRPr="002F2687">
        <w:t>igh-</w:t>
      </w:r>
      <w:r w:rsidR="006E7D09">
        <w:t>q</w:t>
      </w:r>
      <w:r w:rsidRPr="002F2687">
        <w:t xml:space="preserve">uality lifelong learning opportunities and services to adults for </w:t>
      </w:r>
      <w:r w:rsidR="009C3553">
        <w:t xml:space="preserve">their </w:t>
      </w:r>
      <w:r w:rsidRPr="002F2687">
        <w:t>transition</w:t>
      </w:r>
      <w:r w:rsidR="009C3553">
        <w:t>s</w:t>
      </w:r>
      <w:r w:rsidRPr="002F2687">
        <w:t xml:space="preserve"> to postsecondary education and/or into the workforce.</w:t>
      </w:r>
    </w:p>
    <w:p w14:paraId="179B1015" w14:textId="24513005" w:rsidR="007412C3" w:rsidRPr="002F2687" w:rsidRDefault="007412C3" w:rsidP="00674637">
      <w:r w:rsidRPr="002F2687">
        <w:t xml:space="preserve">The CDE and the CCCCO are co-leaders in the administration of </w:t>
      </w:r>
      <w:r w:rsidR="007D1D68">
        <w:t>S</w:t>
      </w:r>
      <w:r w:rsidRPr="002F2687">
        <w:t xml:space="preserve">tate funds used to support adult education programs. State funding supports the adult education system </w:t>
      </w:r>
      <w:r w:rsidRPr="002F2687">
        <w:lastRenderedPageBreak/>
        <w:t>through a regional consortia model consisting of community college districts and school districts. The members and partners in regional consortia develop long</w:t>
      </w:r>
      <w:r w:rsidR="009C3553">
        <w:t>-</w:t>
      </w:r>
      <w:r w:rsidRPr="002F2687">
        <w:t xml:space="preserve"> and </w:t>
      </w:r>
      <w:r w:rsidR="00CD3A4B" w:rsidRPr="002F2687">
        <w:t>short-range</w:t>
      </w:r>
      <w:r w:rsidRPr="002F2687">
        <w:t xml:space="preserve"> plans to better meet the education </w:t>
      </w:r>
      <w:r w:rsidR="00274FEF">
        <w:t xml:space="preserve">and workforce </w:t>
      </w:r>
      <w:r w:rsidRPr="002F2687">
        <w:t>needs of adults.</w:t>
      </w:r>
    </w:p>
    <w:p w14:paraId="32C4A369" w14:textId="166DAB66" w:rsidR="00150838" w:rsidRPr="002F2687" w:rsidRDefault="00BA679C" w:rsidP="00674637">
      <w:bookmarkStart w:id="43" w:name="_Hlk30786473"/>
      <w:r>
        <w:t xml:space="preserve">Initially established </w:t>
      </w:r>
      <w:r w:rsidR="00274FEF">
        <w:t xml:space="preserve">as part of the </w:t>
      </w:r>
      <w:r>
        <w:t>2013</w:t>
      </w:r>
      <w:r w:rsidR="00274FEF">
        <w:t xml:space="preserve"> Budget Act</w:t>
      </w:r>
      <w:r>
        <w:t xml:space="preserve"> (through AB 86)</w:t>
      </w:r>
      <w:r w:rsidR="00274FEF">
        <w:t xml:space="preserve">, </w:t>
      </w:r>
      <w:r>
        <w:t xml:space="preserve">and amended by the 2018 Budget Act (through </w:t>
      </w:r>
      <w:r w:rsidR="000F4C77">
        <w:t>SB 840</w:t>
      </w:r>
      <w:r>
        <w:t>)</w:t>
      </w:r>
      <w:r w:rsidR="009C3553">
        <w:t>,</w:t>
      </w:r>
      <w:r>
        <w:t xml:space="preserve"> </w:t>
      </w:r>
      <w:bookmarkStart w:id="44" w:name="_Hlk30786506"/>
      <w:bookmarkEnd w:id="43"/>
      <w:r w:rsidR="00274FEF">
        <w:t>the</w:t>
      </w:r>
      <w:r w:rsidR="00150838" w:rsidRPr="002F2687">
        <w:t xml:space="preserve"> CAEP</w:t>
      </w:r>
      <w:r w:rsidR="00645BB1">
        <w:t xml:space="preserve"> </w:t>
      </w:r>
      <w:r w:rsidR="00274FEF">
        <w:t>represents an annual investment of</w:t>
      </w:r>
      <w:r w:rsidR="000F4C77">
        <w:t xml:space="preserve"> almost </w:t>
      </w:r>
      <w:r w:rsidR="00274FEF">
        <w:t>$</w:t>
      </w:r>
      <w:r w:rsidR="000F4C77">
        <w:t xml:space="preserve">550 </w:t>
      </w:r>
      <w:r w:rsidR="00274FEF">
        <w:t>million annually a</w:t>
      </w:r>
      <w:r w:rsidR="00150838" w:rsidRPr="002F2687">
        <w:t xml:space="preserve">s a regional delivery system </w:t>
      </w:r>
      <w:bookmarkEnd w:id="44"/>
      <w:r w:rsidR="00150838" w:rsidRPr="002F2687">
        <w:t>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w:t>
      </w:r>
      <w:r w:rsidR="00150838" w:rsidRPr="002F2687">
        <w:t xml:space="preserve"> noncredit programs. The i</w:t>
      </w:r>
      <w:r w:rsidR="00645BB1">
        <w:t>ntent</w:t>
      </w:r>
      <w:r w:rsidR="00150838" w:rsidRPr="002F2687">
        <w:t xml:space="preserve">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w:t>
      </w:r>
      <w:r w:rsidR="00423EE5">
        <w:t>,</w:t>
      </w:r>
      <w:r w:rsidR="00150838" w:rsidRPr="002F2687">
        <w:t xml:space="preserve">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1DC14594" w:rsidR="007412C3" w:rsidRPr="002F2687" w:rsidRDefault="0042176B" w:rsidP="00674637">
      <w:r w:rsidRPr="002F2687">
        <w:rPr>
          <w:b/>
        </w:rPr>
        <w:t>CAEP</w:t>
      </w:r>
      <w:r w:rsidR="003649F5">
        <w:rPr>
          <w:b/>
        </w:rPr>
        <w:t>:</w:t>
      </w:r>
      <w:r w:rsidRPr="002F2687">
        <w:t xml:space="preserve"> </w:t>
      </w:r>
      <w:r w:rsidR="007412C3" w:rsidRPr="002F2687">
        <w:t>California’s adult education system supports adult learners by addressing basic literacy needs</w:t>
      </w:r>
      <w:r w:rsidR="00423EE5">
        <w:t xml:space="preserve"> and</w:t>
      </w:r>
      <w:r w:rsidR="007412C3" w:rsidRPr="002F2687">
        <w:t xml:space="preserve"> basic skills in language and mathematics</w:t>
      </w:r>
      <w:r w:rsidR="004F51FE">
        <w:t>. Programs include</w:t>
      </w:r>
      <w:r w:rsidR="007412C3" w:rsidRPr="002F2687">
        <w:t xml:space="preserve"> English as a </w:t>
      </w:r>
      <w:r w:rsidR="00453F73">
        <w:t>S</w:t>
      </w:r>
      <w:r w:rsidR="007412C3" w:rsidRPr="002F2687">
        <w:t xml:space="preserve">econd </w:t>
      </w:r>
      <w:r w:rsidR="00453F73">
        <w:t>L</w:t>
      </w:r>
      <w:r w:rsidR="007412C3" w:rsidRPr="002F2687">
        <w:t>anguage (ESL), high school diploma and high school equivalency, workplace readiness skills, pre-apprenticeship, adult</w:t>
      </w:r>
      <w:r w:rsidR="00453F73">
        <w:t>s</w:t>
      </w:r>
      <w:r w:rsidR="007412C3" w:rsidRPr="002F2687">
        <w:t xml:space="preserve"> with disabilities, K</w:t>
      </w:r>
      <w:r w:rsidR="00F22DAE" w:rsidRPr="00F22DAE">
        <w:t>−</w:t>
      </w:r>
      <w:r w:rsidR="007412C3" w:rsidRPr="002F2687">
        <w:t xml:space="preserve">12 </w:t>
      </w:r>
      <w:r w:rsidR="00EB0D85">
        <w:t>s</w:t>
      </w:r>
      <w:r w:rsidR="007412C3" w:rsidRPr="002F2687">
        <w:t xml:space="preserve">tudent </w:t>
      </w:r>
      <w:r w:rsidR="00EB0D85">
        <w:t>s</w:t>
      </w:r>
      <w:r w:rsidR="007412C3" w:rsidRPr="002F2687">
        <w:t>uccess, and</w:t>
      </w:r>
      <w:r w:rsidR="00274FEF">
        <w:t xml:space="preserve"> short-term</w:t>
      </w:r>
      <w:r w:rsidR="007412C3" w:rsidRPr="002F2687">
        <w:t xml:space="preserve"> CTE</w:t>
      </w:r>
      <w:r w:rsidR="00EB0D85">
        <w:t xml:space="preserve"> programs</w:t>
      </w:r>
      <w:r w:rsidR="007412C3" w:rsidRPr="002F2687">
        <w:t xml:space="preserv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CAEP</w:t>
      </w:r>
      <w:r w:rsidR="009F6627">
        <w:t xml:space="preserve"> and by</w:t>
      </w:r>
      <w:r w:rsidR="003A3B85" w:rsidRPr="002F2687">
        <w:t xml:space="preserve"> </w:t>
      </w:r>
      <w:r w:rsidR="00F95DD3">
        <w:rPr>
          <w:rFonts w:cs="Arial"/>
        </w:rPr>
        <w:t>CCC</w:t>
      </w:r>
      <w:r w:rsidR="003A3B85" w:rsidRPr="002F2687">
        <w:rPr>
          <w:rFonts w:cs="Arial"/>
        </w:rPr>
        <w:t xml:space="preserve"> noncredit apportionment funding, </w:t>
      </w:r>
      <w:r w:rsidR="007412C3" w:rsidRPr="002F2687">
        <w:t xml:space="preserve">and supplemented with federal WIOA Title II: Adult Education and Family Literacy Act grant and Perkins V funds. </w:t>
      </w:r>
    </w:p>
    <w:p w14:paraId="5853D262" w14:textId="2CC5B899" w:rsidR="007412C3" w:rsidRPr="002F2687" w:rsidRDefault="007412C3" w:rsidP="00674637">
      <w:r w:rsidRPr="002F2687">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384781FA" w:rsidR="007412C3" w:rsidRPr="002F2687" w:rsidRDefault="007412C3" w:rsidP="00674637">
      <w:r w:rsidRPr="002F2687">
        <w:t xml:space="preserve">The CAEP serves </w:t>
      </w:r>
      <w:r w:rsidR="007D1D68">
        <w:t>S</w:t>
      </w:r>
      <w:r w:rsidRPr="002F2687">
        <w:t>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w:t>
      </w:r>
      <w:r w:rsidR="0034561A">
        <w:t>i</w:t>
      </w:r>
      <w:r w:rsidRPr="002F2687">
        <w:t>es gained to achieve basic life skills, enhance employment and career opportunities, obtain citizenship, progress to career or postsecondary programs, and function in English at higher cognitive levels to become contributing members of society.</w:t>
      </w:r>
    </w:p>
    <w:p w14:paraId="740C4AB2" w14:textId="622711C4" w:rsidR="007412C3" w:rsidRPr="002F2687" w:rsidRDefault="007412C3" w:rsidP="00674637">
      <w:r w:rsidRPr="002F2687">
        <w:lastRenderedPageBreak/>
        <w:t>In 2018−19, 380 agencies provided classes for adults in a variety of settings</w:t>
      </w:r>
      <w:r w:rsidR="0034561A">
        <w:t>,</w:t>
      </w:r>
      <w:r w:rsidRPr="002F2687">
        <w:t xml:space="preserve"> including school classrooms, college campuses, community centers, storefronts, churches, businesses, jails, prisons</w:t>
      </w:r>
      <w:r w:rsidR="00FA296E">
        <w:t>, libraries, and migrant camps.</w:t>
      </w:r>
    </w:p>
    <w:p w14:paraId="169A7A1D" w14:textId="17CFA521" w:rsidR="007412C3" w:rsidRPr="002F2687" w:rsidRDefault="007412C3" w:rsidP="00674637">
      <w:r w:rsidRPr="002F2687">
        <w:t xml:space="preserve">Adult schools and </w:t>
      </w:r>
      <w:r w:rsidR="00F95DD3">
        <w:t>CCC</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48078B">
      <w:pPr>
        <w:pStyle w:val="ListParagraph"/>
        <w:ind w:left="1170" w:hanging="45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48078B">
      <w:pPr>
        <w:pStyle w:val="ListParagraph"/>
        <w:ind w:left="1170" w:hanging="45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7DFD5B98" w:rsidR="007412C3" w:rsidRPr="002F2687" w:rsidRDefault="00FA296E" w:rsidP="0048078B">
      <w:pPr>
        <w:pStyle w:val="ListParagraph"/>
        <w:ind w:left="1170" w:hanging="450"/>
      </w:pPr>
      <w:r>
        <w:rPr>
          <w:b/>
          <w:bCs/>
        </w:rPr>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w:t>
      </w:r>
      <w:r w:rsidR="0034561A">
        <w:t xml:space="preserve"> and to</w:t>
      </w:r>
      <w:r w:rsidR="007412C3" w:rsidRPr="002F2687">
        <w:t xml:space="preserve"> promote a skilled workforce with high</w:t>
      </w:r>
      <w:r w:rsidR="004F51FE">
        <w:t>-</w:t>
      </w:r>
      <w:r w:rsidR="007412C3" w:rsidRPr="002F2687">
        <w:t>growth and high</w:t>
      </w:r>
      <w:r w:rsidR="004F51FE">
        <w:t>-</w:t>
      </w:r>
      <w:r w:rsidR="007412C3" w:rsidRPr="002F2687">
        <w:t xml:space="preserve">wage employment potential, leading to industry certifications or </w:t>
      </w:r>
      <w:r w:rsidR="00A31C98">
        <w:t xml:space="preserve">to </w:t>
      </w:r>
      <w:r w:rsidR="007412C3" w:rsidRPr="002F2687">
        <w:t>meeting the required prerequisites and foundations for advanced career pathways</w:t>
      </w:r>
    </w:p>
    <w:p w14:paraId="7ADC8A2E" w14:textId="434EF141" w:rsidR="007412C3" w:rsidRPr="002F2687" w:rsidRDefault="007412C3" w:rsidP="0048078B">
      <w:pPr>
        <w:pStyle w:val="ListParagraph"/>
        <w:ind w:left="1170" w:hanging="450"/>
      </w:pPr>
      <w:r w:rsidRPr="002F2687">
        <w:rPr>
          <w:b/>
          <w:bCs/>
        </w:rPr>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7D9504DE" w:rsidR="007412C3" w:rsidRPr="002F2687" w:rsidRDefault="007412C3" w:rsidP="0048078B">
      <w:pPr>
        <w:pStyle w:val="ListParagraph"/>
        <w:ind w:left="1170" w:hanging="45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48078B">
      <w:pPr>
        <w:pStyle w:val="ListParagraph"/>
        <w:ind w:left="1170" w:hanging="45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48078B">
      <w:pPr>
        <w:pStyle w:val="ListParagraph"/>
        <w:ind w:left="1170" w:hanging="450"/>
      </w:pPr>
      <w:r w:rsidRPr="002F2687">
        <w:rPr>
          <w:b/>
          <w:bCs/>
        </w:rPr>
        <w:lastRenderedPageBreak/>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1C7201AC" w:rsidR="0042176B" w:rsidRPr="002F2687" w:rsidRDefault="007412C3" w:rsidP="00674637">
      <w:r w:rsidRPr="002F2687">
        <w:t xml:space="preserve">Strategies and initiatives that are leveraged by </w:t>
      </w:r>
      <w:r w:rsidR="007D1D68">
        <w:t>S</w:t>
      </w:r>
      <w:r w:rsidRPr="002F2687">
        <w:t>tate and federal adult education funding include the following:</w:t>
      </w:r>
    </w:p>
    <w:p w14:paraId="2F7BF270" w14:textId="77777777" w:rsidR="007412C3" w:rsidRPr="002F2687" w:rsidRDefault="007412C3" w:rsidP="0048078B">
      <w:pPr>
        <w:pStyle w:val="ListParagraph"/>
        <w:ind w:left="1170" w:hanging="450"/>
      </w:pPr>
      <w:r w:rsidRPr="002F2687">
        <w:t>Integrated Education and Training</w:t>
      </w:r>
    </w:p>
    <w:p w14:paraId="41108795" w14:textId="77777777" w:rsidR="007412C3" w:rsidRPr="002F2687" w:rsidRDefault="007412C3" w:rsidP="0048078B">
      <w:pPr>
        <w:pStyle w:val="ListParagraph"/>
        <w:ind w:left="1170" w:hanging="450"/>
      </w:pPr>
      <w:r w:rsidRPr="002F2687">
        <w:t>Integrated English Literacy and Civics Education </w:t>
      </w:r>
    </w:p>
    <w:p w14:paraId="322E3140" w14:textId="77777777" w:rsidR="007412C3" w:rsidRPr="002F2687" w:rsidRDefault="007412C3" w:rsidP="0048078B">
      <w:pPr>
        <w:pStyle w:val="ListParagraph"/>
        <w:ind w:left="1170" w:hanging="450"/>
      </w:pPr>
      <w:r w:rsidRPr="002F2687">
        <w:t>Guided Pathways</w:t>
      </w:r>
    </w:p>
    <w:p w14:paraId="2699395C" w14:textId="1525E5D4" w:rsidR="00E50D90" w:rsidRDefault="007412C3" w:rsidP="0048078B">
      <w:pPr>
        <w:pStyle w:val="ListParagraph"/>
        <w:ind w:left="1170" w:hanging="450"/>
      </w:pPr>
      <w:r w:rsidRPr="002F2687">
        <w:t>Career Pathways</w:t>
      </w:r>
    </w:p>
    <w:p w14:paraId="2E49D38F" w14:textId="44EF2CDF" w:rsidR="007412C3" w:rsidRPr="002F2687" w:rsidRDefault="007412C3" w:rsidP="0048078B">
      <w:pPr>
        <w:pStyle w:val="ListParagraph"/>
        <w:ind w:left="1170" w:hanging="450"/>
      </w:pPr>
      <w:r w:rsidRPr="002F2687">
        <w:t>Ability to Benefit</w:t>
      </w:r>
    </w:p>
    <w:p w14:paraId="6145F229" w14:textId="77777777" w:rsidR="007412C3" w:rsidRPr="002F2687" w:rsidRDefault="007412C3" w:rsidP="0048078B">
      <w:pPr>
        <w:pStyle w:val="ListParagraph"/>
        <w:ind w:left="1170" w:hanging="450"/>
      </w:pPr>
      <w:r w:rsidRPr="002F2687">
        <w:t xml:space="preserve">Fresh Success </w:t>
      </w:r>
    </w:p>
    <w:p w14:paraId="5367E73C" w14:textId="2DD74307" w:rsidR="007412C3" w:rsidRPr="002F2687" w:rsidRDefault="007412C3" w:rsidP="0048078B">
      <w:pPr>
        <w:pStyle w:val="ListParagraph"/>
        <w:ind w:left="1170" w:hanging="450"/>
      </w:pPr>
      <w:r w:rsidRPr="002F2687">
        <w:t>Student Acceleration (AB</w:t>
      </w:r>
      <w:r w:rsidR="00A31C98">
        <w:t xml:space="preserve"> </w:t>
      </w:r>
      <w:r w:rsidRPr="002F2687">
        <w:t>705)</w:t>
      </w:r>
      <w:r w:rsidR="005811D8" w:rsidRPr="005678F9">
        <w:rPr>
          <w:rStyle w:val="FootnoteReference"/>
        </w:rPr>
        <w:footnoteReference w:id="10"/>
      </w:r>
    </w:p>
    <w:p w14:paraId="541EC88E" w14:textId="69EEC43D" w:rsidR="007412C3" w:rsidRPr="002F2687" w:rsidRDefault="007412C3" w:rsidP="0048078B">
      <w:pPr>
        <w:pStyle w:val="ListParagraph"/>
        <w:ind w:left="1170" w:hanging="450"/>
      </w:pPr>
      <w:r w:rsidRPr="002F2687">
        <w:t>Transition to Post</w:t>
      </w:r>
      <w:r w:rsidR="00B14CB3">
        <w:t>s</w:t>
      </w:r>
      <w:r w:rsidRPr="002F2687">
        <w:t>econdary Support</w:t>
      </w:r>
    </w:p>
    <w:p w14:paraId="3C00CEAC" w14:textId="77777777" w:rsidR="007412C3" w:rsidRPr="002F2687" w:rsidRDefault="007412C3" w:rsidP="0048078B">
      <w:pPr>
        <w:pStyle w:val="ListParagraph"/>
        <w:ind w:left="1170" w:hanging="450"/>
      </w:pPr>
      <w:r w:rsidRPr="002F2687">
        <w:t>Dual Enrollment (K</w:t>
      </w:r>
      <w:r w:rsidR="00F22DAE" w:rsidRPr="00F22DAE">
        <w:t>−</w:t>
      </w:r>
      <w:r w:rsidRPr="002F2687">
        <w:t>12 adult and community college)</w:t>
      </w:r>
    </w:p>
    <w:p w14:paraId="06056338" w14:textId="77777777" w:rsidR="007412C3" w:rsidRPr="002F2687" w:rsidRDefault="007412C3" w:rsidP="0048078B">
      <w:pPr>
        <w:pStyle w:val="ListParagraph"/>
        <w:ind w:left="1170" w:hanging="450"/>
      </w:pPr>
      <w:r w:rsidRPr="002F2687">
        <w:t xml:space="preserve">Co-Enrollment (WIOA I, WIOA II, WIOA III, </w:t>
      </w:r>
      <w:r w:rsidR="005609C7">
        <w:t>and</w:t>
      </w:r>
      <w:r w:rsidRPr="002F2687">
        <w:t xml:space="preserve"> WIOA IV)</w:t>
      </w:r>
    </w:p>
    <w:p w14:paraId="6480A130" w14:textId="35B4A340" w:rsidR="00EB0D85" w:rsidRDefault="007412C3" w:rsidP="00674637">
      <w:r w:rsidRPr="002F2687">
        <w:t xml:space="preserve">The flexibility of CAEP </w:t>
      </w:r>
      <w:r w:rsidR="007D1D68">
        <w:t>S</w:t>
      </w:r>
      <w:r w:rsidRPr="002F2687">
        <w:t xml:space="preserve">tate funding </w:t>
      </w:r>
      <w:r w:rsidR="008B645E">
        <w:t>enables</w:t>
      </w:r>
      <w:r w:rsidRPr="002F2687">
        <w:t xml:space="preserve"> K</w:t>
      </w:r>
      <w:r w:rsidR="00F22DAE" w:rsidRPr="00F22DAE">
        <w:t>−</w:t>
      </w:r>
      <w:r w:rsidRPr="002F2687">
        <w:t xml:space="preserve">12 adult schools and noncredit community college programs to </w:t>
      </w:r>
      <w:r w:rsidR="00EB0D85">
        <w:t>use innovative approaches to link CTE programs.</w:t>
      </w:r>
    </w:p>
    <w:p w14:paraId="274340ED" w14:textId="7652E91A" w:rsidR="007412C3" w:rsidRPr="002F2687" w:rsidRDefault="007412C3" w:rsidP="00674637">
      <w:r w:rsidRPr="002F2687">
        <w:rPr>
          <w:b/>
        </w:rPr>
        <w:lastRenderedPageBreak/>
        <w:t xml:space="preserve">Community College Noncredit </w:t>
      </w:r>
      <w:r w:rsidRPr="002F2687">
        <w:t>I</w:t>
      </w:r>
      <w:r w:rsidRPr="002F2687">
        <w:rPr>
          <w:b/>
        </w:rPr>
        <w:t>nstruction</w:t>
      </w:r>
      <w:r w:rsidR="003649F5">
        <w:rPr>
          <w:b/>
        </w:rPr>
        <w:t>:</w:t>
      </w:r>
      <w:r w:rsidRPr="003649F5">
        <w:t xml:space="preserve"> </w:t>
      </w:r>
      <w:r w:rsidRPr="002F2687">
        <w:t>In addition to the CAEP</w:t>
      </w:r>
      <w:r w:rsidR="00AA5C1F">
        <w:t>-</w:t>
      </w:r>
      <w:r w:rsidRPr="002F2687">
        <w:t>funded noncredit program area</w:t>
      </w:r>
      <w:r w:rsidR="00952D10">
        <w:t>s</w:t>
      </w:r>
      <w:r w:rsidRPr="002F2687">
        <w:t>,</w:t>
      </w:r>
      <w:r w:rsidRPr="002F2687">
        <w:rPr>
          <w:b/>
        </w:rPr>
        <w:t xml:space="preserve"> </w:t>
      </w:r>
      <w:r w:rsidRPr="002F2687">
        <w:t xml:space="preserve">the </w:t>
      </w:r>
      <w:r w:rsidR="00952D10">
        <w:t>CCC</w:t>
      </w:r>
      <w:r w:rsidR="00FA296E">
        <w:t xml:space="preserve"> offer “noncredit instruction</w:t>
      </w:r>
      <w:r w:rsidRPr="002F2687">
        <w:t xml:space="preserve">” </w:t>
      </w:r>
      <w:r w:rsidR="00FA296E">
        <w:t xml:space="preserve">as </w:t>
      </w:r>
      <w:r w:rsidRPr="002F2687">
        <w:t xml:space="preserve">one of several educational 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w:t>
      </w:r>
      <w:r w:rsidR="00AA5C1F">
        <w:t>,</w:t>
      </w:r>
      <w:r w:rsidRPr="002F2687">
        <w:t xml:space="preserve"> to assist them in reaching their personal, academic, and professional goals. </w:t>
      </w:r>
      <w:r w:rsidR="001F14E8">
        <w:t>As of December 2019</w:t>
      </w:r>
      <w:r w:rsidRPr="002F2687">
        <w:t xml:space="preserve">, 10 categories of noncredit courses are eligible for </w:t>
      </w:r>
      <w:r w:rsidR="007D1D68">
        <w:t>S</w:t>
      </w:r>
      <w:r w:rsidRPr="002F2687">
        <w:t>tat</w:t>
      </w:r>
      <w:r w:rsidR="00FA296E">
        <w:t>e</w:t>
      </w:r>
      <w:r w:rsidRPr="002F2687">
        <w:t xml:space="preserve"> funding. Noncredit courses often serve as </w:t>
      </w:r>
      <w:r w:rsidR="007033C8">
        <w:t>the</w:t>
      </w:r>
      <w:r w:rsidRPr="002F2687">
        <w:t xml:space="preserve">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no</w:t>
      </w:r>
      <w:r w:rsidR="001F14E8">
        <w:t>n</w:t>
      </w:r>
      <w:r w:rsidR="00453F73">
        <w:t>-</w:t>
      </w:r>
      <w:r w:rsidRPr="002F2687">
        <w:t xml:space="preserve">native English speakers. </w:t>
      </w:r>
      <w:r w:rsidR="00FA296E">
        <w:t>N</w:t>
      </w:r>
      <w:r w:rsidRPr="002F2687">
        <w:t>oncredit program areas</w:t>
      </w:r>
      <w:r w:rsidR="00FA296E">
        <w:t xml:space="preserve"> include</w:t>
      </w:r>
      <w:r w:rsidRPr="002F2687">
        <w:t>:</w:t>
      </w:r>
    </w:p>
    <w:p w14:paraId="5A1E7F84" w14:textId="3C8A5E96" w:rsidR="007412C3" w:rsidRPr="002F2687" w:rsidRDefault="007412C3" w:rsidP="0048078B">
      <w:pPr>
        <w:pStyle w:val="ListParagraph"/>
        <w:numPr>
          <w:ilvl w:val="0"/>
          <w:numId w:val="24"/>
        </w:numPr>
        <w:ind w:left="1170" w:hanging="45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r w:rsidR="00AA5C1F">
        <w:t>;</w:t>
      </w:r>
    </w:p>
    <w:p w14:paraId="5F0EC65D" w14:textId="3CE4DA5B" w:rsidR="007412C3" w:rsidRPr="002F2687" w:rsidRDefault="007412C3" w:rsidP="0048078B">
      <w:pPr>
        <w:pStyle w:val="ListParagraph"/>
        <w:numPr>
          <w:ilvl w:val="0"/>
          <w:numId w:val="24"/>
        </w:numPr>
        <w:ind w:left="1170" w:hanging="45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r w:rsidR="00AA5C1F">
        <w:t>;</w:t>
      </w:r>
    </w:p>
    <w:p w14:paraId="54DCCEB3" w14:textId="01D27999" w:rsidR="007412C3" w:rsidRPr="002F2687" w:rsidRDefault="007412C3" w:rsidP="0048078B">
      <w:pPr>
        <w:pStyle w:val="ListParagraph"/>
        <w:numPr>
          <w:ilvl w:val="0"/>
          <w:numId w:val="24"/>
        </w:numPr>
        <w:ind w:left="1170" w:hanging="450"/>
        <w:rPr>
          <w:rStyle w:val="A6"/>
          <w:rFonts w:cstheme="minorBidi"/>
          <w:color w:val="auto"/>
        </w:rPr>
      </w:pPr>
      <w:r w:rsidRPr="002F2687">
        <w:t>ESL</w:t>
      </w:r>
      <w:r w:rsidR="00AA5C1F">
        <w:t>;</w:t>
      </w:r>
    </w:p>
    <w:p w14:paraId="35F29EF7" w14:textId="5C7F72C9" w:rsidR="007412C3" w:rsidRPr="002F2687" w:rsidRDefault="007412C3" w:rsidP="0048078B">
      <w:pPr>
        <w:pStyle w:val="ListParagraph"/>
        <w:numPr>
          <w:ilvl w:val="0"/>
          <w:numId w:val="24"/>
        </w:numPr>
        <w:ind w:left="1170" w:hanging="45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workforce preparation classes in the basic skills of speaking, listening, reading, writing, mathematics, decision-making and problem-solving skills, and other classes required for preparation to participate in job-specific technical training</w:t>
      </w:r>
      <w:r w:rsidR="00AA5C1F">
        <w:t>;</w:t>
      </w:r>
    </w:p>
    <w:p w14:paraId="37C93FD3" w14:textId="6B198478" w:rsidR="007412C3" w:rsidRPr="002F2687" w:rsidRDefault="007412C3" w:rsidP="0048078B">
      <w:pPr>
        <w:pStyle w:val="ListParagraph"/>
        <w:numPr>
          <w:ilvl w:val="0"/>
          <w:numId w:val="24"/>
        </w:numPr>
        <w:ind w:left="1170" w:hanging="450"/>
        <w:rPr>
          <w:rStyle w:val="A6"/>
          <w:rFonts w:cstheme="minorBidi"/>
          <w:color w:val="auto"/>
        </w:rPr>
      </w:pPr>
      <w:r w:rsidRPr="002F2687">
        <w:t>Education programs for persons with substantial disabilities</w:t>
      </w:r>
      <w:r w:rsidR="00AA5C1F">
        <w:t>;</w:t>
      </w:r>
    </w:p>
    <w:p w14:paraId="3EA2502D" w14:textId="4CFBD39F" w:rsidR="007412C3" w:rsidRPr="002F2687" w:rsidRDefault="007412C3" w:rsidP="0048078B">
      <w:pPr>
        <w:pStyle w:val="ListParagraph"/>
        <w:numPr>
          <w:ilvl w:val="0"/>
          <w:numId w:val="24"/>
        </w:numPr>
        <w:ind w:left="1170" w:hanging="450"/>
        <w:rPr>
          <w:rStyle w:val="A6"/>
          <w:rFonts w:cstheme="minorBidi"/>
          <w:color w:val="auto"/>
        </w:rPr>
      </w:pPr>
      <w:r w:rsidRPr="002F2687">
        <w:t>Short-term vocational programs with high employment potential</w:t>
      </w:r>
      <w:r w:rsidR="00AA5C1F">
        <w:t>;</w:t>
      </w:r>
    </w:p>
    <w:p w14:paraId="73EAB5F8" w14:textId="0D76C432" w:rsidR="007412C3" w:rsidRPr="002F2687" w:rsidRDefault="007412C3" w:rsidP="0048078B">
      <w:pPr>
        <w:pStyle w:val="ListParagraph"/>
        <w:numPr>
          <w:ilvl w:val="0"/>
          <w:numId w:val="24"/>
        </w:numPr>
        <w:ind w:left="1170" w:hanging="450"/>
      </w:pPr>
      <w:r w:rsidRPr="002F2687">
        <w:t>Education programs for older adults</w:t>
      </w:r>
      <w:r w:rsidR="00AA5C1F">
        <w:t>;</w:t>
      </w:r>
    </w:p>
    <w:p w14:paraId="0E53F351" w14:textId="2051602C" w:rsidR="007412C3" w:rsidRPr="002F2687" w:rsidRDefault="007412C3" w:rsidP="0048078B">
      <w:pPr>
        <w:pStyle w:val="ListParagraph"/>
        <w:numPr>
          <w:ilvl w:val="0"/>
          <w:numId w:val="24"/>
        </w:numPr>
        <w:ind w:left="1170" w:hanging="450"/>
      </w:pPr>
      <w:r w:rsidRPr="002F2687">
        <w:t>Education programs focusing on home economics</w:t>
      </w:r>
      <w:r w:rsidR="00AA5C1F">
        <w:t>;</w:t>
      </w:r>
    </w:p>
    <w:p w14:paraId="45AA2698" w14:textId="4D82D079" w:rsidR="007412C3" w:rsidRPr="002F2687" w:rsidRDefault="007412C3" w:rsidP="0048078B">
      <w:pPr>
        <w:pStyle w:val="ListParagraph"/>
        <w:numPr>
          <w:ilvl w:val="0"/>
          <w:numId w:val="24"/>
        </w:numPr>
        <w:ind w:left="1170" w:hanging="450"/>
      </w:pPr>
      <w:r w:rsidRPr="002F2687">
        <w:t>Health and safety education</w:t>
      </w:r>
      <w:r w:rsidR="00AA5C1F">
        <w:t>; and</w:t>
      </w:r>
    </w:p>
    <w:p w14:paraId="2B976997" w14:textId="2471CE71" w:rsidR="007412C3" w:rsidRPr="002F2687" w:rsidRDefault="007412C3" w:rsidP="0048078B">
      <w:pPr>
        <w:pStyle w:val="ListParagraph"/>
        <w:numPr>
          <w:ilvl w:val="0"/>
          <w:numId w:val="24"/>
        </w:numPr>
        <w:ind w:left="1170" w:hanging="450"/>
      </w:pPr>
      <w:r w:rsidRPr="002F2687">
        <w:t>Workforce preparation</w:t>
      </w:r>
      <w:r w:rsidR="00453F73">
        <w:t>.</w:t>
      </w:r>
    </w:p>
    <w:p w14:paraId="6ABA8D8F" w14:textId="280EA10E" w:rsidR="007412C3" w:rsidRDefault="007412C3" w:rsidP="00674637">
      <w:r w:rsidRPr="002F2687">
        <w:lastRenderedPageBreak/>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w:t>
      </w:r>
      <w:r w:rsidR="00EB0D85">
        <w:t>c</w:t>
      </w:r>
      <w:r w:rsidRPr="002F2687">
        <w:t xml:space="preserve">areer </w:t>
      </w:r>
      <w:r w:rsidR="00EB0D85">
        <w:t>d</w:t>
      </w:r>
      <w:r w:rsidRPr="002F2687">
        <w:t xml:space="preserve">evelopment and </w:t>
      </w:r>
      <w:r w:rsidR="00EB0D85">
        <w:t>c</w:t>
      </w:r>
      <w:r w:rsidRPr="002F2687">
        <w:t xml:space="preserve">ollege </w:t>
      </w:r>
      <w:r w:rsidR="00EB0D85">
        <w:t>p</w:t>
      </w:r>
      <w:r w:rsidRPr="002F2687">
        <w:t>reparation programs.</w:t>
      </w:r>
    </w:p>
    <w:p w14:paraId="3BC497E3" w14:textId="08EB6C6A" w:rsidR="0055241D" w:rsidRDefault="008E278E" w:rsidP="0055241D">
      <w:r>
        <w:t>In summary, adult education is funded from two basic sources: federal funds</w:t>
      </w:r>
      <w:r w:rsidR="00F051F0">
        <w:t>,</w:t>
      </w:r>
      <w:r>
        <w:t xml:space="preserve"> such as Perkins </w:t>
      </w:r>
      <w:r w:rsidR="00F40F7F">
        <w:t xml:space="preserve">V </w:t>
      </w:r>
      <w:r>
        <w:t>and WIOA Title II</w:t>
      </w:r>
      <w:r w:rsidR="00F051F0">
        <w:t>,</w:t>
      </w:r>
      <w:r>
        <w:t xml:space="preserve"> and </w:t>
      </w:r>
      <w:r w:rsidR="007D1D68">
        <w:t>S</w:t>
      </w:r>
      <w:r>
        <w:t xml:space="preserve">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46" w:name="_Toc18774634"/>
      <w:bookmarkStart w:id="47" w:name="_Toc18935358"/>
      <w:bookmarkStart w:id="48" w:name="_Toc18935521"/>
      <w:bookmarkStart w:id="49" w:name="_Toc21682973"/>
      <w:bookmarkStart w:id="50" w:name="_Toc21683277"/>
    </w:p>
    <w:p w14:paraId="465FE004" w14:textId="0298D233" w:rsidR="00F222E8" w:rsidRPr="00B24181" w:rsidRDefault="00F222E8" w:rsidP="0055241D">
      <w:pPr>
        <w:pStyle w:val="Heading6"/>
      </w:pPr>
      <w:r w:rsidRPr="00B24181">
        <w:t>Workforce Development Initiatives</w:t>
      </w:r>
    </w:p>
    <w:p w14:paraId="6721D468" w14:textId="6C8EE9AB" w:rsidR="00F222E8" w:rsidRPr="004721C9" w:rsidRDefault="007C3951" w:rsidP="003A6CC9">
      <w:r w:rsidRPr="007C3951">
        <w:t xml:space="preserve">In a state as complex as California, integrating educational and workforce development programs is an ongoing challenge. Multiple agencies across the state are working together to </w:t>
      </w:r>
      <w:r w:rsidR="003D4DA3">
        <w:t>increase coordination and alignment of programs and resources</w:t>
      </w:r>
      <w:r w:rsidR="00F222E8" w:rsidRPr="004721C9">
        <w:t xml:space="preserve">. California’s Strategic Workforce Development Plan, led by the CWDB, is the reorientation and realignment of California’s workforce programs and institutions to support a successful </w:t>
      </w:r>
      <w:r w:rsidR="007D1D68">
        <w:t>S</w:t>
      </w:r>
      <w:r w:rsidR="00F222E8" w:rsidRPr="004721C9">
        <w:t>tate economy</w:t>
      </w:r>
      <w:r w:rsidR="003B3BA0">
        <w:t>.</w:t>
      </w:r>
      <w:r w:rsidR="003B3BA0" w:rsidRPr="004721C9">
        <w:t xml:space="preserve"> </w:t>
      </w:r>
    </w:p>
    <w:p w14:paraId="4CAD24EF" w14:textId="2F9406D2" w:rsidR="00F222E8" w:rsidRPr="004721C9" w:rsidRDefault="00F222E8" w:rsidP="0055241D">
      <w:r w:rsidRPr="0055241D">
        <w:rPr>
          <w:b/>
        </w:rPr>
        <w:t>Breaking Barriers to Employment</w:t>
      </w:r>
      <w:r w:rsidR="003649F5">
        <w:rPr>
          <w:b/>
        </w:rPr>
        <w:t>:</w:t>
      </w:r>
      <w:r w:rsidR="0055241D">
        <w:t xml:space="preserve"> </w:t>
      </w:r>
      <w:r w:rsidRPr="004721C9">
        <w:t>This is an initiative intended to supplement existing workforce and education programs by providing services to ensure the success of individuals either preparing to enter or already enrolled in workforce and 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w:t>
      </w:r>
      <w:r w:rsidR="00606EC2">
        <w:t>,</w:t>
      </w:r>
      <w:r w:rsidRPr="004721C9">
        <w:t xml:space="preserve"> eventually, economic security. These services must be delivered through a collaborative partnership between mission-driven, community-based organizations with experience in providing services to the target population and local </w:t>
      </w:r>
      <w:r w:rsidR="00B66E9C">
        <w:t>workforce development boards (LWDBs)</w:t>
      </w:r>
      <w:r w:rsidRPr="004721C9">
        <w:t>.</w:t>
      </w:r>
    </w:p>
    <w:p w14:paraId="1730E178" w14:textId="1218A21E" w:rsidR="00F222E8" w:rsidRPr="004721C9" w:rsidRDefault="00F222E8" w:rsidP="004715B7">
      <w:r w:rsidRPr="004715B7">
        <w:rPr>
          <w:b/>
        </w:rPr>
        <w:t>English Language Learners and Immigrant Workforce</w:t>
      </w:r>
      <w:r w:rsidR="003649F5">
        <w:rPr>
          <w:b/>
        </w:rPr>
        <w:t>:</w:t>
      </w:r>
      <w:r w:rsidR="004715B7" w:rsidRPr="003649F5">
        <w:t xml:space="preserve"> </w:t>
      </w:r>
      <w:r w:rsidRPr="004721C9">
        <w:t xml:space="preserve">The California Labor and Workforce Development Agency and the CWDB awarded $2.5 million to five </w:t>
      </w:r>
      <w:r w:rsidR="00B66E9C">
        <w:t>LWDBs</w:t>
      </w:r>
      <w:r w:rsidRPr="004721C9">
        <w:t xml:space="preserve"> to </w:t>
      </w:r>
      <w:r w:rsidRPr="004721C9">
        <w:lastRenderedPageBreak/>
        <w:t>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34AE02D0" w:rsidR="00F222E8" w:rsidRPr="004721C9" w:rsidRDefault="00F222E8" w:rsidP="0055241D">
      <w:r w:rsidRPr="004721C9">
        <w:t xml:space="preserve">The navigator program provided case management and referrals to support services helping immigrants and those with language barriers </w:t>
      </w:r>
      <w:r w:rsidR="00BC772E">
        <w:t xml:space="preserve">to </w:t>
      </w:r>
      <w:r w:rsidRPr="004721C9">
        <w:t xml:space="preserve">receive the education and skills </w:t>
      </w:r>
      <w:r w:rsidR="008B645E">
        <w:t xml:space="preserve">they </w:t>
      </w:r>
      <w:r w:rsidRPr="004721C9">
        <w:t>need.</w:t>
      </w:r>
    </w:p>
    <w:p w14:paraId="66CC0BBB" w14:textId="2A492BE5" w:rsidR="00F222E8" w:rsidRPr="004721C9" w:rsidRDefault="00F222E8" w:rsidP="0055241D">
      <w:r w:rsidRPr="004715B7">
        <w:rPr>
          <w:b/>
        </w:rPr>
        <w:t>High Road Training Partnerships</w:t>
      </w:r>
      <w:r w:rsidR="003649F5">
        <w:rPr>
          <w:b/>
        </w:rPr>
        <w:t>:</w:t>
      </w:r>
      <w:r w:rsidR="004715B7">
        <w:t xml:space="preserve"> </w:t>
      </w:r>
      <w:r w:rsidRPr="004721C9">
        <w:t xml:space="preserve">The High Road Training Partnerships (HRTP) initiative is designed to model partnership strategies for the </w:t>
      </w:r>
      <w:r w:rsidR="00D1111C">
        <w:t>s</w:t>
      </w:r>
      <w:r w:rsidRPr="004721C9">
        <w:t>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1AD2B3B2" w14:textId="7EAF981F" w:rsidR="00F222E8" w:rsidRPr="004721C9" w:rsidRDefault="00F222E8" w:rsidP="004715B7">
      <w:r w:rsidRPr="004715B7">
        <w:rPr>
          <w:b/>
        </w:rPr>
        <w:t>Sling</w:t>
      </w:r>
      <w:r w:rsidR="008B645E">
        <w:rPr>
          <w:b/>
        </w:rPr>
        <w:t>S</w:t>
      </w:r>
      <w:r w:rsidRPr="004715B7">
        <w:rPr>
          <w:b/>
        </w:rPr>
        <w:t>hot</w:t>
      </w:r>
      <w:r w:rsidR="003649F5">
        <w:rPr>
          <w:b/>
        </w:rPr>
        <w:t>:</w:t>
      </w:r>
      <w:r w:rsidR="004715B7" w:rsidRPr="003649F5">
        <w:t xml:space="preserve"> </w:t>
      </w:r>
      <w:r w:rsidRPr="004721C9">
        <w:t>SlingShot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56102493"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7B804A91" w14:textId="609D4349" w:rsidR="00F222E8" w:rsidRDefault="00F222E8" w:rsidP="00BC186F">
      <w:r w:rsidRPr="00BC186F">
        <w:rPr>
          <w:b/>
        </w:rPr>
        <w:t>Apprenticeship</w:t>
      </w:r>
      <w:r w:rsidR="007624F6">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 xml:space="preserve">OJT experience in which the apprentice is paid a salary or wage. Apprenticeship is </w:t>
      </w:r>
      <w:r>
        <w:lastRenderedPageBreak/>
        <w:t>essentially a system of learning while earning and “learning by doing.” Apprentices attend classes to learn about the theory and then apply that knowledge to the workplace, under the supervision of an experienced worker. The employer is an integral part of apprenticeships and</w:t>
      </w:r>
      <w:r w:rsidR="00D80819">
        <w:t>,</w:t>
      </w:r>
      <w:r>
        <w:t xml:space="preserve"> in the current model</w:t>
      </w:r>
      <w:r w:rsidR="00D80819">
        <w:t>,</w:t>
      </w:r>
      <w:r>
        <w:t xml:space="preserve">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w:t>
      </w:r>
      <w:r w:rsidR="00D80819">
        <w:t>,</w:t>
      </w:r>
      <w:r>
        <w:t xml:space="preserv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D80819">
        <w:t>;</w:t>
      </w:r>
      <w:r w:rsidR="00BC186F">
        <w:t xml:space="preserve"> (2) </w:t>
      </w:r>
      <w:r w:rsidR="008B645E">
        <w:t>a</w:t>
      </w:r>
      <w:r>
        <w:t xml:space="preserve"> group of employers may join to create a Unilateral Training Committee </w:t>
      </w:r>
      <w:r w:rsidR="00D80819">
        <w:t xml:space="preserve">to </w:t>
      </w:r>
      <w:r>
        <w:t>cooperatively fund the training of apprenticeships</w:t>
      </w:r>
      <w:r w:rsidR="00D80819">
        <w:t>,</w:t>
      </w:r>
      <w:r>
        <w:t xml:space="preserve"> share costs</w:t>
      </w:r>
      <w:r w:rsidR="00D80819">
        <w:t>,</w:t>
      </w:r>
      <w:r>
        <w:t xml:space="preserve"> and leverage resources</w:t>
      </w:r>
      <w:r w:rsidR="00D80819">
        <w:t>;</w:t>
      </w:r>
      <w:r w:rsidR="00BC186F">
        <w:t xml:space="preserve"> or (3) </w:t>
      </w:r>
      <w:r w:rsidR="003B3BA0">
        <w:t>a union can be included to</w:t>
      </w:r>
      <w:r>
        <w:t xml:space="preserve"> create a Joint Apprenticeship Training Committee with equal representation of employees and management, which is sometimes funded with additional </w:t>
      </w:r>
      <w:r w:rsidR="00065AAA">
        <w:t>e</w:t>
      </w:r>
      <w:r>
        <w:t>mployer/</w:t>
      </w:r>
      <w:r w:rsidR="00065AAA">
        <w:t>e</w:t>
      </w:r>
      <w:r>
        <w:t>mployee contributions.</w:t>
      </w:r>
    </w:p>
    <w:p w14:paraId="03B98D4C" w14:textId="310ECA15" w:rsidR="00F222E8" w:rsidRDefault="00F222E8" w:rsidP="00F222E8">
      <w:r>
        <w:t xml:space="preserve">In all instances, an employer or committee plays a role </w:t>
      </w:r>
      <w:r w:rsidR="008B645E">
        <w:t>i</w:t>
      </w:r>
      <w:r>
        <w:t>n a wide variety of issues relating to recruitment and training of apprentices</w:t>
      </w:r>
      <w:r w:rsidR="002157E7">
        <w:t>,</w:t>
      </w:r>
      <w:r>
        <w:t xml:space="preserve"> from establishing procedures for selecting apprentices, </w:t>
      </w:r>
      <w:r w:rsidR="002157E7">
        <w:t xml:space="preserve">to </w:t>
      </w:r>
      <w:r>
        <w:t xml:space="preserve">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w:t>
      </w:r>
      <w:r w:rsidR="00107195">
        <w:t>I</w:t>
      </w:r>
      <w:r>
        <w:t xml:space="preserve">ndustry </w:t>
      </w:r>
      <w:r w:rsidR="00107195">
        <w:t>S</w:t>
      </w:r>
      <w:r>
        <w:t>ector.</w:t>
      </w:r>
    </w:p>
    <w:p w14:paraId="006E5064" w14:textId="7DBDE6CB" w:rsidR="00F222E8" w:rsidRDefault="00F222E8" w:rsidP="00F222E8">
      <w:r>
        <w:t xml:space="preserve">The three most important elements </w:t>
      </w:r>
      <w:r w:rsidR="002157E7">
        <w:t>of</w:t>
      </w:r>
      <w:r>
        <w:t xml:space="preserve"> California registered apprenticeship</w:t>
      </w:r>
      <w:r w:rsidR="008B645E">
        <w:t>s</w:t>
      </w:r>
      <w:r>
        <w:t xml:space="preserve"> are: (1) </w:t>
      </w:r>
      <w:r w:rsidR="002157E7">
        <w:t>they are</w:t>
      </w:r>
      <w:r>
        <w:t xml:space="preserve"> employer-paid training and employment from day one; (2) </w:t>
      </w:r>
      <w:r w:rsidR="002157E7">
        <w:t>they</w:t>
      </w:r>
      <w:r>
        <w:t xml:space="preserve"> require a minimum of 2</w:t>
      </w:r>
      <w:r w:rsidR="007624F6">
        <w:t>,</w:t>
      </w:r>
      <w:r>
        <w:t>000 hours or approximately one</w:t>
      </w:r>
      <w:r w:rsidR="002157E7">
        <w:t xml:space="preserve"> </w:t>
      </w:r>
      <w:r>
        <w:t xml:space="preserve">year of OJT; and (3) </w:t>
      </w:r>
      <w:r w:rsidR="002157E7">
        <w:t>they</w:t>
      </w:r>
      <w:r>
        <w:t xml:space="preserve">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776C399E" w:rsidR="00F222E8" w:rsidRDefault="00F222E8" w:rsidP="00F222E8">
      <w:r>
        <w:t xml:space="preserve">RSI is an organized and systematic form of instruction designed to provide an apprentice with </w:t>
      </w:r>
      <w:r w:rsidR="007033C8">
        <w:t xml:space="preserve">the </w:t>
      </w:r>
      <w:r>
        <w:t xml:space="preserve">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w:t>
      </w:r>
      <w:r w:rsidR="002157E7">
        <w:t>,</w:t>
      </w:r>
      <w:r>
        <w:t xml:space="preserve"> </w:t>
      </w:r>
      <w:r>
        <w:lastRenderedPageBreak/>
        <w:t>apprenticeship program sponsors report seat</w:t>
      </w:r>
      <w:r w:rsidR="002157E7">
        <w:t>-</w:t>
      </w:r>
      <w:r>
        <w:t>time hours and are reimbursed for their instruction</w:t>
      </w:r>
      <w:r w:rsidR="00A25499">
        <w:t>al</w:t>
      </w:r>
      <w:r>
        <w:t xml:space="preserve"> time. </w:t>
      </w:r>
      <w:r w:rsidR="00565A5E">
        <w:t>Although</w:t>
      </w:r>
      <w:r>
        <w:t xml:space="preserve"> RSI funding supports existing apprenticeship programs, it does not assist employers in the creation of new programs.</w:t>
      </w:r>
    </w:p>
    <w:p w14:paraId="1E8E1388" w14:textId="0CC12252" w:rsidR="001E7872" w:rsidRDefault="00B92263" w:rsidP="00F222E8">
      <w:r>
        <w:t xml:space="preserve">During the implementation phase of the </w:t>
      </w:r>
      <w:r w:rsidR="001801A4">
        <w:t>F</w:t>
      </w:r>
      <w:r>
        <w:t xml:space="preserve">ederal Perkins V State Plan, intra-sectoral and inter-sectoral alignment will take place in different ways. </w:t>
      </w:r>
      <w:r w:rsidR="007624F6">
        <w:t xml:space="preserve">The </w:t>
      </w:r>
      <w:r w:rsidR="002D5078">
        <w:t xml:space="preserve">CCTD will engage with </w:t>
      </w:r>
      <w:r w:rsidR="00E401EE">
        <w:t xml:space="preserve">several divisions </w:t>
      </w:r>
      <w:r w:rsidR="0058797E">
        <w:t xml:space="preserve">within </w:t>
      </w:r>
      <w:r w:rsidR="007624F6">
        <w:t xml:space="preserve">the </w:t>
      </w:r>
      <w:r w:rsidR="0058797E">
        <w:t xml:space="preserve">CDE </w:t>
      </w:r>
      <w:r w:rsidR="00E401EE">
        <w:t xml:space="preserve">that </w:t>
      </w:r>
      <w:r w:rsidR="00270F40">
        <w:t>administer</w:t>
      </w:r>
      <w:r w:rsidR="00E401EE">
        <w:t xml:space="preserve"> K</w:t>
      </w:r>
      <w:r w:rsidR="007624F6" w:rsidRPr="008E278E">
        <w:t>−</w:t>
      </w:r>
      <w:r w:rsidR="00E401EE">
        <w:t xml:space="preserve">12 programming </w:t>
      </w:r>
      <w:r w:rsidR="00AD0A75">
        <w:t xml:space="preserve">— </w:t>
      </w:r>
      <w:r w:rsidR="00270F40">
        <w:t>examples include</w:t>
      </w:r>
      <w:r w:rsidR="002D5078">
        <w:t xml:space="preserve"> </w:t>
      </w:r>
      <w:r w:rsidR="00E401EE">
        <w:t xml:space="preserve">special education, expanded learning, </w:t>
      </w:r>
      <w:r w:rsidR="002D5078">
        <w:t>teaching and learning</w:t>
      </w:r>
      <w:r w:rsidR="00AD0A75">
        <w:t>,</w:t>
      </w:r>
      <w:r w:rsidR="002D5078">
        <w:t xml:space="preserve"> </w:t>
      </w:r>
      <w:r w:rsidR="00E401EE">
        <w:t>and E</w:t>
      </w:r>
      <w:r w:rsidR="00AD0A75">
        <w:t>nglish</w:t>
      </w:r>
      <w:r w:rsidR="000610E8">
        <w:t xml:space="preserve"> language</w:t>
      </w:r>
      <w:r w:rsidR="00AD0A75">
        <w:t xml:space="preserve"> learners —</w:t>
      </w:r>
      <w:r w:rsidR="002D5078">
        <w:t xml:space="preserve"> to discuss areas of intersection. Further, points of intersection will be explored across </w:t>
      </w:r>
      <w:r w:rsidR="008549EB">
        <w:t xml:space="preserve">the </w:t>
      </w:r>
      <w:r w:rsidR="002D5078">
        <w:t>K</w:t>
      </w:r>
      <w:r w:rsidR="00EB5D47" w:rsidRPr="008E278E">
        <w:t>−</w:t>
      </w:r>
      <w:r w:rsidR="002D5078">
        <w:t>12 and CCC</w:t>
      </w:r>
      <w:r w:rsidR="008549EB">
        <w:t xml:space="preserve"> sectors</w:t>
      </w:r>
      <w:r w:rsidR="002D5078">
        <w:t xml:space="preserve">, specifically </w:t>
      </w:r>
      <w:r w:rsidR="00270F40">
        <w:t>regarding</w:t>
      </w:r>
      <w:r w:rsidR="002D5078">
        <w:t xml:space="preserve"> dual</w:t>
      </w:r>
      <w:r w:rsidR="008549EB">
        <w:t>-</w:t>
      </w:r>
      <w:r w:rsidR="002D5078">
        <w:t xml:space="preserve">enrollment programming and aligning data systems across the two sectors. </w:t>
      </w:r>
      <w:r w:rsidR="00270F40">
        <w:t xml:space="preserve">Finding </w:t>
      </w:r>
      <w:r w:rsidR="002D5078">
        <w:t>connect</w:t>
      </w:r>
      <w:r w:rsidR="00F845F1">
        <w:t>ions</w:t>
      </w:r>
      <w:r w:rsidR="00A01DA3">
        <w:t xml:space="preserve"> between the education and workforce systems will be </w:t>
      </w:r>
      <w:r w:rsidR="00270F40">
        <w:t>important for</w:t>
      </w:r>
      <w:r w:rsidR="00A01DA3">
        <w:t xml:space="preserve"> plan implementation, </w:t>
      </w:r>
      <w:r w:rsidR="00270F40">
        <w:t>such as</w:t>
      </w:r>
      <w:r w:rsidR="00A01DA3">
        <w:t xml:space="preserve"> exploring WBL opportunities. </w:t>
      </w:r>
    </w:p>
    <w:p w14:paraId="275AE908" w14:textId="254E90AE" w:rsidR="00F222E8" w:rsidRPr="002F2687" w:rsidRDefault="00E51117" w:rsidP="00F222E8">
      <w:r>
        <w:t>How</w:t>
      </w:r>
      <w:r w:rsidR="00F222E8">
        <w:t xml:space="preserve"> </w:t>
      </w:r>
      <w:r w:rsidR="007D1D68">
        <w:t>S</w:t>
      </w:r>
      <w:r w:rsidR="00F222E8">
        <w:t xml:space="preserve">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the Essential </w:t>
      </w:r>
      <w:r>
        <w:t>E</w:t>
      </w:r>
      <w:r w:rsidR="00E3355F">
        <w:t xml:space="preserve">lements of a </w:t>
      </w:r>
      <w:r w:rsidR="00256426">
        <w:t xml:space="preserve">High-Quality </w:t>
      </w:r>
      <w:r w:rsidR="00E3355F">
        <w:t xml:space="preserve">College and Career Pathway is </w:t>
      </w:r>
      <w:r w:rsidR="00187716">
        <w:t>addressed</w:t>
      </w:r>
      <w:r w:rsidR="00E3355F">
        <w:t xml:space="preserve"> </w:t>
      </w:r>
      <w:r w:rsidR="00005E80">
        <w:t>in the following response</w:t>
      </w:r>
      <w:r w:rsidR="00E3355F">
        <w:t>.</w:t>
      </w:r>
    </w:p>
    <w:bookmarkEnd w:id="46"/>
    <w:bookmarkEnd w:id="47"/>
    <w:bookmarkEnd w:id="48"/>
    <w:bookmarkEnd w:id="49"/>
    <w:bookmarkEnd w:id="50"/>
    <w:p w14:paraId="58333D55" w14:textId="2286A2AA" w:rsidR="00C33240" w:rsidRPr="002F2687" w:rsidRDefault="00514210" w:rsidP="00C74AB8">
      <w:pPr>
        <w:pStyle w:val="Heading5"/>
      </w:pPr>
      <w:r w:rsidRPr="002F2687">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122(d)(2) of Perkins V)</w:t>
      </w:r>
    </w:p>
    <w:p w14:paraId="40C4D79F" w14:textId="77777777" w:rsidR="00C33240" w:rsidRPr="002F2687" w:rsidRDefault="00C33240" w:rsidP="00674637">
      <w:pPr>
        <w:rPr>
          <w:rStyle w:val="Emphasis"/>
        </w:rPr>
      </w:pPr>
      <w:r w:rsidRPr="002F2687">
        <w:rPr>
          <w:rStyle w:val="Emphasis"/>
        </w:rPr>
        <w:t>Response:</w:t>
      </w:r>
    </w:p>
    <w:p w14:paraId="5A90BE42" w14:textId="165B8834" w:rsidR="00EB5D47" w:rsidRDefault="00EA1FDC" w:rsidP="00674637">
      <w:r w:rsidRPr="00F50DF2">
        <w:rPr>
          <w:rFonts w:cs="Arial"/>
        </w:rPr>
        <w:t>The CWPJAC</w:t>
      </w:r>
      <w:r w:rsidR="00EB5D47">
        <w:rPr>
          <w:rFonts w:cs="Arial"/>
        </w:rPr>
        <w:t>’s</w:t>
      </w:r>
      <w:r w:rsidRPr="00F50DF2">
        <w:rPr>
          <w:rFonts w:cs="Arial"/>
        </w:rPr>
        <w:t xml:space="preserve"> Guiding </w:t>
      </w:r>
      <w:r w:rsidR="00EB5D47">
        <w:rPr>
          <w:rFonts w:cs="Arial"/>
        </w:rPr>
        <w:t xml:space="preserve">Policy </w:t>
      </w:r>
      <w:r w:rsidRPr="00F50DF2">
        <w:rPr>
          <w:rFonts w:cs="Arial"/>
        </w:rPr>
        <w:t>Principles and the 12 Essential Elements of a High-Quality College and Career Pathway</w:t>
      </w:r>
      <w:r w:rsidR="00270F40">
        <w:rPr>
          <w:rFonts w:cs="Arial"/>
        </w:rPr>
        <w:t xml:space="preserve"> (</w:t>
      </w:r>
      <w:r w:rsidR="0017409D">
        <w:rPr>
          <w:rFonts w:cs="Arial"/>
        </w:rPr>
        <w:t xml:space="preserve">see </w:t>
      </w:r>
      <w:r w:rsidR="00270F40">
        <w:rPr>
          <w:rFonts w:cs="Arial"/>
        </w:rPr>
        <w:t>Appendix D)</w:t>
      </w:r>
      <w:r w:rsidRPr="00F50DF2">
        <w:rPr>
          <w:rFonts w:cs="Arial"/>
        </w:rPr>
        <w:t xml:space="preserve"> </w:t>
      </w:r>
      <w:r w:rsidR="00270F40">
        <w:rPr>
          <w:rFonts w:cs="Arial"/>
        </w:rPr>
        <w:t>provide a foundation for establishing a vision for CTE in California.</w:t>
      </w:r>
      <w:r w:rsidRPr="00F50DF2">
        <w:rPr>
          <w:rFonts w:cs="Arial"/>
        </w:rPr>
        <w:t xml:space="preserve"> </w:t>
      </w:r>
      <w:r w:rsidR="00256426">
        <w:t xml:space="preserve">Starting with the CWPJAC </w:t>
      </w:r>
      <w:r w:rsidR="00C57137" w:rsidRPr="002F2687">
        <w:t xml:space="preserve">Guiding Policy Principles </w:t>
      </w:r>
      <w:r w:rsidR="00256426">
        <w:t>and the Essential Elements of a High-Quality College and Career Pathway, stakeholders</w:t>
      </w:r>
      <w:r w:rsidR="006F5399">
        <w:t xml:space="preserve"> </w:t>
      </w:r>
      <w:r w:rsidR="00B85E5A" w:rsidRPr="00B85E5A">
        <w:t>were</w:t>
      </w:r>
      <w:r w:rsidR="006F5399">
        <w:t xml:space="preserve"> </w:t>
      </w:r>
      <w:r w:rsidR="00256426">
        <w:t>asked to develop a vision for CTE.</w:t>
      </w:r>
      <w:r w:rsidR="006F5399">
        <w:t xml:space="preserve"> </w:t>
      </w:r>
      <w:r w:rsidR="00C33240" w:rsidRPr="002F2687">
        <w:t xml:space="preserve">The vision for California’s CTE </w:t>
      </w:r>
      <w:r w:rsidR="00C33240" w:rsidRPr="002F2687">
        <w:lastRenderedPageBreak/>
        <w:t xml:space="preserve">system describes </w:t>
      </w:r>
      <w:r w:rsidR="00D1111C">
        <w:t>what</w:t>
      </w:r>
      <w:r w:rsidR="00C33240" w:rsidRPr="002F2687">
        <w:t xml:space="preserve"> the </w:t>
      </w:r>
      <w:r w:rsidR="00D1111C">
        <w:t>s</w:t>
      </w:r>
      <w:r w:rsidR="00C33240" w:rsidRPr="002F2687">
        <w:t xml:space="preserve">tate wants to </w:t>
      </w:r>
      <w:r w:rsidR="00270F40">
        <w:t>aspire to</w:t>
      </w:r>
      <w:r w:rsidR="00F845F1">
        <w:t xml:space="preserve"> be</w:t>
      </w:r>
      <w:r w:rsidR="00270F40" w:rsidRPr="002F2687">
        <w:t xml:space="preserve"> </w:t>
      </w:r>
      <w:r w:rsidR="00C33240" w:rsidRPr="002F2687">
        <w:t>in the future, se</w:t>
      </w:r>
      <w:r w:rsidR="000C4342">
        <w:t>t</w:t>
      </w:r>
      <w:r w:rsidR="00C33240" w:rsidRPr="002F2687">
        <w:t>t</w:t>
      </w:r>
      <w:r w:rsidR="000C4342">
        <w:t>ing</w:t>
      </w:r>
      <w:r w:rsidR="00C33240" w:rsidRPr="002F2687">
        <w:t xml:space="preserve"> the stage for building a new student-centered </w:t>
      </w:r>
      <w:r w:rsidR="00080704">
        <w:t xml:space="preserve">aligned </w:t>
      </w:r>
      <w:r w:rsidR="00C33240" w:rsidRPr="002F2687">
        <w:t xml:space="preserve">system, and </w:t>
      </w:r>
      <w:r w:rsidR="00D1111C">
        <w:t>spurring</w:t>
      </w:r>
      <w:r w:rsidR="00C33240" w:rsidRPr="002F2687">
        <w:t xml:space="preserve">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293D65CA" w:rsidR="00C57137" w:rsidRPr="002F2687" w:rsidRDefault="00D7088E" w:rsidP="00C57137">
      <w:r w:rsidRPr="002F2687">
        <w:t>Achieving this vision will require systemic collaboration across the full spectrum of an individual’s life</w:t>
      </w:r>
      <w:r w:rsidR="00F608F7">
        <w:t>,</w:t>
      </w:r>
      <w:r w:rsidRPr="002F2687">
        <w:t xml:space="preserve"> from K−12 and postsecondary education </w:t>
      </w:r>
      <w:r w:rsidR="00D1111C">
        <w:t xml:space="preserve">and </w:t>
      </w:r>
      <w:r w:rsidRPr="002F2687">
        <w:t>into the workforce. The success of this vision is incumbent upon the support and commitment of the people</w:t>
      </w:r>
      <w:r w:rsidR="00B24C7B">
        <w:t xml:space="preserve"> </w:t>
      </w:r>
      <w:r w:rsidRPr="002F2687">
        <w:t>—</w:t>
      </w:r>
      <w:r w:rsidR="00B24C7B">
        <w:t xml:space="preserve"> </w:t>
      </w:r>
      <w:r w:rsidRPr="002F2687">
        <w:t>leaders, practitioners</w:t>
      </w:r>
      <w:r w:rsidR="00565A5E">
        <w:t>,</w:t>
      </w:r>
      <w:r w:rsidRPr="002F2687">
        <w:t xml:space="preserve"> and partners at every level</w:t>
      </w:r>
      <w:r w:rsidR="00B24C7B">
        <w:t xml:space="preserve"> </w:t>
      </w:r>
      <w:r w:rsidR="00B57868" w:rsidRPr="002F2687">
        <w:t>—</w:t>
      </w:r>
      <w:r w:rsidR="00B24C7B">
        <w:t xml:space="preserve"> </w:t>
      </w:r>
      <w:r w:rsidRPr="002F2687">
        <w:t xml:space="preserve">who are key to advancing these actions and </w:t>
      </w:r>
      <w:r w:rsidR="00EF5140">
        <w:t>ensuring that</w:t>
      </w:r>
      <w:r w:rsidRPr="002F2687">
        <w:t xml:space="preserve"> policy </w:t>
      </w:r>
      <w:r w:rsidR="00F608F7">
        <w:t xml:space="preserve">is </w:t>
      </w:r>
      <w:r w:rsidR="00EF5140">
        <w:t>translate</w:t>
      </w:r>
      <w:r w:rsidR="00F608F7">
        <w:t>d</w:t>
      </w:r>
      <w:r w:rsidR="00EF5140">
        <w:t xml:space="preserve">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w:t>
      </w:r>
      <w:r w:rsidR="001801A4">
        <w:t xml:space="preserve">Federal </w:t>
      </w:r>
      <w:r w:rsidR="00C57137">
        <w:t>Perkins V State Plan</w:t>
      </w:r>
      <w:r w:rsidR="00E51117">
        <w:t>, which</w:t>
      </w:r>
      <w:r w:rsidR="00F608F7">
        <w:t>,</w:t>
      </w:r>
      <w:r w:rsidR="00E51117">
        <w:t xml:space="preserve"> in turn,</w:t>
      </w:r>
      <w:r w:rsidR="00C57137">
        <w:t xml:space="preserve"> becomes foundational and catalyzing for developing </w:t>
      </w:r>
      <w:r w:rsidR="00565A5E">
        <w:t>the</w:t>
      </w:r>
      <w:r w:rsidR="00C57137">
        <w:t xml:space="preserve"> broader </w:t>
      </w:r>
      <w:r w:rsidR="000C4342">
        <w:t>California S</w:t>
      </w:r>
      <w:r w:rsidR="00C57137">
        <w:t>tate Plan for CTE</w:t>
      </w:r>
      <w:r w:rsidR="000C4342">
        <w:t>.</w:t>
      </w:r>
      <w:r w:rsidR="00080704">
        <w:t xml:space="preserve"> </w:t>
      </w:r>
      <w:r w:rsidR="00080704" w:rsidRPr="00F50DF2">
        <w:rPr>
          <w:rFonts w:cs="Arial"/>
        </w:rPr>
        <w:t xml:space="preserve">California is </w:t>
      </w:r>
      <w:r w:rsidR="00080704">
        <w:rPr>
          <w:rFonts w:cs="Arial"/>
        </w:rPr>
        <w:t>revising its</w:t>
      </w:r>
      <w:r w:rsidR="00080704" w:rsidRPr="00F50DF2">
        <w:rPr>
          <w:rFonts w:cs="Arial"/>
        </w:rPr>
        <w:t xml:space="preserve"> WIOA </w:t>
      </w:r>
      <w:r w:rsidR="00080704">
        <w:rPr>
          <w:rFonts w:cs="Arial"/>
        </w:rPr>
        <w:t xml:space="preserve">Unified State </w:t>
      </w:r>
      <w:r w:rsidR="00080704" w:rsidRPr="00F50DF2">
        <w:rPr>
          <w:rFonts w:cs="Arial"/>
        </w:rPr>
        <w:t>Plan</w:t>
      </w:r>
      <w:r w:rsidR="00A25499">
        <w:rPr>
          <w:rFonts w:cs="Arial"/>
        </w:rPr>
        <w:t xml:space="preserve"> for submission to the U</w:t>
      </w:r>
      <w:r w:rsidR="00453F73">
        <w:rPr>
          <w:rFonts w:cs="Arial"/>
        </w:rPr>
        <w:t>.</w:t>
      </w:r>
      <w:r w:rsidR="00A25499">
        <w:rPr>
          <w:rFonts w:cs="Arial"/>
        </w:rPr>
        <w:t>S</w:t>
      </w:r>
      <w:r w:rsidR="00453F73">
        <w:rPr>
          <w:rFonts w:cs="Arial"/>
        </w:rPr>
        <w:t>.</w:t>
      </w:r>
      <w:r w:rsidR="00A25499">
        <w:rPr>
          <w:rFonts w:cs="Arial"/>
        </w:rPr>
        <w:t xml:space="preserve"> Department of Labor and the </w:t>
      </w:r>
      <w:r w:rsidR="00AE6D0E">
        <w:rPr>
          <w:rFonts w:cs="Arial"/>
        </w:rPr>
        <w:t>ED</w:t>
      </w:r>
      <w:r w:rsidR="00A25499">
        <w:rPr>
          <w:rFonts w:cs="Arial"/>
        </w:rPr>
        <w:t xml:space="preserve"> in March 2020</w:t>
      </w:r>
      <w:r w:rsidR="00080704" w:rsidRPr="00F50DF2">
        <w:rPr>
          <w:rFonts w:cs="Arial"/>
        </w:rPr>
        <w:t>, in which the vis</w:t>
      </w:r>
      <w:r w:rsidR="00F608F7">
        <w:rPr>
          <w:rFonts w:cs="Arial"/>
        </w:rPr>
        <w:t>i</w:t>
      </w:r>
      <w:r w:rsidR="00080704" w:rsidRPr="00F50DF2">
        <w:rPr>
          <w:rFonts w:cs="Arial"/>
        </w:rPr>
        <w:t xml:space="preserve">on, objectives, and strategies align with those put forward by </w:t>
      </w:r>
      <w:r w:rsidR="00080704">
        <w:rPr>
          <w:rFonts w:cs="Arial"/>
        </w:rPr>
        <w:t xml:space="preserve">the </w:t>
      </w:r>
      <w:r w:rsidR="00080704" w:rsidRPr="00F50DF2">
        <w:rPr>
          <w:rFonts w:cs="Arial"/>
        </w:rPr>
        <w:t>CWPJAC</w:t>
      </w:r>
      <w:r w:rsidR="00080704">
        <w:rPr>
          <w:rFonts w:cs="Arial"/>
        </w:rPr>
        <w:t>’s</w:t>
      </w:r>
      <w:r w:rsidR="00080704" w:rsidRPr="00F50DF2">
        <w:rPr>
          <w:rFonts w:cs="Arial"/>
        </w:rPr>
        <w:t xml:space="preserve"> Guiding Principles and the 12 Essential Elements of a High-Quality College and Career Pathway</w:t>
      </w:r>
      <w:r w:rsidR="00CF7152">
        <w:rPr>
          <w:rFonts w:cs="Arial"/>
        </w:rPr>
        <w:t>.</w:t>
      </w:r>
      <w:r w:rsidR="00080704">
        <w:rPr>
          <w:rStyle w:val="FootnoteReference"/>
          <w:rFonts w:cs="Arial"/>
        </w:rPr>
        <w:footnoteReference w:id="11"/>
      </w:r>
      <w:r w:rsidR="00FA3701">
        <w:rPr>
          <w:rFonts w:cs="Arial"/>
        </w:rPr>
        <w:t xml:space="preserve"> Specific opportunities to collaborate with state workforce partners is described in the next section.</w:t>
      </w:r>
    </w:p>
    <w:p w14:paraId="52CEEFB1" w14:textId="29E14685" w:rsidR="00C33240" w:rsidRPr="002F2687" w:rsidRDefault="00B57868" w:rsidP="00C74AB8">
      <w:pPr>
        <w:pStyle w:val="Heading5"/>
      </w:pPr>
      <w:r w:rsidRPr="002F2687">
        <w:lastRenderedPageBreak/>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30D4E23C"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 xml:space="preserve">its appointees, and the </w:t>
      </w:r>
      <w:r w:rsidR="007D1D68">
        <w:t>S</w:t>
      </w:r>
      <w:r w:rsidRPr="00E13F76">
        <w:t xml:space="preserve">tate’s </w:t>
      </w:r>
      <w:r w:rsidR="00080704">
        <w:t xml:space="preserve">K–12 </w:t>
      </w:r>
      <w:r w:rsidRPr="00E13F76">
        <w:t>public schools.</w:t>
      </w:r>
      <w:r w:rsidR="00F5674D" w:rsidRPr="00E13F76">
        <w:t xml:space="preserve"> </w:t>
      </w:r>
      <w:r w:rsidR="00F5674D">
        <w:t xml:space="preserve">As prescribed by </w:t>
      </w:r>
      <w:r w:rsidR="007D1D68">
        <w:t>S</w:t>
      </w:r>
      <w:r w:rsidR="00F5674D">
        <w:t xml:space="preserve">tate and federal law, the SBE approves </w:t>
      </w:r>
      <w:r w:rsidR="007033C8">
        <w:t xml:space="preserve">the </w:t>
      </w:r>
      <w:r w:rsidR="00F5674D">
        <w:t xml:space="preserve">allocation of certain </w:t>
      </w:r>
      <w:r w:rsidR="007D1D68">
        <w:t>S</w:t>
      </w:r>
      <w:r w:rsidR="00F5674D">
        <w:t>tate and federal funding sources.</w:t>
      </w:r>
      <w:r w:rsidR="00C5056F">
        <w:t xml:space="preserve"> </w:t>
      </w:r>
      <w:r w:rsidR="00BA6B1B" w:rsidRPr="00BA6B1B">
        <w:t>State statute officially designates the SBE as the State Educational Agency (SEA) for federally funded edu</w:t>
      </w:r>
      <w:r w:rsidR="003929AC">
        <w:t xml:space="preserve">cation programs, including </w:t>
      </w:r>
      <w:r w:rsidR="00EB5D47">
        <w:t xml:space="preserve">the </w:t>
      </w:r>
      <w:r w:rsidR="003929AC">
        <w:t xml:space="preserve">ESSA and </w:t>
      </w:r>
      <w:r w:rsidR="00EB5D47">
        <w:t xml:space="preserve">the </w:t>
      </w:r>
      <w:r w:rsidR="003929AC">
        <w:t>Perkins</w:t>
      </w:r>
      <w:r w:rsidR="000C4342">
        <w:t xml:space="preserve"> V</w:t>
      </w:r>
      <w:r w:rsidR="003929AC">
        <w:t>.</w:t>
      </w:r>
      <w:r w:rsidR="00BA6B1B" w:rsidRPr="00BA6B1B">
        <w:t xml:space="preserve"> The SEA has the primary responsibility for overseeing the </w:t>
      </w:r>
      <w:r w:rsidR="007D1D68">
        <w:t>S</w:t>
      </w:r>
      <w:r w:rsidR="00BA6B1B" w:rsidRPr="00BA6B1B">
        <w:t>tate’s full compliance with complex provisions of federal law</w:t>
      </w:r>
      <w:r w:rsidR="00942F2C">
        <w:t>,</w:t>
      </w:r>
      <w:r w:rsidR="00BA6B1B" w:rsidRPr="00BA6B1B">
        <w:t xml:space="preserve"> including school accountability.</w:t>
      </w:r>
    </w:p>
    <w:p w14:paraId="2C24712A" w14:textId="285F4811" w:rsidR="003929AC" w:rsidRDefault="00CE2E7A" w:rsidP="00CE2E7A">
      <w:r w:rsidRPr="00CE2E7A">
        <w:t xml:space="preserve">The LCFF was enacted in 2013–14, </w:t>
      </w:r>
      <w:r w:rsidR="00D1111C">
        <w:t>replacing</w:t>
      </w:r>
      <w:r w:rsidRPr="00CE2E7A">
        <w:t xml:space="preserve"> the previous K–12 finance system</w:t>
      </w:r>
      <w:r w:rsidR="00565A5E">
        <w:t>,</w:t>
      </w:r>
      <w:r w:rsidRPr="00CE2E7A">
        <w:t xml:space="preserve"> which had been in existence for roughly 40 years. </w:t>
      </w:r>
      <w:r w:rsidR="00942F2C">
        <w:t>As previously described, f</w:t>
      </w:r>
      <w:r w:rsidRPr="00CE2E7A">
        <w:t>or school districts and charter schools, the LCFF establishes base, supplemental, and concentration grants in place of the myriad of previously existing K–12 funding streams, including revenue limits, general</w:t>
      </w:r>
      <w:r w:rsidR="00942F2C">
        <w:t>-</w:t>
      </w:r>
      <w:r w:rsidRPr="00CE2E7A">
        <w:t xml:space="preserve">purpose block grants, and most of the 50-plus </w:t>
      </w:r>
      <w:r w:rsidR="007D1D68">
        <w:t>S</w:t>
      </w:r>
      <w:r w:rsidRPr="00CE2E7A">
        <w:t xml:space="preserve">tate categorical programs that </w:t>
      </w:r>
      <w:r w:rsidR="00080704">
        <w:t xml:space="preserve">had </w:t>
      </w:r>
      <w:r w:rsidRPr="00CE2E7A">
        <w:t xml:space="preserve">existed. </w:t>
      </w:r>
      <w:r w:rsidR="00080704">
        <w:t xml:space="preserve">Recognizing the additional costs to operating a CTE program, the Brown </w:t>
      </w:r>
      <w:r w:rsidR="00A25499">
        <w:t>A</w:t>
      </w:r>
      <w:r w:rsidR="00080704">
        <w:t xml:space="preserve">dministration included a 2.6 percent adjustment to the base grants </w:t>
      </w:r>
      <w:r w:rsidR="003A7FF0">
        <w:t xml:space="preserve">for </w:t>
      </w:r>
      <w:r w:rsidR="00D1111C">
        <w:t>grades nine through twelve, giving public schools the option to use this adjustment to help offset the high cost of CTE</w:t>
      </w:r>
      <w:r w:rsidR="00080704">
        <w:t xml:space="preserve">. </w:t>
      </w:r>
      <w:r w:rsidRPr="00CE2E7A">
        <w:t>For county offices of education, the LCFF establishes separate funding streams for oversight activities and instructional programs.</w:t>
      </w:r>
      <w:r w:rsidR="006F5399">
        <w:t xml:space="preserve"> </w:t>
      </w:r>
      <w:r>
        <w:t>The LCFF requires all school districts to involve parents</w:t>
      </w:r>
      <w:r w:rsidR="00080704">
        <w:t>, students, and community members</w:t>
      </w:r>
      <w:r>
        <w:t xml:space="preserve"> in </w:t>
      </w:r>
      <w:r>
        <w:lastRenderedPageBreak/>
        <w:t>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Pr="00CE2E7A">
        <w:t xml:space="preserve"> </w:t>
      </w:r>
      <w:hyperlink r:id="rId20" w:tooltip="The CDE Local Control Funding Formula" w:history="1">
        <w:r w:rsidR="00F944BA" w:rsidRPr="00D870A3">
          <w:rPr>
            <w:rStyle w:val="Hyperlink"/>
          </w:rPr>
          <w:t>https://www.cde.ca.gov/fg/aa/lc/lcffoverview.asp</w:t>
        </w:r>
      </w:hyperlink>
      <w:r w:rsidR="00F944BA">
        <w:t>.</w:t>
      </w:r>
    </w:p>
    <w:p w14:paraId="44277ACC" w14:textId="77E56A8B" w:rsidR="0058437C" w:rsidRDefault="0058437C" w:rsidP="0058437C">
      <w:bookmarkStart w:id="51" w:name="_Hlk31293794"/>
      <w:r>
        <w:t xml:space="preserve">Under California </w:t>
      </w:r>
      <w:r w:rsidR="007D1D68">
        <w:t>S</w:t>
      </w:r>
      <w:r>
        <w:t>tate law, every LEA must adopt and annually update a</w:t>
      </w:r>
      <w:r w:rsidR="00565A5E">
        <w:t>n</w:t>
      </w:r>
      <w:r>
        <w:t xml:space="preserve"> LCAP</w:t>
      </w:r>
      <w:r w:rsidR="00080704">
        <w:t xml:space="preserve"> and include all the information specified in the template as adopted by the SBE</w:t>
      </w:r>
      <w:r>
        <w:t xml:space="preserve">. In the LCAP, </w:t>
      </w:r>
      <w:r w:rsidR="00EF5140">
        <w:t>each</w:t>
      </w:r>
      <w:r>
        <w:t xml:space="preserve"> LEA must establish goals for all students and </w:t>
      </w:r>
      <w:r w:rsidR="00942F2C">
        <w:t xml:space="preserve">for </w:t>
      </w:r>
      <w:r>
        <w:t xml:space="preserve">the statutory student groups across priority areas defined in statute. </w:t>
      </w:r>
      <w:bookmarkEnd w:id="51"/>
      <w:r>
        <w:t>The</w:t>
      </w:r>
      <w:r w:rsidR="00080704">
        <w:t xml:space="preserve"> </w:t>
      </w:r>
      <w:r w:rsidR="00BB33E7">
        <w:t>s</w:t>
      </w:r>
      <w:r w:rsidR="00080704">
        <w:t>tate</w:t>
      </w:r>
      <w:r>
        <w:t xml:space="preserve"> priority areas are: (1) basic services</w:t>
      </w:r>
      <w:r w:rsidR="00F944BA">
        <w:t>,</w:t>
      </w:r>
      <w:r>
        <w:t xml:space="preserve"> (2) implementation of </w:t>
      </w:r>
      <w:r w:rsidR="007D1D68">
        <w:t>S</w:t>
      </w:r>
      <w:r>
        <w:t>tate standards</w:t>
      </w:r>
      <w:r w:rsidR="00F944BA">
        <w:t>,</w:t>
      </w:r>
      <w:r>
        <w:t xml:space="preserve"> (3) course access</w:t>
      </w:r>
      <w:r w:rsidR="00F944BA">
        <w:t>,</w:t>
      </w:r>
      <w:r>
        <w:t xml:space="preserve"> (4) student achievement</w:t>
      </w:r>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w:t>
      </w:r>
    </w:p>
    <w:p w14:paraId="26316D9E" w14:textId="39223A5C" w:rsidR="002F4AFA" w:rsidRDefault="00080704" w:rsidP="00F5674D">
      <w:r>
        <w:t xml:space="preserve">Among the </w:t>
      </w:r>
      <w:r w:rsidR="00A25499">
        <w:t>S</w:t>
      </w:r>
      <w:r>
        <w:t>tate priority areas, there are two that school districts, and each school within the district, must address related to CTE</w:t>
      </w:r>
      <w:r w:rsidR="00942F2C">
        <w:t>. The first priority</w:t>
      </w:r>
      <w:r>
        <w:t xml:space="preserve"> is student achievement</w:t>
      </w:r>
      <w:r w:rsidR="00942F2C">
        <w:t>,</w:t>
      </w:r>
      <w:r>
        <w:t xml:space="preserve"> as defined, among other elements, as the percentage of students who have successfully completed CTE sequences or POS that align to the 2013 SBE-adopted California CTE Model Curriculum Standards (CTEMCS) </w:t>
      </w:r>
      <w:r w:rsidR="002F4AFA">
        <w:t xml:space="preserve">and </w:t>
      </w:r>
      <w:r w:rsidR="00F845F1">
        <w:t>F</w:t>
      </w:r>
      <w:r w:rsidR="002F4AFA">
        <w:t>ramework. The second priority is course access, which requires students to have access to, and be enrolled in</w:t>
      </w:r>
      <w:r w:rsidR="006010FF">
        <w:t>,</w:t>
      </w:r>
      <w:r w:rsidR="002F4AFA">
        <w:t xml:space="preserve"> a broad course of study. State law requires that an adopted course of study for grades seven through twelve, inclusive, offer CTE courses that are designed and conducted for the purpose of preparing youth</w:t>
      </w:r>
      <w:r w:rsidR="00F845F1">
        <w:t>s</w:t>
      </w:r>
      <w:r w:rsidR="002F4AFA">
        <w:t xml:space="preserve"> for gainful employment in the occupations and in the numbers that are appropriate to the personnel needs of the State and the community served and </w:t>
      </w:r>
      <w:r w:rsidR="00890388">
        <w:t xml:space="preserve">that are </w:t>
      </w:r>
      <w:r w:rsidR="002F4AFA">
        <w:t>relevant to student needs</w:t>
      </w:r>
      <w:r w:rsidR="00890388">
        <w:t xml:space="preserve"> and career desires</w:t>
      </w:r>
      <w:r w:rsidR="002F4AFA">
        <w:t>.</w:t>
      </w:r>
    </w:p>
    <w:p w14:paraId="1BBF3876" w14:textId="5C76EF36" w:rsidR="002F4AFA" w:rsidRDefault="00661798" w:rsidP="00F5674D">
      <w:r>
        <w:t>Following</w:t>
      </w:r>
      <w:r w:rsidR="002F4AFA">
        <w:t xml:space="preserve"> the enactment of the 2018 Budget Act, the CTEIG and </w:t>
      </w:r>
      <w:r w:rsidR="009D26F3">
        <w:t xml:space="preserve">the </w:t>
      </w:r>
      <w:r w:rsidR="002F4AFA">
        <w:t>K–12 SWP, combined</w:t>
      </w:r>
      <w:r w:rsidR="009D26F3">
        <w:t>,</w:t>
      </w:r>
      <w:r w:rsidR="002F4AFA">
        <w:t xml:space="preserve"> represent a $300 million ongoing State investment in CTE, in addition to general appropriations </w:t>
      </w:r>
      <w:r w:rsidR="00F845F1">
        <w:t>to</w:t>
      </w:r>
      <w:r w:rsidR="002F4AFA">
        <w:t xml:space="preserve"> LEAs under </w:t>
      </w:r>
      <w:r w:rsidR="009D26F3">
        <w:t xml:space="preserve">the </w:t>
      </w:r>
      <w:r w:rsidR="002F4AFA">
        <w:t>LCFF. The CW</w:t>
      </w:r>
      <w:r w:rsidR="00453F73">
        <w:t>P</w:t>
      </w:r>
      <w:r w:rsidR="002F4AFA">
        <w:t xml:space="preserve">JAC is charged with reviewing and annually making recommendations regarding the outcome metrics used to determine student success for these programs. These metrics not only require common data collection for K–12 and </w:t>
      </w:r>
      <w:r w:rsidR="00CF1211">
        <w:t xml:space="preserve">the </w:t>
      </w:r>
      <w:r w:rsidR="002F4AFA">
        <w:t>CCC but are</w:t>
      </w:r>
      <w:r w:rsidR="00A25499">
        <w:t xml:space="preserve"> also</w:t>
      </w:r>
      <w:r w:rsidR="002F4AFA">
        <w:t xml:space="preserve"> link</w:t>
      </w:r>
      <w:r w:rsidR="00A25499">
        <w:t>ed to Perkins V outcomes</w:t>
      </w:r>
      <w:r w:rsidR="002F4AFA">
        <w:t>.</w:t>
      </w:r>
    </w:p>
    <w:p w14:paraId="10DEB437" w14:textId="494CC3DE" w:rsidR="00F5674D" w:rsidRDefault="00C5056F" w:rsidP="00F5674D">
      <w:r w:rsidRPr="00C5056F">
        <w:lastRenderedPageBreak/>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process to ensure </w:t>
      </w:r>
      <w:r w:rsidR="00CF1211">
        <w:t xml:space="preserve">that </w:t>
      </w:r>
      <w:r w:rsidR="00A90EF3" w:rsidRPr="00A90EF3">
        <w:t xml:space="preserve">representatives from all levels of the system have an opportunity to </w:t>
      </w:r>
      <w:r w:rsidR="00CC2946">
        <w:t>give advice</w:t>
      </w:r>
      <w:r w:rsidR="00A90EF3" w:rsidRPr="00A90EF3">
        <w:t xml:space="preserve"> on </w:t>
      </w:r>
      <w:r w:rsidR="007D1D68">
        <w:t>S</w:t>
      </w:r>
      <w:r w:rsidR="00A90EF3" w:rsidRPr="00A90EF3">
        <w:t>tate policy decisions.</w:t>
      </w:r>
    </w:p>
    <w:p w14:paraId="008227E5" w14:textId="2D62B0EA" w:rsidR="003C4AA2" w:rsidRDefault="003C4AA2" w:rsidP="003C4AA2">
      <w:r>
        <w:t>The Student</w:t>
      </w:r>
      <w:r w:rsidR="00BF51BA">
        <w:t>-C</w:t>
      </w:r>
      <w:r>
        <w:t xml:space="preserve">entered Funding Formula (SCFF) is about ensuring </w:t>
      </w:r>
      <w:r w:rsidR="00CF1211">
        <w:t xml:space="preserve">that </w:t>
      </w:r>
      <w:r>
        <w:t xml:space="preserve">community colleges are funded, at least in part, </w:t>
      </w:r>
      <w:r w:rsidR="00EF5140">
        <w:t>based on</w:t>
      </w:r>
      <w:r>
        <w:t xml:space="preserve"> how well their students are faring. It upend</w:t>
      </w:r>
      <w:r w:rsidR="00565A5E">
        <w:t>s</w:t>
      </w:r>
      <w:r>
        <w:t xml:space="preserve"> how C</w:t>
      </w:r>
      <w:r w:rsidR="00D43E38">
        <w:t xml:space="preserve">CC </w:t>
      </w:r>
      <w:r>
        <w:t xml:space="preserve">receive </w:t>
      </w:r>
      <w:r w:rsidR="007D1D68">
        <w:t>S</w:t>
      </w:r>
      <w:r>
        <w:t>tate money</w:t>
      </w:r>
      <w:r w:rsidR="00CF1211">
        <w:t>,</w:t>
      </w:r>
      <w:r>
        <w:t xml:space="preserve"> by basing general apportionments </w:t>
      </w:r>
      <w:r w:rsidR="00CF1211">
        <w:t xml:space="preserve">of </w:t>
      </w:r>
      <w:r>
        <w:t>discretionary funds available to community college districts</w:t>
      </w:r>
      <w:r w:rsidR="00E965C9">
        <w:t xml:space="preserve"> </w:t>
      </w:r>
      <w:r>
        <w:t>on three calculations:</w:t>
      </w:r>
    </w:p>
    <w:p w14:paraId="40D1AD28" w14:textId="43D33A03" w:rsidR="009E369D" w:rsidRDefault="003C4AA2" w:rsidP="0048078B">
      <w:pPr>
        <w:pStyle w:val="ListParagraph"/>
        <w:ind w:left="1170" w:hanging="450"/>
      </w:pPr>
      <w:r>
        <w:t>A base allocation, which largely reflects enrollment</w:t>
      </w:r>
      <w:r w:rsidR="00CF1211">
        <w:t>;</w:t>
      </w:r>
    </w:p>
    <w:p w14:paraId="1DB35923" w14:textId="2E68A00B" w:rsidR="009E369D" w:rsidRDefault="003C4AA2" w:rsidP="0048078B">
      <w:pPr>
        <w:pStyle w:val="ListParagraph"/>
        <w:ind w:left="1170" w:hanging="450"/>
      </w:pPr>
      <w:r>
        <w:t xml:space="preserve">A supplemental allocation based on the number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r w:rsidR="005A3A5B">
        <w:t>,</w:t>
      </w:r>
      <w:r w:rsidR="00D92EF8">
        <w:rPr>
          <w:rStyle w:val="FootnoteReference"/>
        </w:rPr>
        <w:footnoteReference w:id="12"/>
      </w:r>
      <w:r w:rsidR="00CF1211">
        <w:t xml:space="preserve"> and</w:t>
      </w:r>
    </w:p>
    <w:p w14:paraId="3E0921BB" w14:textId="7B7A69FD" w:rsidR="003C4AA2" w:rsidRDefault="003C4AA2" w:rsidP="0048078B">
      <w:pPr>
        <w:pStyle w:val="ListParagraph"/>
        <w:ind w:left="1170" w:hanging="45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r w:rsidR="00CF1211">
        <w:t>.</w:t>
      </w:r>
    </w:p>
    <w:p w14:paraId="300797C1" w14:textId="2241097F" w:rsidR="003C4AA2" w:rsidRDefault="003C4AA2" w:rsidP="003C4AA2">
      <w:r>
        <w:t>The SCFF’s metrics</w:t>
      </w:r>
      <w:r w:rsidR="007F6E08">
        <w:t xml:space="preserve"> (see </w:t>
      </w:r>
      <w:r w:rsidR="00CF1211">
        <w:t xml:space="preserve">the </w:t>
      </w:r>
      <w:r w:rsidR="00EF5140">
        <w:t xml:space="preserve">responses </w:t>
      </w:r>
      <w:r w:rsidR="00CF1211">
        <w:t xml:space="preserve">in </w:t>
      </w:r>
      <w:r w:rsidR="00EF5140">
        <w:t xml:space="preserve">the </w:t>
      </w:r>
      <w:r w:rsidR="007F6E08">
        <w:t xml:space="preserve">Accountability for Results </w:t>
      </w:r>
      <w:r w:rsidR="00EF5140">
        <w:t>s</w:t>
      </w:r>
      <w:r w:rsidR="007F6E08">
        <w:t>ection</w:t>
      </w:r>
      <w:r w:rsidR="00CF1211">
        <w:t xml:space="preserve"> of this document</w:t>
      </w:r>
      <w:r w:rsidR="007F6E08">
        <w:t xml:space="preserve">) </w:t>
      </w:r>
      <w:r>
        <w:t xml:space="preserve">are in line with the goals and commitment set forth in the </w:t>
      </w:r>
      <w:r w:rsidR="0038463E">
        <w:t>CCC</w:t>
      </w:r>
      <w:r w:rsidR="00E965C9">
        <w:t xml:space="preserve"> system’</w:t>
      </w:r>
      <w:r w:rsidR="0038463E">
        <w:t>s</w:t>
      </w:r>
      <w:r>
        <w:t xml:space="preserve"> </w:t>
      </w:r>
      <w:r>
        <w:lastRenderedPageBreak/>
        <w:t xml:space="preserve">Vision for Success and can have a profound impact </w:t>
      </w:r>
      <w:r w:rsidR="00E965C9">
        <w:t xml:space="preserve">on </w:t>
      </w:r>
      <w:r>
        <w:t xml:space="preserve">closing achievement gaps and boosting key student success outcomes. </w:t>
      </w:r>
    </w:p>
    <w:p w14:paraId="3A65008B" w14:textId="4771C691" w:rsidR="00B42B47" w:rsidRDefault="00BA6B1B" w:rsidP="00B42B47">
      <w:r w:rsidRPr="00BA6B1B">
        <w:t>The CWDB is responsible for the oversight and continuous improvement of the workforce system in California</w:t>
      </w:r>
      <w:r w:rsidR="00B66E9C">
        <w:t>. This responsibility</w:t>
      </w:r>
      <w:r w:rsidRPr="00BA6B1B">
        <w:t xml:space="preserve">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w:t>
      </w:r>
      <w:r w:rsidR="007D1D68">
        <w:t>S</w:t>
      </w:r>
      <w:r w:rsidRPr="00BA6B1B">
        <w:t xml:space="preserve">tate implementation of </w:t>
      </w:r>
      <w:r w:rsidR="00E965C9">
        <w:t xml:space="preserve">the </w:t>
      </w:r>
      <w:r w:rsidRPr="00BA6B1B">
        <w:t xml:space="preserve">WIOA, which outlines the vision and structure through which </w:t>
      </w:r>
      <w:r w:rsidR="007D1D68">
        <w:t>S</w:t>
      </w:r>
      <w:r w:rsidRPr="00BA6B1B">
        <w:t>tate workforce training and education programs are funded and administered regionally and locally.</w:t>
      </w:r>
      <w:r w:rsidR="006F5399">
        <w:t xml:space="preserve"> </w:t>
      </w:r>
      <w:r w:rsidR="00E965C9">
        <w:t xml:space="preserve">The </w:t>
      </w:r>
      <w:r w:rsidRPr="00BA6B1B">
        <w:t xml:space="preserve">WIOA mandates the creation of a statewide strategic workforce plan. This plan is built around three policy objectives, which are intended to guide </w:t>
      </w:r>
      <w:r w:rsidR="007D1D68">
        <w:t>S</w:t>
      </w:r>
      <w:r w:rsidRPr="00BA6B1B">
        <w:t xml:space="preserve">tate policy and practice across partner programs, as well as </w:t>
      </w:r>
      <w:r w:rsidR="00881A7A">
        <w:t xml:space="preserve">to </w:t>
      </w:r>
      <w:r w:rsidRPr="00BA6B1B">
        <w:t>inform local policy and service delivery. These objectives are: (a) fostering demand-driven skills attainment; (b) enabling upward mobility for all Californians; and (c) aligning, coordinating</w:t>
      </w:r>
      <w:r w:rsidR="00C76A34">
        <w:t>,</w:t>
      </w:r>
      <w:r w:rsidRPr="00BA6B1B">
        <w:t xml:space="preserve"> and integrating programs and services.</w:t>
      </w:r>
    </w:p>
    <w:p w14:paraId="25E497EB" w14:textId="77777777" w:rsidR="006362DD" w:rsidRDefault="006362DD" w:rsidP="006362DD">
      <w:r>
        <w:t>The staff at the SBE, the CDE, and the CCCCO has been participating in and providing input to the CWDB in the development of their CWDB State Strategic Plan. The discussions have resulted two goals to further coordinate and increase alignment between the three agencies around common goals:</w:t>
      </w:r>
    </w:p>
    <w:p w14:paraId="4DA4D0B6" w14:textId="709D9891" w:rsidR="006362DD" w:rsidRDefault="006362DD" w:rsidP="006362DD">
      <w:pPr>
        <w:pStyle w:val="ListParagraph"/>
        <w:numPr>
          <w:ilvl w:val="3"/>
          <w:numId w:val="2"/>
        </w:numPr>
        <w:ind w:left="1170" w:hanging="450"/>
      </w:pPr>
      <w:r>
        <w:t>Utilize the Comprehensive Local Needs Assessment (CLNA) criteria under Perkins V to encourage greater alignment of a local eligible agency or institution with their local and regional workforce system, which is defined to include all required state and federal programs. For example, this might take the form of including the appropriate LWDB as a member of the local and regional Perkins stakeholder groups.</w:t>
      </w:r>
    </w:p>
    <w:p w14:paraId="102E205E" w14:textId="30700F70" w:rsidR="006362DD" w:rsidRDefault="006362DD" w:rsidP="006362DD">
      <w:pPr>
        <w:pStyle w:val="ListParagraph"/>
        <w:numPr>
          <w:ilvl w:val="3"/>
          <w:numId w:val="2"/>
        </w:numPr>
        <w:ind w:left="1170" w:hanging="450"/>
      </w:pPr>
      <w:r>
        <w:t xml:space="preserve">Form a cross-agency joint workgroup of staff of relevant agencies that will convene as needed to coordinate workforce development, and address evolving state and federal program requirements that jointly impact workforce and education. The workgroup may present outcomes of its </w:t>
      </w:r>
      <w:r>
        <w:lastRenderedPageBreak/>
        <w:t>discussion on these topics to the CWPJAC and/or CWDB, or to subcommittees of these respective bodies.</w:t>
      </w:r>
    </w:p>
    <w:p w14:paraId="24438651" w14:textId="310B0E3E" w:rsidR="003929AC" w:rsidRDefault="003929AC" w:rsidP="006362DD">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2932C9D0" w:rsidR="003929AC" w:rsidRDefault="003929AC" w:rsidP="003929AC">
      <w:r>
        <w:t>Community partners play important roles in California’s K–12, adult school</w:t>
      </w:r>
      <w:r w:rsidR="00D43E38">
        <w:t>s</w:t>
      </w:r>
      <w:r>
        <w:t>, and C</w:t>
      </w:r>
      <w:r w:rsidR="00D43E38">
        <w:t>CC</w:t>
      </w:r>
      <w:r>
        <w:t xml:space="preserve"> systems. In addition to serving on LWDBs and </w:t>
      </w:r>
      <w:r w:rsidR="00F845F1">
        <w:t>y</w:t>
      </w:r>
      <w:r>
        <w:t xml:space="preserve">outh </w:t>
      </w:r>
      <w:r w:rsidR="00F845F1">
        <w:t>c</w:t>
      </w:r>
      <w:r>
        <w:t>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also provide direct services to students and faculty by offering career exploration opportunities, </w:t>
      </w:r>
      <w:r w:rsidR="001970D5">
        <w:t>WBL</w:t>
      </w:r>
      <w:r>
        <w:t xml:space="preserve"> opportunities, and teacher externships.</w:t>
      </w:r>
    </w:p>
    <w:p w14:paraId="1B3E98B8" w14:textId="043604BD" w:rsidR="00C17979" w:rsidRDefault="00E965C9" w:rsidP="00674637">
      <w:r>
        <w:t>C</w:t>
      </w:r>
      <w:r w:rsidR="00A90EF3">
        <w:t>onnect</w:t>
      </w:r>
      <w:r>
        <w:t>ing</w:t>
      </w:r>
      <w:r w:rsidR="00A90EF3">
        <w:t xml:space="preserve"> the SBE </w:t>
      </w:r>
      <w:r w:rsidR="00BF51BA">
        <w:t xml:space="preserve">and </w:t>
      </w:r>
      <w:r w:rsidR="00A90EF3">
        <w:t>the BOG is the CWPJA</w:t>
      </w:r>
      <w:r w:rsidR="00F845F1">
        <w:t>C</w:t>
      </w:r>
      <w:r w:rsidR="00A90EF3">
        <w:t xml:space="preserve">.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planning and coordination of programs conducted under Perkins V.</w:t>
      </w:r>
      <w:r w:rsidR="00CC1D9F">
        <w:t xml:space="preserve"> Together, these staff plan and discuss items of mutual concern and resolve issues related to the administration and operations of all </w:t>
      </w:r>
      <w:r w:rsidR="007D1D68">
        <w:t>S</w:t>
      </w:r>
      <w:r w:rsidR="00CC1D9F">
        <w:t>tate</w:t>
      </w:r>
      <w:r w:rsidR="002F4AFA">
        <w:t>-</w:t>
      </w:r>
      <w:r w:rsidR="004B337A">
        <w:t>funded</w:t>
      </w:r>
      <w:r w:rsidR="00CC1D9F">
        <w:t xml:space="preserve"> and federally</w:t>
      </w:r>
      <w:r w:rsidR="004B337A">
        <w:t xml:space="preserve"> </w:t>
      </w:r>
      <w:r w:rsidR="00CC1D9F">
        <w:t>funded CTE programs and services, including Perkins V.</w:t>
      </w:r>
      <w:r w:rsidR="006F5399">
        <w:t xml:space="preserve"> </w:t>
      </w:r>
      <w:r w:rsidR="00CC1D9F">
        <w:t xml:space="preserve">More broadly, the </w:t>
      </w:r>
      <w:r w:rsidR="002F2E63">
        <w:t>staff serve as professional support to the CWPJAC.</w:t>
      </w:r>
      <w:r w:rsidR="00C17979">
        <w:t xml:space="preserve"> </w:t>
      </w:r>
    </w:p>
    <w:p w14:paraId="7BF5CFE0" w14:textId="4F9CBB60" w:rsidR="00AB2032" w:rsidRDefault="00C17979" w:rsidP="004A3447">
      <w:r>
        <w:t>In addition, several members of</w:t>
      </w:r>
      <w:r w:rsidR="004B0E53">
        <w:t xml:space="preserve"> the JMT</w:t>
      </w:r>
      <w:r>
        <w:t xml:space="preserve"> serve on various CWDB committees that have been established to discuss the sharing of data (the </w:t>
      </w:r>
      <w:r w:rsidR="004A3447">
        <w:t>Cross</w:t>
      </w:r>
      <w:r w:rsidR="004A3447">
        <w:rPr>
          <w:rFonts w:ascii="Cambria Math" w:hAnsi="Cambria Math" w:cs="Cambria Math"/>
        </w:rPr>
        <w:t>‑</w:t>
      </w:r>
      <w:r w:rsidR="004A3447">
        <w:t>System Analytics and Assessment</w:t>
      </w:r>
      <w:r w:rsidR="0062564A">
        <w:t xml:space="preserve"> </w:t>
      </w:r>
      <w:r w:rsidR="004A3447">
        <w:t>for Learning and Skills Attainment</w:t>
      </w:r>
      <w:r w:rsidR="001773A4">
        <w:t xml:space="preserve"> [CAAL-Skills]</w:t>
      </w:r>
      <w:r w:rsidR="0062564A">
        <w:t xml:space="preserve"> p</w:t>
      </w:r>
      <w:r>
        <w:t>roject)</w:t>
      </w:r>
      <w:r w:rsidR="00F63999">
        <w:t>,</w:t>
      </w:r>
      <w:r>
        <w:t xml:space="preserve">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157BAC48" w:rsidR="00F73130" w:rsidRPr="002F2687" w:rsidRDefault="00214DFA" w:rsidP="003F1324">
      <w:r>
        <w:t xml:space="preserve">Stakeholders </w:t>
      </w:r>
      <w:r w:rsidR="003C331E">
        <w:t xml:space="preserve">have </w:t>
      </w:r>
      <w:r>
        <w:t xml:space="preserve">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2F4AFA">
        <w:t>high</w:t>
      </w:r>
      <w:r w:rsidR="00CF537A">
        <w:t>-</w:t>
      </w:r>
      <w:r w:rsidR="002F4AFA">
        <w:t xml:space="preserve">quality </w:t>
      </w:r>
      <w:r>
        <w:t xml:space="preserve">through the blending and braiding of </w:t>
      </w:r>
      <w:r w:rsidR="00D857D4">
        <w:t>S</w:t>
      </w:r>
      <w:r>
        <w:t xml:space="preserve">tate and federal </w:t>
      </w:r>
      <w:r>
        <w:lastRenderedPageBreak/>
        <w:t>funds.</w:t>
      </w:r>
      <w:r w:rsidR="006F5399">
        <w:t xml:space="preserve"> </w:t>
      </w:r>
      <w:r w:rsidR="005F01B2">
        <w:t>Secondary teachers</w:t>
      </w:r>
      <w:r w:rsidR="005F01B2" w:rsidRPr="00F73130">
        <w:t xml:space="preserve"> </w:t>
      </w:r>
      <w:r w:rsidR="00F73130" w:rsidRPr="00F73130">
        <w:t xml:space="preserve">felt very strongly that </w:t>
      </w:r>
      <w:r w:rsidR="0007736D">
        <w:t xml:space="preserve">because </w:t>
      </w:r>
      <w:r w:rsidR="00F63999">
        <w:t xml:space="preserve">the </w:t>
      </w:r>
      <w:r w:rsidR="00F73130" w:rsidRPr="00F73130">
        <w:t xml:space="preserve">LCFF includes a 2.6 percent of base rate adjustment for high schools, </w:t>
      </w:r>
      <w:r w:rsidR="00F845F1">
        <w:t>this adjustment</w:t>
      </w:r>
      <w:r w:rsidR="00F73130" w:rsidRPr="00F73130">
        <w:t xml:space="preserve">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504703">
        <w:t>,</w:t>
      </w:r>
      <w:r w:rsidR="0007736D">
        <w:t xml:space="preserve"> compared to other programs</w:t>
      </w:r>
      <w:r w:rsidR="00D76AFD">
        <w:t xml:space="preserve"> at the high school level</w:t>
      </w:r>
      <w:r w:rsidR="00F73130" w:rsidRPr="00F73130">
        <w:t>. Teachers expressed their concern that many LEAs were not using these funds for the intended purpose and should be required to address this in their LCAP</w:t>
      </w:r>
      <w:r w:rsidR="00F13094">
        <w:t>s</w:t>
      </w:r>
      <w:r w:rsidR="00F73130" w:rsidRPr="00F73130">
        <w:t>.</w:t>
      </w:r>
    </w:p>
    <w:p w14:paraId="50EA57BA" w14:textId="448CF489" w:rsidR="00B86A81" w:rsidRDefault="005F01B2" w:rsidP="003F1324">
      <w:r>
        <w:t>S</w:t>
      </w:r>
      <w:r w:rsidRPr="002F2687">
        <w:t xml:space="preserve">takeholders </w:t>
      </w:r>
      <w:r w:rsidR="00F13094">
        <w:t>also stressed</w:t>
      </w:r>
      <w:r w:rsidR="00214DFA">
        <w:t xml:space="preserve"> </w:t>
      </w:r>
      <w:r w:rsidR="008961D9" w:rsidRPr="002F2687">
        <w:t>the importance not only of technical improvements in system alignment, such as the creation of dual</w:t>
      </w:r>
      <w:r w:rsidR="00F13094">
        <w:t>-</w:t>
      </w:r>
      <w:r w:rsidR="008961D9" w:rsidRPr="002F2687">
        <w:t xml:space="preserve">enrollment opportunities to support student progress and equity, but also alignment between </w:t>
      </w:r>
      <w:r w:rsidR="009C0AA9" w:rsidRPr="002F2687">
        <w:t>K–1</w:t>
      </w:r>
      <w:r w:rsidR="008961D9" w:rsidRPr="002F2687">
        <w:t xml:space="preserve">2 and community colleges, and </w:t>
      </w:r>
      <w:r w:rsidR="00F13094">
        <w:t xml:space="preserve">alignment </w:t>
      </w:r>
      <w:r w:rsidR="008961D9" w:rsidRPr="002F2687">
        <w:t>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However, s</w:t>
      </w:r>
      <w:r w:rsidR="00B86A81" w:rsidRPr="00B86A81">
        <w:t xml:space="preserve">takeholders </w:t>
      </w:r>
      <w:r w:rsidR="00B86A81">
        <w:t>note</w:t>
      </w:r>
      <w:r w:rsidR="00F13094">
        <w:t>d</w:t>
      </w:r>
      <w:r w:rsidR="00B86A81">
        <w:t xml:space="preserve"> </w:t>
      </w:r>
      <w:r w:rsidR="00B86A81" w:rsidRPr="00B86A81">
        <w:t>the need for improvement in consistency and alignment</w:t>
      </w:r>
      <w:r w:rsidR="00F13094">
        <w:t>,</w:t>
      </w:r>
      <w:r w:rsidR="00B86A81" w:rsidRPr="00B86A81">
        <w:t xml:space="preserve"> in both interpretation and program implementation</w:t>
      </w:r>
      <w:r w:rsidR="00F13094">
        <w:t>,</w:t>
      </w:r>
      <w:r w:rsidR="00B86A81" w:rsidRPr="00B86A81">
        <w:t xml:space="preserve"> </w:t>
      </w:r>
      <w:r w:rsidR="00B86A81">
        <w:t>of the Essential Elements of a High</w:t>
      </w:r>
      <w:r w:rsidR="005509AE">
        <w:t>-</w:t>
      </w:r>
      <w:r w:rsidR="00B86A81">
        <w:t xml:space="preserve">Quality </w:t>
      </w:r>
      <w:r w:rsidR="00F13094">
        <w:t xml:space="preserve">College and Career </w:t>
      </w:r>
      <w:r w:rsidR="00B86A81">
        <w:t xml:space="preserve">Pathway </w:t>
      </w:r>
      <w:r w:rsidR="00B86A81" w:rsidRPr="00B86A81">
        <w:t xml:space="preserve">across </w:t>
      </w:r>
      <w:r w:rsidR="00D857D4">
        <w:t>S</w:t>
      </w:r>
      <w:r w:rsidR="00B86A81">
        <w:t>tate and federal programs, and business and industry.</w:t>
      </w:r>
      <w:r w:rsidR="006F5399">
        <w:t xml:space="preserve"> </w:t>
      </w:r>
      <w:r w:rsidR="00B86A81">
        <w:t>More generally, the message provided by stakeholders</w:t>
      </w:r>
      <w:r w:rsidR="004B0E53">
        <w:t>, and through public comment,</w:t>
      </w:r>
      <w:r w:rsidR="00B86A81">
        <w:t xml:space="preserve"> </w:t>
      </w:r>
      <w:r w:rsidR="004B0E53">
        <w:t xml:space="preserve">as input into the Draft Federal Perkins V State Plan,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0175B84C"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most effective, equitable, and efficient use of both </w:t>
      </w:r>
      <w:r w:rsidR="00D857D4">
        <w:t>S</w:t>
      </w:r>
      <w:r w:rsidRPr="002F2687">
        <w:t xml:space="preserve">tate and federal resources in the development of strong </w:t>
      </w:r>
      <w:r w:rsidR="008D7AD4">
        <w:t>POS</w:t>
      </w:r>
      <w:r w:rsidRPr="002F2687">
        <w:t xml:space="preserve">. This investment is supported with the evolution </w:t>
      </w:r>
      <w:r>
        <w:t>and</w:t>
      </w:r>
      <w:r w:rsidRPr="002F2687">
        <w:t xml:space="preserve"> the development of the LCAP</w:t>
      </w:r>
      <w:r w:rsidR="005F01B2">
        <w:t xml:space="preserve"> and </w:t>
      </w:r>
      <w:r w:rsidR="00DA40FF">
        <w:t xml:space="preserve">with </w:t>
      </w:r>
      <w:r w:rsidR="005F01B2">
        <w:t>large ongoing investments through the CTEIG and the K–12 SWP</w:t>
      </w:r>
      <w:r w:rsidRPr="002F2687">
        <w:t>,</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w:t>
      </w:r>
      <w:r w:rsidR="00D857D4">
        <w:t>S</w:t>
      </w:r>
      <w:r w:rsidRPr="00214DFA">
        <w:t xml:space="preserve">tate funding systems </w:t>
      </w:r>
      <w:r w:rsidR="00E965C9">
        <w:t>is the use of</w:t>
      </w:r>
      <w:r w:rsidRPr="00214DFA">
        <w:t xml:space="preserve"> weighted formulas for supporting disadvantaged students</w:t>
      </w:r>
      <w:r>
        <w:t xml:space="preserve">, </w:t>
      </w:r>
      <w:r w:rsidR="003C331E">
        <w:t>demonstrating</w:t>
      </w:r>
      <w:r>
        <w:t xml:space="preserve"> how seriously the </w:t>
      </w:r>
      <w:r w:rsidR="00D857D4">
        <w:t>S</w:t>
      </w:r>
      <w:r>
        <w:t>tate takes closing the achievement gap</w:t>
      </w:r>
      <w:r w:rsidRPr="00214DFA">
        <w:t>.</w:t>
      </w:r>
    </w:p>
    <w:p w14:paraId="7FEE6E66" w14:textId="23EF89DE" w:rsidR="00C33240" w:rsidRPr="002F2687" w:rsidRDefault="00684A9F" w:rsidP="00C74AB8">
      <w:pPr>
        <w:pStyle w:val="Heading5"/>
      </w:pPr>
      <w:r w:rsidRPr="002F2687">
        <w:lastRenderedPageBreak/>
        <w:t xml:space="preserve">d.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122(d)(7) of Perkins V)</w:t>
      </w:r>
    </w:p>
    <w:p w14:paraId="790E33DD" w14:textId="77777777" w:rsidR="00C33240" w:rsidRPr="002F2687" w:rsidRDefault="00C33240" w:rsidP="003F1324">
      <w:pPr>
        <w:rPr>
          <w:rStyle w:val="Emphasis"/>
        </w:rPr>
      </w:pPr>
      <w:r w:rsidRPr="002F2687">
        <w:rPr>
          <w:rStyle w:val="Emphasis"/>
        </w:rPr>
        <w:t>Response:</w:t>
      </w:r>
    </w:p>
    <w:p w14:paraId="30E8AC62" w14:textId="5E088F53"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secondary and postsecondary level</w:t>
      </w:r>
      <w:r w:rsidR="005E5547">
        <w:t>s</w:t>
      </w:r>
      <w:r w:rsidRPr="002F2687">
        <w:t xml:space="preserve">. This includes up to </w:t>
      </w:r>
      <w:r w:rsidR="00084705">
        <w:t>2</w:t>
      </w:r>
      <w:r w:rsidRPr="002F2687">
        <w:t xml:space="preserve"> percent of the leadership funds to support </w:t>
      </w:r>
      <w:r w:rsidR="00A25499">
        <w:t>S</w:t>
      </w:r>
      <w:r w:rsidRPr="002F2687">
        <w:t xml:space="preserve">tate </w:t>
      </w:r>
      <w:r w:rsidR="003C331E">
        <w:t>i</w:t>
      </w:r>
      <w:r w:rsidRPr="002F2687">
        <w:t xml:space="preserve">nstitutions, correctional institutions, juvenile corrections CTE programs, and </w:t>
      </w:r>
      <w:r w:rsidR="00D857D4">
        <w:t>S</w:t>
      </w:r>
      <w:r w:rsidRPr="002F2687">
        <w:t xml:space="preserve">tate schools for the blind and the deaf. The </w:t>
      </w:r>
      <w:r w:rsidR="00D857D4">
        <w:t>S</w:t>
      </w:r>
      <w:r w:rsidRPr="002F2687">
        <w:t xml:space="preserve">tate will also use $150,000, the maximum allowed by Perkins V, for services provided to the </w:t>
      </w:r>
      <w:r w:rsidR="00D857D4">
        <w:t>S</w:t>
      </w:r>
      <w:r w:rsidRPr="002F2687">
        <w:t xml:space="preserve">tate through the Joint Special Populations Advisory Committee (JSPAC). Much of the </w:t>
      </w:r>
      <w:r w:rsidR="00084705">
        <w:t>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E965C9">
        <w:t>such students’</w:t>
      </w:r>
      <w:r w:rsidRPr="002F2687">
        <w:t xml:space="preserve"> success in the programs emanate from actions undertaken or recommended </w:t>
      </w:r>
      <w:r w:rsidR="00406D7B">
        <w:t xml:space="preserve">by </w:t>
      </w:r>
      <w:r w:rsidRPr="002F2687">
        <w:t>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9B3501">
        <w:t>-</w:t>
      </w:r>
      <w:r w:rsidRPr="002F2687">
        <w:t>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7AE29C99" w:rsidR="00C33240" w:rsidRPr="002F2687" w:rsidRDefault="00D76AFD" w:rsidP="003F1324">
      <w:r>
        <w:t xml:space="preserve">The </w:t>
      </w:r>
      <w:r w:rsidR="00C33240" w:rsidRPr="002F2687">
        <w:t xml:space="preserve">CDE and CCCCO staff will utilize the </w:t>
      </w:r>
      <w:r w:rsidR="00BF1DD8" w:rsidRPr="002F2687">
        <w:t xml:space="preserve">remaining </w:t>
      </w:r>
      <w:r w:rsidR="00D857D4">
        <w:t>s</w:t>
      </w:r>
      <w:r w:rsidR="00C33240" w:rsidRPr="002F2687">
        <w:t xml:space="preserve">tate leadership funds to provide LEAs and </w:t>
      </w:r>
      <w:r w:rsidR="00D857D4">
        <w:t>S</w:t>
      </w:r>
      <w:r w:rsidR="00C33240" w:rsidRPr="002F2687">
        <w:t xml:space="preserve">tate </w:t>
      </w:r>
      <w:r w:rsidR="009A2066">
        <w:t>I</w:t>
      </w:r>
      <w:r w:rsidR="00C33240" w:rsidRPr="002F2687">
        <w:t xml:space="preserve">nstitutions with technical assistance to enhance the elements, content, design, instruction, accountability, funding, and success of CTE pathways in the </w:t>
      </w:r>
      <w:r w:rsidR="00E965C9">
        <w:t xml:space="preserve">K–12 </w:t>
      </w:r>
      <w:r w:rsidR="00C33240" w:rsidRPr="002F2687">
        <w:t xml:space="preserve">schools and colleges. State </w:t>
      </w:r>
      <w:r w:rsidR="005964E3" w:rsidRPr="002F2687">
        <w:t>l</w:t>
      </w:r>
      <w:r w:rsidR="00C33240" w:rsidRPr="002F2687">
        <w:t xml:space="preserve">eadership funds are used by both agencies to provide needed curriculum development, </w:t>
      </w:r>
      <w:r w:rsidR="000A47FB">
        <w:t>PD</w:t>
      </w:r>
      <w:r w:rsidR="00C33240" w:rsidRPr="002F2687">
        <w:t>, and technical assistance activities. CDE and CCCCO staff assign a high priority to ensur</w:t>
      </w:r>
      <w:r w:rsidR="007033C8">
        <w:t>e</w:t>
      </w:r>
      <w:r w:rsidR="00C33240" w:rsidRPr="002F2687">
        <w:t xml:space="preserve"> that administrators, teachers, instructors</w:t>
      </w:r>
      <w:r w:rsidR="006B22B3" w:rsidRPr="002F2687">
        <w:t>, counselors, and other support staff</w:t>
      </w:r>
      <w:r w:rsidR="00C33240" w:rsidRPr="002F2687">
        <w:t xml:space="preserve"> are provided with the statewide workshops, </w:t>
      </w:r>
      <w:r w:rsidR="00C33240" w:rsidRPr="002F2687">
        <w:lastRenderedPageBreak/>
        <w:t xml:space="preserve">presentations, conferences, and variety of oral and written technical assistance and training activities needed to effectively administer and use </w:t>
      </w:r>
      <w:r w:rsidR="00D857D4">
        <w:t>S</w:t>
      </w:r>
      <w:r w:rsidR="00C33240" w:rsidRPr="002F2687">
        <w:t>tate and federal CTE funds.</w:t>
      </w:r>
    </w:p>
    <w:p w14:paraId="093FB2D5" w14:textId="5A7CF103"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w:t>
      </w:r>
      <w:r w:rsidR="009B3501">
        <w:t>or</w:t>
      </w:r>
      <w:r w:rsidRPr="002F2687">
        <w:t>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consortia services include, but are not limited to, ongoing assessment and regional/sub-regional planning, marketing, dissemination of data, curriculum review and approval, collaborative exchanges, and coordination. The regional consorti</w:t>
      </w:r>
      <w:r w:rsidR="009B3501">
        <w:t>a</w:t>
      </w:r>
      <w:r w:rsidRPr="002F2687">
        <w:t xml:space="preserve"> </w:t>
      </w:r>
      <w:r w:rsidR="009B3501">
        <w:t>are</w:t>
      </w:r>
      <w:r w:rsidRPr="002F2687">
        <w:t xml:space="preserve"> in a key position to promote collaborative partnerships and joint ventures among a wide range of business and industry partners.</w:t>
      </w:r>
    </w:p>
    <w:p w14:paraId="2175454E" w14:textId="7A48DEC1" w:rsidR="00D40B63" w:rsidRPr="002F2687" w:rsidRDefault="00D40B63" w:rsidP="002C1E04">
      <w:r>
        <w:t xml:space="preserve">How California uses its leadership funds will go beyond </w:t>
      </w:r>
      <w:r w:rsidR="009B3501">
        <w:t>the previously mentioned uses</w:t>
      </w:r>
      <w:r>
        <w:t xml:space="preserve"> to include the new requirements under Perkins V, such as the </w:t>
      </w:r>
      <w:r w:rsidR="00BB1C72">
        <w:t>CLNA</w:t>
      </w:r>
      <w:r w:rsidR="00E965C9">
        <w:t>;</w:t>
      </w:r>
      <w:r>
        <w:t xml:space="preserve"> </w:t>
      </w:r>
      <w:r w:rsidR="00D76AFD">
        <w:t xml:space="preserve">to </w:t>
      </w:r>
      <w:r>
        <w:t>streamline and enhance the collection of data to meet the new secondary quality indicators</w:t>
      </w:r>
      <w:r w:rsidR="00E965C9">
        <w:t>;</w:t>
      </w:r>
      <w:r>
        <w:t xml:space="preserve"> </w:t>
      </w:r>
      <w:r w:rsidR="00604A51">
        <w:t xml:space="preserve">and </w:t>
      </w:r>
      <w:r>
        <w:t xml:space="preserve">align the Perkins V accountability indicators to current </w:t>
      </w:r>
      <w:r w:rsidR="00D857D4">
        <w:t>S</w:t>
      </w:r>
      <w:r>
        <w:t>tate accountability measures</w:t>
      </w:r>
      <w:r w:rsidR="00BB1C72">
        <w:t>.</w:t>
      </w:r>
      <w:r w:rsidR="006F5399">
        <w:t xml:space="preserve"> </w:t>
      </w:r>
      <w:r w:rsidR="00E965C9">
        <w:t>In addition</w:t>
      </w:r>
      <w:r w:rsidR="00BB1C72">
        <w:t>, areas of focus that may require using leadership funds are refining the size, scope</w:t>
      </w:r>
      <w:r w:rsidR="00E965C9">
        <w:t>,</w:t>
      </w:r>
      <w:r w:rsidR="00BB1C72">
        <w:t xml:space="preserve"> and quality definition for the </w:t>
      </w:r>
      <w:r w:rsidR="00D857D4">
        <w:t>S</w:t>
      </w:r>
      <w:r w:rsidR="00BB1C72">
        <w:t>tate</w:t>
      </w:r>
      <w:r w:rsidR="00E965C9">
        <w:t>;</w:t>
      </w:r>
      <w:r w:rsidR="00BB1C72">
        <w:t xml:space="preserve"> </w:t>
      </w:r>
      <w:r w:rsidR="00BF687B">
        <w:t>strengthening inter-segmental and inter-sectoral connections around high</w:t>
      </w:r>
      <w:r w:rsidR="00604A51">
        <w:t>-</w:t>
      </w:r>
      <w:r w:rsidR="00BF687B">
        <w:t xml:space="preserve">quality </w:t>
      </w:r>
      <w:r w:rsidR="00B0359E">
        <w:t>career pathways (</w:t>
      </w:r>
      <w:r w:rsidR="009B3501">
        <w:t xml:space="preserve">i.e., </w:t>
      </w:r>
      <w:r w:rsidR="008D7AD4">
        <w:t>POS</w:t>
      </w:r>
      <w:r w:rsidR="00B0359E">
        <w:t>)</w:t>
      </w:r>
      <w:r w:rsidR="00E965C9">
        <w:t>;</w:t>
      </w:r>
      <w:r w:rsidR="00BF687B">
        <w:t xml:space="preserve"> </w:t>
      </w:r>
      <w:r w:rsidR="00BB1C72">
        <w:t>preparing teachers and faculty</w:t>
      </w:r>
      <w:r w:rsidR="00E965C9">
        <w:t xml:space="preserve">; </w:t>
      </w:r>
      <w:r w:rsidR="00D97207">
        <w:t xml:space="preserve">and </w:t>
      </w:r>
      <w:r w:rsidR="00E965C9">
        <w:t>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t>supplementing</w:t>
      </w:r>
      <w:r w:rsidR="00D97207">
        <w:t>,</w:t>
      </w:r>
      <w:r w:rsidR="005D4533">
        <w:t xml:space="preserve"> and </w:t>
      </w:r>
      <w:r w:rsidR="004A01CE">
        <w:t xml:space="preserve">as </w:t>
      </w:r>
      <w:r w:rsidR="005D4533">
        <w:t xml:space="preserve">serving as a catalyst </w:t>
      </w:r>
      <w:r w:rsidR="005F01B2">
        <w:t>for</w:t>
      </w:r>
      <w:r w:rsidR="00D97207">
        <w:t>,</w:t>
      </w:r>
      <w:r w:rsidR="005D4533">
        <w:t xml:space="preserve">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lastRenderedPageBreak/>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419BD87D" w14:textId="77777777" w:rsidR="00C33240" w:rsidRPr="002F2687" w:rsidRDefault="00C33240" w:rsidP="003F1324">
      <w:r w:rsidRPr="002F2687">
        <w:rPr>
          <w:b/>
        </w:rPr>
        <w:t>Response:</w:t>
      </w:r>
    </w:p>
    <w:p w14:paraId="74906BFF" w14:textId="79FC0E6F" w:rsidR="00747F89" w:rsidRDefault="00747F89" w:rsidP="00D40B63">
      <w:r w:rsidRPr="00747F89">
        <w:t>California’s aspirations for vibrant career pathways are best expressed in the CWPJAC’s Guiding Policy Principles</w:t>
      </w:r>
      <w:r w:rsidR="00D97207">
        <w:t>,</w:t>
      </w:r>
      <w:r w:rsidRPr="00747F89">
        <w:t xml:space="preserve"> which reflect the vision for the development, operation, and improvement of career pathways in California</w:t>
      </w:r>
      <w:r w:rsidR="00D97207">
        <w:t>.</w:t>
      </w:r>
      <w:r w:rsidRPr="00747F89">
        <w:t xml:space="preserve"> </w:t>
      </w:r>
      <w:r w:rsidR="00D97207">
        <w:t>T</w:t>
      </w:r>
      <w:r w:rsidR="005F01B2">
        <w:t>he</w:t>
      </w:r>
      <w:r w:rsidR="00D97207">
        <w:t xml:space="preserve"> Guiding Policy Principles</w:t>
      </w:r>
      <w:r w:rsidR="005F01B2">
        <w:t xml:space="preserve"> also</w:t>
      </w:r>
      <w:r w:rsidR="005F01B2" w:rsidRPr="00747F89">
        <w:t xml:space="preserve"> </w:t>
      </w:r>
      <w:r w:rsidRPr="00747F89">
        <w:t xml:space="preserve">build upon California policy changes that have transpired in recent years. </w:t>
      </w:r>
      <w:r w:rsidR="00E60175">
        <w:t>T</w:t>
      </w:r>
      <w:r w:rsidRPr="00747F89">
        <w:t xml:space="preserve">he balance sought between local control and </w:t>
      </w:r>
      <w:r w:rsidR="00D857D4">
        <w:t>S</w:t>
      </w:r>
      <w:r w:rsidRPr="00747F89">
        <w:t>tate oversight for career pathway programs is best reflected in the Essential Elements of a High-Quality College and Career Pathway.</w:t>
      </w:r>
    </w:p>
    <w:p w14:paraId="6E24DFEF" w14:textId="25BB9D1F"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w:t>
      </w:r>
      <w:r w:rsidR="00D857D4">
        <w:t>S</w:t>
      </w:r>
      <w:r w:rsidR="006B60A5" w:rsidRPr="006B60A5">
        <w:t>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 xml:space="preserve">regional and </w:t>
      </w:r>
      <w:r w:rsidR="00D857D4">
        <w:t>S</w:t>
      </w:r>
      <w:r w:rsidR="006B60A5">
        <w:t>tate oversight</w:t>
      </w:r>
      <w:r w:rsidR="006B60A5" w:rsidRPr="006B60A5">
        <w:t>.</w:t>
      </w:r>
      <w:r w:rsidR="006F5399">
        <w:t xml:space="preserve"> </w:t>
      </w:r>
      <w:r w:rsidR="006B60A5" w:rsidRPr="006B60A5">
        <w:t>Local control allows eligible recipients flexibility, promotes fiscal responsibility, fosters timely responsiveness to regional needs and local communities, promotes innovative practices, and supports the vision for collaborative regional work.</w:t>
      </w:r>
    </w:p>
    <w:p w14:paraId="13E8B085" w14:textId="763C5610" w:rsidR="003D247B" w:rsidRDefault="006B60A5" w:rsidP="00D40B63">
      <w:r w:rsidRPr="006B60A5">
        <w:t xml:space="preserve">State involvement is needed to provide a statewide vision, develop a policy framework, provide oversight, </w:t>
      </w:r>
      <w:r w:rsidR="004A01CE" w:rsidRPr="004A01CE">
        <w:t xml:space="preserve">and, through program effectiveness, monitor the attainment </w:t>
      </w:r>
      <w:r>
        <w:t xml:space="preserve">of </w:t>
      </w:r>
      <w:r w:rsidR="005F01B2">
        <w:t>student outcomes</w:t>
      </w:r>
      <w:r>
        <w:t xml:space="preserve">. </w:t>
      </w:r>
      <w:r w:rsidRPr="006B60A5">
        <w:t xml:space="preserve">At the same time, the </w:t>
      </w:r>
      <w:r w:rsidR="00A25499">
        <w:t>S</w:t>
      </w:r>
      <w:r w:rsidRPr="006B60A5">
        <w:t xml:space="preserve">tate can promote economies of scale </w:t>
      </w:r>
      <w:r>
        <w:t>through</w:t>
      </w:r>
      <w:r w:rsidRPr="006B60A5">
        <w:t xml:space="preserve"> the sharing of effective practices</w:t>
      </w:r>
      <w:r w:rsidR="00E60175">
        <w:t>,</w:t>
      </w:r>
      <w:r w:rsidRPr="006B60A5">
        <w:t xml:space="preserve"> </w:t>
      </w:r>
      <w:r w:rsidR="00D76AFD">
        <w:t>and can</w:t>
      </w:r>
      <w:r w:rsidRPr="006B60A5">
        <w:t xml:space="preserve"> incentivize cooperative relationships at all levels to maximize student outcomes. </w:t>
      </w:r>
      <w:r w:rsidR="00574850">
        <w:t>Additionally, given</w:t>
      </w:r>
      <w:r w:rsidR="003B3DC6" w:rsidRPr="003B3DC6">
        <w:t xml:space="preserve"> the size and diversity of California, a regional approach is often the most appropriate; it addresses the need for </w:t>
      </w:r>
      <w:r w:rsidR="003B3DC6" w:rsidRPr="003B3DC6">
        <w:lastRenderedPageBreak/>
        <w:t>responsiveness, on the one hand, and coordination, on the other.</w:t>
      </w:r>
      <w:r w:rsidR="003B3DC6">
        <w:t xml:space="preserve"> </w:t>
      </w:r>
      <w:r>
        <w:t xml:space="preserve">In short, local control does not absolve the </w:t>
      </w:r>
      <w:r w:rsidR="00D857D4">
        <w:t>S</w:t>
      </w:r>
      <w:r>
        <w:t>tate of its leadership responsibilities.</w:t>
      </w:r>
    </w:p>
    <w:p w14:paraId="3330DCE8" w14:textId="44EBD083" w:rsidR="00CE6518" w:rsidRDefault="00CE6518" w:rsidP="00CE6518">
      <w:r>
        <w:t xml:space="preserve">The two state programs that exemplify the balance between local control and regional and </w:t>
      </w:r>
      <w:r w:rsidR="00A25499">
        <w:t>S</w:t>
      </w:r>
      <w:r w:rsidR="00C82B9D">
        <w:t>tate oversight are CTEIG and K–</w:t>
      </w:r>
      <w:r>
        <w:t>12 SWP</w:t>
      </w:r>
      <w:r w:rsidR="00A960A7">
        <w:t xml:space="preserve">. </w:t>
      </w:r>
      <w:r w:rsidR="00A960A7" w:rsidRPr="00A960A7">
        <w:t xml:space="preserve">The Governor’s 2015–16 Budget Act included $900 million over a three-year limited term for the CTEIG program. </w:t>
      </w:r>
      <w:r w:rsidR="00F22FAD">
        <w:t>In 2018-19, EC 53070 established the $150 million CTEIG as a recurring state funded CTE program</w:t>
      </w:r>
      <w:r w:rsidR="002547D6">
        <w:t xml:space="preserve">. </w:t>
      </w:r>
      <w:r w:rsidR="00A960A7" w:rsidRPr="00A960A7">
        <w:t xml:space="preserve">The CTEIG program was created as a State education, economic, and workforce development initiative with the goal of providing K–12 students with the knowledge and skills necessary to transition to employment and postsecondary education. The purpose of the CTEIG program was to incentivize secondary CTE programming by encouraging the development of new CTE programs and enhancing and maintaining current CTE programs while functioning as a bridge during the transition to full implementation of the school district and charter school LCFF. These grants </w:t>
      </w:r>
      <w:r w:rsidR="00815332">
        <w:t>are</w:t>
      </w:r>
      <w:r w:rsidR="00A960A7" w:rsidRPr="00A960A7">
        <w:t xml:space="preserve"> focused on programs that led to industry certifications or postsecondary training. Partnerships with local </w:t>
      </w:r>
      <w:r w:rsidR="00471D2D">
        <w:t xml:space="preserve">community </w:t>
      </w:r>
      <w:r w:rsidR="00A960A7" w:rsidRPr="00A960A7">
        <w:t>colleges, businesses, and labor unions were required.</w:t>
      </w:r>
    </w:p>
    <w:p w14:paraId="74A29FB8" w14:textId="3080A742" w:rsidR="00CE6518" w:rsidRDefault="00F22FAD" w:rsidP="002C1E04">
      <w:r w:rsidRPr="00F22FAD">
        <w:t xml:space="preserve">In 2018−19, EC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w:t>
      </w:r>
      <w:r w:rsidR="00814A4D">
        <w:br/>
      </w:r>
      <w:r w:rsidRPr="00F22FAD">
        <w:t>K–12 SWP State initiatives.</w:t>
      </w:r>
    </w:p>
    <w:p w14:paraId="0498A907" w14:textId="5683DF70" w:rsidR="00A41D2F" w:rsidRDefault="00A35E11" w:rsidP="002C1E04">
      <w:r>
        <w:t xml:space="preserve">The </w:t>
      </w:r>
      <w:r w:rsidR="00A25499">
        <w:t>S</w:t>
      </w:r>
      <w:r>
        <w:t xml:space="preserve">tate’s role in each of these two programs varies slightly. </w:t>
      </w:r>
      <w:r w:rsidR="005B1179">
        <w:t>The CDE bases its funding allocation on an evaluation of the CTEIG</w:t>
      </w:r>
      <w:r w:rsidR="00C82B9D">
        <w:t xml:space="preserve"> grant applications; whereas, K–</w:t>
      </w:r>
      <w:r w:rsidR="005B1179">
        <w:t>1</w:t>
      </w:r>
      <w:r w:rsidR="005B1179" w:rsidRPr="00A35E11">
        <w:t xml:space="preserve">2 </w:t>
      </w:r>
      <w:r w:rsidR="005B1179" w:rsidRPr="00A35E11">
        <w:lastRenderedPageBreak/>
        <w:t>SWP uses a regional approach to fundin</w:t>
      </w:r>
      <w:r w:rsidR="005B1179">
        <w:t>g based on fixed allocations to the CCC regional consortiums (</w:t>
      </w:r>
      <w:r w:rsidR="005B1179" w:rsidRPr="005B1179">
        <w:t>based on ADA, unemployment rate</w:t>
      </w:r>
      <w:r w:rsidR="00453F73">
        <w:t>,</w:t>
      </w:r>
      <w:r w:rsidR="005B1179" w:rsidRPr="005B1179">
        <w:t xml:space="preserve"> projected job openings)</w:t>
      </w:r>
      <w:r w:rsidR="005B1179">
        <w:t xml:space="preserve"> and then using a </w:t>
      </w:r>
      <w:r w:rsidR="005B1179" w:rsidRPr="005B1179">
        <w:t>competitive process within regions</w:t>
      </w:r>
      <w:r w:rsidR="005B1179">
        <w:t xml:space="preserve">. </w:t>
      </w:r>
      <w:r w:rsidR="00B4799D">
        <w:t>CTEIG ensures that connections are made to LCFF/LCAP; while the K</w:t>
      </w:r>
      <w:r w:rsidR="00C82B9D">
        <w:t>–</w:t>
      </w:r>
      <w:r w:rsidR="00B4799D">
        <w:t xml:space="preserve">12 SWP requires that alignment be made to the SWP program. Both </w:t>
      </w:r>
      <w:r w:rsidR="00A41D2F">
        <w:t>CTEIG and K</w:t>
      </w:r>
      <w:r w:rsidR="00C82B9D">
        <w:t>–</w:t>
      </w:r>
      <w:r w:rsidR="00A41D2F">
        <w:t>12 SWP</w:t>
      </w:r>
      <w:r w:rsidR="00B4799D">
        <w:t xml:space="preserve"> require that that the </w:t>
      </w:r>
      <w:r w:rsidR="00A41D2F">
        <w:t xml:space="preserve">funded </w:t>
      </w:r>
      <w:r w:rsidR="00B4799D">
        <w:t xml:space="preserve">programs </w:t>
      </w:r>
      <w:r w:rsidR="00A41D2F">
        <w:t xml:space="preserve">at the local levels </w:t>
      </w:r>
      <w:r w:rsidR="00B4799D">
        <w:t>be high-quality as defined by the CWPJAC, and that the Guiding Principles and the 12 elements of a High-Quality College and Career Pathway be a</w:t>
      </w:r>
      <w:r w:rsidR="00C82B9D">
        <w:t>pplied.</w:t>
      </w:r>
    </w:p>
    <w:p w14:paraId="3EEA078F" w14:textId="4227F6E6" w:rsidR="00CE6518" w:rsidRDefault="00A41D2F" w:rsidP="002C1E04">
      <w:r>
        <w:t>The data required to be collected and reported by CTEIG and K</w:t>
      </w:r>
      <w:r w:rsidR="00C82B9D">
        <w:t>–</w:t>
      </w:r>
      <w:r>
        <w:t xml:space="preserve">12 SWP workforce overlap, and in turn, the collected data </w:t>
      </w:r>
      <w:r w:rsidR="00453F73">
        <w:t xml:space="preserve">will </w:t>
      </w:r>
      <w:r>
        <w:t xml:space="preserve">be aligned to the data collected and reported under Perkins V. The </w:t>
      </w:r>
      <w:r w:rsidR="00A25499">
        <w:t>S</w:t>
      </w:r>
      <w:r>
        <w:t>tate has created a matrix of metrics that links the different indicators collected for CTEIG and for K</w:t>
      </w:r>
      <w:r w:rsidR="00C82B9D">
        <w:t>–</w:t>
      </w:r>
      <w:r>
        <w:t xml:space="preserve">12 SWP with the indicators that need to be collected under </w:t>
      </w:r>
      <w:r w:rsidR="005A3A5B">
        <w:t>Perkins</w:t>
      </w:r>
      <w:r>
        <w:t xml:space="preserve"> V</w:t>
      </w:r>
      <w:r w:rsidR="005A3A5B">
        <w:t>.</w:t>
      </w:r>
      <w:r>
        <w:rPr>
          <w:rStyle w:val="FootnoteReference"/>
        </w:rPr>
        <w:footnoteReference w:id="13"/>
      </w:r>
      <w:r>
        <w:t xml:space="preserve"> Thus, when taken together, CTEIG, and K</w:t>
      </w:r>
      <w:r w:rsidR="00C82B9D">
        <w:t>–</w:t>
      </w:r>
      <w:r>
        <w:t>12 SWP, along with the SWP, lay a foundation for developing state and regional level POS, and matrix of metrics provides the evidence for show success in implementing POS.</w:t>
      </w:r>
    </w:p>
    <w:p w14:paraId="604E38BD" w14:textId="451C320B" w:rsidR="00C33240" w:rsidRPr="002F2687" w:rsidRDefault="00C33240" w:rsidP="002C1E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A25499">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w:t>
      </w:r>
      <w:r w:rsidR="00534476">
        <w:t xml:space="preserve">The responses to the prompts in </w:t>
      </w:r>
      <w:r w:rsidR="003B3DC6">
        <w:t xml:space="preserve">Section 1(a) </w:t>
      </w:r>
      <w:r w:rsidR="006045BC">
        <w:t xml:space="preserve">of this document </w:t>
      </w:r>
      <w:r w:rsidR="003B3DC6">
        <w:t xml:space="preserve">describe many such programs that are currently being offered using </w:t>
      </w:r>
      <w:r w:rsidR="00D857D4">
        <w:t>S</w:t>
      </w:r>
      <w:r w:rsidR="003B3DC6">
        <w:t>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t xml:space="preserve">requirements (see </w:t>
      </w:r>
      <w:r w:rsidR="00453C26">
        <w:t xml:space="preserve">the following </w:t>
      </w:r>
      <w:r w:rsidR="003D247B">
        <w:t xml:space="preserve">section), all the while keeping in mind the </w:t>
      </w:r>
      <w:r w:rsidRPr="002F2687">
        <w:t>needs of a diverse population</w:t>
      </w:r>
      <w:r w:rsidR="00453C26">
        <w:t xml:space="preserve"> of students</w:t>
      </w:r>
      <w:r w:rsidRPr="002F2687">
        <w:t xml:space="preserve">, many of whom 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w:t>
      </w:r>
      <w:r w:rsidR="00453C26">
        <w:t>,</w:t>
      </w:r>
      <w:r w:rsidRPr="002F2687">
        <w:t xml:space="preserve"> along with suitable flexibility</w:t>
      </w:r>
      <w:r w:rsidR="00453C26">
        <w:t>,</w:t>
      </w:r>
      <w:r w:rsidRPr="002F2687">
        <w:t xml:space="preserve"> to develop high</w:t>
      </w:r>
      <w:r w:rsidR="007A6ACB" w:rsidRPr="002F2687">
        <w:t>-</w:t>
      </w:r>
      <w:r w:rsidRPr="002F2687">
        <w:t xml:space="preserve">quality </w:t>
      </w:r>
      <w:r w:rsidR="00D40B63">
        <w:t xml:space="preserve">CTE </w:t>
      </w:r>
      <w:r w:rsidR="008D7AD4">
        <w:t>POS</w:t>
      </w:r>
      <w:r w:rsidR="00453C26">
        <w:t>,</w:t>
      </w:r>
      <w:r w:rsidRPr="002F2687">
        <w:t xml:space="preserve"> in order to ensure that California’s </w:t>
      </w:r>
      <w:r w:rsidR="003B3DC6">
        <w:t xml:space="preserve">CTE </w:t>
      </w:r>
      <w:r w:rsidRPr="002F2687">
        <w:lastRenderedPageBreak/>
        <w:t xml:space="preserve">system is student-centered, demand-driven, </w:t>
      </w:r>
      <w:r w:rsidR="00453C26">
        <w:t xml:space="preserve">and </w:t>
      </w:r>
      <w:r w:rsidRPr="002F2687">
        <w:t xml:space="preserve">continuously responsive to the diversity of California and the ever-changing needs of a complex global workplace. </w:t>
      </w:r>
    </w:p>
    <w:p w14:paraId="0EDB7908" w14:textId="56339BB9"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r w:rsidRPr="002F2687">
        <w:t xml:space="preserve">i. </w:t>
      </w:r>
      <w:r w:rsidR="00CC0296" w:rsidRPr="00CC0296">
        <w:t>promote continuous improvement in academic achievement and technical skill attainment;</w:t>
      </w:r>
    </w:p>
    <w:p w14:paraId="35720CBE" w14:textId="4901570E" w:rsidR="00034DF7" w:rsidRPr="00D76AFD" w:rsidRDefault="00034DF7" w:rsidP="00BF687B">
      <w:pPr>
        <w:rPr>
          <w:b/>
          <w:bCs/>
        </w:rPr>
      </w:pPr>
      <w:r>
        <w:rPr>
          <w:b/>
          <w:bCs/>
        </w:rPr>
        <w:t>Response:</w:t>
      </w:r>
    </w:p>
    <w:p w14:paraId="4DB51D06" w14:textId="3315EF80" w:rsidR="00BF687B" w:rsidRDefault="00BF687B" w:rsidP="00BF687B">
      <w:r>
        <w:t xml:space="preserve">Before laying out the process and criteria for program approval for locally developed career pathways </w:t>
      </w:r>
      <w:r w:rsidR="00B0359E">
        <w:t xml:space="preserve">(the term </w:t>
      </w:r>
      <w:r w:rsidR="00453C26">
        <w:t xml:space="preserve">that </w:t>
      </w:r>
      <w:r w:rsidR="00B0359E">
        <w:t xml:space="preserve">California uses for </w:t>
      </w:r>
      <w:r w:rsidR="001F05F7">
        <w:t>POS</w:t>
      </w:r>
      <w:r w:rsidR="00B0359E">
        <w:t>)</w:t>
      </w:r>
      <w:r w:rsidR="005A6C4E">
        <w:t>, some definitions are in order</w:t>
      </w:r>
      <w:r w:rsidR="00CB0F4E">
        <w:t>.</w:t>
      </w:r>
    </w:p>
    <w:p w14:paraId="49F7429B" w14:textId="76872F30" w:rsidR="00BF687B" w:rsidRPr="004721C9" w:rsidRDefault="00BF687B" w:rsidP="00BF687B">
      <w:r w:rsidRPr="004721C9">
        <w:t>All eligible recipients will be required to provide at least one POS</w:t>
      </w:r>
      <w:r w:rsidR="001F05F7">
        <w:t>,</w:t>
      </w:r>
      <w:r w:rsidRPr="004721C9">
        <w:t xml:space="preserve"> as required under Section 134(b)(2) of Perkins V, </w:t>
      </w:r>
      <w:r w:rsidR="00FB2077">
        <w:t>that</w:t>
      </w:r>
      <w:r w:rsidRPr="004721C9">
        <w:t>:</w:t>
      </w:r>
    </w:p>
    <w:p w14:paraId="6F0E27DA" w14:textId="6AF96502" w:rsidR="009E369D" w:rsidRDefault="00BF687B" w:rsidP="0048078B">
      <w:pPr>
        <w:pStyle w:val="ListParagraph"/>
        <w:ind w:left="1170" w:hanging="450"/>
      </w:pPr>
      <w:r w:rsidRPr="004721C9">
        <w:t xml:space="preserve">Incorporates challenging State academic standards, including those adopted by a State under </w:t>
      </w:r>
      <w:r w:rsidR="004A01CE">
        <w:t>S</w:t>
      </w:r>
      <w:r w:rsidRPr="004721C9">
        <w:t>ection 1111(b)(1) of the Elementary and Secondary Education Act of 1965</w:t>
      </w:r>
      <w:r w:rsidR="00FB2077">
        <w:t>;</w:t>
      </w:r>
    </w:p>
    <w:p w14:paraId="0AAA4C9E" w14:textId="3B899486" w:rsidR="009E369D" w:rsidRDefault="00BF687B" w:rsidP="0048078B">
      <w:pPr>
        <w:pStyle w:val="ListParagraph"/>
        <w:ind w:left="1170" w:hanging="450"/>
      </w:pPr>
      <w:r w:rsidRPr="004721C9">
        <w:t>Addresses both academic and technical knowledge and skills, including employability skills</w:t>
      </w:r>
      <w:r w:rsidR="00FB2077">
        <w:t>;</w:t>
      </w:r>
    </w:p>
    <w:p w14:paraId="74AEF06B" w14:textId="48848E64" w:rsidR="009E369D" w:rsidRDefault="00BF687B" w:rsidP="0048078B">
      <w:pPr>
        <w:pStyle w:val="ListParagraph"/>
        <w:ind w:left="1170" w:hanging="450"/>
      </w:pPr>
      <w:r w:rsidRPr="004721C9">
        <w:t>Is aligned with the needs of industries in the economy of the State, region, Tribal community, or local area</w:t>
      </w:r>
      <w:r w:rsidR="00FB2077">
        <w:t>;</w:t>
      </w:r>
    </w:p>
    <w:p w14:paraId="4222745D" w14:textId="560E3195" w:rsidR="009E369D" w:rsidRDefault="00BF687B" w:rsidP="0048078B">
      <w:pPr>
        <w:pStyle w:val="ListParagraph"/>
        <w:ind w:left="1170" w:hanging="450"/>
      </w:pPr>
      <w:r w:rsidRPr="004721C9">
        <w:t>Progresses in specificity (beginning with all aspects of an industry or career cluster and leading to more occupation-specific instruction)</w:t>
      </w:r>
      <w:r w:rsidR="00FB2077">
        <w:t>;</w:t>
      </w:r>
    </w:p>
    <w:p w14:paraId="23276AD9" w14:textId="0F138C44" w:rsidR="009E369D" w:rsidRDefault="00BF687B" w:rsidP="0048078B">
      <w:pPr>
        <w:pStyle w:val="ListParagraph"/>
        <w:ind w:left="1170" w:hanging="450"/>
      </w:pPr>
      <w:r w:rsidRPr="004721C9">
        <w:t>Has multiple entry and exit points that incorporate credentialing</w:t>
      </w:r>
      <w:r w:rsidR="00FB2077">
        <w:t>; and</w:t>
      </w:r>
      <w:r w:rsidRPr="004721C9">
        <w:t xml:space="preserve"> </w:t>
      </w:r>
    </w:p>
    <w:p w14:paraId="0CE31A6D" w14:textId="106E2EB0" w:rsidR="00BF687B" w:rsidRPr="004721C9" w:rsidRDefault="00BF687B" w:rsidP="0048078B">
      <w:pPr>
        <w:pStyle w:val="ListParagraph"/>
        <w:ind w:left="1170" w:hanging="450"/>
      </w:pPr>
      <w:r w:rsidRPr="004721C9">
        <w:lastRenderedPageBreak/>
        <w:t>Culminates in the attainment of a recognized postsecondary credential</w:t>
      </w:r>
      <w:r w:rsidR="00A92EDA">
        <w:t>.</w:t>
      </w:r>
    </w:p>
    <w:p w14:paraId="4C1D1200" w14:textId="08710A0A" w:rsidR="005A6C4E" w:rsidRDefault="005A6C4E" w:rsidP="00CE4D45">
      <w:r>
        <w:t xml:space="preserve">Closely connected to the federal definition of a POS is the federal definition of a career pathway, as stipulated in </w:t>
      </w:r>
      <w:r w:rsidR="00FB2077">
        <w:t xml:space="preserve">the </w:t>
      </w:r>
      <w:r>
        <w:t>WIOA.</w:t>
      </w:r>
      <w:r w:rsidR="006F5399">
        <w:t xml:space="preserve"> </w:t>
      </w:r>
      <w:r w:rsidR="00AD5E9F">
        <w:t>A c</w:t>
      </w:r>
      <w:r>
        <w:t xml:space="preserve">areer pathway </w:t>
      </w:r>
      <w:r w:rsidR="00AD5E9F">
        <w:t xml:space="preserve">is </w:t>
      </w:r>
      <w:r>
        <w:t>an organized and integrated collection of academic courses, CTE programs</w:t>
      </w:r>
      <w:r w:rsidR="00FB2077">
        <w:t>,</w:t>
      </w:r>
      <w:r>
        <w:t xml:space="preserve"> and support services intended to 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r w:rsidR="00AD5E9F">
        <w:t>is</w:t>
      </w:r>
      <w:r>
        <w:t xml:space="preserve"> a collaborative partnership among community colleges, primary and secondary schools, workforce and economic development agencies, employers, labor groups, and social service providers. </w:t>
      </w:r>
    </w:p>
    <w:p w14:paraId="12486677" w14:textId="345D5077" w:rsidR="005A6C4E" w:rsidRDefault="005A6C4E" w:rsidP="005A6C4E">
      <w:r>
        <w:t xml:space="preserve">The term </w:t>
      </w:r>
      <w:r w:rsidR="004144D7" w:rsidRPr="00D76AFD">
        <w:t>“</w:t>
      </w:r>
      <w:r w:rsidRPr="00D76AFD">
        <w:t>career pathway</w:t>
      </w:r>
      <w:r w:rsidR="004144D7" w:rsidRPr="004144D7">
        <w:t>”</w:t>
      </w:r>
      <w:r>
        <w:t xml:space="preserve"> means a combination of rigorous and high-quality education, training, and other services that—</w:t>
      </w:r>
    </w:p>
    <w:p w14:paraId="7E8F9C3F" w14:textId="7AE4BEEB" w:rsidR="005A6C4E" w:rsidRDefault="005A6C4E" w:rsidP="0048078B">
      <w:pPr>
        <w:ind w:left="1170" w:hanging="450"/>
      </w:pPr>
      <w:r>
        <w:t>A.</w:t>
      </w:r>
      <w:r>
        <w:tab/>
      </w:r>
      <w:r w:rsidR="00BF57F4">
        <w:t>A</w:t>
      </w:r>
      <w:r>
        <w:t>lign with the skill needs of industries in the State or regional economy involved;</w:t>
      </w:r>
    </w:p>
    <w:p w14:paraId="666A25DB" w14:textId="6EBA6716" w:rsidR="005A6C4E" w:rsidRDefault="005A6C4E" w:rsidP="0048078B">
      <w:pPr>
        <w:ind w:left="1170" w:hanging="45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48078B">
      <w:pPr>
        <w:ind w:left="1170" w:hanging="450"/>
      </w:pPr>
      <w:r>
        <w:t>C.</w:t>
      </w:r>
      <w:r>
        <w:tab/>
      </w:r>
      <w:r w:rsidR="00BF57F4">
        <w:t>I</w:t>
      </w:r>
      <w:r>
        <w:t>nclude counseling to support an individual in achieving the individual’s education and career goals;</w:t>
      </w:r>
    </w:p>
    <w:p w14:paraId="23F6C424" w14:textId="42A24B6E" w:rsidR="005A6C4E" w:rsidRDefault="005A6C4E" w:rsidP="0048078B">
      <w:pPr>
        <w:ind w:left="1170" w:hanging="450"/>
      </w:pPr>
      <w:r>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48078B">
      <w:pPr>
        <w:ind w:left="1170" w:hanging="45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22BD570F" w:rsidR="005A6C4E" w:rsidRDefault="005A6C4E" w:rsidP="0048078B">
      <w:pPr>
        <w:ind w:left="1170" w:hanging="450"/>
      </w:pPr>
      <w:r>
        <w:t>F.</w:t>
      </w:r>
      <w:r>
        <w:tab/>
      </w:r>
      <w:r w:rsidR="00BF57F4">
        <w:t>E</w:t>
      </w:r>
      <w:r>
        <w:t xml:space="preserve">nable an individual </w:t>
      </w:r>
      <w:r w:rsidR="004144D7">
        <w:t xml:space="preserve">to </w:t>
      </w:r>
      <w:r>
        <w:t xml:space="preserve">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48078B">
      <w:pPr>
        <w:ind w:left="1170" w:hanging="450"/>
      </w:pPr>
      <w:r>
        <w:lastRenderedPageBreak/>
        <w:t>G.</w:t>
      </w:r>
      <w:r>
        <w:tab/>
      </w:r>
      <w:r w:rsidR="00BF57F4">
        <w:t>H</w:t>
      </w:r>
      <w:r>
        <w:t>elp an individual enter or advance within a specific occupation or occupational</w:t>
      </w:r>
      <w:r w:rsidR="004A01CE">
        <w:t xml:space="preserve"> cluster</w:t>
      </w:r>
      <w:r>
        <w:t>.</w:t>
      </w:r>
    </w:p>
    <w:p w14:paraId="386CCF7C" w14:textId="4C885F39" w:rsidR="006C52FB" w:rsidRDefault="00BF57F4" w:rsidP="006C52FB">
      <w:r>
        <w:t>What</w:t>
      </w:r>
      <w:r w:rsidR="006C52FB">
        <w:t xml:space="preserve"> undergirds both POS and career pathways is a course sequence</w:t>
      </w:r>
      <w:r w:rsidR="004144D7">
        <w:t>.</w:t>
      </w:r>
      <w:r w:rsidR="006C52FB">
        <w:t xml:space="preserve"> </w:t>
      </w:r>
      <w:r w:rsidR="004144D7">
        <w:t xml:space="preserve">A </w:t>
      </w:r>
      <w:r w:rsidR="006C52FB">
        <w:t>‘‘CTE sequence of courses” in California means a coordinated, nonduplicative arrangement of academic and technical content at the seconda</w:t>
      </w:r>
      <w:r w:rsidR="00A25499">
        <w:t>ry and postsecondary level that-</w:t>
      </w:r>
    </w:p>
    <w:p w14:paraId="416098BF" w14:textId="421B19B6" w:rsidR="006C52FB" w:rsidRDefault="00BF57F4" w:rsidP="0048078B">
      <w:pPr>
        <w:pStyle w:val="ListParagraph"/>
        <w:ind w:left="1170" w:hanging="45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48078B">
      <w:pPr>
        <w:pStyle w:val="ListParagraph"/>
        <w:ind w:left="1170" w:hanging="450"/>
      </w:pPr>
      <w:r>
        <w:t>A</w:t>
      </w:r>
      <w:r w:rsidR="006C52FB">
        <w:t>ddresses both academic and technical knowledge and skills, including employability skills;</w:t>
      </w:r>
    </w:p>
    <w:p w14:paraId="2C06C872" w14:textId="542E5E98" w:rsidR="006C52FB" w:rsidRDefault="00BF57F4" w:rsidP="0048078B">
      <w:pPr>
        <w:pStyle w:val="ListParagraph"/>
        <w:ind w:left="1170" w:hanging="450"/>
      </w:pPr>
      <w:r>
        <w:t>I</w:t>
      </w:r>
      <w:r w:rsidR="006C52FB">
        <w:t>s aligned with the needs of industries in the economy of the State, region, or local area;</w:t>
      </w:r>
    </w:p>
    <w:p w14:paraId="1B44844C" w14:textId="37219735" w:rsidR="006C52FB" w:rsidRDefault="00BF57F4" w:rsidP="0048078B">
      <w:pPr>
        <w:pStyle w:val="ListParagraph"/>
        <w:ind w:left="1170" w:hanging="450"/>
      </w:pPr>
      <w:r>
        <w:t>P</w:t>
      </w:r>
      <w:r w:rsidR="006C52FB">
        <w:t>rogresses in specificity (beginning with all aspects of an industry and leading to more occupation-specific instruction);</w:t>
      </w:r>
    </w:p>
    <w:p w14:paraId="2E942B02" w14:textId="4610BE99" w:rsidR="006C52FB" w:rsidRDefault="00BF57F4" w:rsidP="0048078B">
      <w:pPr>
        <w:pStyle w:val="ListParagraph"/>
        <w:ind w:left="1170" w:hanging="450"/>
      </w:pPr>
      <w:r>
        <w:t>H</w:t>
      </w:r>
      <w:r w:rsidR="006C52FB">
        <w:t>as multiple entry and exit points that incorporate credentialing; and</w:t>
      </w:r>
    </w:p>
    <w:p w14:paraId="0542A593" w14:textId="68E63055" w:rsidR="006C52FB" w:rsidRDefault="00BF57F4" w:rsidP="0048078B">
      <w:pPr>
        <w:pStyle w:val="ListParagraph"/>
        <w:ind w:left="1170" w:hanging="450"/>
      </w:pPr>
      <w:r>
        <w:t>C</w:t>
      </w:r>
      <w:r w:rsidR="006C52FB">
        <w:t>ulminates in the attainment of a recognized postsecondary credential.</w:t>
      </w:r>
    </w:p>
    <w:p w14:paraId="3EFD6E34" w14:textId="0E73C309" w:rsidR="004F3173" w:rsidRDefault="004F3173" w:rsidP="004F3173">
      <w:r>
        <w:t xml:space="preserve">Courses offered within </w:t>
      </w:r>
      <w:r w:rsidR="00BF57F4">
        <w:t xml:space="preserve">a </w:t>
      </w:r>
      <w:r>
        <w:t>CTE program are identified using the following criteria</w:t>
      </w:r>
      <w:r w:rsidR="00574850">
        <w:t xml:space="preserve"> set under Perkins IV</w:t>
      </w:r>
      <w:r w:rsidR="004A01CE">
        <w:t xml:space="preserve">. They </w:t>
      </w:r>
      <w:r w:rsidR="005F01B2">
        <w:t>should</w:t>
      </w:r>
      <w:r>
        <w:t>:</w:t>
      </w:r>
    </w:p>
    <w:p w14:paraId="20C02161" w14:textId="3F28668C" w:rsidR="009E369D" w:rsidRDefault="004F3173" w:rsidP="0048078B">
      <w:pPr>
        <w:pStyle w:val="ListParagraph"/>
        <w:ind w:left="1170" w:hanging="450"/>
      </w:pPr>
      <w:r w:rsidRPr="00CE4D45">
        <w:t>Be integral to an approved CTE sequence of courses</w:t>
      </w:r>
      <w:r w:rsidR="00A92EDA">
        <w:t>;</w:t>
      </w:r>
    </w:p>
    <w:p w14:paraId="031006BA" w14:textId="0BF2DBA9" w:rsidR="009E369D" w:rsidRDefault="004F3173" w:rsidP="0048078B">
      <w:pPr>
        <w:pStyle w:val="ListParagraph"/>
        <w:ind w:left="1170" w:hanging="450"/>
      </w:pPr>
      <w:r w:rsidRPr="00CE4D45">
        <w:t xml:space="preserve">Be explicitly designed to prepare students with career skills that lead to employment through a completion of high school, community college, </w:t>
      </w:r>
      <w:r w:rsidR="004144D7">
        <w:t xml:space="preserve">or </w:t>
      </w:r>
      <w:r w:rsidRPr="00CE4D45">
        <w:t xml:space="preserve">apprenticeship program, or first through enrollment and completion in a </w:t>
      </w:r>
      <w:r w:rsidR="00CE4D45">
        <w:br/>
      </w:r>
      <w:r w:rsidRPr="00CE4D45">
        <w:t>four-year college or university before entering employment</w:t>
      </w:r>
      <w:r w:rsidR="00A92EDA">
        <w:t>;</w:t>
      </w:r>
    </w:p>
    <w:p w14:paraId="6B45F439" w14:textId="7EE18ADA" w:rsidR="009E369D" w:rsidRDefault="004F3173" w:rsidP="0048078B">
      <w:pPr>
        <w:pStyle w:val="ListParagraph"/>
        <w:ind w:left="1170" w:hanging="450"/>
      </w:pPr>
      <w:r w:rsidRPr="00CE4D45">
        <w:t>Have no less than 50 percent of course curriculum and content directly related to the development of career knowledge and skills</w:t>
      </w:r>
      <w:r w:rsidR="00A92EDA">
        <w:t>;</w:t>
      </w:r>
    </w:p>
    <w:p w14:paraId="672E5048" w14:textId="2D98D0B2" w:rsidR="009E369D" w:rsidRDefault="004F3173" w:rsidP="0048078B">
      <w:pPr>
        <w:pStyle w:val="ListParagraph"/>
        <w:ind w:left="1170" w:hanging="450"/>
      </w:pPr>
      <w:r w:rsidRPr="00CE4D45">
        <w:lastRenderedPageBreak/>
        <w:t>Have business and industry involvement in the development and validation of the curriculum</w:t>
      </w:r>
      <w:r w:rsidR="00A92EDA">
        <w:t>;</w:t>
      </w:r>
      <w:r w:rsidR="00CE4D45">
        <w:t xml:space="preserve"> and</w:t>
      </w:r>
    </w:p>
    <w:p w14:paraId="257C2A9C" w14:textId="54200D7B" w:rsidR="004F3173" w:rsidRPr="00CE4D45" w:rsidRDefault="004F3173" w:rsidP="0048078B">
      <w:pPr>
        <w:pStyle w:val="ListParagraph"/>
        <w:ind w:left="1170" w:hanging="450"/>
      </w:pPr>
      <w:r w:rsidRPr="00CE4D45">
        <w:t xml:space="preserve">Be taught by a teacher who meets the CTE teacher credential and occupational experience qualifications, as approved by the </w:t>
      </w:r>
      <w:r w:rsidR="004144D7">
        <w:t xml:space="preserve">California </w:t>
      </w:r>
      <w:r w:rsidRPr="00CE4D45">
        <w:t>C</w:t>
      </w:r>
      <w:r w:rsidR="00D61B08">
        <w:t xml:space="preserve">ommission on </w:t>
      </w:r>
      <w:r w:rsidRPr="00CE4D45">
        <w:t>T</w:t>
      </w:r>
      <w:r w:rsidR="00D61B08">
        <w:t xml:space="preserve">eacher </w:t>
      </w:r>
      <w:r w:rsidRPr="00CE4D45">
        <w:t>C</w:t>
      </w:r>
      <w:r w:rsidR="00D61B08">
        <w:t>redentialing (</w:t>
      </w:r>
      <w:r w:rsidR="00FC4640">
        <w:t>C</w:t>
      </w:r>
      <w:r w:rsidR="00D61B08">
        <w:t>CTC)</w:t>
      </w:r>
      <w:r w:rsidRPr="00CE4D45">
        <w:t>.</w:t>
      </w:r>
    </w:p>
    <w:p w14:paraId="63274300" w14:textId="15077DBA" w:rsidR="005678F9" w:rsidRDefault="005678F9" w:rsidP="003F1324">
      <w:r w:rsidRPr="005678F9">
        <w:t>Summarizing, each eligible recipient in California receiving Perkins V funds is responsible for developing a minimum of one POS, as set forth in the local application plan. To be approved, a POS must demonstrate integration of general academic courses, incorporate a full sequence of CTE courses from introductory to capstone, include at least one locally approved early college credit course, provide multiple entry and exit points, and align with an industry-recognized credential or certificate of achievement. The POS requirement carries forward from Perkins IV but with more specifi</w:t>
      </w:r>
      <w:r>
        <w:t>ci</w:t>
      </w:r>
      <w:r w:rsidRPr="005678F9">
        <w:t>ty. Discussed next is the program approval process used at the secondary and community college levels.</w:t>
      </w:r>
    </w:p>
    <w:p w14:paraId="7AFE38BC" w14:textId="575B4307" w:rsidR="00C33240" w:rsidRPr="002F2687" w:rsidRDefault="00C33240" w:rsidP="003F1324">
      <w:r w:rsidRPr="002F2687">
        <w:rPr>
          <w:b/>
        </w:rPr>
        <w:t>Response</w:t>
      </w:r>
      <w:r w:rsidR="00BF1FE0" w:rsidRPr="002F2687">
        <w:rPr>
          <w:b/>
        </w:rPr>
        <w:t xml:space="preserve"> for </w:t>
      </w:r>
      <w:r w:rsidR="005678F9">
        <w:rPr>
          <w:b/>
        </w:rPr>
        <w:t xml:space="preserve">the </w:t>
      </w:r>
      <w:r w:rsidR="00FA7A5E">
        <w:rPr>
          <w:b/>
        </w:rPr>
        <w:t>LEA CTE Approval Process</w:t>
      </w:r>
      <w:r w:rsidRPr="002F2687">
        <w:rPr>
          <w:b/>
        </w:rPr>
        <w:t>:</w:t>
      </w:r>
    </w:p>
    <w:p w14:paraId="000D08F0" w14:textId="23FDD28C" w:rsidR="00EB0EB9" w:rsidRDefault="00EB0EB9" w:rsidP="00EB0EB9">
      <w:r>
        <w:t xml:space="preserve">Each CTE program </w:t>
      </w:r>
      <w:r w:rsidR="00400651">
        <w:t xml:space="preserve">should </w:t>
      </w:r>
      <w:r>
        <w:t>incorporate a sequence of courses that provides students with coherent and rigorous content aligned with challenging academic standards and relevant technical knowledge and skills</w:t>
      </w:r>
      <w:r w:rsidR="00BF57F4">
        <w:t xml:space="preserve">. Each CTE program </w:t>
      </w:r>
      <w:r w:rsidR="00A25499">
        <w:t>should</w:t>
      </w:r>
      <w:r w:rsidR="00BF57F4">
        <w:t xml:space="preserve"> abide by </w:t>
      </w:r>
      <w:r>
        <w:t xml:space="preserve">the following planning, organization, and instructional elements determined by the </w:t>
      </w:r>
      <w:r w:rsidR="00D857D4">
        <w:t>S</w:t>
      </w:r>
      <w:r>
        <w:t>tate to be critical to high-quality CTE programs:</w:t>
      </w:r>
    </w:p>
    <w:p w14:paraId="4C365A8D" w14:textId="792A0E8A" w:rsidR="009E369D" w:rsidRDefault="00EB0EB9" w:rsidP="0048078B">
      <w:pPr>
        <w:pStyle w:val="ListParagraph"/>
        <w:ind w:left="1170" w:hanging="450"/>
      </w:pPr>
      <w:r w:rsidRPr="00D151CA">
        <w:t xml:space="preserve">Be staffed by qualified CTE teachers, meaning teachers (1) </w:t>
      </w:r>
      <w:r w:rsidR="004A01CE">
        <w:t xml:space="preserve">who </w:t>
      </w:r>
      <w:r w:rsidRPr="00D151CA">
        <w:t>possess a Standard Secondary, Single-Subject</w:t>
      </w:r>
      <w:r w:rsidR="004144D7">
        <w:t>,</w:t>
      </w:r>
      <w:r w:rsidRPr="00D151CA">
        <w:t xml:space="preserve"> or Designated-Subject CTE credential </w:t>
      </w:r>
      <w:r w:rsidR="004A01CE">
        <w:t>that</w:t>
      </w:r>
      <w:r w:rsidRPr="00D151CA">
        <w:t xml:space="preserve"> authorizes the teaching of the CTE course(s) to which assigned, and (2) </w:t>
      </w:r>
      <w:r w:rsidR="004A01CE">
        <w:t xml:space="preserve">who </w:t>
      </w:r>
      <w:r w:rsidRPr="00D151CA">
        <w:t>can document employment experience, outside education, in the career pathway addressed by the program or other evidence of equivalent proficiency. The minimum qualifications</w:t>
      </w:r>
      <w:r w:rsidR="00FF6550">
        <w:t xml:space="preserve"> (MQs)</w:t>
      </w:r>
      <w:r w:rsidRPr="00D151CA">
        <w:t xml:space="preserve"> for community college CTE teachers are established in Title 5 of the C</w:t>
      </w:r>
      <w:r w:rsidR="004A01CE">
        <w:t>alifornia</w:t>
      </w:r>
      <w:r w:rsidRPr="00D151CA">
        <w:t xml:space="preserve"> Administrative Code.</w:t>
      </w:r>
    </w:p>
    <w:p w14:paraId="70B47657" w14:textId="3435977E" w:rsidR="009E369D" w:rsidRDefault="00EB0EB9" w:rsidP="0048078B">
      <w:pPr>
        <w:pStyle w:val="ListParagraph"/>
        <w:ind w:left="1170" w:hanging="450"/>
      </w:pPr>
      <w:r w:rsidRPr="00D151CA">
        <w:lastRenderedPageBreak/>
        <w:t>Focus on current or emerging high</w:t>
      </w:r>
      <w:r w:rsidR="004144D7">
        <w:t>-</w:t>
      </w:r>
      <w:r w:rsidRPr="00D151CA">
        <w:t>skill, high</w:t>
      </w:r>
      <w:r w:rsidR="004144D7">
        <w:t>-</w:t>
      </w:r>
      <w:r w:rsidRPr="00D151CA">
        <w:t>wage</w:t>
      </w:r>
      <w:r w:rsidR="004A01CE">
        <w:t>, and</w:t>
      </w:r>
      <w:r w:rsidRPr="00D151CA">
        <w:t xml:space="preserve"> high</w:t>
      </w:r>
      <w:r w:rsidR="004144D7">
        <w:t>-</w:t>
      </w:r>
      <w:r w:rsidRPr="00D151CA">
        <w:t>demand occupations.</w:t>
      </w:r>
    </w:p>
    <w:p w14:paraId="6184043C" w14:textId="3FED0790" w:rsidR="009E369D" w:rsidRDefault="00EB0EB9" w:rsidP="0048078B">
      <w:pPr>
        <w:pStyle w:val="ListParagraph"/>
        <w:ind w:left="1170" w:hanging="450"/>
      </w:pPr>
      <w:r w:rsidRPr="00D151CA">
        <w:t xml:space="preserve">Be aligned with the CTEMCS. </w:t>
      </w:r>
    </w:p>
    <w:p w14:paraId="63CAB364" w14:textId="025F7284" w:rsidR="009E369D" w:rsidRDefault="00EB0EB9" w:rsidP="0048078B">
      <w:pPr>
        <w:pStyle w:val="ListParagraph"/>
        <w:ind w:left="1170" w:hanging="450"/>
      </w:pPr>
      <w:r w:rsidRPr="00D151CA">
        <w:t>Engage students</w:t>
      </w:r>
      <w:r w:rsidR="00031377">
        <w:t>.</w:t>
      </w:r>
    </w:p>
    <w:p w14:paraId="2D97C89A" w14:textId="77777777" w:rsidR="009E369D" w:rsidRDefault="00EB0EB9" w:rsidP="0048078B">
      <w:pPr>
        <w:pStyle w:val="ListParagraph"/>
        <w:ind w:left="1170" w:hanging="450"/>
      </w:pPr>
      <w:r w:rsidRPr="00D151CA">
        <w:t>Eliminate barriers for participation in pathway programs to provide equitable access.</w:t>
      </w:r>
    </w:p>
    <w:p w14:paraId="2DFC9DD3" w14:textId="07018A67" w:rsidR="00031377" w:rsidRDefault="00EB0EB9" w:rsidP="0048078B">
      <w:pPr>
        <w:pStyle w:val="ListParagraph"/>
        <w:ind w:left="1170" w:hanging="450"/>
      </w:pPr>
      <w:r w:rsidRPr="00D151CA">
        <w:t>Provide appropriate, effective, and timely support services for all students, including special populations</w:t>
      </w:r>
      <w:r w:rsidR="005B431D">
        <w:t>, students enrolled in educational options and programs,</w:t>
      </w:r>
      <w:r w:rsidRPr="00D151CA">
        <w:t xml:space="preserve"> and </w:t>
      </w:r>
      <w:r w:rsidR="004144D7">
        <w:t>students</w:t>
      </w:r>
      <w:r w:rsidR="004144D7" w:rsidRPr="00D151CA">
        <w:t xml:space="preserve"> </w:t>
      </w:r>
      <w:r w:rsidRPr="00D151CA">
        <w:t>preparing for nontraditional occupations.</w:t>
      </w:r>
    </w:p>
    <w:p w14:paraId="0D4A5BAA" w14:textId="15DBAF0D" w:rsidR="003D4DA3" w:rsidRDefault="003D4DA3" w:rsidP="0048078B">
      <w:pPr>
        <w:pStyle w:val="ListParagraph"/>
        <w:ind w:left="1170" w:hanging="450"/>
      </w:pPr>
      <w:r w:rsidRPr="003D4DA3">
        <w:t xml:space="preserve">Have extensive business and industry involvement, as evidenced by </w:t>
      </w:r>
      <w:r w:rsidR="008B3DC5">
        <w:t xml:space="preserve">the </w:t>
      </w:r>
      <w:r w:rsidRPr="003D4DA3">
        <w:t>use of labor market and employment information, alignment with regional employment demand, planned business and industry involvement in program development, and coordination with regional business engagement entities</w:t>
      </w:r>
      <w:r>
        <w:t>.</w:t>
      </w:r>
    </w:p>
    <w:p w14:paraId="26E1D54E" w14:textId="17CF7864" w:rsidR="00031377" w:rsidRDefault="00EB0EB9" w:rsidP="0048078B">
      <w:pPr>
        <w:pStyle w:val="ListParagraph"/>
        <w:ind w:left="1170" w:hanging="450"/>
      </w:pPr>
      <w:r w:rsidRPr="00D151CA">
        <w:t>Provide for certification of students who achieve industry-recognized skill and knowledge requirements.</w:t>
      </w:r>
    </w:p>
    <w:p w14:paraId="169144B5" w14:textId="77777777" w:rsidR="00031377" w:rsidRDefault="00EB0EB9" w:rsidP="0048078B">
      <w:pPr>
        <w:pStyle w:val="ListParagraph"/>
        <w:ind w:left="1170" w:hanging="450"/>
      </w:pPr>
      <w:r w:rsidRPr="00D151CA">
        <w:t>Be aligned with applicable feeder and advanced-level instruction in the same career pathway.</w:t>
      </w:r>
    </w:p>
    <w:p w14:paraId="29F9FA60" w14:textId="77777777" w:rsidR="00031377" w:rsidRDefault="00EB0EB9" w:rsidP="0048078B">
      <w:pPr>
        <w:pStyle w:val="ListParagraph"/>
        <w:ind w:left="1170" w:hanging="450"/>
      </w:pPr>
      <w:r w:rsidRPr="00D151CA">
        <w:t>Integrate the development of CTE and academic skills in order to prepare students for immediate employment upon graduation and for further education or training.</w:t>
      </w:r>
    </w:p>
    <w:p w14:paraId="13E79BDE" w14:textId="3A3C6075" w:rsidR="00031377" w:rsidRDefault="00EB0EB9" w:rsidP="0048078B">
      <w:pPr>
        <w:pStyle w:val="ListParagraph"/>
        <w:ind w:left="1170" w:hanging="45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48078B">
      <w:pPr>
        <w:pStyle w:val="ListParagraph"/>
        <w:ind w:left="1170" w:hanging="450"/>
      </w:pPr>
      <w:r w:rsidRPr="00D151CA">
        <w:t>Include planned career awareness and exploration experiences.</w:t>
      </w:r>
    </w:p>
    <w:p w14:paraId="070CC5B9" w14:textId="61274BC9" w:rsidR="00031377" w:rsidRDefault="00EB0EB9" w:rsidP="0048078B">
      <w:pPr>
        <w:pStyle w:val="ListParagraph"/>
        <w:ind w:left="1170" w:hanging="450"/>
      </w:pPr>
      <w:r w:rsidRPr="00D151CA">
        <w:t xml:space="preserve">Provide for the development of student leadership skills through established </w:t>
      </w:r>
      <w:r w:rsidR="00A932EE">
        <w:t>Career Technical Student Organizations (</w:t>
      </w:r>
      <w:r w:rsidRPr="00D151CA">
        <w:t>CTSO</w:t>
      </w:r>
      <w:r w:rsidR="00C1557C">
        <w:t>s</w:t>
      </w:r>
      <w:r w:rsidR="00A932EE">
        <w:t>)</w:t>
      </w:r>
      <w:r w:rsidRPr="00D151CA">
        <w:t xml:space="preserve"> or an alternat</w:t>
      </w:r>
      <w:r w:rsidR="004144D7">
        <w:t>iv</w:t>
      </w:r>
      <w:r w:rsidRPr="00D151CA">
        <w:t xml:space="preserve">e strategy </w:t>
      </w:r>
      <w:r w:rsidRPr="00D151CA">
        <w:lastRenderedPageBreak/>
        <w:t>that incorporates this instruction in all of the courses that make up the sequence.</w:t>
      </w:r>
    </w:p>
    <w:p w14:paraId="4B7CDF2B" w14:textId="77777777" w:rsidR="00031377" w:rsidRDefault="00EB0EB9" w:rsidP="0048078B">
      <w:pPr>
        <w:pStyle w:val="ListParagraph"/>
        <w:ind w:left="1170" w:hanging="450"/>
      </w:pPr>
      <w:r w:rsidRPr="00D151CA">
        <w:t>Use both formative and summative assessment results to determine needed program improvements, modifications, and PD activities for staff.</w:t>
      </w:r>
    </w:p>
    <w:p w14:paraId="090AEC72" w14:textId="68E00DAD" w:rsidR="00031377" w:rsidRDefault="00EB0EB9" w:rsidP="0048078B">
      <w:pPr>
        <w:pStyle w:val="ListParagraph"/>
        <w:ind w:left="1170" w:hanging="450"/>
      </w:pPr>
      <w:r w:rsidRPr="00D151CA">
        <w:t xml:space="preserve">Use annual evaluation results to determine </w:t>
      </w:r>
      <w:r w:rsidR="004A01CE">
        <w:t xml:space="preserve">the </w:t>
      </w:r>
      <w:r w:rsidRPr="00D151CA">
        <w:t>effectiveness of each career pathway program</w:t>
      </w:r>
      <w:r w:rsidR="004144D7">
        <w:t>,</w:t>
      </w:r>
      <w:r w:rsidRPr="00D151CA">
        <w:t xml:space="preserve"> and share these results with students, parents, business and industry</w:t>
      </w:r>
      <w:r w:rsidR="004144D7">
        <w:t>,</w:t>
      </w:r>
      <w:r w:rsidRPr="00D151CA">
        <w:t xml:space="preserve"> and the general public.</w:t>
      </w:r>
    </w:p>
    <w:p w14:paraId="571EB686" w14:textId="70BFCC3B" w:rsidR="004F3173" w:rsidRPr="00D151CA" w:rsidRDefault="00EB0EB9" w:rsidP="0048078B">
      <w:pPr>
        <w:pStyle w:val="ListParagraph"/>
        <w:ind w:left="1170" w:hanging="450"/>
      </w:pPr>
      <w:r w:rsidRPr="00D151CA">
        <w:t>Have a systematic plan for promoting the program to all concerned groups, including, but not limited to, students, parents, counselors, site and district administrators, and postsecondary educational agencies.</w:t>
      </w:r>
    </w:p>
    <w:p w14:paraId="4458ECB3" w14:textId="109ED045" w:rsidR="00EB0EB9" w:rsidRDefault="00EB0EB9" w:rsidP="00EB0EB9">
      <w:r w:rsidRPr="009943DF">
        <w:rPr>
          <w:b/>
        </w:rPr>
        <w:t>The California CTEMCS and Framework</w:t>
      </w:r>
      <w:r w:rsidR="0052753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w:t>
      </w:r>
      <w:r w:rsidR="00463364">
        <w:t>,</w:t>
      </w:r>
      <w:r>
        <w:t xml:space="preserve"> designed to prepare students to be both career and college ready</w:t>
      </w:r>
      <w:r w:rsidR="00BF57F4">
        <w:t xml:space="preserve"> and to align </w:t>
      </w:r>
      <w:r>
        <w:t>with the Common Core State Standards</w:t>
      </w:r>
      <w:r w:rsidR="00BF57F4">
        <w:t xml:space="preserve"> and the</w:t>
      </w:r>
      <w:r>
        <w:t xml:space="preserve"> Next Generation Science </w:t>
      </w:r>
      <w:r w:rsidR="00463364">
        <w:t xml:space="preserve">Standards’ </w:t>
      </w:r>
      <w:r>
        <w:t>Core Ideas</w:t>
      </w:r>
      <w:r w:rsidR="00BF57F4">
        <w:t xml:space="preserve">. </w:t>
      </w:r>
      <w:r>
        <w:t xml:space="preserve">The </w:t>
      </w:r>
      <w:r w:rsidR="00BF57F4">
        <w:t>CTEMCS</w:t>
      </w:r>
      <w:r>
        <w:t xml:space="preserve"> are organized in three distinct levels:</w:t>
      </w:r>
    </w:p>
    <w:p w14:paraId="7FC39916" w14:textId="3B934AF7" w:rsidR="00031377" w:rsidRDefault="00EB0EB9" w:rsidP="0048078B">
      <w:pPr>
        <w:pStyle w:val="ListParagraph"/>
        <w:ind w:left="1170" w:hanging="450"/>
      </w:pPr>
      <w:r w:rsidRPr="00D610E9">
        <w:t>Standards for Career Ready Practice describe the fundamental knowledge and skills that students need</w:t>
      </w:r>
      <w:r w:rsidR="004A01CE">
        <w:t xml:space="preserve"> in order</w:t>
      </w:r>
      <w:r w:rsidRPr="00D610E9">
        <w:t xml:space="preserve"> to prepare for transition to postsecondary education, career training, or the workforce. These standards 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418E4AB0" w:rsidR="00031377" w:rsidRDefault="00EB0EB9" w:rsidP="0048078B">
      <w:pPr>
        <w:pStyle w:val="ListParagraph"/>
        <w:ind w:left="1170" w:hanging="450"/>
      </w:pPr>
      <w:r w:rsidRPr="00D610E9">
        <w:t xml:space="preserve">Anchor Standards build on the Standards for Career Ready Practice and are common across each of the 15 </w:t>
      </w:r>
      <w:r w:rsidR="00107195">
        <w:t>I</w:t>
      </w:r>
      <w:r w:rsidRPr="00D610E9">
        <w:t xml:space="preserve">ndustry </w:t>
      </w:r>
      <w:r w:rsidR="00107195">
        <w:t>S</w:t>
      </w:r>
      <w:r w:rsidRPr="00D610E9">
        <w:t xml:space="preserve">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72151991" w:rsidR="00EB0EB9" w:rsidRPr="00D610E9" w:rsidRDefault="00EB0EB9" w:rsidP="0048078B">
      <w:pPr>
        <w:pStyle w:val="ListParagraph"/>
        <w:ind w:left="1170" w:hanging="450"/>
      </w:pPr>
      <w:r w:rsidRPr="00D610E9">
        <w:t xml:space="preserve">Pathway Standards were developed for each of the 15 </w:t>
      </w:r>
      <w:r w:rsidR="00107195">
        <w:t>I</w:t>
      </w:r>
      <w:r w:rsidRPr="00D610E9">
        <w:t xml:space="preserve">ndustry </w:t>
      </w:r>
      <w:r w:rsidR="00107195">
        <w:t>S</w:t>
      </w:r>
      <w:r w:rsidRPr="00D610E9">
        <w:t xml:space="preserve">ectors. Each </w:t>
      </w:r>
      <w:r w:rsidR="00107195">
        <w:t>I</w:t>
      </w:r>
      <w:r w:rsidRPr="00D610E9">
        <w:t xml:space="preserve">ndustry </w:t>
      </w:r>
      <w:r w:rsidR="00107195">
        <w:t>S</w:t>
      </w:r>
      <w:r w:rsidRPr="00D610E9">
        <w:t xml:space="preserve">ector is divided into </w:t>
      </w:r>
      <w:r w:rsidR="00E5016A">
        <w:t>three</w:t>
      </w:r>
      <w:r w:rsidR="00E5016A" w:rsidRPr="00D610E9">
        <w:t xml:space="preserve"> </w:t>
      </w:r>
      <w:r w:rsidRPr="00D610E9">
        <w:t xml:space="preserve">to seven different pathways. The </w:t>
      </w:r>
      <w:r w:rsidRPr="00D610E9">
        <w:lastRenderedPageBreak/>
        <w:t>Pathway Standards are organized around a career focus and a sequence of learning to best meet the local demands of business and industry.</w:t>
      </w:r>
    </w:p>
    <w:p w14:paraId="4032D5F7" w14:textId="01564C2F" w:rsidR="00EB0EB9" w:rsidRDefault="00AE3F5A" w:rsidP="00EB0EB9">
      <w:r>
        <w:t>In addition</w:t>
      </w:r>
      <w:r w:rsidR="00EB0EB9">
        <w:t xml:space="preserve">, each </w:t>
      </w:r>
      <w:r w:rsidR="00107195">
        <w:t>I</w:t>
      </w:r>
      <w:r w:rsidR="00EB0EB9">
        <w:t xml:space="preserve">ndustry </w:t>
      </w:r>
      <w:r w:rsidR="00107195">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7D35D832" w:rsidR="008276D8" w:rsidRDefault="008276D8" w:rsidP="008276D8">
      <w:r w:rsidRPr="00417741">
        <w:rPr>
          <w:b/>
        </w:rPr>
        <w:t>K–12 Standards Aligned to Industry Needs</w:t>
      </w:r>
      <w:r w:rsidR="0052753F">
        <w:rPr>
          <w:b/>
        </w:rPr>
        <w:t>:</w:t>
      </w:r>
      <w:r w:rsidR="00417741" w:rsidRPr="0052753F">
        <w:t xml:space="preserve"> </w:t>
      </w:r>
      <w:r>
        <w:t>There is widespread agreement among business and industry, labor, educators, and policymakers that the CTE system must focus on the preparation of students for high</w:t>
      </w:r>
      <w:r w:rsidR="00463364">
        <w:t>-</w:t>
      </w:r>
      <w:r>
        <w:t>skill, high</w:t>
      </w:r>
      <w:r w:rsidR="00463364">
        <w:t>-</w:t>
      </w:r>
      <w:r>
        <w:t>wage, or in</w:t>
      </w:r>
      <w:r w:rsidR="00463364">
        <w:t>-</w:t>
      </w:r>
      <w:r>
        <w:t xml:space="preserve">demand occupations. After considerable research, it was determined that CTE programs in California should be clustered around 15 broad </w:t>
      </w:r>
      <w:r w:rsidR="00107195">
        <w:t>I</w:t>
      </w:r>
      <w:r>
        <w:t xml:space="preserve">ndustry </w:t>
      </w:r>
      <w:r w:rsidR="00107195">
        <w:t>S</w:t>
      </w:r>
      <w:r>
        <w:t>ectors</w:t>
      </w:r>
      <w:r w:rsidR="00CF7152">
        <w:t>,</w:t>
      </w:r>
      <w:r>
        <w:rPr>
          <w:rStyle w:val="FootnoteReference"/>
        </w:rPr>
        <w:footnoteReference w:id="14"/>
      </w:r>
      <w:r>
        <w:t xml:space="preserve"> reflecting the intersection of California’s economic needs and the educational needs of its K–12, ROCP, and adult school students. In addition, within each sector, three to seven career pathways have been identified. The sectors are as follows:</w:t>
      </w:r>
    </w:p>
    <w:p w14:paraId="5242F947" w14:textId="77777777" w:rsidR="00031377" w:rsidRDefault="008276D8" w:rsidP="0048078B">
      <w:pPr>
        <w:pStyle w:val="ListParagraph"/>
        <w:ind w:left="1170" w:hanging="450"/>
      </w:pPr>
      <w:r w:rsidRPr="00417741">
        <w:t>Agriculture and Natural Resources</w:t>
      </w:r>
    </w:p>
    <w:p w14:paraId="6203D9D5" w14:textId="77777777" w:rsidR="00031377" w:rsidRDefault="008276D8" w:rsidP="0048078B">
      <w:pPr>
        <w:pStyle w:val="ListParagraph"/>
        <w:ind w:left="1170" w:hanging="450"/>
      </w:pPr>
      <w:r w:rsidRPr="00417741">
        <w:t>Arts, Media, and Entertainment</w:t>
      </w:r>
    </w:p>
    <w:p w14:paraId="67E0384F" w14:textId="77777777" w:rsidR="00031377" w:rsidRDefault="008276D8" w:rsidP="0048078B">
      <w:pPr>
        <w:pStyle w:val="ListParagraph"/>
        <w:ind w:left="1170" w:hanging="450"/>
      </w:pPr>
      <w:r w:rsidRPr="00417741">
        <w:t>Building and Construction Trades</w:t>
      </w:r>
    </w:p>
    <w:p w14:paraId="75546DCC" w14:textId="77777777" w:rsidR="00031377" w:rsidRDefault="008276D8" w:rsidP="0048078B">
      <w:pPr>
        <w:pStyle w:val="ListParagraph"/>
        <w:ind w:left="1170" w:hanging="450"/>
      </w:pPr>
      <w:r w:rsidRPr="00417741">
        <w:t>Business and Finance</w:t>
      </w:r>
    </w:p>
    <w:p w14:paraId="5AE85610" w14:textId="77777777" w:rsidR="00031377" w:rsidRDefault="008276D8" w:rsidP="0048078B">
      <w:pPr>
        <w:pStyle w:val="ListParagraph"/>
        <w:ind w:left="1170" w:hanging="450"/>
      </w:pPr>
      <w:r w:rsidRPr="00417741">
        <w:t>Education, Child Development, and Family Services</w:t>
      </w:r>
    </w:p>
    <w:p w14:paraId="5EAC4D8D" w14:textId="77777777" w:rsidR="00031377" w:rsidRDefault="008276D8" w:rsidP="0048078B">
      <w:pPr>
        <w:pStyle w:val="ListParagraph"/>
        <w:ind w:left="1170" w:hanging="450"/>
      </w:pPr>
      <w:r w:rsidRPr="00417741">
        <w:t>Energy, Environment, and Utilities</w:t>
      </w:r>
    </w:p>
    <w:p w14:paraId="507F4657" w14:textId="77777777" w:rsidR="00031377" w:rsidRDefault="008276D8" w:rsidP="0048078B">
      <w:pPr>
        <w:pStyle w:val="ListParagraph"/>
        <w:ind w:left="1170" w:hanging="450"/>
      </w:pPr>
      <w:r w:rsidRPr="00417741">
        <w:t>Engineering and Architecture</w:t>
      </w:r>
    </w:p>
    <w:p w14:paraId="63CBEA60" w14:textId="77777777" w:rsidR="00031377" w:rsidRDefault="008276D8" w:rsidP="0048078B">
      <w:pPr>
        <w:pStyle w:val="ListParagraph"/>
        <w:ind w:left="1170" w:hanging="450"/>
      </w:pPr>
      <w:r w:rsidRPr="00417741">
        <w:lastRenderedPageBreak/>
        <w:t>Fashion and Interior Design</w:t>
      </w:r>
    </w:p>
    <w:p w14:paraId="3DCF122D" w14:textId="77777777" w:rsidR="00031377" w:rsidRDefault="008276D8" w:rsidP="0048078B">
      <w:pPr>
        <w:pStyle w:val="ListParagraph"/>
        <w:ind w:left="1170" w:hanging="450"/>
      </w:pPr>
      <w:r w:rsidRPr="00417741">
        <w:t>Health Science and Medical Technology</w:t>
      </w:r>
    </w:p>
    <w:p w14:paraId="4F4CBD9B" w14:textId="77777777" w:rsidR="00031377" w:rsidRDefault="008276D8" w:rsidP="0048078B">
      <w:pPr>
        <w:pStyle w:val="ListParagraph"/>
        <w:ind w:left="1170" w:hanging="450"/>
      </w:pPr>
      <w:r w:rsidRPr="00417741">
        <w:t>Hospitality, Tourism, and Recreation</w:t>
      </w:r>
    </w:p>
    <w:p w14:paraId="4D4C8A85" w14:textId="098DA41F" w:rsidR="00031377" w:rsidRDefault="008276D8" w:rsidP="0048078B">
      <w:pPr>
        <w:pStyle w:val="ListParagraph"/>
        <w:ind w:left="1170" w:hanging="450"/>
      </w:pPr>
      <w:r w:rsidRPr="00417741">
        <w:t>Information and Communication Technolog</w:t>
      </w:r>
      <w:r w:rsidR="00463364">
        <w:t>ies</w:t>
      </w:r>
    </w:p>
    <w:p w14:paraId="78BE982D" w14:textId="42E0FBB8" w:rsidR="00031377" w:rsidRDefault="008276D8" w:rsidP="0048078B">
      <w:pPr>
        <w:pStyle w:val="ListParagraph"/>
        <w:ind w:left="1170" w:hanging="450"/>
      </w:pPr>
      <w:r w:rsidRPr="00417741">
        <w:t>Manufacturing and Product Developmen</w:t>
      </w:r>
      <w:r w:rsidR="00031377">
        <w:t>t</w:t>
      </w:r>
    </w:p>
    <w:p w14:paraId="781B316A" w14:textId="77777777" w:rsidR="00031377" w:rsidRDefault="008276D8" w:rsidP="0048078B">
      <w:pPr>
        <w:pStyle w:val="ListParagraph"/>
        <w:ind w:left="1170" w:hanging="450"/>
      </w:pPr>
      <w:r w:rsidRPr="00417741">
        <w:t>Marketing, Sales, and Service</w:t>
      </w:r>
    </w:p>
    <w:p w14:paraId="7A2BB922" w14:textId="77777777" w:rsidR="00031377" w:rsidRDefault="008276D8" w:rsidP="0048078B">
      <w:pPr>
        <w:pStyle w:val="ListParagraph"/>
        <w:ind w:left="1170" w:hanging="450"/>
      </w:pPr>
      <w:r w:rsidRPr="00417741">
        <w:t>Public Services</w:t>
      </w:r>
    </w:p>
    <w:p w14:paraId="7E20F1F0" w14:textId="775E5D3C" w:rsidR="008276D8" w:rsidRPr="00417741" w:rsidRDefault="008276D8" w:rsidP="0048078B">
      <w:pPr>
        <w:pStyle w:val="ListParagraph"/>
        <w:ind w:left="1170" w:hanging="450"/>
      </w:pPr>
      <w:r w:rsidRPr="00417741">
        <w:t>Transportation</w:t>
      </w:r>
    </w:p>
    <w:p w14:paraId="7BB5ADC9" w14:textId="69EA503D"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107195">
        <w:t>I</w:t>
      </w:r>
      <w:r w:rsidR="00EB0EB9">
        <w:t xml:space="preserve">ndustry </w:t>
      </w:r>
      <w:r w:rsidR="00107195">
        <w:t>S</w:t>
      </w:r>
      <w:r w:rsidR="00EB0EB9">
        <w:t>ectors provide a framework for organizing technical assistance, PD, industry engagement, and advisory committees</w:t>
      </w:r>
      <w:r w:rsidR="00B168F9">
        <w:t>.</w:t>
      </w:r>
    </w:p>
    <w:p w14:paraId="6F05B688" w14:textId="6576DDBB" w:rsidR="00B168F9" w:rsidRDefault="00B168F9" w:rsidP="00B168F9">
      <w:r w:rsidRPr="00740C61">
        <w:rPr>
          <w:b/>
        </w:rPr>
        <w:t>Sequences of Courses for CTE Programs</w:t>
      </w:r>
      <w:r w:rsidR="0052753F">
        <w:rPr>
          <w:b/>
        </w:rPr>
        <w:t>:</w:t>
      </w:r>
      <w:r w:rsidR="00740C61">
        <w:t xml:space="preserve"> </w:t>
      </w:r>
      <w:r>
        <w:t xml:space="preserve">Sequences of courses making up a career pathway program </w:t>
      </w:r>
      <w:r w:rsidR="00400651">
        <w:t>should</w:t>
      </w:r>
      <w:r>
        <w:t>:</w:t>
      </w:r>
    </w:p>
    <w:p w14:paraId="108BAC6C" w14:textId="19DDE5D9" w:rsidR="00031377" w:rsidRDefault="00B168F9" w:rsidP="0048078B">
      <w:pPr>
        <w:pStyle w:val="ListParagraph"/>
        <w:ind w:left="1170" w:hanging="450"/>
      </w:pPr>
      <w:r w:rsidRPr="00740C61">
        <w:t>Consist of not less than two full-year CTE courses with a combined duration of not less than 300 hours</w:t>
      </w:r>
      <w:r w:rsidR="00305FF0">
        <w:t>,</w:t>
      </w:r>
      <w:r w:rsidRPr="00740C61">
        <w:t xml:space="preserve"> or a single, multiple-hour course </w:t>
      </w:r>
      <w:r w:rsidR="00AE3F5A">
        <w:t>that</w:t>
      </w:r>
      <w:r w:rsidRPr="00740C61">
        <w:t xml:space="preserve"> provides sequential units of instruction and has a duration of not less than 300 hours</w:t>
      </w:r>
      <w:r w:rsidR="00AE3F5A">
        <w:t>;</w:t>
      </w:r>
    </w:p>
    <w:p w14:paraId="019F565C" w14:textId="75B45D24" w:rsidR="00031377" w:rsidRDefault="00B168F9" w:rsidP="0048078B">
      <w:pPr>
        <w:pStyle w:val="ListParagraph"/>
        <w:ind w:left="1170" w:hanging="45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w:t>
      </w:r>
      <w:r w:rsidR="00D73483">
        <w:t>(s)</w:t>
      </w:r>
      <w:r w:rsidRPr="00740C61">
        <w:t xml:space="preserve"> targeted by the program</w:t>
      </w:r>
      <w:r w:rsidR="00AE3F5A">
        <w:t>; and</w:t>
      </w:r>
    </w:p>
    <w:p w14:paraId="5C8B9753" w14:textId="1B114C0D" w:rsidR="00B168F9" w:rsidRPr="00740C61" w:rsidRDefault="00B168F9" w:rsidP="0048078B">
      <w:pPr>
        <w:pStyle w:val="ListParagraph"/>
        <w:ind w:left="1170" w:hanging="450"/>
      </w:pPr>
      <w:r w:rsidRPr="00740C61">
        <w:t>Include sufficient introductory, concentration, and capstone CTE courses to provide students with the instruction necessary to develop the skill and knowledge levels required for employment and postsecondary education or training.</w:t>
      </w:r>
    </w:p>
    <w:p w14:paraId="6595F600" w14:textId="73D71C16" w:rsidR="0005173B" w:rsidRDefault="0005173B" w:rsidP="002C1E04">
      <w:r>
        <w:lastRenderedPageBreak/>
        <w:t xml:space="preserve">Given that Perkins V now requires states to define a concentrator as a </w:t>
      </w:r>
      <w:r w:rsidR="00D76AFD">
        <w:t xml:space="preserve">student completing a </w:t>
      </w:r>
      <w:r>
        <w:t>course sequence of at least two courses in a program,</w:t>
      </w:r>
      <w:r w:rsidR="00AE3F5A">
        <w:t xml:space="preserve"> a</w:t>
      </w:r>
      <w:r>
        <w:t xml:space="preserve"> </w:t>
      </w:r>
      <w:r w:rsidR="00D610E9">
        <w:t>POS</w:t>
      </w:r>
      <w:r>
        <w:t>, o</w:t>
      </w:r>
      <w:r w:rsidR="00925F80">
        <w:t xml:space="preserve">r a career pathway, California </w:t>
      </w:r>
      <w:r w:rsidR="00AE3F5A">
        <w:t>now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6C84E302" w:rsidR="0005173B" w:rsidRDefault="0005173B" w:rsidP="002C1E04">
      <w:r>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E36435">
        <w:t xml:space="preserve">in the </w:t>
      </w:r>
      <w:r w:rsidR="00491801">
        <w:t xml:space="preserve">following </w:t>
      </w:r>
      <w:r w:rsidR="00E36435">
        <w:t>Accountability for Results section</w:t>
      </w:r>
      <w:r w:rsidR="00491801">
        <w:t xml:space="preserve"> of this document</w:t>
      </w:r>
      <w:r w:rsidR="00E36435">
        <w:t>.</w:t>
      </w:r>
    </w:p>
    <w:p w14:paraId="20BF0199" w14:textId="3E534084" w:rsidR="00C33240" w:rsidRPr="002F2687" w:rsidRDefault="00C33240" w:rsidP="002C1E04">
      <w:r w:rsidRPr="002F2687">
        <w:t xml:space="preserve">To facilitate discussions at local institutions and </w:t>
      </w:r>
      <w:r w:rsidR="00BB7DF1">
        <w:t xml:space="preserve">to </w:t>
      </w:r>
      <w:r w:rsidRPr="002F2687">
        <w:t>assist with the process of developing strong career pathways, templates are made available to secondary and postsecondary agencies throughout the State. These templates represent CTE pathways typically offered at high schools, ROCPs, adult schools, and community colleges</w:t>
      </w:r>
      <w:r w:rsidR="00BB7DF1">
        <w:t>,</w:t>
      </w:r>
      <w:r w:rsidRPr="002F2687">
        <w:t xml:space="preserve">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 </w:t>
      </w:r>
      <w:r w:rsidR="0052753F">
        <w:t xml:space="preserve">the </w:t>
      </w:r>
      <w:r w:rsidR="00406D7B">
        <w:t>CTE O</w:t>
      </w:r>
      <w:r w:rsidR="006D4798" w:rsidRPr="002F2687">
        <w:t xml:space="preserve">nline </w:t>
      </w:r>
      <w:r w:rsidR="008747CD">
        <w:t xml:space="preserve">website </w:t>
      </w:r>
      <w:r w:rsidR="006D4798" w:rsidRPr="002F2687">
        <w:t xml:space="preserve">at </w:t>
      </w:r>
      <w:hyperlink r:id="rId21" w:tooltip="CTE Online " w:history="1">
        <w:r w:rsidR="006D4798" w:rsidRPr="002F2687">
          <w:rPr>
            <w:rStyle w:val="Hyperlink"/>
            <w:rFonts w:cs="Arial"/>
          </w:rPr>
          <w:t>https://www.cteonline.org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2CFD59A1" w:rsidR="00C33240" w:rsidRDefault="00C33240" w:rsidP="002C1E04">
      <w:pPr>
        <w:rPr>
          <w:lang w:val="en"/>
        </w:rPr>
      </w:pPr>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0E643A0D" w14:textId="17F819AD" w:rsidR="00FA7A5E" w:rsidRPr="002F2687" w:rsidRDefault="00FA7A5E" w:rsidP="002C1E04">
      <w:r w:rsidRPr="00FA7A5E">
        <w:t>It should be noted that under Perkins V, the secondary program approval process described above, and each of the above elements, will be aligned to the Essential Elements of a High-Quality college and Career Pathway.</w:t>
      </w:r>
    </w:p>
    <w:p w14:paraId="2687C8DB" w14:textId="66A09AB8" w:rsidR="00BF1FE0" w:rsidRPr="002F2687" w:rsidRDefault="00BF1FE0" w:rsidP="00B32A75">
      <w:pPr>
        <w:rPr>
          <w:rStyle w:val="Emphasis"/>
        </w:rPr>
      </w:pPr>
      <w:r w:rsidRPr="002F2687">
        <w:rPr>
          <w:rStyle w:val="Emphasis"/>
        </w:rPr>
        <w:lastRenderedPageBreak/>
        <w:t xml:space="preserve">Response for </w:t>
      </w:r>
      <w:r w:rsidR="001773A4">
        <w:rPr>
          <w:rStyle w:val="Emphasis"/>
        </w:rPr>
        <w:t>P</w:t>
      </w:r>
      <w:r w:rsidRPr="002F2687">
        <w:rPr>
          <w:rStyle w:val="Emphasis"/>
        </w:rPr>
        <w:t xml:space="preserve">ostsecondary </w:t>
      </w:r>
      <w:r w:rsidR="001F05F7">
        <w:rPr>
          <w:rStyle w:val="Emphasis"/>
        </w:rPr>
        <w:t>POS</w:t>
      </w:r>
      <w:r w:rsidR="008A6819">
        <w:rPr>
          <w:rStyle w:val="Emphasis"/>
        </w:rPr>
        <w:t>:</w:t>
      </w:r>
      <w:r w:rsidR="00336E64">
        <w:rPr>
          <w:rStyle w:val="FootnoteReference"/>
          <w:b/>
          <w:bCs/>
        </w:rPr>
        <w:footnoteReference w:id="15"/>
      </w:r>
    </w:p>
    <w:p w14:paraId="7A4810F8" w14:textId="1C2E347E" w:rsidR="00953EA2" w:rsidRDefault="00336E64" w:rsidP="00B32A75">
      <w:r>
        <w:t>A</w:t>
      </w:r>
      <w:r w:rsidRPr="00336E64">
        <w:t xml:space="preserve">pproval of </w:t>
      </w:r>
      <w:r>
        <w:t xml:space="preserve">community college </w:t>
      </w:r>
      <w:r w:rsidR="00A25499">
        <w:t xml:space="preserve">CTE </w:t>
      </w:r>
      <w:r w:rsidR="008E1BB5">
        <w:t>programs</w:t>
      </w:r>
      <w:r w:rsidRPr="00336E64">
        <w:t xml:space="preserve"> falls under the direction of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and program administrators as having the primary oversight for </w:t>
      </w:r>
      <w:r w:rsidR="008E1BB5" w:rsidRPr="00336E64">
        <w:t xml:space="preserve">academic </w:t>
      </w:r>
      <w:r w:rsidR="008E1BB5">
        <w:t>program approval</w:t>
      </w:r>
      <w:r w:rsidR="00A25499">
        <w:t xml:space="preserve"> as well as review by the Regional Consortia</w:t>
      </w:r>
      <w:r w:rsidR="008E1BB5">
        <w:t>.</w:t>
      </w:r>
      <w:r w:rsidR="006F5399">
        <w:t xml:space="preserve"> </w:t>
      </w:r>
    </w:p>
    <w:p w14:paraId="762DBE39" w14:textId="59C96FD2" w:rsidR="00336E64" w:rsidRDefault="00131EDA" w:rsidP="00B32A75">
      <w:r w:rsidRPr="00336E64">
        <w:t>C</w:t>
      </w:r>
      <w:r w:rsidR="008747CD">
        <w:t>CC</w:t>
      </w:r>
      <w:r w:rsidRPr="00336E64">
        <w:t xml:space="preserve"> faculty are entrusted with the responsibility of developing high-quality curriculum</w:t>
      </w:r>
      <w:r w:rsidR="00A25499">
        <w:t xml:space="preserve"> for CTE programs</w:t>
      </w:r>
      <w:r w:rsidRPr="00336E64">
        <w:t xml:space="preserve">, </w:t>
      </w:r>
      <w:r w:rsidR="00A25499">
        <w:t xml:space="preserve">and </w:t>
      </w:r>
      <w:r w:rsidRPr="00336E64">
        <w:t xml:space="preserve">establishing </w:t>
      </w:r>
      <w:r w:rsidR="00A25499">
        <w:t xml:space="preserve">the </w:t>
      </w:r>
      <w:r w:rsidRPr="00336E64">
        <w:t>local curriculum approval processes</w:t>
      </w:r>
      <w:r w:rsidR="00A25499">
        <w:t xml:space="preserve"> via curriculum committees to ensure </w:t>
      </w:r>
      <w:r w:rsidRPr="00336E64">
        <w:t xml:space="preserve">that local curriculum approval processes allow </w:t>
      </w:r>
      <w:r w:rsidR="001C47E7">
        <w:t>c</w:t>
      </w:r>
      <w:r w:rsidRPr="00336E64">
        <w:t>urriculum to be approved in a timely manner.</w:t>
      </w:r>
      <w:r w:rsidR="00953EA2">
        <w:t xml:space="preserve"> </w:t>
      </w:r>
      <w:r w:rsidR="001C47E7">
        <w:t>Faculty and administrators are also</w:t>
      </w:r>
      <w:r>
        <w:t xml:space="preserve"> responsible for making sure </w:t>
      </w:r>
      <w:r w:rsidR="001C47E7">
        <w:t>that labor market and employment demand information are reviewed and included in supporting the program and curriculum</w:t>
      </w:r>
      <w:r w:rsidR="00336E64" w:rsidRPr="00336E64">
        <w:t xml:space="preserve">. </w:t>
      </w:r>
      <w:r>
        <w:t>The ultimate goal is to have a c</w:t>
      </w:r>
      <w:r w:rsidR="00336E64" w:rsidRPr="00336E64">
        <w:t>olle</w:t>
      </w:r>
      <w:r>
        <w:t>ge program approval process</w:t>
      </w:r>
      <w:r w:rsidR="00336E64" w:rsidRPr="00336E64">
        <w:t xml:space="preserve"> </w:t>
      </w:r>
      <w:r>
        <w:t>in order</w:t>
      </w:r>
      <w:r w:rsidR="00336E64" w:rsidRPr="00336E64">
        <w:t xml:space="preserve"> to ensure that rigorous, high</w:t>
      </w:r>
      <w:r w:rsidR="00190D83">
        <w:t>-</w:t>
      </w:r>
      <w:r w:rsidR="00336E64" w:rsidRPr="00336E64">
        <w:t>quality curriculum is offered to meet the needs of students</w:t>
      </w:r>
      <w:r w:rsidR="001C47E7">
        <w:t xml:space="preserve"> and employers</w:t>
      </w:r>
      <w:r w:rsidR="00336E64" w:rsidRPr="00336E64">
        <w:t xml:space="preserve">. </w:t>
      </w:r>
      <w:r w:rsidR="001C47E7">
        <w:t>New CTE programs require review and recommendation from the Regional Consortia, prior to submission to the CCCCO for approval.</w:t>
      </w:r>
    </w:p>
    <w:p w14:paraId="1C1557A7" w14:textId="0D8FD5BF" w:rsidR="00336E64" w:rsidRDefault="00336E64" w:rsidP="00336E64">
      <w:r>
        <w:t>Three steps of the curriculum process are specified in regulation and are consistent at all institutions:</w:t>
      </w:r>
    </w:p>
    <w:p w14:paraId="4251D1EA" w14:textId="161CF9E9" w:rsidR="00031377" w:rsidRDefault="00336E64" w:rsidP="0048078B">
      <w:pPr>
        <w:pStyle w:val="ListParagraph"/>
        <w:ind w:left="1170" w:hanging="450"/>
      </w:pPr>
      <w:r w:rsidRPr="00312EA9">
        <w:t>Review and approval of new or revised curriculum by a curriculum committee</w:t>
      </w:r>
      <w:r w:rsidR="00953EA2">
        <w:t>;</w:t>
      </w:r>
    </w:p>
    <w:p w14:paraId="62570435" w14:textId="1FD3A069" w:rsidR="00031377" w:rsidRDefault="00336E64" w:rsidP="0048078B">
      <w:pPr>
        <w:pStyle w:val="ListParagraph"/>
        <w:ind w:left="1170" w:hanging="450"/>
      </w:pPr>
      <w:r w:rsidRPr="00312EA9">
        <w:t>Endorsement of curriculum by the local governing board</w:t>
      </w:r>
      <w:r w:rsidR="001C47E7">
        <w:t xml:space="preserve"> and Regional Consortia</w:t>
      </w:r>
      <w:r w:rsidR="00953EA2">
        <w:t>; and</w:t>
      </w:r>
    </w:p>
    <w:p w14:paraId="2B18CC56" w14:textId="14BD9CD0" w:rsidR="00336E64" w:rsidRPr="00312EA9" w:rsidRDefault="00336E64" w:rsidP="0048078B">
      <w:pPr>
        <w:pStyle w:val="ListParagraph"/>
        <w:ind w:left="1170" w:hanging="450"/>
      </w:pPr>
      <w:r w:rsidRPr="00312EA9">
        <w:lastRenderedPageBreak/>
        <w:t xml:space="preserve">Submission of approved curriculum to the </w:t>
      </w:r>
      <w:r w:rsidR="00312EA9">
        <w:t>CCCCO</w:t>
      </w:r>
      <w:r w:rsidRPr="00312EA9">
        <w:t xml:space="preserve"> for approval or chaptering</w:t>
      </w:r>
      <w:r w:rsidR="00953EA2">
        <w:t>.</w:t>
      </w:r>
    </w:p>
    <w:p w14:paraId="2095EE5E" w14:textId="26BE820E" w:rsidR="00AF59D4" w:rsidRDefault="00B55059" w:rsidP="00B55059">
      <w:r>
        <w:t>The first step in the curriculum process is the development phase</w:t>
      </w:r>
      <w:r w:rsidR="00AE3F5A">
        <w:t xml:space="preserve">, in which </w:t>
      </w:r>
      <w:r w:rsidR="006D18A4">
        <w:t>there is a desire or need to modify the curriculum from suggestions made by</w:t>
      </w:r>
      <w:r>
        <w:t xml:space="preserve"> students, advisory 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w:t>
      </w:r>
      <w:r>
        <w:t xml:space="preserve">originating </w:t>
      </w:r>
      <w:r w:rsidR="00953EA2">
        <w:t xml:space="preserve">either </w:t>
      </w:r>
      <w:r>
        <w:t>within the faculty</w:t>
      </w:r>
      <w:r w:rsidR="006D18A4">
        <w:t xml:space="preserve">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493581AC" w:rsidR="00B55059" w:rsidRDefault="00B55059" w:rsidP="00B55059">
      <w:r>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and/or division faculty review; </w:t>
      </w:r>
      <w:r w:rsidR="00AE3F5A">
        <w:t>then</w:t>
      </w:r>
      <w:r w:rsidR="00AF59D4">
        <w:t xml:space="preserve"> r</w:t>
      </w:r>
      <w:r>
        <w:t>eview and approval by the appropriate dean</w:t>
      </w:r>
      <w:r w:rsidR="00AF59D4">
        <w:t xml:space="preserve">; </w:t>
      </w:r>
      <w:r w:rsidR="00AE3F5A">
        <w:t>next</w:t>
      </w:r>
      <w:r w:rsidR="00B047CE">
        <w:t>,</w:t>
      </w:r>
      <w:r w:rsidR="00AF59D4">
        <w:t xml:space="preserve"> a t</w:t>
      </w:r>
      <w:r>
        <w:t xml:space="preserve">echnical review—a </w:t>
      </w:r>
      <w:r w:rsidR="001C47E7">
        <w:t xml:space="preserve">curriculum </w:t>
      </w:r>
      <w:r>
        <w:t>committee or work group that typically reviews curriculum proposals for feasibility, completeness, writing standards, distance education elements, and compliance with regulations, among other points</w:t>
      </w:r>
      <w:r w:rsidR="00AF59D4">
        <w:t xml:space="preserve">; </w:t>
      </w:r>
      <w:r w:rsidR="00AE3F5A">
        <w:t>and</w:t>
      </w:r>
      <w:r w:rsidR="00B047CE">
        <w:t>,</w:t>
      </w:r>
      <w:r w:rsidR="00AE3F5A">
        <w:t xml:space="preserve"> </w:t>
      </w:r>
      <w:r w:rsidR="00AF59D4">
        <w:t>last but not least, an</w:t>
      </w:r>
      <w:r w:rsidR="006F5399">
        <w:t xml:space="preserve"> </w:t>
      </w:r>
      <w:r w:rsidR="00AF59D4">
        <w:t>a</w:t>
      </w:r>
      <w:r>
        <w:t>rticulation review</w:t>
      </w:r>
      <w:r w:rsidR="00AF59D4">
        <w:t xml:space="preserve"> by the Articulation Officer</w:t>
      </w:r>
      <w:r w:rsidR="00B047CE">
        <w:t>,</w:t>
      </w:r>
      <w:r w:rsidR="00AF59D4">
        <w:t xml:space="preserve"> who reviews the transfer courses </w:t>
      </w:r>
      <w:r>
        <w:t>against standards and expectations at transfer institutions</w:t>
      </w:r>
      <w:r w:rsidR="00AF59D4">
        <w:t>.</w:t>
      </w:r>
    </w:p>
    <w:p w14:paraId="67A6DD23" w14:textId="2FD6D93B" w:rsidR="00AF59D4" w:rsidRDefault="00B55059" w:rsidP="00B55059">
      <w:r>
        <w:t xml:space="preserve">The next step for most colleges is review and approval by the curriculum committee or other governance body </w:t>
      </w:r>
      <w:r w:rsidR="00AE3F5A">
        <w:t xml:space="preserve">that is the </w:t>
      </w:r>
      <w:r>
        <w:t>delegated authority for curriculum approval</w:t>
      </w:r>
      <w:r w:rsidR="00B047CE">
        <w:t>,</w:t>
      </w:r>
      <w:r>
        <w:t xml:space="preserve"> as specified in</w:t>
      </w:r>
      <w:r w:rsidR="00B047CE">
        <w:t xml:space="preserve"> the</w:t>
      </w:r>
      <w:r>
        <w:t xml:space="preserve">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r w:rsidR="001C47E7">
        <w:t xml:space="preserve"> CTE programs have a two-year review cycle.</w:t>
      </w:r>
    </w:p>
    <w:p w14:paraId="550E4A5E" w14:textId="4A58E166" w:rsidR="00FD57A1" w:rsidRDefault="00B55059" w:rsidP="00B55059">
      <w:r>
        <w:lastRenderedPageBreak/>
        <w:t xml:space="preserve">The </w:t>
      </w:r>
      <w:r w:rsidR="005C3490">
        <w:t>last</w:t>
      </w:r>
      <w:r>
        <w:t xml:space="preserve"> step is submission to the local governing board</w:t>
      </w:r>
      <w:r w:rsidR="001C47E7">
        <w:t>.</w:t>
      </w:r>
      <w:r w:rsidR="00FD57A1">
        <w:t xml:space="preserve"> </w:t>
      </w:r>
      <w:r w:rsidR="001C47E7">
        <w:t>This step may vary among colleges as</w:t>
      </w:r>
      <w:r>
        <w:t xml:space="preserve"> the end result of a long process of development and review.</w:t>
      </w:r>
      <w:r w:rsidR="001C47E7">
        <w:t xml:space="preserve"> New CTE programs are submitted to the Regional Consortia for recommendation, and required inclusion or regional labor market and employment demand information in justifying the creation of a new program.</w:t>
      </w:r>
    </w:p>
    <w:p w14:paraId="4B659E9E" w14:textId="4ECBEBCF" w:rsidR="00B55059" w:rsidRDefault="00B55059" w:rsidP="00B55059">
      <w:r>
        <w:t xml:space="preserve">Whatever the local </w:t>
      </w:r>
      <w:r w:rsidR="001C47E7">
        <w:t xml:space="preserve">and regional </w:t>
      </w:r>
      <w:r>
        <w:t xml:space="preserve">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5EB57EC2"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w:t>
      </w:r>
      <w:r w:rsidR="00107195">
        <w:t>l</w:t>
      </w:r>
      <w:r w:rsidR="00BF1FE0" w:rsidRPr="002F2687">
        <w:t xml:space="preserve">ocal </w:t>
      </w:r>
      <w:r w:rsidR="00107195">
        <w:t>p</w:t>
      </w:r>
      <w:r w:rsidR="00BF1FE0" w:rsidRPr="002F2687">
        <w:t xml:space="preserve">lanning </w:t>
      </w:r>
      <w:r w:rsidR="00107195">
        <w:t>t</w:t>
      </w:r>
      <w:r w:rsidR="00BF1FE0" w:rsidRPr="002F2687">
        <w:t xml:space="preserve">eam, faculty, students, </w:t>
      </w:r>
      <w:r w:rsidR="00B972CD">
        <w:t xml:space="preserve">the </w:t>
      </w:r>
      <w:r w:rsidR="00107195">
        <w:t>r</w:t>
      </w:r>
      <w:r w:rsidR="00BF1FE0" w:rsidRPr="002F2687">
        <w:t xml:space="preserve">esearch </w:t>
      </w:r>
      <w:r w:rsidR="00107195">
        <w:t>o</w:t>
      </w:r>
      <w:r w:rsidR="00BF1FE0" w:rsidRPr="002F2687">
        <w:t xml:space="preserve">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w:t>
      </w:r>
      <w:r w:rsidR="000C0EC5">
        <w:t xml:space="preserve"> </w:t>
      </w:r>
      <w:r w:rsidR="00BF1FE0" w:rsidRPr="002F2687">
        <w:t>groups.</w:t>
      </w:r>
      <w:r w:rsidR="003B5FA0" w:rsidRPr="002F2687">
        <w:t xml:space="preserve"> </w:t>
      </w:r>
      <w:r w:rsidR="00BF1FE0" w:rsidRPr="002F2687">
        <w:t>The programs are evaluated and accredited by professional and industry organizations to ensure continuous improvement, expansion</w:t>
      </w:r>
      <w:r w:rsidR="00D7547B">
        <w:t>,</w:t>
      </w:r>
      <w:r w:rsidR="00BF1FE0" w:rsidRPr="002F2687">
        <w:t xml:space="preserve"> and modernization; </w:t>
      </w:r>
      <w:r w:rsidR="00B972CD">
        <w:t>that</w:t>
      </w:r>
      <w:r w:rsidR="00BF1FE0" w:rsidRPr="002F2687">
        <w:t xml:space="preserve"> the needs of special</w:t>
      </w:r>
      <w:r w:rsidR="00EC14F6">
        <w:t>-</w:t>
      </w:r>
      <w:r w:rsidR="00BF1FE0" w:rsidRPr="002F2687">
        <w:t xml:space="preserve">population students are met; and that all State and local adjusted levels of performance are met. </w:t>
      </w:r>
    </w:p>
    <w:p w14:paraId="2824B448" w14:textId="77777777" w:rsidR="00C33240" w:rsidRPr="002F2687" w:rsidRDefault="00027D3E" w:rsidP="00E760C4">
      <w:pPr>
        <w:pStyle w:val="Heading6"/>
      </w:pPr>
      <w:r w:rsidRPr="002F2687">
        <w:t xml:space="preserve">ii.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6"/>
      </w:r>
    </w:p>
    <w:p w14:paraId="7682AC00" w14:textId="73CCC39F"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w:t>
      </w:r>
      <w:r w:rsidR="00D7547B">
        <w:t>College and Career</w:t>
      </w:r>
      <w:r w:rsidRPr="002F2687">
        <w:t xml:space="preserve"> </w:t>
      </w:r>
      <w:r w:rsidR="00F03DD8">
        <w:t>P</w:t>
      </w:r>
      <w:r w:rsidRPr="002F2687">
        <w:t xml:space="preserve">athway, and believes </w:t>
      </w:r>
      <w:r w:rsidR="00D7547B">
        <w:t xml:space="preserve">that </w:t>
      </w:r>
      <w:r w:rsidRPr="002F2687">
        <w:t xml:space="preserve">all students should be provided </w:t>
      </w:r>
      <w:r w:rsidR="00D7547B">
        <w:t xml:space="preserve">with </w:t>
      </w:r>
      <w:r w:rsidRPr="002F2687">
        <w:t xml:space="preserve">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4BDB8F2B" w:rsidR="00AD30C0" w:rsidRDefault="00AD30C0" w:rsidP="00B32A75">
      <w:r w:rsidRPr="00AD30C0">
        <w:lastRenderedPageBreak/>
        <w:t>The State’s K–12, adult school</w:t>
      </w:r>
      <w:r w:rsidR="00F03DD8">
        <w:t>s</w:t>
      </w:r>
      <w:r w:rsidRPr="00AD30C0">
        <w:t>, and C</w:t>
      </w:r>
      <w:r w:rsidR="00F03DD8">
        <w:t>CC</w:t>
      </w:r>
      <w:r w:rsidR="00BB7731">
        <w:t xml:space="preserve"> system</w:t>
      </w:r>
      <w:r w:rsidR="00D7547B">
        <w:t>s</w:t>
      </w:r>
      <w:r w:rsidRPr="00AD30C0">
        <w:t xml:space="preserve"> are committed to ensuring equal access to CTE programs and support activities and services for all </w:t>
      </w:r>
      <w:r w:rsidR="00D7547B">
        <w:t>of their</w:t>
      </w:r>
      <w:r w:rsidRPr="00AD30C0">
        <w:t xml:space="preserve"> students, particularly </w:t>
      </w:r>
      <w:bookmarkStart w:id="52" w:name="_Hlk31279816"/>
      <w:r w:rsidRPr="00AD30C0">
        <w:t xml:space="preserve">members of identified special population groups, defined </w:t>
      </w:r>
      <w:r w:rsidR="00107195">
        <w:t xml:space="preserve">in Perkins V </w:t>
      </w:r>
      <w:r w:rsidRPr="00AD30C0">
        <w:t>as individuals with disabilities; individuals from economically disadvantaged families, including low</w:t>
      </w:r>
      <w:r w:rsidR="00D7547B">
        <w:t>-</w:t>
      </w:r>
      <w:r w:rsidRPr="00AD30C0">
        <w:t>income youth and adults; single parents, including single pregnant women; out-of-workforce individuals; English language learners; homeless individuals</w:t>
      </w:r>
      <w:r w:rsidR="00D7547B">
        <w:t>;</w:t>
      </w:r>
      <w:r w:rsidRPr="00AD30C0">
        <w:t xml:space="preserve"> youth who are in, or </w:t>
      </w:r>
      <w:r w:rsidR="00B972CD">
        <w:t xml:space="preserve">have </w:t>
      </w:r>
      <w:r w:rsidRPr="00AD30C0">
        <w:t>aged out of</w:t>
      </w:r>
      <w:r w:rsidR="00D7547B">
        <w:t>,</w:t>
      </w:r>
      <w:r w:rsidRPr="00AD30C0">
        <w:t xml:space="preserve"> the foster care systems; youth with an active military parent; and individuals preparing for nontraditional fields.</w:t>
      </w:r>
      <w:bookmarkEnd w:id="52"/>
    </w:p>
    <w:p w14:paraId="5B385B45" w14:textId="4DF2A3E4"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aligned across secondary and postsecondary levels, provide ongoing guidance and support systems, and lead to 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339CF20A" w:rsidR="00462348" w:rsidRPr="002F2687" w:rsidRDefault="008A6819" w:rsidP="00B32A75">
      <w:bookmarkStart w:id="53" w:name="_Hlk30145408"/>
      <w:r>
        <w:t xml:space="preserve">For example, </w:t>
      </w:r>
      <w:bookmarkStart w:id="54" w:name="_Hlk31282509"/>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 xml:space="preserve">s well as methods for making content comprehensible to English </w:t>
      </w:r>
      <w:r w:rsidR="00F845F1">
        <w:t xml:space="preserve">language </w:t>
      </w:r>
      <w:r w:rsidR="00462348" w:rsidRPr="00462348">
        <w:t>learners and strategies for teaching special populations in CTE classrooms.</w:t>
      </w:r>
    </w:p>
    <w:bookmarkEnd w:id="53"/>
    <w:bookmarkEnd w:id="54"/>
    <w:p w14:paraId="27656D79" w14:textId="0A3E1F42" w:rsidR="001F7124" w:rsidRDefault="00CE032C" w:rsidP="00B32A75">
      <w:r>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w:t>
      </w:r>
      <w:r w:rsidR="00D26305">
        <w:t>-</w:t>
      </w:r>
      <w:r w:rsidRPr="00CE032C">
        <w:t xml:space="preserve">population students, including outreach, counseling, tutoring, mentoring, </w:t>
      </w:r>
      <w:r w:rsidR="00D26305">
        <w:t xml:space="preserve">and </w:t>
      </w:r>
      <w:r w:rsidRPr="00CE032C">
        <w:t>access to specialized lab ex</w:t>
      </w:r>
      <w:r>
        <w:t>periences</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performance of special</w:t>
      </w:r>
      <w:r w:rsidR="00D26305">
        <w:t>-</w:t>
      </w:r>
      <w:r w:rsidR="001F7124" w:rsidRPr="001F7124">
        <w:t xml:space="preserve">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1773A4">
        <w:t xml:space="preserve"> (TOP)</w:t>
      </w:r>
      <w:r w:rsidR="001F7124" w:rsidRPr="001F7124">
        <w:t xml:space="preserve"> </w:t>
      </w:r>
      <w:r w:rsidR="00B972CD">
        <w:t>c</w:t>
      </w:r>
      <w:r w:rsidR="001F7124" w:rsidRPr="001F7124">
        <w:t xml:space="preserve">oded disciplines by identifying and </w:t>
      </w:r>
      <w:r w:rsidR="001F7124" w:rsidRPr="001F7124">
        <w:lastRenderedPageBreak/>
        <w:t>providing students with opportunities for career guidance, employment referrals</w:t>
      </w:r>
      <w:r w:rsidR="00B972CD">
        <w:t>,</w:t>
      </w:r>
      <w:r w:rsidR="001F7124" w:rsidRPr="001F7124">
        <w:t xml:space="preserve"> and internship opportunities to improve their training skills and general employability, all with the intent of increasing employment.</w:t>
      </w:r>
    </w:p>
    <w:p w14:paraId="1F0379DD" w14:textId="0022314E" w:rsidR="00E33B59" w:rsidRPr="002F2687" w:rsidRDefault="00E33B59" w:rsidP="00B32A75">
      <w:r w:rsidRPr="002F2687">
        <w:t xml:space="preserve">Under the </w:t>
      </w:r>
      <w:r w:rsidR="00D26305">
        <w:t>CCCCO’s</w:t>
      </w:r>
      <w:r w:rsidR="00AD30C0">
        <w:t xml:space="preserv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w:t>
      </w:r>
      <w:r w:rsidR="00D26305">
        <w:t xml:space="preserve">that </w:t>
      </w:r>
      <w:r w:rsidRPr="002F2687">
        <w:t xml:space="preserve">the courses </w:t>
      </w:r>
      <w:r w:rsidR="00D26305">
        <w:t xml:space="preserve">that </w:t>
      </w:r>
      <w:r w:rsidRPr="002F2687">
        <w:t xml:space="preserve">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Lastly, each college has a variety of specially</w:t>
      </w:r>
      <w:r w:rsidR="00953EA2">
        <w:t xml:space="preserve"> </w:t>
      </w:r>
      <w:r w:rsidRPr="002F2687">
        <w:t>funded categorical programs that are designed to support disproportiona</w:t>
      </w:r>
      <w:r w:rsidR="00D26305">
        <w:t>te</w:t>
      </w:r>
      <w:r w:rsidRPr="002F2687">
        <w:t>ly impacted student populations</w:t>
      </w:r>
      <w:r w:rsidR="001C47E7">
        <w:t xml:space="preserve"> as part of the core focus of ensuring equity and access for all students</w:t>
      </w:r>
      <w:r w:rsidRPr="002F2687">
        <w:t>.</w:t>
      </w:r>
      <w:r w:rsidR="003B5FA0" w:rsidRPr="002F2687">
        <w:t xml:space="preserve"> </w:t>
      </w:r>
      <w:r w:rsidRPr="002F2687">
        <w:t>Many colleges are actively leveraging these programs to provide comprehensive wraparound support services for students.</w:t>
      </w:r>
    </w:p>
    <w:p w14:paraId="2D09C8F7" w14:textId="7E531977" w:rsidR="006535AE" w:rsidRDefault="008A6819" w:rsidP="006535AE">
      <w:r>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w:t>
      </w:r>
      <w:r w:rsidR="00D26305">
        <w:t>“</w:t>
      </w:r>
      <w:r w:rsidR="006535AE">
        <w:t>high-quality</w:t>
      </w:r>
      <w:r w:rsidR="00D26305">
        <w:t>”</w:t>
      </w:r>
      <w:r w:rsidR="006535AE">
        <w:t xml:space="preserve"> implicitly </w:t>
      </w:r>
      <w:r>
        <w:t xml:space="preserve">has </w:t>
      </w:r>
      <w:r w:rsidR="006535AE">
        <w:t>meant the tracking of students away from such course</w:t>
      </w:r>
      <w:r w:rsidR="00EF2C17">
        <w:t>s</w:t>
      </w:r>
      <w:r w:rsidR="006535AE">
        <w:t xml:space="preserve"> and programs, and</w:t>
      </w:r>
      <w:r w:rsidR="00D26305">
        <w:t>,</w:t>
      </w:r>
      <w:r w:rsidR="006535AE">
        <w:t xml:space="preserve"> by extension, has a negative connotation</w:t>
      </w:r>
      <w:r w:rsidR="00D26305">
        <w:t xml:space="preserve"> or </w:t>
      </w:r>
      <w:r w:rsidR="006535AE">
        <w:t xml:space="preserve">trauma in some locations. </w:t>
      </w:r>
      <w:r>
        <w:t>Thus</w:t>
      </w:r>
      <w:r w:rsidR="00227108">
        <w:t>, it is the State</w:t>
      </w:r>
      <w:r>
        <w:t>’s responsibility</w:t>
      </w:r>
      <w:r w:rsidR="00227108">
        <w:t xml:space="preserve"> to ensure that local recipients receiving these funds </w:t>
      </w:r>
      <w:r w:rsidRPr="008A6819">
        <w:t xml:space="preserve">abide by the </w:t>
      </w:r>
      <w:r w:rsidR="00D857D4">
        <w:t>S</w:t>
      </w:r>
      <w:r w:rsidRPr="008A6819">
        <w:t xml:space="preserve">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who are considered special</w:t>
      </w:r>
      <w:r w:rsidR="00EC14F6">
        <w:t>-</w:t>
      </w:r>
      <w:r w:rsidRPr="008A6819">
        <w:t>population</w:t>
      </w:r>
      <w:r w:rsidR="00EC14F6">
        <w:t xml:space="preserve"> student</w:t>
      </w:r>
      <w:r w:rsidRPr="008A6819">
        <w:t>s</w:t>
      </w:r>
      <w:r w:rsidR="00227108">
        <w:t>. As explained in</w:t>
      </w:r>
      <w:r w:rsidR="001773A4">
        <w:t xml:space="preserve"> the</w:t>
      </w:r>
      <w:r w:rsidR="00227108">
        <w:t xml:space="preserve"> </w:t>
      </w:r>
      <w:r w:rsidR="00EC14F6">
        <w:t>following</w:t>
      </w:r>
      <w:r w:rsidR="00227108">
        <w:t xml:space="preserve"> sections and subsections, California is </w:t>
      </w:r>
      <w:r w:rsidR="000143EC">
        <w:t xml:space="preserve">committed to establishing </w:t>
      </w:r>
      <w:r w:rsidR="00227108">
        <w:t>an accountability framework for evaluating high</w:t>
      </w:r>
      <w:r w:rsidR="00EF2C17">
        <w:t>-</w:t>
      </w:r>
      <w:r w:rsidR="00227108">
        <w:t>quality programs</w:t>
      </w:r>
      <w:r w:rsidR="00EC14F6">
        <w:t>,</w:t>
      </w:r>
      <w:r w:rsidR="00227108">
        <w:t xml:space="preserve"> using the CLNA</w:t>
      </w:r>
      <w:r w:rsidR="00EC14F6">
        <w:t xml:space="preserve"> and</w:t>
      </w:r>
      <w:r w:rsidR="00227108">
        <w:t xml:space="preserve">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w:t>
      </w:r>
      <w:r w:rsidR="00EC14F6">
        <w:t>-</w:t>
      </w:r>
      <w:r w:rsidR="000143EC">
        <w:t>population students</w:t>
      </w:r>
      <w:r w:rsidR="00EE020F">
        <w:t>.</w:t>
      </w:r>
    </w:p>
    <w:p w14:paraId="6A79CEB7" w14:textId="15328B10" w:rsidR="00C33240" w:rsidRPr="00A547D8" w:rsidRDefault="00027D3E" w:rsidP="00E760C4">
      <w:pPr>
        <w:pStyle w:val="Heading6"/>
      </w:pPr>
      <w:r w:rsidRPr="00A547D8">
        <w:lastRenderedPageBreak/>
        <w:t xml:space="preserve">iii. </w:t>
      </w:r>
      <w:r w:rsidR="00CC0296" w:rsidRPr="00A547D8">
        <w:t>support the inclusion of employability skills in programs of study and career pathways. (Section 122(d)(4)(B)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4750B671" w:rsidR="00294EB9" w:rsidRDefault="003375E9" w:rsidP="00B32A75">
      <w:pPr>
        <w:rPr>
          <w:rFonts w:cs="Arial"/>
        </w:rPr>
      </w:pPr>
      <w:r w:rsidRPr="002F2687">
        <w:t>California has made great progress</w:t>
      </w:r>
      <w:r w:rsidR="00EC14F6">
        <w:t>,</w:t>
      </w:r>
      <w:r w:rsidRPr="002F2687">
        <w:t xml:space="preserve"> in the last several years</w:t>
      </w:r>
      <w:r w:rsidR="00EC14F6">
        <w:t>,</w:t>
      </w:r>
      <w:r w:rsidRPr="002F2687">
        <w:t xml:space="preserve"> in highlighting the importance of essential transferable employ</w:t>
      </w:r>
      <w:r w:rsidR="00E81B1C">
        <w:t xml:space="preserve">ability skills. </w:t>
      </w:r>
      <w:r w:rsidR="000143EC">
        <w:t xml:space="preserve">As </w:t>
      </w:r>
      <w:r w:rsidR="00EC14F6">
        <w:t xml:space="preserve">previously </w:t>
      </w:r>
      <w:r w:rsidR="000143EC">
        <w:t>described, i</w:t>
      </w:r>
      <w:r w:rsidR="00E81B1C">
        <w:t>n 2013</w:t>
      </w:r>
      <w:r w:rsidRPr="002F2687">
        <w:t>, the SBE adopted the revised CTEMCS, including the Standards for Career Ready Practice</w:t>
      </w:r>
      <w:r w:rsidR="00EC14F6">
        <w:t>,</w:t>
      </w:r>
      <w:r w:rsidRPr="002F2687">
        <w:t xml:space="preserve"> which </w:t>
      </w:r>
      <w:r w:rsidRPr="002F2687">
        <w:rPr>
          <w:rFonts w:cs="Arial"/>
        </w:rPr>
        <w:t xml:space="preserve">describe the fundamental knowledge and skills </w:t>
      </w:r>
      <w:r w:rsidR="00EC14F6">
        <w:rPr>
          <w:rFonts w:cs="Arial"/>
        </w:rPr>
        <w:t xml:space="preserve">that </w:t>
      </w:r>
      <w:r w:rsidRPr="002F2687">
        <w:rPr>
          <w:rFonts w:cs="Arial"/>
        </w:rPr>
        <w:t xml:space="preserve">students need </w:t>
      </w:r>
      <w:r w:rsidR="005941B2">
        <w:rPr>
          <w:rFonts w:cs="Arial"/>
        </w:rPr>
        <w:t xml:space="preserve">in order </w:t>
      </w:r>
      <w:r w:rsidRPr="002F2687">
        <w:rPr>
          <w:rFonts w:cs="Arial"/>
        </w:rPr>
        <w:t xml:space="preserve">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discipline, or </w:t>
      </w:r>
      <w:r w:rsidR="005941B2">
        <w:rPr>
          <w:rFonts w:cs="Arial"/>
        </w:rPr>
        <w:t xml:space="preserve">a </w:t>
      </w:r>
      <w:r w:rsidRPr="002F2687">
        <w:rPr>
          <w:rFonts w:cs="Arial"/>
        </w:rPr>
        <w:t xml:space="preserve">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w:t>
      </w:r>
      <w:r w:rsidR="005941B2">
        <w:rPr>
          <w:rFonts w:cs="Arial"/>
        </w:rPr>
        <w:t xml:space="preserve">skills, </w:t>
      </w:r>
      <w:r w:rsidR="00562140">
        <w:rPr>
          <w:rFonts w:cs="Arial"/>
        </w:rPr>
        <w:t xml:space="preserve">oral communications skills, </w:t>
      </w:r>
      <w:r w:rsidR="000F65A0" w:rsidRPr="002F2687">
        <w:rPr>
          <w:rFonts w:cs="Arial"/>
        </w:rPr>
        <w:t>and critical thinking.</w:t>
      </w:r>
    </w:p>
    <w:p w14:paraId="30DF0D86" w14:textId="50472123" w:rsidR="003375E9" w:rsidRPr="002F2687" w:rsidRDefault="00E56CC5" w:rsidP="00B32A75">
      <w:r>
        <w:rPr>
          <w:rFonts w:cs="Arial"/>
        </w:rPr>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13AC2F41" w:rsidR="00C33240" w:rsidRPr="002F2687" w:rsidRDefault="00C33240" w:rsidP="00B32A75">
      <w:r w:rsidRPr="002F2687">
        <w:t xml:space="preserve">As stated in the response to </w:t>
      </w:r>
      <w:r w:rsidR="00E56CC5">
        <w:t xml:space="preserve">prompt </w:t>
      </w:r>
      <w:r w:rsidRPr="002F2687">
        <w:t>B(2)(b)(i), all eligible recipients are required to integrate employability skills in career pathways offered at the local and region</w:t>
      </w:r>
      <w:r w:rsidR="005941B2">
        <w:t>al level</w:t>
      </w:r>
      <w:r w:rsidR="00154006">
        <w:t>s,</w:t>
      </w:r>
      <w:r w:rsidRPr="002F2687">
        <w:t xml:space="preserve"> and </w:t>
      </w:r>
      <w:r w:rsidR="000143EC">
        <w:t xml:space="preserve">they </w:t>
      </w:r>
      <w:r w:rsidRPr="002F2687">
        <w:t>will be expected to provide evidence of this in their local application for funds. California provides a variety of resources to encourage and support the teaching of employability skills</w:t>
      </w:r>
      <w:r w:rsidR="005941B2">
        <w:t xml:space="preserve"> i</w:t>
      </w:r>
      <w:r w:rsidR="00B60599">
        <w:t>n addition to the Standards for Career Ready Practice,</w:t>
      </w:r>
      <w:r w:rsidRPr="002F2687">
        <w:t xml:space="preserve"> </w:t>
      </w:r>
      <w:r w:rsidR="005941B2">
        <w:t xml:space="preserve">including </w:t>
      </w:r>
      <w:r w:rsidRPr="002F2687">
        <w:lastRenderedPageBreak/>
        <w:t xml:space="preserve">numerous </w:t>
      </w:r>
      <w:r w:rsidR="000A47FB">
        <w:t>PD</w:t>
      </w:r>
      <w:r w:rsidRPr="002F2687">
        <w:t xml:space="preserve"> activities, a variety of online resources, frequent trainings and conferences, and funding incentives.</w:t>
      </w:r>
    </w:p>
    <w:p w14:paraId="175C340B" w14:textId="1506E82F"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7"/>
      </w:r>
      <w:r w:rsidRPr="002F2687">
        <w:t xml:space="preserve"> aligned specifically to their</w:t>
      </w:r>
      <w:r w:rsidRPr="002F2687">
        <w:rPr>
          <w:lang w:val="en"/>
        </w:rPr>
        <w:t xml:space="preserve"> </w:t>
      </w:r>
      <w:r w:rsidR="000143EC">
        <w:rPr>
          <w:lang w:val="en"/>
        </w:rPr>
        <w:t xml:space="preserve">specific </w:t>
      </w:r>
      <w:r w:rsidR="00107195">
        <w:rPr>
          <w:lang w:val="en"/>
        </w:rPr>
        <w:t>I</w:t>
      </w:r>
      <w:r w:rsidRPr="002F2687">
        <w:rPr>
          <w:lang w:val="en"/>
        </w:rPr>
        <w:t xml:space="preserve">ndustry </w:t>
      </w:r>
      <w:r w:rsidR="00107195">
        <w:rPr>
          <w:lang w:val="en"/>
        </w:rPr>
        <w:t>S</w:t>
      </w:r>
      <w:r w:rsidRPr="002F2687">
        <w:rPr>
          <w:lang w:val="en"/>
        </w:rPr>
        <w:t xml:space="preserve">ector. The following </w:t>
      </w:r>
      <w:r w:rsidR="00B60599">
        <w:rPr>
          <w:lang w:val="en"/>
        </w:rPr>
        <w:t xml:space="preserve">six </w:t>
      </w:r>
      <w:r w:rsidRPr="002F2687">
        <w:rPr>
          <w:lang w:val="en"/>
        </w:rPr>
        <w:t>CTSOs are off</w:t>
      </w:r>
      <w:r w:rsidR="005941B2">
        <w:rPr>
          <w:lang w:val="en"/>
        </w:rPr>
        <w:t>ered at middle and high schools:</w:t>
      </w:r>
    </w:p>
    <w:p w14:paraId="474550F4" w14:textId="77777777" w:rsidR="00AA5A58" w:rsidRPr="002F2687" w:rsidRDefault="00AA5A58" w:rsidP="0048078B">
      <w:pPr>
        <w:pStyle w:val="ListParagraph"/>
        <w:ind w:left="1170" w:hanging="450"/>
      </w:pPr>
      <w:r w:rsidRPr="002F2687">
        <w:t>Distributive Education Clubs of America (DECA)</w:t>
      </w:r>
    </w:p>
    <w:p w14:paraId="493F7B01" w14:textId="77777777" w:rsidR="00AA5A58" w:rsidRPr="002F2687" w:rsidRDefault="00AA5A58" w:rsidP="0048078B">
      <w:pPr>
        <w:pStyle w:val="ListParagraph"/>
        <w:ind w:left="1170" w:hanging="450"/>
      </w:pPr>
      <w:r w:rsidRPr="002F2687">
        <w:t>Family, Career and Community Leaders of America (FCCLA)</w:t>
      </w:r>
    </w:p>
    <w:p w14:paraId="235EB174" w14:textId="77777777" w:rsidR="00AA5A58" w:rsidRPr="002F2687" w:rsidRDefault="00AA5A58" w:rsidP="0048078B">
      <w:pPr>
        <w:pStyle w:val="ListParagraph"/>
        <w:ind w:left="1170" w:hanging="450"/>
      </w:pPr>
      <w:r w:rsidRPr="002F2687">
        <w:t>Future Business Leaders of America (FBLA)</w:t>
      </w:r>
    </w:p>
    <w:p w14:paraId="02CA6BB0" w14:textId="77777777" w:rsidR="00AA5A58" w:rsidRPr="002F2687" w:rsidRDefault="00AA5A58" w:rsidP="0048078B">
      <w:pPr>
        <w:pStyle w:val="ListParagraph"/>
        <w:ind w:left="1170" w:hanging="450"/>
      </w:pPr>
      <w:r w:rsidRPr="002F2687">
        <w:t>Future Farmers of America (FFA)</w:t>
      </w:r>
    </w:p>
    <w:p w14:paraId="2A91E96C" w14:textId="450619BB" w:rsidR="00AA5A58" w:rsidRPr="002F2687" w:rsidRDefault="00AA5A58" w:rsidP="0048078B">
      <w:pPr>
        <w:pStyle w:val="ListParagraph"/>
        <w:ind w:left="1170" w:hanging="450"/>
      </w:pPr>
      <w:r w:rsidRPr="002F2687">
        <w:t>HOSA</w:t>
      </w:r>
      <w:r w:rsidR="007E276B">
        <w:t xml:space="preserve"> </w:t>
      </w:r>
      <w:r w:rsidR="00154006">
        <w:t>—</w:t>
      </w:r>
      <w:r w:rsidR="007E276B">
        <w:t xml:space="preserve"> Future Health Professionals</w:t>
      </w:r>
    </w:p>
    <w:p w14:paraId="3AB4ADB4" w14:textId="4338501D" w:rsidR="00AA5A58" w:rsidRPr="002F2687" w:rsidRDefault="00AA5A58" w:rsidP="0048078B">
      <w:pPr>
        <w:pStyle w:val="ListParagraph"/>
        <w:ind w:left="1170" w:hanging="450"/>
      </w:pPr>
      <w:r w:rsidRPr="002F2687">
        <w:t>SkillsUSA</w:t>
      </w:r>
    </w:p>
    <w:p w14:paraId="40789839" w14:textId="351EC553" w:rsidR="00AA5A58" w:rsidRDefault="00AA5A58" w:rsidP="00B32A75">
      <w:r w:rsidRPr="002F2687">
        <w:t xml:space="preserve">Providing </w:t>
      </w:r>
      <w:r w:rsidR="007E276B">
        <w:t xml:space="preserve">students with </w:t>
      </w:r>
      <w:r w:rsidRPr="002F2687">
        <w:t xml:space="preserve">these opportunities for leadership development is paramount in addressing the </w:t>
      </w:r>
      <w:r w:rsidRPr="002F2687">
        <w:rPr>
          <w:lang w:val="en"/>
        </w:rPr>
        <w:t xml:space="preserve">key attributes </w:t>
      </w:r>
      <w:r w:rsidR="00154006">
        <w:rPr>
          <w:lang w:val="en"/>
        </w:rPr>
        <w:t xml:space="preserve">that </w:t>
      </w:r>
      <w:r w:rsidRPr="002F2687">
        <w:rPr>
          <w:lang w:val="en"/>
        </w:rPr>
        <w:t xml:space="preserve">employers seek. </w:t>
      </w:r>
      <w:r w:rsidRPr="002F2687">
        <w:t>Problem</w:t>
      </w:r>
      <w:r w:rsidRPr="002F2687">
        <w:rPr>
          <w:lang w:val="en"/>
        </w:rPr>
        <w:t>-solving skills, teamwork abilities, written communication skills, leadership</w:t>
      </w:r>
      <w:r w:rsidR="007E276B">
        <w:rPr>
          <w:lang w:val="en"/>
        </w:rPr>
        <w:t xml:space="preserve"> skills</w:t>
      </w:r>
      <w:r w:rsidRPr="002F2687">
        <w:rPr>
          <w:lang w:val="en"/>
        </w:rPr>
        <w:t>, and a strong work ethic are often the most highly valued attributes that employers look for in new employees</w:t>
      </w:r>
      <w:r w:rsidR="000143EC">
        <w:t>.</w:t>
      </w:r>
    </w:p>
    <w:p w14:paraId="7C48FB1A" w14:textId="57D9C146" w:rsidR="00B168F9" w:rsidRDefault="00B168F9" w:rsidP="00B168F9">
      <w:r>
        <w:t xml:space="preserve">All K–12 programs, </w:t>
      </w:r>
      <w:r w:rsidR="00E56CC5">
        <w:t>POS</w:t>
      </w:r>
      <w:r>
        <w:t xml:space="preserve">, and career pathways are required to demonstrate alignment to the CTEMCS, which include the Standards for Career Ready Practice, to support the attainment of essential employability skills, academic knowledge, and technical skills. State law requires that all eligible recipients provide support systems, including </w:t>
      </w:r>
      <w:r>
        <w:lastRenderedPageBreak/>
        <w:t xml:space="preserve">differentiated instruction, for students who are members of special populations. This ensures </w:t>
      </w:r>
      <w:r w:rsidR="00EC14F6">
        <w:t xml:space="preserve">that </w:t>
      </w:r>
      <w:r>
        <w:t>special</w:t>
      </w:r>
      <w:r w:rsidR="00EC14F6">
        <w:t>-</w:t>
      </w:r>
      <w:r>
        <w:t xml:space="preserve">population students have access to </w:t>
      </w:r>
      <w:r w:rsidR="007E276B">
        <w:t>CTE programs, including all CTE-</w:t>
      </w:r>
      <w:r>
        <w:t xml:space="preserve">related activities and supports </w:t>
      </w:r>
      <w:r w:rsidR="001F06F8">
        <w:t xml:space="preserve">such as </w:t>
      </w:r>
      <w:r w:rsidR="001970D5">
        <w:t>WBL</w:t>
      </w:r>
      <w:r>
        <w:t xml:space="preserve"> and CTSOs.</w:t>
      </w:r>
    </w:p>
    <w:p w14:paraId="2A2AC674" w14:textId="26BD638F" w:rsidR="00B168F9" w:rsidRPr="002F2687" w:rsidRDefault="00B168F9" w:rsidP="00B168F9">
      <w:bookmarkStart w:id="55" w:name="_Hlk31272958"/>
      <w:r>
        <w:t>Stakeholders reflected on direct supports for both students and adults who work with students. They noted a need for giving students a voice at all levels (</w:t>
      </w:r>
      <w:r w:rsidR="007E276B">
        <w:t>e.g.,</w:t>
      </w:r>
      <w:r>
        <w:t xml:space="preserve"> through CTSOs), providing early and ongoing counselor access, and supporting transitions from one level to the next. Stakeholders also discussed the need to value more than academic skills and </w:t>
      </w:r>
      <w:r w:rsidR="001F06F8">
        <w:t xml:space="preserve">to </w:t>
      </w:r>
      <w:r>
        <w:t xml:space="preserve">include </w:t>
      </w:r>
      <w:r w:rsidR="00773E4B">
        <w:t>essential</w:t>
      </w:r>
      <w:r>
        <w:t xml:space="preserve"> and technical skills as well. In the context of student-centered services, stakeholders also discussed current barriers and actions needed for CTE programs. These included addressing barriers to </w:t>
      </w:r>
      <w:r w:rsidR="001A603B">
        <w:t>WBL</w:t>
      </w:r>
      <w:r>
        <w:t>, such as scheduling, transportation</w:t>
      </w:r>
      <w:r w:rsidR="007E276B">
        <w:t>, and on-site supervision; dual-</w:t>
      </w:r>
      <w:r>
        <w:t>enrollment barriers in operations</w:t>
      </w:r>
      <w:r w:rsidR="001F06F8">
        <w:t>;</w:t>
      </w:r>
      <w:r>
        <w:t xml:space="preserve"> </w:t>
      </w:r>
      <w:r w:rsidR="007E276B">
        <w:t>the need for</w:t>
      </w:r>
      <w:r>
        <w:t xml:space="preserve"> shared governance and curriculum-based programs; and support for multiple entry and exit points. Better promotion/marketing is also needed to show CTE as an important viable path to parents</w:t>
      </w:r>
      <w:r w:rsidR="001F06F8">
        <w:t xml:space="preserve"> and to</w:t>
      </w:r>
      <w:r>
        <w:t xml:space="preserve"> business and industry</w:t>
      </w:r>
      <w:r w:rsidR="001F06F8">
        <w:t>,</w:t>
      </w:r>
      <w:r>
        <w:t xml:space="preserve">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bookmarkEnd w:id="55"/>
    <w:p w14:paraId="6D74A7A2" w14:textId="77777777" w:rsidR="00C33240" w:rsidRPr="000F3492" w:rsidRDefault="00413528" w:rsidP="00C74AB8">
      <w:pPr>
        <w:pStyle w:val="Heading5"/>
      </w:pPr>
      <w:r w:rsidRPr="002F2687">
        <w:t xml:space="preserve">c. </w:t>
      </w:r>
      <w:r w:rsidR="00C33240" w:rsidRPr="002F2687">
        <w:t>Describe how the eligible agency will—</w:t>
      </w:r>
    </w:p>
    <w:p w14:paraId="2F4FE564" w14:textId="77777777" w:rsidR="00C33240" w:rsidRPr="00E50962" w:rsidRDefault="00413528" w:rsidP="00E760C4">
      <w:pPr>
        <w:pStyle w:val="Heading6"/>
      </w:pPr>
      <w:r w:rsidRPr="00E50962">
        <w:t xml:space="preserve">i.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4664D33E"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 xml:space="preserve">As </w:t>
      </w:r>
      <w:r w:rsidR="001F06F8">
        <w:t>previously described</w:t>
      </w:r>
      <w:r w:rsidR="00C63E89">
        <w:t>, California is a local control state</w:t>
      </w:r>
      <w:r w:rsidR="007E276B">
        <w:t>,</w:t>
      </w:r>
      <w:r w:rsidR="00E52C41">
        <w:t xml:space="preserve"> and the provision of information </w:t>
      </w:r>
      <w:r w:rsidR="000143EC">
        <w:t xml:space="preserve">on </w:t>
      </w:r>
      <w:r w:rsidR="00E52C41">
        <w:t xml:space="preserve">educational resources is </w:t>
      </w:r>
      <w:r w:rsidR="00E56CC5">
        <w:t xml:space="preserve">the </w:t>
      </w:r>
      <w:r w:rsidR="00E52C41">
        <w:t xml:space="preserve">exclusive </w:t>
      </w:r>
      <w:r w:rsidR="00E52C41">
        <w:lastRenderedPageBreak/>
        <w:t>responsibility of 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w:t>
      </w:r>
      <w:r w:rsidR="001F06F8">
        <w:t>,</w:t>
      </w:r>
      <w:r w:rsidR="00C63E89">
        <w:t xml:space="preserve"> when appropriate, </w:t>
      </w:r>
      <w:r w:rsidR="001F06F8">
        <w:t>are</w:t>
      </w:r>
      <w:r w:rsidR="00C63E89">
        <w:t xml:space="preserve"> limited to providing guidance. </w:t>
      </w:r>
      <w:r w:rsidR="007E276B">
        <w:t xml:space="preserve">The following </w:t>
      </w:r>
      <w:r w:rsidR="001F06F8">
        <w:t xml:space="preserve">list </w:t>
      </w:r>
      <w:r w:rsidR="007E276B">
        <w:t>describes some</w:t>
      </w:r>
      <w:r w:rsidR="00B60599">
        <w:t xml:space="preserve"> of </w:t>
      </w:r>
      <w:r w:rsidR="007E276B">
        <w:t>California’s</w:t>
      </w:r>
      <w:r w:rsidR="00B60599">
        <w:t xml:space="preserve"> State-</w:t>
      </w:r>
      <w:r w:rsidR="007E276B">
        <w:t>level resources</w:t>
      </w:r>
      <w:r w:rsidRPr="002F2687">
        <w:t>:</w:t>
      </w:r>
    </w:p>
    <w:p w14:paraId="108DC764" w14:textId="73B448A4" w:rsidR="00C33240" w:rsidRPr="002F2687" w:rsidRDefault="00C33240" w:rsidP="0048078B">
      <w:pPr>
        <w:pStyle w:val="ListParagraph"/>
        <w:ind w:left="1170" w:hanging="450"/>
      </w:pPr>
      <w:bookmarkStart w:id="56" w:name="_Hlk30145267"/>
      <w:r w:rsidRPr="002F2687">
        <w:rPr>
          <w:b/>
        </w:rPr>
        <w:t>CTE Online</w:t>
      </w:r>
      <w:r w:rsidR="00B60599" w:rsidRPr="009A2066">
        <w:rPr>
          <w:b/>
        </w:rPr>
        <w:t>:</w:t>
      </w:r>
      <w:r w:rsidR="00B60599">
        <w:t xml:space="preserve"> Is a</w:t>
      </w:r>
      <w:r w:rsidRPr="002F2687">
        <w:t xml:space="preserve"> free online resource devoted to connecting CTE and academic educators to </w:t>
      </w:r>
      <w:r w:rsidR="001F06F8">
        <w:t>the</w:t>
      </w:r>
      <w:r w:rsidR="001F06F8" w:rsidRPr="002F2687">
        <w:t xml:space="preserve"> </w:t>
      </w:r>
      <w:r w:rsidRPr="002F2687">
        <w:t>CTEMCS, shared communities of practice</w:t>
      </w:r>
      <w:r w:rsidR="001F06F8">
        <w:t>,</w:t>
      </w:r>
      <w:r w:rsidRPr="002F2687">
        <w:t xml:space="preserve"> and </w:t>
      </w:r>
      <w:r w:rsidR="000A47FB">
        <w:t xml:space="preserve">PD </w:t>
      </w:r>
      <w:r w:rsidRPr="002F2687">
        <w:t xml:space="preserve">tools. The site includes thousands of lesson plans aligned to CTE, </w:t>
      </w:r>
      <w:r w:rsidR="001F06F8">
        <w:t xml:space="preserve">the </w:t>
      </w:r>
      <w:r w:rsidRPr="002F2687">
        <w:t xml:space="preserve">Common Core </w:t>
      </w:r>
      <w:r w:rsidR="007E276B">
        <w:t xml:space="preserve">State Standards, </w:t>
      </w:r>
      <w:r w:rsidRPr="002F2687">
        <w:t xml:space="preserve">and </w:t>
      </w:r>
      <w:r w:rsidR="001F06F8">
        <w:t xml:space="preserve">the </w:t>
      </w:r>
      <w:r w:rsidRPr="002F2687">
        <w:t xml:space="preserve">Next Generation Science Standards, as well as </w:t>
      </w:r>
      <w:r w:rsidR="001F06F8">
        <w:t>i</w:t>
      </w:r>
      <w:r w:rsidRPr="002F2687">
        <w:t xml:space="preserve">ntegrated </w:t>
      </w:r>
      <w:r w:rsidR="002176A0" w:rsidRPr="002F2687">
        <w:t>Science, Technology, Engineering, Art, and Mathematics (</w:t>
      </w:r>
      <w:r w:rsidRPr="002F2687">
        <w:t>STEAM</w:t>
      </w:r>
      <w:r w:rsidR="002176A0" w:rsidRPr="002F2687">
        <w:t>)</w:t>
      </w:r>
      <w:r w:rsidRPr="002F2687">
        <w:t>/</w:t>
      </w:r>
      <w:r w:rsidR="002176A0" w:rsidRPr="002F2687">
        <w:t>Science</w:t>
      </w:r>
      <w:r w:rsidR="007E276B">
        <w:t>,</w:t>
      </w:r>
      <w:r w:rsidR="002176A0" w:rsidRPr="002F2687">
        <w:t xml:space="preserve"> Technology, Engineering, and Mathematics (</w:t>
      </w:r>
      <w:r w:rsidRPr="002F2687">
        <w:t>STEM</w:t>
      </w:r>
      <w:r w:rsidR="002176A0" w:rsidRPr="002F2687">
        <w:t>)</w:t>
      </w:r>
      <w:r w:rsidRPr="002F2687">
        <w:t xml:space="preserve"> projects</w:t>
      </w:r>
      <w:r w:rsidR="001F06F8">
        <w:t>;</w:t>
      </w:r>
      <w:r w:rsidRPr="002F2687">
        <w:t xml:space="preserve"> model course outlines</w:t>
      </w:r>
      <w:r w:rsidR="001F06F8">
        <w:t>;</w:t>
      </w:r>
      <w:r w:rsidRPr="002F2687">
        <w:t xml:space="preserve"> and sample </w:t>
      </w:r>
      <w:r w:rsidR="001F05F7">
        <w:t>POS</w:t>
      </w:r>
      <w:r w:rsidRPr="002F2687">
        <w:t xml:space="preserve">. CTE Online also provides tools for users to create their own curriculum and collaborate in groups. To view the resources, please visit the CTE Online website at </w:t>
      </w:r>
      <w:hyperlink r:id="rId22" w:tooltip="CTE Online" w:history="1">
        <w:r w:rsidRPr="002F2687">
          <w:rPr>
            <w:rStyle w:val="Hyperlink"/>
          </w:rPr>
          <w:t>https://www.cteonline.org</w:t>
        </w:r>
      </w:hyperlink>
      <w:r w:rsidRPr="00276108">
        <w:rPr>
          <w:rStyle w:val="Hyperlink"/>
          <w:rFonts w:cs="Arial"/>
          <w:color w:val="auto"/>
          <w:u w:val="none"/>
        </w:rPr>
        <w:t>.</w:t>
      </w:r>
    </w:p>
    <w:p w14:paraId="2A27012D" w14:textId="67F349F4" w:rsidR="00C33240" w:rsidRPr="002F2687" w:rsidRDefault="00C33240" w:rsidP="0048078B">
      <w:pPr>
        <w:pStyle w:val="ListParagraph"/>
        <w:ind w:left="1170" w:hanging="450"/>
      </w:pPr>
      <w:bookmarkStart w:id="57" w:name="_Hlk30146295"/>
      <w:bookmarkEnd w:id="56"/>
      <w:r w:rsidRPr="002F2687">
        <w:rPr>
          <w:b/>
        </w:rPr>
        <w:t>CTE T</w:t>
      </w:r>
      <w:r w:rsidR="00B60599">
        <w:rPr>
          <w:b/>
        </w:rPr>
        <w:t>EACH</w:t>
      </w:r>
      <w:r w:rsidRPr="009A2066">
        <w:rPr>
          <w:b/>
        </w:rPr>
        <w:t>:</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w:t>
      </w:r>
      <w:r w:rsidR="001F06F8">
        <w:t>EACH</w:t>
      </w:r>
      <w:r w:rsidRPr="002F2687">
        <w:t xml:space="preserve"> website at</w:t>
      </w:r>
      <w:r w:rsidR="00A77415">
        <w:t xml:space="preserve"> </w:t>
      </w:r>
      <w:hyperlink r:id="rId23" w:tooltip="CRY-ROP" w:history="1">
        <w:r w:rsidR="00A77415" w:rsidRPr="000F3492">
          <w:rPr>
            <w:rStyle w:val="Hyperlink"/>
          </w:rPr>
          <w:t>https://cryrop.org/Educators/CTE-Teach/index.html</w:t>
        </w:r>
      </w:hyperlink>
      <w:r w:rsidRPr="00276108">
        <w:rPr>
          <w:rStyle w:val="Hyperlink"/>
          <w:rFonts w:cs="Arial"/>
          <w:color w:val="auto"/>
          <w:u w:val="none"/>
        </w:rPr>
        <w:t>.</w:t>
      </w:r>
    </w:p>
    <w:bookmarkEnd w:id="57"/>
    <w:p w14:paraId="3564D784" w14:textId="060BB455" w:rsidR="00AA5A58" w:rsidRPr="002F2687" w:rsidRDefault="00B60599" w:rsidP="0048078B">
      <w:pPr>
        <w:pStyle w:val="ListParagraph"/>
        <w:ind w:left="1170" w:hanging="450"/>
      </w:pPr>
      <w:r w:rsidRPr="001B5B3A">
        <w:rPr>
          <w:b/>
        </w:rPr>
        <w:t>The</w:t>
      </w:r>
      <w:r w:rsidR="00AA5A58" w:rsidRPr="001B5B3A">
        <w:rPr>
          <w:b/>
        </w:rPr>
        <w:t xml:space="preserve"> California Career </w:t>
      </w:r>
      <w:r w:rsidRPr="001B5B3A">
        <w:rPr>
          <w:b/>
        </w:rPr>
        <w:t>Resource Network (CalCRN)</w:t>
      </w:r>
      <w:r w:rsidR="001B5B3A" w:rsidRPr="009A2066">
        <w:rPr>
          <w:b/>
        </w:rPr>
        <w:t>:</w:t>
      </w:r>
      <w:r w:rsidR="00AA5A58" w:rsidRPr="002F2687">
        <w:t xml:space="preserve"> </w:t>
      </w:r>
      <w:r w:rsidR="00826F4C">
        <w:t>P</w:t>
      </w:r>
      <w:r w:rsidR="00AA5A58" w:rsidRPr="002F2687">
        <w:t xml:space="preserve">rovides students, parents, </w:t>
      </w:r>
      <w:r w:rsidR="00F35440">
        <w:t>counselors</w:t>
      </w:r>
      <w:r w:rsidR="00CF7152">
        <w:t>,</w:t>
      </w:r>
      <w:r w:rsidR="00F35440">
        <w:rPr>
          <w:rStyle w:val="FootnoteReference"/>
        </w:rPr>
        <w:footnoteReference w:id="18"/>
      </w:r>
      <w:r w:rsidR="00F35440">
        <w:t xml:space="preserve"> </w:t>
      </w:r>
      <w:r w:rsidR="00AA5A58" w:rsidRPr="002F2687">
        <w:t xml:space="preserve">and educators throughout the </w:t>
      </w:r>
      <w:r w:rsidR="00D857D4">
        <w:t>S</w:t>
      </w:r>
      <w:r w:rsidR="00AA5A58" w:rsidRPr="002F2687">
        <w:t xml:space="preserve">tate with a range of online and </w:t>
      </w:r>
      <w:r w:rsidR="00826F4C">
        <w:t>print</w:t>
      </w:r>
      <w:r w:rsidR="00AA5A58" w:rsidRPr="002F2687">
        <w:t xml:space="preserve"> career education resources and materials. </w:t>
      </w:r>
      <w:r w:rsidR="00826F4C">
        <w:t xml:space="preserve">The </w:t>
      </w:r>
      <w:r w:rsidR="00AA5A58" w:rsidRPr="002F2687">
        <w:t xml:space="preserve">CalCRN is funded with State </w:t>
      </w:r>
      <w:r>
        <w:t xml:space="preserve">and federal funds </w:t>
      </w:r>
      <w:r w:rsidR="00AA5A58" w:rsidRPr="002F2687">
        <w:t xml:space="preserve">to provide all persons in California with </w:t>
      </w:r>
      <w:r w:rsidR="00AA5A58" w:rsidRPr="002F2687">
        <w:lastRenderedPageBreak/>
        <w:t>career development information and resources to enable them to reach their career goals</w:t>
      </w:r>
      <w:r>
        <w:t>.</w:t>
      </w:r>
      <w:r w:rsidR="001B5B3A">
        <w:t xml:space="preserve"> To view the resources, please visit the </w:t>
      </w:r>
      <w:proofErr w:type="spellStart"/>
      <w:r w:rsidR="001B5B3A">
        <w:t>CalCRN</w:t>
      </w:r>
      <w:proofErr w:type="spellEnd"/>
      <w:r w:rsidR="001B5B3A">
        <w:t xml:space="preserve"> website at </w:t>
      </w:r>
      <w:hyperlink r:id="rId24" w:tooltip="The California Career Resource Network " w:history="1">
        <w:r w:rsidR="001B5B3A" w:rsidRPr="00B55F62">
          <w:rPr>
            <w:rStyle w:val="Hyperlink"/>
            <w:rFonts w:cs="RotisSemiSans Light"/>
          </w:rPr>
          <w:t>https://www.californiacareers.info</w:t>
        </w:r>
      </w:hyperlink>
      <w:r w:rsidR="001B5B3A">
        <w:t>.</w:t>
      </w:r>
    </w:p>
    <w:p w14:paraId="5D960E78" w14:textId="42D27F01" w:rsidR="00212D40" w:rsidRDefault="00AA5A58" w:rsidP="001B5B3A">
      <w:pPr>
        <w:ind w:left="1170"/>
      </w:pPr>
      <w:r w:rsidRPr="002F2687">
        <w:t>The CalCRN program offers various materials</w:t>
      </w:r>
      <w:r w:rsidR="004D7F75">
        <w:t>,</w:t>
      </w:r>
      <w:r w:rsidRPr="002F2687">
        <w:t xml:space="preserve"> such as postsecondary planning tools and job</w:t>
      </w:r>
      <w:r w:rsidR="004D7F75">
        <w:t>-</w:t>
      </w:r>
      <w:r w:rsidRPr="002F2687">
        <w:t xml:space="preserve">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w:t>
      </w:r>
      <w:r w:rsidR="00826F4C">
        <w:t>existing standards, including t</w:t>
      </w:r>
      <w:r w:rsidRPr="002F2687">
        <w:t>he California Common Core State Standards</w:t>
      </w:r>
      <w:r w:rsidR="00796F51">
        <w:t>,</w:t>
      </w:r>
      <w:r w:rsidRPr="002F2687">
        <w:t xml:space="preserve"> </w:t>
      </w:r>
      <w:r w:rsidR="00826F4C">
        <w:t xml:space="preserve">the </w:t>
      </w:r>
      <w:r w:rsidRPr="002F2687">
        <w:t xml:space="preserve">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the International Society for Technology in Education Standards, and the California English Language Development Standards.</w:t>
      </w:r>
    </w:p>
    <w:p w14:paraId="25A7794D" w14:textId="3E7DBDC5" w:rsidR="001B5B3A" w:rsidRPr="002F2687" w:rsidRDefault="00212D40" w:rsidP="001B5B3A">
      <w:pPr>
        <w:ind w:left="1170"/>
      </w:pPr>
      <w:r w:rsidRPr="00212D40">
        <w:t xml:space="preserve">CalCRN’s California CareerZone is the </w:t>
      </w:r>
      <w:r w:rsidR="00D857D4">
        <w:t>S</w:t>
      </w:r>
      <w:r w:rsidRPr="00212D40">
        <w:t xml:space="preserve">tate’s career information delivery system, providing occupational and CTE information specific to California, including guidance around the skills and preparation required for a vast array of career areas and specific occupations. Used by </w:t>
      </w:r>
      <w:r w:rsidR="004D7F75">
        <w:t>more than</w:t>
      </w:r>
      <w:r w:rsidR="004D7F75" w:rsidRPr="00212D40">
        <w:t xml:space="preserve"> </w:t>
      </w:r>
      <w:r w:rsidRPr="00212D40">
        <w:t xml:space="preserve">1 million students statewide each year, the California CareerZone offers an </w:t>
      </w:r>
      <w:r w:rsidR="001B5B3A">
        <w:br/>
      </w:r>
      <w:r w:rsidRPr="00212D40">
        <w:t>end</w:t>
      </w:r>
      <w:r w:rsidR="004D7F75">
        <w:t>-</w:t>
      </w:r>
      <w:r w:rsidRPr="00212D40">
        <w:t>to</w:t>
      </w:r>
      <w:r w:rsidR="004D7F75">
        <w:t>-</w:t>
      </w:r>
      <w:r w:rsidRPr="00212D40">
        <w:t xml:space="preserve">end career planning experience, complete with self-assessments, </w:t>
      </w:r>
      <w:r w:rsidR="004D7F75">
        <w:t>more than</w:t>
      </w:r>
      <w:r w:rsidR="004D7F75" w:rsidRPr="00212D40">
        <w:t xml:space="preserve"> </w:t>
      </w:r>
      <w:r w:rsidRPr="00212D40">
        <w:t>1</w:t>
      </w:r>
      <w:r w:rsidR="004D7F75">
        <w:t>,</w:t>
      </w:r>
      <w:r w:rsidRPr="00212D40">
        <w:t>000 occupation and education profiles, and a variety of educator management tools</w:t>
      </w:r>
      <w:r w:rsidR="004D7F75">
        <w:t>,</w:t>
      </w:r>
      <w:r w:rsidRPr="00212D40">
        <w:t xml:space="preserve"> including free educator accounts, activity reporting</w:t>
      </w:r>
      <w:r w:rsidR="004D7F75">
        <w:t>,</w:t>
      </w:r>
      <w:r w:rsidRPr="00212D40">
        <w:t xml:space="preserve"> and a custom lesson plan creator.</w:t>
      </w:r>
      <w:r w:rsidR="001B5B3A">
        <w:rPr>
          <w:rStyle w:val="CommentReference"/>
        </w:rPr>
        <w:t xml:space="preserve"> </w:t>
      </w:r>
      <w:r w:rsidR="001B5B3A">
        <w:t xml:space="preserve">To view the resources, please visit the </w:t>
      </w:r>
      <w:proofErr w:type="spellStart"/>
      <w:r w:rsidR="001B5B3A">
        <w:t>CareerZone</w:t>
      </w:r>
      <w:proofErr w:type="spellEnd"/>
      <w:r w:rsidR="001B5B3A">
        <w:t xml:space="preserve"> website at </w:t>
      </w:r>
      <w:hyperlink r:id="rId25" w:tooltip="The California CareerZone" w:history="1">
        <w:r w:rsidR="001B5B3A" w:rsidRPr="00295AED">
          <w:rPr>
            <w:rStyle w:val="Hyperlink"/>
          </w:rPr>
          <w:t>https://www.cacareerzone.org</w:t>
        </w:r>
      </w:hyperlink>
      <w:r w:rsidR="001B5B3A">
        <w:t>.</w:t>
      </w:r>
    </w:p>
    <w:p w14:paraId="33191929" w14:textId="79DDAA85" w:rsidR="001B5B3A" w:rsidRPr="001B5B3A" w:rsidRDefault="00AA5A58" w:rsidP="001B5B3A">
      <w:pPr>
        <w:ind w:left="1170"/>
      </w:pPr>
      <w:r w:rsidRPr="002F2687">
        <w:t xml:space="preserve">In addition, a number of online resources offer materials about how to implement career development programs and courses. </w:t>
      </w:r>
      <w:r w:rsidR="004D7F75">
        <w:t xml:space="preserve">The </w:t>
      </w:r>
      <w:r w:rsidRPr="002F2687">
        <w:t xml:space="preserve">California </w:t>
      </w:r>
      <w:r w:rsidR="00B60599">
        <w:t>GEAR UP</w:t>
      </w:r>
      <w:r w:rsidRPr="002F2687">
        <w:t xml:space="preserve"> Educator</w:t>
      </w:r>
      <w:r w:rsidR="00F01AE5" w:rsidRPr="002F2687">
        <w:t>’</w:t>
      </w:r>
      <w:r w:rsidRPr="002F2687">
        <w:t>s Resources Clearinghouse offers a free online library where educators can search a wealth of information for promoting a college-going culture</w:t>
      </w:r>
      <w:r w:rsidR="004519A3">
        <w:t>,</w:t>
      </w:r>
      <w:r w:rsidRPr="002F2687">
        <w:t xml:space="preserve"> and provides periodicals, pamphlets, worksheets, and various media </w:t>
      </w:r>
      <w:r w:rsidRPr="002F2687">
        <w:lastRenderedPageBreak/>
        <w:t>pertaining to career development in the classroom or career center</w:t>
      </w:r>
      <w:r w:rsidR="00DC4AC1" w:rsidRPr="002F2687">
        <w:t>.</w:t>
      </w:r>
      <w:r w:rsidR="001B5B3A">
        <w:t xml:space="preserve"> To view these resources, please visit the </w:t>
      </w:r>
      <w:r w:rsidR="001B5B3A" w:rsidRPr="00576F39">
        <w:rPr>
          <w:rFonts w:cs="Arial"/>
        </w:rPr>
        <w:t>California GEAR UP Educator's Resources Clearinghouse</w:t>
      </w:r>
      <w:r w:rsidR="001B5B3A">
        <w:rPr>
          <w:rFonts w:cs="Arial"/>
        </w:rPr>
        <w:t xml:space="preserve"> website at </w:t>
      </w:r>
      <w:hyperlink r:id="rId26" w:tooltip="The California GEAR UP Educator's Resources Clearinghouse" w:history="1">
        <w:r w:rsidR="001B5B3A" w:rsidRPr="00576F39">
          <w:rPr>
            <w:rStyle w:val="Hyperlink"/>
            <w:rFonts w:cs="Arial"/>
          </w:rPr>
          <w:t>http://www.clearinghouse.castategearup.org/educators/index.php</w:t>
        </w:r>
      </w:hyperlink>
      <w:r w:rsidR="001B5B3A" w:rsidRPr="001B5B3A">
        <w:t>.</w:t>
      </w:r>
    </w:p>
    <w:p w14:paraId="7D37AA2D" w14:textId="6C9EF131" w:rsidR="00E56CC5" w:rsidRPr="002F2687" w:rsidRDefault="00531EE4" w:rsidP="0048078B">
      <w:pPr>
        <w:pStyle w:val="ListParagraph"/>
        <w:ind w:left="1170" w:hanging="450"/>
      </w:pPr>
      <w:r w:rsidRPr="00E56CC5">
        <w:rPr>
          <w:b/>
        </w:rPr>
        <w:t>Centers of Excellence</w:t>
      </w:r>
      <w:r w:rsidR="00C83C61">
        <w:rPr>
          <w:b/>
        </w:rPr>
        <w:t xml:space="preserve"> (COE)</w:t>
      </w:r>
      <w:r w:rsidR="00826F4C" w:rsidRPr="009A2066">
        <w:rPr>
          <w:b/>
        </w:rPr>
        <w:t>:</w:t>
      </w:r>
      <w:r w:rsidR="00826F4C">
        <w:t xml:space="preserve"> Is a</w:t>
      </w:r>
      <w:r w:rsidR="00C33240" w:rsidRPr="002F2687">
        <w:t xml:space="preserve"> free online resource available to all CTE stakeholders, </w:t>
      </w:r>
      <w:r w:rsidR="00826F4C">
        <w:t xml:space="preserve">and </w:t>
      </w:r>
      <w:r w:rsidR="00C33240" w:rsidRPr="002F2687">
        <w:t xml:space="preserve">includes career </w:t>
      </w:r>
      <w:r w:rsidR="001B5B3A">
        <w:t xml:space="preserve">information </w:t>
      </w:r>
      <w:r w:rsidR="00C33240" w:rsidRPr="002F2687">
        <w:t xml:space="preserve">and </w:t>
      </w:r>
      <w:r w:rsidR="003D1FA4">
        <w:t>LMI</w:t>
      </w:r>
      <w:r w:rsidR="002176A0" w:rsidRPr="002F2687">
        <w:t>,</w:t>
      </w:r>
      <w:r w:rsidR="00C33240" w:rsidRPr="002F2687">
        <w:t xml:space="preserve"> as well as informatio</w:t>
      </w:r>
      <w:r w:rsidR="00826F4C">
        <w:t>n and support for pursuing high-wage, high-</w:t>
      </w:r>
      <w:r w:rsidR="00C33240" w:rsidRPr="002F2687">
        <w:t>s</w:t>
      </w:r>
      <w:r w:rsidR="00826F4C">
        <w:t>kill, high-</w:t>
      </w:r>
      <w:r w:rsidR="00C33240" w:rsidRPr="002F2687">
        <w:t>need</w:t>
      </w:r>
      <w:r w:rsidR="00826F4C">
        <w:t>, labor market–</w:t>
      </w:r>
      <w:r w:rsidR="00C33240" w:rsidRPr="002F2687">
        <w:t xml:space="preserve">driven CTE programs available in the State’s </w:t>
      </w:r>
      <w:r w:rsidR="00C33240" w:rsidRPr="00501D5A">
        <w:t>115</w:t>
      </w:r>
      <w:r w:rsidR="00C33240" w:rsidRPr="002F2687">
        <w:t xml:space="preserve"> community colleges. </w:t>
      </w:r>
      <w:r w:rsidRPr="00E56CC5">
        <w:rPr>
          <w:rFonts w:eastAsia="Arial"/>
          <w:color w:val="000000"/>
        </w:rPr>
        <w:t>To view career</w:t>
      </w:r>
      <w:r w:rsidR="001B5B3A">
        <w:rPr>
          <w:rFonts w:eastAsia="Arial"/>
          <w:color w:val="000000"/>
        </w:rPr>
        <w:t xml:space="preserve"> information and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27" w:tooltip="The Centers of Excellence" w:history="1">
        <w:r w:rsidRPr="002F2687">
          <w:rPr>
            <w:rStyle w:val="Hyperlink"/>
          </w:rPr>
          <w:t>http://www.coeccc.net</w:t>
        </w:r>
      </w:hyperlink>
      <w:r w:rsidR="00E56CC5" w:rsidRPr="00E56CC5">
        <w:t>.</w:t>
      </w:r>
    </w:p>
    <w:p w14:paraId="539C84A2" w14:textId="3A2B0E77" w:rsidR="00AA5A58" w:rsidRPr="002F2687" w:rsidRDefault="00C33240" w:rsidP="0048078B">
      <w:pPr>
        <w:pStyle w:val="ListParagraph"/>
        <w:ind w:left="1170" w:hanging="450"/>
      </w:pPr>
      <w:r w:rsidRPr="002F2687">
        <w:rPr>
          <w:rFonts w:cs="Arial"/>
          <w:b/>
        </w:rPr>
        <w:t>Guided Pathways Framework</w:t>
      </w:r>
      <w:r w:rsidRPr="009A2066">
        <w:rPr>
          <w:rFonts w:cs="Arial"/>
          <w:b/>
        </w:rPr>
        <w:t>:</w:t>
      </w:r>
      <w:r w:rsidRPr="002F2687">
        <w:rPr>
          <w:rFonts w:cs="Arial"/>
        </w:rPr>
        <w:t xml:space="preserve"> </w:t>
      </w:r>
      <w:r w:rsidR="00826F4C">
        <w:rPr>
          <w:rFonts w:cs="Arial"/>
        </w:rPr>
        <w:t>C</w:t>
      </w:r>
      <w:r w:rsidR="00AA5A58" w:rsidRPr="002F2687">
        <w:t>reates a highly structured approach to student success</w:t>
      </w:r>
      <w:r w:rsidR="004519A3">
        <w:t>, which</w:t>
      </w:r>
      <w:r w:rsidR="00AA5A58" w:rsidRPr="002F2687">
        <w:t xml:space="preserve"> provides all student</w:t>
      </w:r>
      <w:r w:rsidR="00B645BA">
        <w:t>s</w:t>
      </w:r>
      <w:r w:rsidR="00AA5A58" w:rsidRPr="002F2687">
        <w:t xml:space="preserve"> with a set of clear course-taking patterns to promote better enrollment decisions and </w:t>
      </w:r>
      <w:r w:rsidR="004519A3">
        <w:t xml:space="preserve">to </w:t>
      </w:r>
      <w:r w:rsidR="00AA5A58" w:rsidRPr="002F2687">
        <w:t xml:space="preserve">prepare students for future success. </w:t>
      </w:r>
      <w:r w:rsidR="00826F4C">
        <w:t xml:space="preserve">All 115 CCC are actively working on or implementing Guided Pathways reforms. The </w:t>
      </w:r>
      <w:r w:rsidR="00AA5A58" w:rsidRPr="002F2687">
        <w:t>Guided Pathways</w:t>
      </w:r>
      <w:r w:rsidR="00826F4C">
        <w:t xml:space="preserve"> framework</w:t>
      </w:r>
      <w:r w:rsidR="00AA5A58" w:rsidRPr="002F2687">
        <w:t xml:space="preserve"> is aimed at helping students reach their career and educational goals by creating highly structured, unambiguo</w:t>
      </w:r>
      <w:r w:rsidR="00B645BA">
        <w:t xml:space="preserve">us road maps that will lead to </w:t>
      </w:r>
      <w:r w:rsidR="004519A3">
        <w:t>a</w:t>
      </w:r>
      <w:r w:rsidR="004519A3" w:rsidRPr="002F2687">
        <w:t xml:space="preserve"> </w:t>
      </w:r>
      <w:r w:rsidR="00AA5A58" w:rsidRPr="002F2687">
        <w:t xml:space="preserve">defined objective. Core to </w:t>
      </w:r>
      <w:r w:rsidR="004519A3">
        <w:t xml:space="preserve">the </w:t>
      </w:r>
      <w:r w:rsidR="00AA5A58" w:rsidRPr="002F2687">
        <w:t xml:space="preserve">Guided Pathways </w:t>
      </w:r>
      <w:r w:rsidR="004519A3">
        <w:t xml:space="preserve">framework </w:t>
      </w:r>
      <w:r w:rsidR="00AA5A58" w:rsidRPr="002F2687">
        <w:t>is the fundamental restructuring of the college in order to effectiv</w:t>
      </w:r>
      <w:r w:rsidR="00826F4C">
        <w:t xml:space="preserve">ely support seamless pathways. </w:t>
      </w:r>
      <w:r w:rsidR="004519A3">
        <w:t>Colleges</w:t>
      </w:r>
      <w:r w:rsidR="00826F4C">
        <w:t xml:space="preserve"> a</w:t>
      </w:r>
      <w:r w:rsidR="00AA5A58" w:rsidRPr="002F2687">
        <w:t>dopting the Guided Pathways framework can improve student achievement and transfer</w:t>
      </w:r>
      <w:r w:rsidR="00826F4C">
        <w:t xml:space="preserve"> rates</w:t>
      </w:r>
      <w:r w:rsidR="00AA5A58" w:rsidRPr="002F2687">
        <w:t xml:space="preserve">, cut down on the total number of units </w:t>
      </w:r>
      <w:r w:rsidR="00331C2F">
        <w:t>that students take while</w:t>
      </w:r>
      <w:r w:rsidR="00826F4C">
        <w:t xml:space="preserve"> earn</w:t>
      </w:r>
      <w:r w:rsidR="00331C2F">
        <w:t>ing</w:t>
      </w:r>
      <w:r w:rsidR="00826F4C">
        <w:t xml:space="preserve"> a</w:t>
      </w:r>
      <w:r w:rsidR="00AA5A58" w:rsidRPr="002F2687">
        <w:t xml:space="preserve"> degree, increase career certifications</w:t>
      </w:r>
      <w:r w:rsidR="00826F4C">
        <w:t>,</w:t>
      </w:r>
      <w:r w:rsidR="00AA5A58" w:rsidRPr="002F2687">
        <w:t xml:space="preserve"> and eliminate achievement gaps.</w:t>
      </w:r>
    </w:p>
    <w:p w14:paraId="36991D62" w14:textId="66714C21" w:rsidR="00AA5A58" w:rsidRPr="002F2687" w:rsidRDefault="00AA5A58" w:rsidP="0048078B">
      <w:pPr>
        <w:ind w:left="1170" w:hanging="450"/>
      </w:pPr>
      <w:r w:rsidRPr="002F2687">
        <w:t>The Guided Pathways framework rests on four pillars:</w:t>
      </w:r>
    </w:p>
    <w:p w14:paraId="2B090CF9" w14:textId="2136CDC4" w:rsidR="00AA5A58" w:rsidRPr="002F2687" w:rsidRDefault="00AA5A58" w:rsidP="0048078B">
      <w:pPr>
        <w:pStyle w:val="ListParagraph"/>
        <w:numPr>
          <w:ilvl w:val="1"/>
          <w:numId w:val="22"/>
        </w:numPr>
        <w:ind w:left="2250" w:hanging="450"/>
      </w:pPr>
      <w:r w:rsidRPr="002F2687">
        <w:t>Create clear curricular pathways to employment and to further education</w:t>
      </w:r>
      <w:r w:rsidR="00331C2F">
        <w:t>;</w:t>
      </w:r>
    </w:p>
    <w:p w14:paraId="1543742B" w14:textId="4E80AC0C" w:rsidR="00AA5A58" w:rsidRPr="002F2687" w:rsidRDefault="00AA5A58" w:rsidP="0048078B">
      <w:pPr>
        <w:pStyle w:val="ListParagraph"/>
        <w:numPr>
          <w:ilvl w:val="1"/>
          <w:numId w:val="22"/>
        </w:numPr>
        <w:ind w:left="2250" w:hanging="450"/>
      </w:pPr>
      <w:r w:rsidRPr="002F2687">
        <w:t>Help students choose and enter their pathway</w:t>
      </w:r>
      <w:r w:rsidR="00331C2F">
        <w:t>;</w:t>
      </w:r>
    </w:p>
    <w:p w14:paraId="57CC4294" w14:textId="3E11E130" w:rsidR="00AA5A58" w:rsidRPr="002F2687" w:rsidRDefault="00331C2F" w:rsidP="0048078B">
      <w:pPr>
        <w:pStyle w:val="ListParagraph"/>
        <w:numPr>
          <w:ilvl w:val="1"/>
          <w:numId w:val="22"/>
        </w:numPr>
        <w:ind w:left="2250" w:hanging="450"/>
      </w:pPr>
      <w:r>
        <w:t>Assist students in staying on their pathway; and</w:t>
      </w:r>
    </w:p>
    <w:p w14:paraId="52230101" w14:textId="13865F43" w:rsidR="00AA5A58" w:rsidRPr="002F2687" w:rsidRDefault="00AA5A58" w:rsidP="0048078B">
      <w:pPr>
        <w:pStyle w:val="ListParagraph"/>
        <w:numPr>
          <w:ilvl w:val="1"/>
          <w:numId w:val="22"/>
        </w:numPr>
        <w:ind w:left="2250" w:hanging="450"/>
      </w:pPr>
      <w:r w:rsidRPr="002F2687">
        <w:lastRenderedPageBreak/>
        <w:t>Ensure learning is happening with intentional outcomes</w:t>
      </w:r>
      <w:r w:rsidR="00331C2F">
        <w:t>.</w:t>
      </w:r>
    </w:p>
    <w:p w14:paraId="45A50B3F" w14:textId="603E8D05" w:rsidR="00A32811" w:rsidRPr="00A32811" w:rsidRDefault="00C33240" w:rsidP="0048078B">
      <w:pPr>
        <w:ind w:left="1170"/>
      </w:pPr>
      <w:r w:rsidRPr="002F2687">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website at</w:t>
      </w:r>
      <w:r w:rsidR="00A32811">
        <w:t xml:space="preserve"> </w:t>
      </w:r>
      <w:hyperlink r:id="rId28" w:tooltip="California Community Colleges Guided Pathways" w:history="1">
        <w:r w:rsidR="00A32811" w:rsidRPr="00A32811">
          <w:rPr>
            <w:rStyle w:val="Hyperlink"/>
          </w:rPr>
          <w:t>https://www.cccco.edu/College-Professionals/Guided-Pathways</w:t>
        </w:r>
      </w:hyperlink>
      <w:r w:rsidR="00A32811">
        <w:t>.</w:t>
      </w:r>
    </w:p>
    <w:p w14:paraId="72F1EF72" w14:textId="4EF8B9F7" w:rsidR="00C33240" w:rsidRPr="002F2687" w:rsidRDefault="00C33240" w:rsidP="0048078B">
      <w:pPr>
        <w:pStyle w:val="ListParagraph"/>
        <w:ind w:left="1170" w:hanging="450"/>
        <w:rPr>
          <w:b/>
        </w:rPr>
      </w:pPr>
      <w:r w:rsidRPr="002F2687">
        <w:rPr>
          <w:b/>
        </w:rPr>
        <w:t xml:space="preserve">Dual Enrollment Opportunities: </w:t>
      </w:r>
      <w:r w:rsidR="00ED2B34">
        <w:t xml:space="preserve">All high school students, including those in </w:t>
      </w:r>
      <w:r w:rsidRPr="002F2687">
        <w:t xml:space="preserve">special populations and </w:t>
      </w:r>
      <w:r w:rsidR="00ED2B34">
        <w:t xml:space="preserve">other </w:t>
      </w:r>
      <w:r w:rsidRPr="002F2687">
        <w:t>targeted student groups</w:t>
      </w:r>
      <w:r w:rsidR="00331C2F">
        <w:t>,</w:t>
      </w:r>
      <w:r w:rsidR="00ED2B34">
        <w:t xml:space="preserve"> have </w:t>
      </w:r>
      <w:r w:rsidR="00826F4C">
        <w:t xml:space="preserve">access to </w:t>
      </w:r>
      <w:r w:rsidR="00ED2B34">
        <w:t xml:space="preserve">multiple options, some of them </w:t>
      </w:r>
      <w:r w:rsidR="00826F4C">
        <w:t>purposefully created by the State through several new initiatives</w:t>
      </w:r>
      <w:r w:rsidRPr="002F2687">
        <w:t xml:space="preserve">. </w:t>
      </w:r>
    </w:p>
    <w:p w14:paraId="467BDA01" w14:textId="2E15C643" w:rsidR="00C33240" w:rsidRPr="002F2687" w:rsidRDefault="00C33240" w:rsidP="00B32A75">
      <w:pPr>
        <w:rPr>
          <w:bdr w:val="none" w:sz="0" w:space="0" w:color="auto" w:frame="1"/>
        </w:rPr>
      </w:pPr>
      <w:r w:rsidRPr="002F2687">
        <w:t>Beyond these sources, CTE stakeholders</w:t>
      </w:r>
      <w:r w:rsidR="00331C2F">
        <w:t>,</w:t>
      </w:r>
      <w:r w:rsidRPr="002F2687">
        <w:t xml:space="preserve"> including students, parents, representatives of secondary and postsecondary education, and special populations, are informed about </w:t>
      </w:r>
      <w:r w:rsidR="001F05F7">
        <w:t>POS</w:t>
      </w:r>
      <w:r w:rsidRPr="002F2687">
        <w:t xml:space="preserve"> through an assortment of </w:t>
      </w:r>
      <w:r w:rsidR="00D857D4">
        <w:t>S</w:t>
      </w:r>
      <w:r w:rsidRPr="002F2687">
        <w:t>tate, regional, and local sources</w:t>
      </w:r>
      <w:r w:rsidR="00331C2F">
        <w:t>,</w:t>
      </w:r>
      <w:r w:rsidRPr="002F2687">
        <w:t xml:space="preserve"> </w:t>
      </w:r>
      <w:r w:rsidR="002176A0" w:rsidRPr="002F2687">
        <w:t>includ</w:t>
      </w:r>
      <w:r w:rsidR="00331C2F">
        <w:t>ing</w:t>
      </w:r>
      <w:r w:rsidRPr="002F2687">
        <w:t xml:space="preserve"> email notifications, mailing lists, </w:t>
      </w:r>
      <w:r w:rsidR="000A47FB">
        <w:t>PD</w:t>
      </w:r>
      <w:r w:rsidRPr="002F2687">
        <w:t xml:space="preserve"> activities, and assistance provided by many CTE partner organizations. </w:t>
      </w:r>
      <w:r w:rsidR="00826F4C">
        <w:t>In a</w:t>
      </w:r>
      <w:r w:rsidRPr="002F2687">
        <w:t>ddition,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826F4C">
        <w:t xml:space="preserve">A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w:t>
      </w:r>
      <w:r w:rsidR="00826F4C">
        <w:rPr>
          <w:bdr w:val="none" w:sz="0" w:space="0" w:color="auto" w:frame="1"/>
        </w:rPr>
        <w:t>students</w:t>
      </w:r>
      <w:r w:rsidRPr="002F2687">
        <w:rPr>
          <w:bdr w:val="none" w:sz="0" w:space="0" w:color="auto" w:frame="1"/>
        </w:rPr>
        <w:t xml:space="preserve"> enrolled in that agency speak a primary language other than English.</w:t>
      </w:r>
    </w:p>
    <w:p w14:paraId="1867404B" w14:textId="77777777" w:rsidR="00C33240" w:rsidRPr="00E50962" w:rsidRDefault="00295AED" w:rsidP="00E760C4">
      <w:pPr>
        <w:pStyle w:val="Heading6"/>
      </w:pPr>
      <w:r w:rsidRPr="00E50962">
        <w:t xml:space="preserve">ii. </w:t>
      </w:r>
      <w:r w:rsidR="00CC0296" w:rsidRPr="00E50962">
        <w:t>facilitate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1463B230"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w:t>
      </w:r>
      <w:r w:rsidR="00D857D4">
        <w:t>S</w:t>
      </w:r>
      <w:r w:rsidR="00576F39" w:rsidRPr="002F2687">
        <w:t>tate has created several initiatives to improve CTE and career pathways at both the secondary and postsecondary levels.</w:t>
      </w:r>
    </w:p>
    <w:p w14:paraId="414FA3D0" w14:textId="34651E47" w:rsidR="000143EC" w:rsidRDefault="002817BB" w:rsidP="0058053B">
      <w:r w:rsidRPr="002F2687">
        <w:t xml:space="preserve">Originally part of Senate Bill 70, the </w:t>
      </w:r>
      <w:r w:rsidR="00F13BE9">
        <w:t>G</w:t>
      </w:r>
      <w:r w:rsidR="00F13BE9" w:rsidRPr="002F2687">
        <w:t xml:space="preserve">overnor’s </w:t>
      </w:r>
      <w:r w:rsidR="00871C8D">
        <w:t>CTE</w:t>
      </w:r>
      <w:r w:rsidRPr="002F2687">
        <w:t xml:space="preserve"> </w:t>
      </w:r>
      <w:r w:rsidR="00323023">
        <w:t>p</w:t>
      </w:r>
      <w:r w:rsidRPr="002F2687">
        <w:t>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w:t>
      </w:r>
      <w:r w:rsidR="001C0CE2">
        <w:t xml:space="preserve">CPAs </w:t>
      </w:r>
      <w:r w:rsidRPr="002F2687">
        <w:t xml:space="preserve">and other </w:t>
      </w:r>
      <w:r w:rsidRPr="002F2687">
        <w:lastRenderedPageBreak/>
        <w:t>statewide CTE initiatives</w:t>
      </w:r>
      <w:r w:rsidR="00323023">
        <w:t>,</w:t>
      </w:r>
      <w:r w:rsidRPr="002F2687">
        <w:t xml:space="preserve"> such as CTE Online, CTE TEACH, the Leadership Development Institute</w:t>
      </w:r>
      <w:r w:rsidR="00916309">
        <w:t xml:space="preserve"> (LDI)</w:t>
      </w:r>
      <w:r w:rsidRPr="002F2687">
        <w:t>, and Health Science Building Capacity Grants.</w:t>
      </w:r>
      <w:r w:rsidR="00DC362A">
        <w:t xml:space="preserve"> </w:t>
      </w:r>
    </w:p>
    <w:p w14:paraId="3C34C18F" w14:textId="7303B542" w:rsidR="00C33240" w:rsidRPr="002F2687" w:rsidRDefault="003664E0" w:rsidP="0058053B">
      <w:bookmarkStart w:id="58" w:name="_Hlk32918102"/>
      <w:r>
        <w:t xml:space="preserve">The </w:t>
      </w:r>
      <w:r w:rsidR="00F13BE9">
        <w:t>G</w:t>
      </w:r>
      <w:r w:rsidR="00F13BE9" w:rsidRPr="002F2687">
        <w:t xml:space="preserve">overnor’s </w:t>
      </w:r>
      <w:r w:rsidR="0016136F" w:rsidRPr="002F2687">
        <w:t>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t>
      </w:r>
      <w:r w:rsidR="00C83C61">
        <w:t xml:space="preserve">program </w:t>
      </w:r>
      <w:r w:rsidR="00B316DC" w:rsidRPr="00B316DC">
        <w:t xml:space="preserve">was created as a </w:t>
      </w:r>
      <w:r w:rsidR="00D857D4">
        <w:t>S</w:t>
      </w:r>
      <w:r w:rsidR="00B316DC" w:rsidRPr="00B316DC">
        <w:t>tate education, economic, and workforce development initiative with the goal of providing</w:t>
      </w:r>
      <w:r w:rsidR="001B5B3A">
        <w:t xml:space="preserve"> K–12 </w:t>
      </w:r>
      <w:r w:rsidR="003C4454">
        <w:t>student</w:t>
      </w:r>
      <w:r w:rsidR="00B316DC" w:rsidRPr="00B316DC">
        <w:t xml:space="preserve">s with the knowledge and skills necessary to transition to employment and postsecondary education. The purpose of </w:t>
      </w:r>
      <w:r w:rsidR="00C83C61">
        <w:t xml:space="preserve">the </w:t>
      </w:r>
      <w:r w:rsidR="00B316DC" w:rsidRPr="00B316DC">
        <w:t xml:space="preserve">CTEIG </w:t>
      </w:r>
      <w:r w:rsidR="00C83C61">
        <w:t xml:space="preserve">program </w:t>
      </w:r>
      <w:r w:rsidR="00B316DC" w:rsidRPr="00B316DC">
        <w:t xml:space="preserve">was to incentivize secondary CTE programming by encouraging the development of new CTE programs and enhancing and maintaining current CTE programs while functioning as a bridge during the transition to full implementation of the school district and charter school </w:t>
      </w:r>
      <w:r w:rsidR="00C83C61">
        <w:t>LCFF</w:t>
      </w:r>
      <w:r w:rsidR="00B316DC" w:rsidRPr="00B316DC">
        <w:t xml:space="preserve">.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r w:rsidR="008D07D7">
        <w:t xml:space="preserve"> </w:t>
      </w:r>
      <w:r w:rsidR="008D07D7" w:rsidRPr="008D07D7">
        <w:t>The CTEIG reflects the Governor’s and the Legislature’s recognition of the critical need for high-quality, sustainable CTE programs that prepare students for success in California’s labor market.</w:t>
      </w:r>
    </w:p>
    <w:bookmarkEnd w:id="58"/>
    <w:p w14:paraId="40685537" w14:textId="6CD758A0" w:rsidR="00263BB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w:t>
      </w:r>
      <w:r w:rsidR="00F13BE9">
        <w:t>G</w:t>
      </w:r>
      <w:r w:rsidR="00F13BE9" w:rsidRPr="002F2687">
        <w:t xml:space="preserve">overnor </w:t>
      </w:r>
      <w:r w:rsidRPr="002F2687">
        <w:t xml:space="preserve">and </w:t>
      </w:r>
      <w:r w:rsidR="00C83C61">
        <w:t xml:space="preserve">the </w:t>
      </w:r>
      <w:r w:rsidR="00D07E4D">
        <w:t>L</w:t>
      </w:r>
      <w:r w:rsidR="00D07E4D" w:rsidRPr="002F2687">
        <w:t xml:space="preserve">egislature </w:t>
      </w:r>
      <w:r w:rsidRPr="002F2687">
        <w:t>approved the SWP, adding a new annual recurring investment of $248 million to spur CTE in the nation’s large</w:t>
      </w:r>
      <w:r w:rsidR="00323023">
        <w:t xml:space="preserve">st workforce development system, encompassing </w:t>
      </w:r>
      <w:r w:rsidR="00C83C61">
        <w:br w:type="textWrapping" w:clear="all"/>
      </w:r>
      <w:r w:rsidRPr="00501D5A">
        <w:t>115</w:t>
      </w:r>
      <w:r w:rsidRPr="002F2687">
        <w:t xml:space="preserve"> community colleges.</w:t>
      </w:r>
      <w:r w:rsidR="00C83C61">
        <w:t xml:space="preserve"> </w:t>
      </w:r>
      <w:r w:rsidR="008104FD">
        <w:t>T</w:t>
      </w:r>
      <w:r w:rsidR="008104FD" w:rsidRPr="002F2687">
        <w:t xml:space="preserve">his </w:t>
      </w:r>
      <w:r w:rsidRPr="002F2687">
        <w:t xml:space="preserve">program builds upon existing regional partnerships formed in conjunction with the federal </w:t>
      </w:r>
      <w:r w:rsidR="00575780" w:rsidRPr="002F2687">
        <w:t>WIOA</w:t>
      </w:r>
      <w:r w:rsidRPr="002F2687">
        <w:t xml:space="preserve">, </w:t>
      </w:r>
      <w:r w:rsidR="00323023">
        <w:t xml:space="preserve">the </w:t>
      </w:r>
      <w:r w:rsidR="00575780" w:rsidRPr="002F2687">
        <w:t xml:space="preserve">CAEP, </w:t>
      </w:r>
      <w:r w:rsidRPr="002F2687">
        <w:t>and public</w:t>
      </w:r>
      <w:r w:rsidR="00C83C61">
        <w:t>-</w:t>
      </w:r>
      <w:r w:rsidRPr="002F2687">
        <w:t>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6A573018" w:rsidR="00C33240" w:rsidRPr="002F2687" w:rsidRDefault="001C47E7" w:rsidP="0058053B">
      <w:bookmarkStart w:id="59" w:name="_Hlk32918688"/>
      <w:r>
        <w:t>The Governor’s</w:t>
      </w:r>
      <w:r w:rsidR="00984B1F" w:rsidRPr="002F2687">
        <w:t xml:space="preserve"> 2018−19</w:t>
      </w:r>
      <w:r w:rsidR="00C67184">
        <w:t xml:space="preserve"> Budget Act, </w:t>
      </w:r>
      <w:r w:rsidR="00984B1F" w:rsidRPr="002F2687">
        <w:t xml:space="preserve">established the K−12 component of the </w:t>
      </w:r>
      <w:r w:rsidR="00F36228">
        <w:t>SWP</w:t>
      </w:r>
      <w:r w:rsidR="00323023">
        <w:t>,</w:t>
      </w:r>
      <w:r w:rsidR="00F36228">
        <w:t xml:space="preserve"> </w:t>
      </w:r>
      <w:r w:rsidR="00984B1F" w:rsidRPr="002F2687">
        <w:t>appropriating $</w:t>
      </w:r>
      <w:r w:rsidR="00D07E4D">
        <w:t xml:space="preserve">150 </w:t>
      </w:r>
      <w:r w:rsidR="00147778">
        <w:t>million</w:t>
      </w:r>
      <w:r w:rsidR="00984B1F" w:rsidRPr="002F2687">
        <w:t xml:space="preserve"> in annual ongoing CTE funding to strengthen </w:t>
      </w:r>
      <w:r w:rsidR="00147778">
        <w:t>career</w:t>
      </w:r>
      <w:r w:rsidR="00984B1F" w:rsidRPr="002F2687">
        <w:t xml:space="preserve"> pathways for students from secondary to postsecondary education</w:t>
      </w:r>
      <w:r w:rsidR="00263BB0" w:rsidRPr="002F2687">
        <w:t xml:space="preserve"> and </w:t>
      </w:r>
      <w:r w:rsidR="00C83C61">
        <w:t xml:space="preserve">to </w:t>
      </w:r>
      <w:r w:rsidR="00263BB0" w:rsidRPr="002F2687">
        <w:t xml:space="preserve">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00984B1F" w:rsidRPr="002F2687">
        <w:t xml:space="preserve">. The </w:t>
      </w:r>
      <w:r w:rsidR="00D22F32">
        <w:t xml:space="preserve">intent of the </w:t>
      </w:r>
      <w:r w:rsidR="00984B1F" w:rsidRPr="002F2687">
        <w:t xml:space="preserve">K−12 SWP </w:t>
      </w:r>
      <w:r w:rsidR="00D22F32">
        <w:t>is</w:t>
      </w:r>
      <w:r w:rsidR="00984B1F" w:rsidRPr="002F2687">
        <w:t xml:space="preserve"> to develop, support, and/or expand high-quality CTE programs at the K−12 level. This program, administ</w:t>
      </w:r>
      <w:r w:rsidR="00C83C61">
        <w:t>er</w:t>
      </w:r>
      <w:r w:rsidR="00984B1F" w:rsidRPr="002F2687">
        <w:t xml:space="preserve">ed by the CCCCO in partnership with the CDE, aligns with the workforce development efforts occurring through the CCCCO’s </w:t>
      </w:r>
      <w:r w:rsidR="00F36228">
        <w:t>SWP</w:t>
      </w:r>
      <w:r w:rsidR="00984B1F" w:rsidRPr="002F2687">
        <w:t xml:space="preserve">, complements </w:t>
      </w:r>
      <w:r w:rsidR="00323023">
        <w:t xml:space="preserve">the </w:t>
      </w:r>
      <w:r w:rsidR="00984B1F" w:rsidRPr="002F2687">
        <w:lastRenderedPageBreak/>
        <w:t>CTEIG, and intends to improve transition</w:t>
      </w:r>
      <w:r w:rsidR="00C83C61">
        <w:t>s</w:t>
      </w:r>
      <w:r w:rsidR="00984B1F" w:rsidRPr="002F2687">
        <w:t xml:space="preserve"> from secondary education to postsecondary education and</w:t>
      </w:r>
      <w:r w:rsidR="00323023">
        <w:t>,</w:t>
      </w:r>
      <w:r w:rsidR="00984B1F" w:rsidRPr="002F2687">
        <w:t xml:space="preserve"> ultimately, to a career.</w:t>
      </w:r>
      <w:r w:rsidR="00D07E4D">
        <w:t xml:space="preserve"> An additional $13.5 million was appropriated annually to the CCCCO to establish Technical Assistance Providers and K–12 Workforce Pathways Coordinators to support the efforts of both the CTEIG and the </w:t>
      </w:r>
      <w:r w:rsidR="00C83C61">
        <w:br w:type="textWrapping" w:clear="all"/>
      </w:r>
      <w:r w:rsidR="00D07E4D">
        <w:t>K–12 SWP State initiatives.</w:t>
      </w:r>
    </w:p>
    <w:bookmarkEnd w:id="59"/>
    <w:p w14:paraId="0EE02842" w14:textId="77777777"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7D9BB3D0" w:rsidR="00E03FB7" w:rsidRDefault="00E03FB7" w:rsidP="00E03FB7">
      <w:pPr>
        <w:rPr>
          <w:rFonts w:eastAsiaTheme="minorEastAsia"/>
        </w:rPr>
      </w:pPr>
      <w:r w:rsidRPr="00E03FB7">
        <w:rPr>
          <w:rFonts w:eastAsiaTheme="minorEastAsia"/>
        </w:rPr>
        <w:t xml:space="preserve">In California, labor information is collected, analyzed, and reported by the </w:t>
      </w:r>
      <w:r w:rsidR="003D0F07" w:rsidRPr="002F2687">
        <w:rPr>
          <w:lang w:val="en"/>
        </w:rPr>
        <w:t xml:space="preserve">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w:t>
      </w:r>
      <w:r w:rsidR="00C83C61">
        <w:rPr>
          <w:rFonts w:eastAsiaTheme="minorEastAsia"/>
        </w:rPr>
        <w:t xml:space="preserve">California </w:t>
      </w:r>
      <w:r w:rsidRPr="00E03FB7">
        <w:rPr>
          <w:rFonts w:eastAsiaTheme="minorEastAsia"/>
        </w:rPr>
        <w:t>Employment Development Department (EDD). The CDE</w:t>
      </w:r>
      <w:r w:rsidR="005E3582">
        <w:rPr>
          <w:rFonts w:eastAsiaTheme="minorEastAsia"/>
        </w:rPr>
        <w:t xml:space="preserve"> </w:t>
      </w:r>
      <w:r w:rsidRPr="00E03FB7">
        <w:rPr>
          <w:rFonts w:eastAsiaTheme="minorEastAsia"/>
        </w:rPr>
        <w:t xml:space="preserve">and the CCCCO collaborate with other </w:t>
      </w:r>
      <w:r w:rsidR="00D857D4">
        <w:rPr>
          <w:rFonts w:eastAsiaTheme="minorEastAsia"/>
        </w:rPr>
        <w:t>S</w:t>
      </w:r>
      <w:r w:rsidRPr="00E03FB7">
        <w:rPr>
          <w:rFonts w:eastAsiaTheme="minorEastAsia"/>
        </w:rPr>
        <w:t>tate agencies</w:t>
      </w:r>
      <w:r w:rsidR="009A2BD3">
        <w:rPr>
          <w:rFonts w:eastAsiaTheme="minorEastAsia"/>
        </w:rPr>
        <w:t>,</w:t>
      </w:r>
      <w:r w:rsidRPr="00E03FB7">
        <w:rPr>
          <w:rFonts w:eastAsiaTheme="minorEastAsia"/>
        </w:rPr>
        <w:t xml:space="preserve"> such as </w:t>
      </w:r>
      <w:r w:rsidR="009A2BD3">
        <w:rPr>
          <w:rFonts w:eastAsiaTheme="minorEastAsia"/>
        </w:rPr>
        <w:t xml:space="preserve">the </w:t>
      </w:r>
      <w:r w:rsidRPr="00E03FB7">
        <w:rPr>
          <w:rFonts w:eastAsiaTheme="minorEastAsia"/>
        </w:rPr>
        <w:t xml:space="preserve">EDD and the </w:t>
      </w:r>
      <w:r w:rsidR="00952D10">
        <w:rPr>
          <w:rFonts w:eastAsiaTheme="minorEastAsia"/>
        </w:rPr>
        <w:t>CWDB</w:t>
      </w:r>
      <w:r w:rsidR="00C83C61">
        <w:rPr>
          <w:rFonts w:eastAsiaTheme="minorEastAsia"/>
        </w:rPr>
        <w:t>,</w:t>
      </w:r>
      <w:r w:rsidRPr="00E03FB7">
        <w:rPr>
          <w:rFonts w:eastAsiaTheme="minorEastAsia"/>
        </w:rPr>
        <w:t xml:space="preserve"> to provide student access to online resources for career information and workforce opportunities through One</w:t>
      </w:r>
      <w:r w:rsidR="00C83C61">
        <w:rPr>
          <w:rFonts w:eastAsiaTheme="minorEastAsia"/>
        </w:rPr>
        <w:t>-</w:t>
      </w:r>
      <w:r w:rsidRPr="00E03FB7">
        <w:rPr>
          <w:rFonts w:eastAsiaTheme="minorEastAsia"/>
        </w:rPr>
        <w:t>Stop Career Centers and other online workforce sites.</w:t>
      </w:r>
    </w:p>
    <w:p w14:paraId="73659E23" w14:textId="594E31DD" w:rsidR="00263BB0" w:rsidRPr="002F2687" w:rsidRDefault="003D0F07" w:rsidP="0058053B">
      <w:pPr>
        <w:rPr>
          <w:lang w:val="en"/>
        </w:rPr>
      </w:pPr>
      <w:r>
        <w:rPr>
          <w:rFonts w:eastAsiaTheme="minorEastAsia"/>
        </w:rPr>
        <w:t xml:space="preserve">The </w:t>
      </w:r>
      <w:r w:rsidR="00263BB0" w:rsidRPr="002F2687">
        <w:rPr>
          <w:lang w:val="en"/>
        </w:rPr>
        <w:t xml:space="preserve">LMID provides data and links to resources that job seekers can use to assist </w:t>
      </w:r>
      <w:r w:rsidR="00C83C61">
        <w:rPr>
          <w:lang w:val="en"/>
        </w:rPr>
        <w:t xml:space="preserve">them </w:t>
      </w:r>
      <w:r w:rsidR="00263BB0" w:rsidRPr="002F2687">
        <w:rPr>
          <w:lang w:val="en"/>
        </w:rPr>
        <w:t xml:space="preserve">with searching for jobs. Individuals can use the Occupational Guides or Occupation Profile to locate wage, benefits, training, and other information to explore career opportunities. </w:t>
      </w:r>
      <w:r w:rsidR="009A2BD3">
        <w:rPr>
          <w:lang w:val="en"/>
        </w:rPr>
        <w:t>The LMID’s e</w:t>
      </w:r>
      <w:r w:rsidR="00263BB0" w:rsidRPr="002F2687">
        <w:rPr>
          <w:lang w:val="en"/>
        </w:rPr>
        <w:t>mployment projections estimate the changes in industry and occupational employment over time</w:t>
      </w:r>
      <w:r w:rsidR="00C83C61">
        <w:rPr>
          <w:lang w:val="en"/>
        </w:rPr>
        <w:t>,</w:t>
      </w:r>
      <w:r w:rsidR="00263BB0" w:rsidRPr="002F2687">
        <w:rPr>
          <w:lang w:val="en"/>
        </w:rPr>
        <w:t xml:space="preserve"> resulting from industry growth, technological change, and other factors. Ca</w:t>
      </w:r>
      <w:r w:rsidR="003664E0">
        <w:rPr>
          <w:lang w:val="en"/>
        </w:rPr>
        <w:t>lifornia produces long-term (10-</w:t>
      </w:r>
      <w:r w:rsidR="00263BB0" w:rsidRPr="002F2687">
        <w:rPr>
          <w:lang w:val="en"/>
        </w:rPr>
        <w:t xml:space="preserve">year) projections of employment every </w:t>
      </w:r>
      <w:r w:rsidR="009A2BD3">
        <w:rPr>
          <w:lang w:val="en"/>
        </w:rPr>
        <w:t>two</w:t>
      </w:r>
      <w:r w:rsidR="00263BB0" w:rsidRPr="002F2687">
        <w:rPr>
          <w:lang w:val="en"/>
        </w:rPr>
        <w:t xml:space="preserve"> years for the State and local</w:t>
      </w:r>
      <w:r w:rsidR="003664E0">
        <w:rPr>
          <w:lang w:val="en"/>
        </w:rPr>
        <w:t xml:space="preserve"> areas. Statewide short-term </w:t>
      </w:r>
      <w:r w:rsidR="00C83C61">
        <w:rPr>
          <w:lang w:val="en"/>
        </w:rPr>
        <w:br w:type="textWrapping" w:clear="all"/>
      </w:r>
      <w:r w:rsidR="003664E0">
        <w:rPr>
          <w:lang w:val="en"/>
        </w:rPr>
        <w:t>(2-</w:t>
      </w:r>
      <w:r w:rsidR="00263BB0" w:rsidRPr="002F2687">
        <w:rPr>
          <w:lang w:val="en"/>
        </w:rPr>
        <w:t>year) projections are revised annually. The projections include occupations with th</w:t>
      </w:r>
      <w:r w:rsidR="009A2BD3">
        <w:rPr>
          <w:lang w:val="en"/>
        </w:rPr>
        <w:t>e most openings</w:t>
      </w:r>
      <w:r w:rsidR="00C83C61">
        <w:rPr>
          <w:lang w:val="en"/>
        </w:rPr>
        <w:t>,</w:t>
      </w:r>
      <w:r w:rsidR="009A2BD3">
        <w:rPr>
          <w:lang w:val="en"/>
        </w:rPr>
        <w:t xml:space="preserve"> and the fastest-</w:t>
      </w:r>
      <w:r w:rsidR="00263BB0" w:rsidRPr="002F2687">
        <w:rPr>
          <w:lang w:val="en"/>
        </w:rPr>
        <w:t>growing occupations</w:t>
      </w:r>
      <w:r w:rsidR="00C83C61">
        <w:rPr>
          <w:lang w:val="en"/>
        </w:rPr>
        <w:t>,</w:t>
      </w:r>
      <w:r w:rsidR="00263BB0" w:rsidRPr="002F2687">
        <w:rPr>
          <w:lang w:val="en"/>
        </w:rPr>
        <w:t xml:space="preserve"> in the State.</w:t>
      </w:r>
    </w:p>
    <w:p w14:paraId="1C7087FF" w14:textId="4F464B3B" w:rsidR="00263BB0" w:rsidRPr="002F2687" w:rsidRDefault="00263BB0" w:rsidP="0058053B">
      <w:pPr>
        <w:rPr>
          <w:lang w:val="en"/>
        </w:rPr>
      </w:pPr>
      <w:r w:rsidRPr="002F2687">
        <w:rPr>
          <w:lang w:val="en"/>
        </w:rPr>
        <w:t>Each month</w:t>
      </w:r>
      <w:r w:rsidR="009A2BD3">
        <w:rPr>
          <w:lang w:val="en"/>
        </w:rPr>
        <w:t>,</w:t>
      </w:r>
      <w:r w:rsidRPr="002F2687">
        <w:rPr>
          <w:lang w:val="en"/>
        </w:rPr>
        <w:t xml:space="preserve"> the LMID releases revised and preliminary civilian labor force, unemployment rate, and industry employment </w:t>
      </w:r>
      <w:r w:rsidR="009A2BD3">
        <w:rPr>
          <w:lang w:val="en"/>
        </w:rPr>
        <w:t xml:space="preserve">data </w:t>
      </w:r>
      <w:r w:rsidRPr="002F2687">
        <w:rPr>
          <w:lang w:val="en"/>
        </w:rPr>
        <w:t>by geograph</w:t>
      </w:r>
      <w:r w:rsidR="009A2BD3">
        <w:rPr>
          <w:lang w:val="en"/>
        </w:rPr>
        <w:t>ic region</w:t>
      </w:r>
      <w:r w:rsidRPr="002F2687">
        <w:rPr>
          <w:lang w:val="en"/>
        </w:rPr>
        <w:t xml:space="preserve"> for California statewide, metropolitan areas, counties, and sub-county areas. In addition, </w:t>
      </w:r>
      <w:r w:rsidR="009A2BD3">
        <w:rPr>
          <w:lang w:val="en"/>
        </w:rPr>
        <w:t xml:space="preserve">the </w:t>
      </w:r>
      <w:r w:rsidRPr="002F2687">
        <w:rPr>
          <w:lang w:val="en"/>
        </w:rPr>
        <w:t xml:space="preserve">LMID </w:t>
      </w:r>
      <w:r w:rsidRPr="002F2687">
        <w:rPr>
          <w:lang w:val="en"/>
        </w:rPr>
        <w:lastRenderedPageBreak/>
        <w:t>pr</w:t>
      </w:r>
      <w:r w:rsidR="009A2BD3">
        <w:rPr>
          <w:lang w:val="en"/>
        </w:rPr>
        <w:t>ovides California economic data and</w:t>
      </w:r>
      <w:r w:rsidRPr="002F2687">
        <w:rPr>
          <w:lang w:val="en"/>
        </w:rPr>
        <w:t xml:space="preserve">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67FF0AAE"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t>
      </w:r>
      <w:r w:rsidR="009A2BD3">
        <w:t>although</w:t>
      </w:r>
      <w:r w:rsidRPr="002F2687">
        <w:t xml:space="preserve"> not yet prevalent in K</w:t>
      </w:r>
      <w:r w:rsidR="00991826" w:rsidRPr="002F2687">
        <w:t>−</w:t>
      </w:r>
      <w:r w:rsidRPr="002F2687">
        <w:t>12 CTE programs, has been commonplace in the C</w:t>
      </w:r>
      <w:r w:rsidR="004D16AF">
        <w:t>CC</w:t>
      </w:r>
      <w:r w:rsidRPr="002F2687">
        <w:t xml:space="preserve"> system for several years.</w:t>
      </w:r>
    </w:p>
    <w:p w14:paraId="3033BE76" w14:textId="27DBDC81" w:rsidR="00E03FB7" w:rsidRPr="004721C9" w:rsidRDefault="00E03FB7" w:rsidP="0058053B">
      <w:pPr>
        <w:rPr>
          <w:rFonts w:eastAsiaTheme="minorEastAsia"/>
        </w:rPr>
      </w:pPr>
      <w:r w:rsidRPr="00E03FB7">
        <w:rPr>
          <w:rFonts w:eastAsiaTheme="minorEastAsia"/>
        </w:rPr>
        <w:t>With online access to up-to-date employment information and job skill requirements, faculty, counselors, librarians, and instructional support personnel effectively help special</w:t>
      </w:r>
      <w:r w:rsidR="00EC14F6">
        <w:rPr>
          <w:rFonts w:eastAsiaTheme="minorEastAsia"/>
        </w:rPr>
        <w:t>-</w:t>
      </w:r>
      <w:r w:rsidRPr="00E03FB7">
        <w:rPr>
          <w:rFonts w:eastAsiaTheme="minorEastAsia"/>
        </w:rPr>
        <w:t>population students make informed career choices, including nontraditional, high</w:t>
      </w:r>
      <w:r w:rsidR="009A2BD3">
        <w:rPr>
          <w:rFonts w:eastAsiaTheme="minorEastAsia"/>
        </w:rPr>
        <w:t>-skill, high-</w:t>
      </w:r>
      <w:r w:rsidRPr="00E03FB7">
        <w:rPr>
          <w:rFonts w:eastAsiaTheme="minorEastAsia"/>
        </w:rPr>
        <w:t xml:space="preserve">wage, or in-demand occupations that lead to self-sufficiency and/or a baccalaureate degree or higher. </w:t>
      </w:r>
    </w:p>
    <w:p w14:paraId="4C1E87D0" w14:textId="71ECAF5F" w:rsidR="00C33240" w:rsidRPr="002F2687" w:rsidRDefault="00C33240" w:rsidP="0058053B">
      <w:r w:rsidRPr="002F2687">
        <w:t xml:space="preserve">The COE is a </w:t>
      </w:r>
      <w:r w:rsidR="009755F9" w:rsidRPr="002F2687">
        <w:t xml:space="preserve">CCCCO </w:t>
      </w:r>
      <w:r w:rsidRPr="002F2687">
        <w:t>grant</w:t>
      </w:r>
      <w:r w:rsidR="00C127E1">
        <w:t>-</w:t>
      </w:r>
      <w:r w:rsidRPr="002F2687">
        <w:t xml:space="preserve">funded </w:t>
      </w:r>
      <w:r w:rsidR="009A2BD3">
        <w:t>T</w:t>
      </w:r>
      <w:r w:rsidRPr="002F2687">
        <w:t xml:space="preserve">echnical </w:t>
      </w:r>
      <w:r w:rsidR="009A2BD3">
        <w:t>A</w:t>
      </w:r>
      <w:r w:rsidRPr="002F2687">
        <w:t xml:space="preserve">ssistance </w:t>
      </w:r>
      <w:r w:rsidR="009A2BD3">
        <w:t>P</w:t>
      </w:r>
      <w:r w:rsidRPr="002F2687">
        <w:t xml:space="preserve">rovider working </w:t>
      </w:r>
      <w:r w:rsidR="000E1580">
        <w:t xml:space="preserve">in </w:t>
      </w:r>
      <w:r w:rsidRPr="002F2687">
        <w:t xml:space="preserve">community colleges, regions, and </w:t>
      </w:r>
      <w:r w:rsidR="00107195">
        <w:t>I</w:t>
      </w:r>
      <w:r w:rsidR="009755F9" w:rsidRPr="002F2687">
        <w:t xml:space="preserve">ndustry </w:t>
      </w:r>
      <w:r w:rsidR="00107195">
        <w:t>S</w:t>
      </w:r>
      <w:r w:rsidRPr="002F2687">
        <w:t xml:space="preserve">ector networks to help regions respond effectively to workforce needs. Strategically located in seven regional centers across the </w:t>
      </w:r>
      <w:r w:rsidR="00DE50F6" w:rsidRPr="002F2687">
        <w:t>S</w:t>
      </w:r>
      <w:r w:rsidR="009A2BD3">
        <w:t>tate</w:t>
      </w:r>
      <w:r w:rsidR="00C67184">
        <w:t xml:space="preserve"> as well as a Statewide Center</w:t>
      </w:r>
      <w:r w:rsidR="009A2BD3">
        <w:t>, the COE studies</w:t>
      </w:r>
      <w:r w:rsidRPr="002F2687">
        <w:t xml:space="preserve"> </w:t>
      </w:r>
      <w:r w:rsidR="00C67184">
        <w:t xml:space="preserve">and conducts environmental scans of </w:t>
      </w:r>
      <w:r w:rsidRPr="002F2687">
        <w:t xml:space="preserve">the regional economies of California </w:t>
      </w:r>
      <w:r w:rsidR="000E1580">
        <w:t xml:space="preserve">and </w:t>
      </w:r>
      <w:r w:rsidR="00EA227A" w:rsidRPr="00EA227A">
        <w:t xml:space="preserve">helps identify opportunities and trends in high-growth, emerging, and economically critical industries and occupations and related workforce needs, then </w:t>
      </w:r>
      <w:r w:rsidRPr="002F2687">
        <w:t>support</w:t>
      </w:r>
      <w:r w:rsidR="00EA227A">
        <w:t>s</w:t>
      </w:r>
      <w:r w:rsidRPr="002F2687">
        <w:t xml:space="preserve"> the community colleges by providing customized data on </w:t>
      </w:r>
      <w:r w:rsidR="00EA227A">
        <w:t>those trends</w:t>
      </w:r>
      <w:r w:rsidR="00C67184">
        <w:t xml:space="preserve"> to inform CTE program development</w:t>
      </w:r>
      <w:r w:rsidR="00EA227A">
        <w:t xml:space="preserve">. </w:t>
      </w:r>
      <w:r w:rsidRPr="002F2687">
        <w:t>With the goal of helping regions respond to workforce needs, the COE provides quality information for decision-making, including gap analys</w:t>
      </w:r>
      <w:r w:rsidR="00C83C61">
        <w:t>e</w:t>
      </w:r>
      <w:r w:rsidRPr="002F2687">
        <w:t xml:space="preserve">s </w:t>
      </w:r>
      <w:r w:rsidR="00C83C61">
        <w:t>among</w:t>
      </w:r>
      <w:r w:rsidR="00C83C61" w:rsidRPr="002F2687">
        <w:t xml:space="preserve"> </w:t>
      </w:r>
      <w:r w:rsidRPr="002F2687">
        <w:t>labor market demand, av</w:t>
      </w:r>
      <w:r w:rsidR="00EA227A">
        <w:t>ailable training, and existing and</w:t>
      </w:r>
      <w:r w:rsidRPr="002F2687">
        <w:t xml:space="preserve">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437B08F1" w:rsidR="00C33240" w:rsidRPr="002F2687" w:rsidRDefault="00C33240" w:rsidP="0058053B">
      <w:r w:rsidRPr="002F2687">
        <w:t>In 2015, the COE developed two documents to help community colleges find and effectively u</w:t>
      </w:r>
      <w:r w:rsidR="000E1580">
        <w:t>se labor market data:</w:t>
      </w:r>
      <w:r w:rsidRPr="002F2687">
        <w:t xml:space="preserve"> </w:t>
      </w:r>
      <w:r w:rsidRPr="001B5B3A">
        <w:rPr>
          <w:i/>
          <w:iCs/>
        </w:rPr>
        <w:t>Making Use of Labor Market Data</w:t>
      </w:r>
      <w:r w:rsidRPr="002F2687">
        <w:t xml:space="preserve"> and </w:t>
      </w:r>
      <w:r w:rsidRPr="001B5B3A">
        <w:rPr>
          <w:i/>
          <w:iCs/>
        </w:rPr>
        <w:t>Understanding Labor Market Information Resources</w:t>
      </w:r>
      <w:r w:rsidR="00B316DC">
        <w:t>.</w:t>
      </w:r>
      <w:r w:rsidR="000E1580">
        <w:t xml:space="preserve"> </w:t>
      </w:r>
      <w:r w:rsidR="00B316DC">
        <w:t>T</w:t>
      </w:r>
      <w:r w:rsidR="000E1580">
        <w:t>hese guides</w:t>
      </w:r>
      <w:r w:rsidRPr="002F2687">
        <w:t xml:space="preserve"> provide detailed information on </w:t>
      </w:r>
      <w:r w:rsidRPr="002F2687">
        <w:lastRenderedPageBreak/>
        <w:t>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29" w:tooltip="Centers of Excellence" w:history="1">
        <w:r w:rsidR="00A32811" w:rsidRPr="00A32C5F">
          <w:rPr>
            <w:rStyle w:val="Hyperlink"/>
          </w:rPr>
          <w:t>http://www.coeccc.net/</w:t>
        </w:r>
      </w:hyperlink>
      <w:r w:rsidRPr="002F2687">
        <w:t>.</w:t>
      </w:r>
    </w:p>
    <w:p w14:paraId="09EB2C0D" w14:textId="457AED04" w:rsidR="00263BB0" w:rsidRPr="002F2687" w:rsidRDefault="00AF2C6A" w:rsidP="0058053B">
      <w:r w:rsidRPr="00AF2C6A">
        <w:t xml:space="preserve">As stated in the response to </w:t>
      </w:r>
      <w:r w:rsidR="00E306D3">
        <w:t>prompt</w:t>
      </w:r>
      <w:r w:rsidRPr="00AF2C6A">
        <w:t xml:space="preserve"> </w:t>
      </w:r>
      <w:r w:rsidR="00771C71">
        <w:t>B(2)(c)</w:t>
      </w:r>
      <w:r w:rsidRPr="00AF2C6A">
        <w:t>(i)</w:t>
      </w:r>
      <w:r w:rsidR="00E306D3">
        <w:t>,</w:t>
      </w:r>
      <w:r w:rsidRPr="00AF2C6A">
        <w:t xml:space="preserve"> the </w:t>
      </w:r>
      <w:r w:rsidR="00D857D4">
        <w:t>S</w:t>
      </w:r>
      <w:r w:rsidRPr="00AF2C6A">
        <w:t xml:space="preserve">tate established the CalCRN to provide all persons in California with career development information and resources to enable them to reach their career goals. </w:t>
      </w:r>
      <w:r w:rsidR="00EA227A">
        <w:t>This includes information on in-</w:t>
      </w:r>
      <w:r w:rsidRPr="00AF2C6A">
        <w:t>demand occupations and</w:t>
      </w:r>
      <w:r w:rsidR="00EA227A">
        <w:t xml:space="preserve"> on</w:t>
      </w:r>
      <w:r w:rsidRPr="00AF2C6A">
        <w:t xml:space="preserve">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w:t>
      </w:r>
      <w:r w:rsidR="00EA227A">
        <w:t>for high-</w:t>
      </w:r>
      <w:r w:rsidR="000E1580">
        <w:t xml:space="preserve">priority </w:t>
      </w:r>
      <w:r w:rsidR="00107195">
        <w:t>I</w:t>
      </w:r>
      <w:r w:rsidR="000E1580">
        <w:t xml:space="preserve">ndustry </w:t>
      </w:r>
      <w:r w:rsidR="00107195">
        <w:t>S</w:t>
      </w:r>
      <w:r w:rsidR="000E1580">
        <w:t>ectors</w:t>
      </w:r>
      <w:r w:rsidR="00263BB0" w:rsidRPr="002F2687">
        <w:t xml:space="preserve">. </w:t>
      </w:r>
      <w:r w:rsidR="00ED7723">
        <w:t>This information and these resources are also used</w:t>
      </w:r>
      <w:r w:rsidR="00ED7723" w:rsidRPr="002F2687">
        <w:t xml:space="preserve"> </w:t>
      </w:r>
      <w:r w:rsidR="00263BB0" w:rsidRPr="002F2687">
        <w:t xml:space="preserve">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SWP funding to explain proposed 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r w:rsidR="00CC0296" w:rsidRPr="00E50962">
        <w:t>ensure equal access to approved career and technical education programs of study and activities assisted under this Act for special populations;</w:t>
      </w:r>
    </w:p>
    <w:p w14:paraId="58043D85" w14:textId="22909FE8" w:rsidR="00C33240" w:rsidRPr="002F2687" w:rsidRDefault="00C33240" w:rsidP="00B32A75">
      <w:r w:rsidRPr="002F2687">
        <w:rPr>
          <w:b/>
        </w:rPr>
        <w:t>Response</w:t>
      </w:r>
      <w:r w:rsidR="00C127E1">
        <w:rPr>
          <w:b/>
        </w:rPr>
        <w:t>:</w:t>
      </w:r>
      <w:r w:rsidR="00322A29">
        <w:rPr>
          <w:rStyle w:val="FootnoteReference"/>
          <w:b/>
        </w:rPr>
        <w:footnoteReference w:id="19"/>
      </w:r>
    </w:p>
    <w:p w14:paraId="35B8F32E" w14:textId="41E5748C" w:rsidR="00831C7E" w:rsidRPr="002F2687" w:rsidRDefault="00831C7E" w:rsidP="0058053B">
      <w:r w:rsidRPr="002F2687">
        <w:t xml:space="preserve">According to the California Poverty Measure, 17.8 percent of Californians (about </w:t>
      </w:r>
      <w:r w:rsidR="008F5DC3">
        <w:br w:type="textWrapping" w:clear="all"/>
      </w:r>
      <w:r w:rsidRPr="002F2687">
        <w:t xml:space="preserve">6.9 million) lacked enough resources to meet basic needs in 2017—about $32,500 per year for a family of four. Poverty was highest among children </w:t>
      </w:r>
      <w:r w:rsidR="001773A4">
        <w:t xml:space="preserve">at </w:t>
      </w:r>
      <w:r w:rsidRPr="002F2687">
        <w:t>19.3</w:t>
      </w:r>
      <w:r w:rsidR="000F3492">
        <w:t xml:space="preserve"> </w:t>
      </w:r>
      <w:r w:rsidRPr="002F2687">
        <w:t>percent; among adults age</w:t>
      </w:r>
      <w:r w:rsidR="00EA227A">
        <w:t>d</w:t>
      </w:r>
      <w:r w:rsidRPr="002F2687">
        <w:t xml:space="preserve"> 18–64</w:t>
      </w:r>
      <w:r w:rsidR="00EA227A">
        <w:t>,</w:t>
      </w:r>
      <w:r w:rsidRPr="002F2687">
        <w:t xml:space="preserve"> it was 17.1 percent</w:t>
      </w:r>
      <w:r w:rsidR="00EA227A">
        <w:t>;</w:t>
      </w:r>
      <w:r w:rsidRPr="002F2687">
        <w:t xml:space="preserve"> and for those age</w:t>
      </w:r>
      <w:r w:rsidR="00EA227A">
        <w:t>d</w:t>
      </w:r>
      <w:r w:rsidRPr="002F2687">
        <w:t xml:space="preserve"> 65 and older</w:t>
      </w:r>
      <w:r w:rsidR="00EA227A">
        <w:t>,</w:t>
      </w:r>
      <w:r w:rsidRPr="002F2687">
        <w:t xml:space="preserve"> i</w:t>
      </w:r>
      <w:r w:rsidR="00586663">
        <w:t>t</w:t>
      </w:r>
      <w:r w:rsidRPr="002F2687">
        <w:t xml:space="preserve"> was 18.5</w:t>
      </w:r>
      <w:r w:rsidR="000F3492">
        <w:t xml:space="preserve"> </w:t>
      </w:r>
      <w:r w:rsidRPr="002F2687">
        <w:t xml:space="preserve">percent. Another proxy for childhood poverty is student </w:t>
      </w:r>
      <w:r w:rsidR="00B316DC">
        <w:t>eligibility for receiving</w:t>
      </w:r>
      <w:r w:rsidRPr="002F2687">
        <w:t xml:space="preserve"> public</w:t>
      </w:r>
      <w:r w:rsidR="008F5DC3">
        <w:t>-</w:t>
      </w:r>
      <w:r w:rsidRPr="002F2687">
        <w:t xml:space="preserve">school free </w:t>
      </w:r>
      <w:r w:rsidR="008F5DC3">
        <w:t>or</w:t>
      </w:r>
      <w:r w:rsidR="008F5DC3" w:rsidRPr="002F2687">
        <w:t xml:space="preserve"> </w:t>
      </w:r>
      <w:r w:rsidR="00CD3A4B" w:rsidRPr="002F2687">
        <w:t>reduced-price</w:t>
      </w:r>
      <w:r w:rsidRPr="002F2687">
        <w:t xml:space="preserve"> meal program</w:t>
      </w:r>
      <w:r w:rsidR="008F5DC3">
        <w:t xml:space="preserve"> service</w:t>
      </w:r>
      <w:r w:rsidRPr="002F2687">
        <w:t>s. In California, mor</w:t>
      </w:r>
      <w:r w:rsidR="00EA227A">
        <w:t>e than 3.1 million students aged</w:t>
      </w:r>
      <w:r w:rsidRPr="002F2687">
        <w:t xml:space="preserve"> 5</w:t>
      </w:r>
      <w:r w:rsidR="00EA227A">
        <w:t>–</w:t>
      </w:r>
      <w:r w:rsidRPr="002F2687">
        <w:t xml:space="preserve">17 are </w:t>
      </w:r>
      <w:r w:rsidR="00B316DC">
        <w:t xml:space="preserve">eligible to receive </w:t>
      </w:r>
      <w:r w:rsidRPr="002F2687">
        <w:t xml:space="preserve">free </w:t>
      </w:r>
      <w:r w:rsidRPr="006F061E">
        <w:t xml:space="preserve">or </w:t>
      </w:r>
      <w:r w:rsidR="00CD3A4B" w:rsidRPr="006F061E">
        <w:t>reduced-price</w:t>
      </w:r>
      <w:r w:rsidRPr="006F061E">
        <w:t xml:space="preserve"> meal program</w:t>
      </w:r>
      <w:r w:rsidR="008F5DC3" w:rsidRPr="006F061E">
        <w:t xml:space="preserve"> services</w:t>
      </w:r>
      <w:r w:rsidRPr="006F061E">
        <w:t>, representing more than 50 percent of public K–12 enrollments in the State.</w:t>
      </w:r>
    </w:p>
    <w:p w14:paraId="1355F9B7" w14:textId="7D247EF2" w:rsidR="00831C7E" w:rsidRPr="002F2687" w:rsidRDefault="00831C7E" w:rsidP="0058053B">
      <w:r w:rsidRPr="002F2687">
        <w:lastRenderedPageBreak/>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w:t>
      </w:r>
      <w:r w:rsidR="005C3CBF">
        <w:t>–</w:t>
      </w:r>
      <w:r w:rsidR="00B316DC" w:rsidRPr="00B316DC">
        <w:t xml:space="preserve">19, 55 percent of students enrolled in California public schools </w:t>
      </w:r>
      <w:r w:rsidR="008F5DC3">
        <w:t>we</w:t>
      </w:r>
      <w:r w:rsidR="00B316DC" w:rsidRPr="00B316DC">
        <w:t>re Latino</w:t>
      </w:r>
      <w:r w:rsidR="008F5DC3">
        <w:t>;</w:t>
      </w:r>
      <w:r w:rsidR="00B316DC" w:rsidRPr="00B316DC">
        <w:t xml:space="preserve"> 23 percent </w:t>
      </w:r>
      <w:r w:rsidR="008F5DC3">
        <w:t>we</w:t>
      </w:r>
      <w:r w:rsidR="00B316DC" w:rsidRPr="00B316DC">
        <w:t>re Caucasian</w:t>
      </w:r>
      <w:r w:rsidR="008F5DC3">
        <w:t>;</w:t>
      </w:r>
      <w:r w:rsidR="00B316DC" w:rsidRPr="00B316DC">
        <w:t xml:space="preserve"> </w:t>
      </w:r>
      <w:r w:rsidR="008F5DC3">
        <w:br w:type="textWrapping" w:clear="all"/>
      </w:r>
      <w:r w:rsidR="00B316DC" w:rsidRPr="00B316DC">
        <w:t xml:space="preserve">11.7 percent </w:t>
      </w:r>
      <w:r w:rsidR="008F5DC3">
        <w:t>we</w:t>
      </w:r>
      <w:r w:rsidR="00B316DC" w:rsidRPr="00B316DC">
        <w:t>re Asian</w:t>
      </w:r>
      <w:r w:rsidR="008F5DC3">
        <w:t>,</w:t>
      </w:r>
      <w:r w:rsidR="00B316DC" w:rsidRPr="00B316DC">
        <w:t xml:space="preserve"> including Filipino</w:t>
      </w:r>
      <w:r w:rsidR="008F5DC3">
        <w:t>;</w:t>
      </w:r>
      <w:r w:rsidR="00B316DC" w:rsidRPr="00B316DC">
        <w:t xml:space="preserve"> 5.4 percent </w:t>
      </w:r>
      <w:r w:rsidR="008F5DC3">
        <w:t>we</w:t>
      </w:r>
      <w:r w:rsidR="00B316DC" w:rsidRPr="00B316DC">
        <w:t>re African American</w:t>
      </w:r>
      <w:r w:rsidR="008F5DC3">
        <w:t>;</w:t>
      </w:r>
      <w:r w:rsidR="00B316DC" w:rsidRPr="00B316DC">
        <w:t xml:space="preserve"> and </w:t>
      </w:r>
      <w:r w:rsidR="008F5DC3">
        <w:br w:type="textWrapping" w:clear="all"/>
      </w:r>
      <w:r w:rsidR="00B316DC" w:rsidRPr="00B316DC">
        <w:t xml:space="preserve">4 percent </w:t>
      </w:r>
      <w:r w:rsidR="008F5DC3">
        <w:t>we</w:t>
      </w:r>
      <w:r w:rsidR="00B316DC" w:rsidRPr="00B316DC">
        <w:t>re two or more races.</w:t>
      </w:r>
    </w:p>
    <w:p w14:paraId="64599853" w14:textId="65E8E5D1" w:rsidR="00831C7E" w:rsidRPr="002F2687" w:rsidRDefault="00831C7E" w:rsidP="0058053B">
      <w:r w:rsidRPr="002F2687">
        <w:t xml:space="preserve">Currently, of the total </w:t>
      </w:r>
      <w:r w:rsidR="00EA227A">
        <w:t xml:space="preserve">number of students </w:t>
      </w:r>
      <w:r w:rsidRPr="002F2687">
        <w:t>enroll</w:t>
      </w:r>
      <w:r w:rsidR="00EA227A">
        <w:t>ed</w:t>
      </w:r>
      <w:r w:rsidRPr="002F2687">
        <w:t xml:space="preserve"> in California</w:t>
      </w:r>
      <w:r w:rsidR="00EA227A">
        <w:t>’s K–12</w:t>
      </w:r>
      <w:r w:rsidRPr="002F2687">
        <w:t xml:space="preserve"> public school</w:t>
      </w:r>
      <w:r w:rsidR="00EA227A">
        <w:t xml:space="preserve"> </w:t>
      </w:r>
      <w:r w:rsidRPr="002F2687">
        <w:t>s</w:t>
      </w:r>
      <w:r w:rsidR="00EA227A">
        <w:t xml:space="preserve">ystem, 1.2 million (19.3 </w:t>
      </w:r>
      <w:r w:rsidR="00796F51">
        <w:t>percent</w:t>
      </w:r>
      <w:r w:rsidR="00EA227A">
        <w:t>)</w:t>
      </w:r>
      <w:r w:rsidRPr="002F2687">
        <w:t xml:space="preserve"> are classified as English </w:t>
      </w:r>
      <w:r w:rsidR="008F5DC3">
        <w:t>l</w:t>
      </w:r>
      <w:r w:rsidR="00556D97">
        <w:t xml:space="preserve">anguage </w:t>
      </w:r>
      <w:r w:rsidR="008F5DC3">
        <w:t>l</w:t>
      </w:r>
      <w:r w:rsidR="00556D97">
        <w:t>earners.</w:t>
      </w:r>
      <w:r w:rsidRPr="002F2687">
        <w:t xml:space="preserve"> Another </w:t>
      </w:r>
      <w:r w:rsidR="00556D97">
        <w:t>1.3</w:t>
      </w:r>
      <w:r w:rsidRPr="002F2687">
        <w:t xml:space="preserve"> million </w:t>
      </w:r>
      <w:r w:rsidR="008F5DC3">
        <w:t xml:space="preserve">students </w:t>
      </w:r>
      <w:r w:rsidR="00C127E1">
        <w:t>have been reclassified</w:t>
      </w:r>
      <w:r w:rsidR="00EA227A">
        <w:t xml:space="preserve"> as</w:t>
      </w:r>
      <w:r w:rsidRPr="002F2687">
        <w:t xml:space="preserve"> “</w:t>
      </w:r>
      <w:r w:rsidRPr="002F2687">
        <w:rPr>
          <w:lang w:val="en"/>
        </w:rPr>
        <w:t>Fluent English Proficient</w:t>
      </w:r>
      <w:r w:rsidR="008F5DC3">
        <w:rPr>
          <w:lang w:val="en"/>
        </w:rPr>
        <w:t>.</w:t>
      </w:r>
      <w:r w:rsidRPr="002F2687">
        <w:rPr>
          <w:lang w:val="en"/>
        </w:rPr>
        <w:t xml:space="preserve">” </w:t>
      </w:r>
      <w:r w:rsidR="008F5DC3">
        <w:t xml:space="preserve">California </w:t>
      </w:r>
      <w:r w:rsidR="008F5DC3">
        <w:br w:type="textWrapping" w:clear="all"/>
        <w:t>K–12 public school</w:t>
      </w:r>
      <w:r w:rsidR="008F5DC3" w:rsidRPr="002F2687">
        <w:t xml:space="preserve"> </w:t>
      </w:r>
      <w:r w:rsidRPr="002F2687">
        <w:t xml:space="preserve">students collectively speak more than 50 different languages, </w:t>
      </w:r>
      <w:r w:rsidR="00EA227A">
        <w:t>including</w:t>
      </w:r>
      <w:r w:rsidRPr="002F2687">
        <w:t xml:space="preserve"> 1.3 million (85 percent) </w:t>
      </w:r>
      <w:r w:rsidR="00EA227A">
        <w:t xml:space="preserve">whose native language is </w:t>
      </w:r>
      <w:r w:rsidRPr="002F2687">
        <w:t>Spanish</w:t>
      </w:r>
      <w:r w:rsidR="00EA227A">
        <w:t>.</w:t>
      </w:r>
      <w:r w:rsidRPr="002F2687">
        <w:rPr>
          <w:rStyle w:val="FootnoteReference"/>
          <w:rFonts w:cs="Arial"/>
        </w:rPr>
        <w:footnoteReference w:id="20"/>
      </w:r>
    </w:p>
    <w:p w14:paraId="669DC82C" w14:textId="59761203" w:rsidR="00550F7D" w:rsidRDefault="00550F7D" w:rsidP="0058053B">
      <w:pPr>
        <w:rPr>
          <w:spacing w:val="6"/>
        </w:rPr>
      </w:pPr>
      <w:r w:rsidRPr="00556D97">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w:t>
      </w:r>
      <w:r w:rsidRPr="00796F51">
        <w:t xml:space="preserve">both </w:t>
      </w:r>
      <w:r w:rsidR="00BB7731" w:rsidRPr="00796F51">
        <w:t xml:space="preserve">the </w:t>
      </w:r>
      <w:r w:rsidRPr="00796F51">
        <w:t xml:space="preserve">K–12 and </w:t>
      </w:r>
      <w:r w:rsidR="001A73C1" w:rsidRPr="00796F51">
        <w:t>CCC</w:t>
      </w:r>
      <w:r w:rsidRPr="00796F51">
        <w:t xml:space="preserve"> systems, student-centeredness is also reflected in how options are offered to students, how students are informed about options, and how self-direction is encouraged </w:t>
      </w:r>
      <w:r w:rsidR="008F5DC3">
        <w:t xml:space="preserve">among students </w:t>
      </w:r>
      <w:r w:rsidRPr="00796F51">
        <w:t>as they seek out opportunities for career and college</w:t>
      </w:r>
      <w:r w:rsidR="00586663" w:rsidRPr="00796F51">
        <w:t>.</w:t>
      </w:r>
    </w:p>
    <w:p w14:paraId="114EFF52" w14:textId="3F177C76"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w:t>
      </w:r>
      <w:r w:rsidR="001C0CE2">
        <w:t xml:space="preserve">CPAs </w:t>
      </w:r>
      <w:r w:rsidRPr="002F2687">
        <w:t xml:space="preserve">and pathways developed under the CTEIG and </w:t>
      </w:r>
      <w:r w:rsidR="00586663">
        <w:t>the</w:t>
      </w:r>
      <w:r w:rsidRPr="002F2687">
        <w:t xml:space="preserve"> </w:t>
      </w:r>
      <w:r w:rsidR="00D879E9">
        <w:t>SWPs</w:t>
      </w:r>
      <w:r w:rsidRPr="002F2687">
        <w:t>, promote this family-like environment by consciously creating strong teacher</w:t>
      </w:r>
      <w:r w:rsidR="008F5DC3">
        <w:t>–</w:t>
      </w:r>
      <w:r w:rsidRPr="002F2687">
        <w:t>student relationships and providing a personalized learning environment in which each student’s learning needs are well known and individually addressed. Daily instruction is designed with the knowledge that students vary in their preferred method</w:t>
      </w:r>
      <w:r w:rsidR="008F5DC3">
        <w:t>s</w:t>
      </w:r>
      <w:r w:rsidRPr="002F2687">
        <w:t xml:space="preserve"> of gaining information, understanding ideas, and demonstrating mastery.</w:t>
      </w:r>
    </w:p>
    <w:p w14:paraId="0DE316AA" w14:textId="60F8BA99" w:rsidR="003D0766" w:rsidRDefault="003D0766" w:rsidP="003D0766">
      <w:r>
        <w:t xml:space="preserve">Special mention can be made here </w:t>
      </w:r>
      <w:r w:rsidR="008F5DC3">
        <w:t xml:space="preserve">of </w:t>
      </w:r>
      <w:r>
        <w:t xml:space="preserve">California’s long-standing </w:t>
      </w:r>
      <w:r w:rsidR="001C0CE2">
        <w:t>CPA</w:t>
      </w:r>
      <w:r>
        <w:t xml:space="preserve"> </w:t>
      </w:r>
      <w:r w:rsidR="00C127E1">
        <w:t>grant</w:t>
      </w:r>
      <w:r w:rsidR="008F5DC3">
        <w:t xml:space="preserve"> program</w:t>
      </w:r>
      <w:r>
        <w:t xml:space="preserve">. This </w:t>
      </w:r>
      <w:r w:rsidR="00D857D4">
        <w:t>S</w:t>
      </w:r>
      <w:r>
        <w:t xml:space="preserve">tate program takes a </w:t>
      </w:r>
      <w:r w:rsidRPr="002F2687">
        <w:t>systems approach to career pathway development</w:t>
      </w:r>
      <w:r w:rsidR="00B316DC">
        <w:t xml:space="preserve"> and</w:t>
      </w:r>
      <w:r w:rsidRPr="002F2687">
        <w:t xml:space="preserve"> </w:t>
      </w:r>
      <w:r w:rsidRPr="002F2687">
        <w:lastRenderedPageBreak/>
        <w:t xml:space="preserve">includes many considerations to enable equitable access to students’ pathways of choice. </w:t>
      </w:r>
      <w:r w:rsidR="00EA227A">
        <w:t>The program provides</w:t>
      </w:r>
      <w:r w:rsidRPr="002F2687">
        <w:t xml:space="preserve"> transportation </w:t>
      </w:r>
      <w:r w:rsidR="001E707C">
        <w:t>as needed, access to</w:t>
      </w:r>
      <w:r w:rsidRPr="002F2687">
        <w:t xml:space="preserve">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096F50A0" w:rsidR="003D0766" w:rsidRPr="002F2687" w:rsidRDefault="003D0766" w:rsidP="003D0766">
      <w:r>
        <w:t>With</w:t>
      </w:r>
      <w:r w:rsidRPr="002F2687">
        <w:t xml:space="preserve"> the implementation of </w:t>
      </w:r>
      <w:r w:rsidR="00796F51">
        <w:t>CPAs</w:t>
      </w:r>
      <w:r w:rsidRPr="002F2687">
        <w:t xml:space="preserve">, career pathway programs have overcome the stigma of being </w:t>
      </w:r>
      <w:r w:rsidR="00A81ED8">
        <w:t>considered</w:t>
      </w:r>
      <w:r w:rsidRPr="002F2687">
        <w:t xml:space="preserve"> as just an alternative to college</w:t>
      </w:r>
      <w:r w:rsidR="008F5DC3">
        <w:t>,</w:t>
      </w:r>
      <w:r w:rsidR="001E707C">
        <w:t xml:space="preserve"> and instead </w:t>
      </w:r>
      <w:r w:rsidR="008F5DC3">
        <w:t xml:space="preserve">are </w:t>
      </w:r>
      <w:r w:rsidR="001E707C">
        <w:t xml:space="preserve">being acknowledged </w:t>
      </w:r>
      <w:r w:rsidRPr="002F2687">
        <w:t xml:space="preserve">as </w:t>
      </w:r>
      <w:r w:rsidR="001E707C">
        <w:t xml:space="preserve">programs that </w:t>
      </w:r>
      <w:r w:rsidRPr="002F2687">
        <w:t>provid</w:t>
      </w:r>
      <w:r w:rsidR="001E707C">
        <w:t>e</w:t>
      </w:r>
      <w:r w:rsidRPr="002F2687">
        <w:t xml:space="preserve"> </w:t>
      </w:r>
      <w:r w:rsidR="008F5DC3">
        <w:t>a</w:t>
      </w:r>
      <w:r w:rsidRPr="002F2687">
        <w:t xml:space="preserve"> foundation </w:t>
      </w:r>
      <w:r w:rsidR="001E707C">
        <w:t>for</w:t>
      </w:r>
      <w:r w:rsidRPr="002F2687">
        <w:t xml:space="preserve"> earning postsecondary credentials and</w:t>
      </w:r>
      <w:r w:rsidR="001E707C">
        <w:t xml:space="preserve"> degrees. The </w:t>
      </w:r>
      <w:r w:rsidR="00D84F75">
        <w:t>CPA</w:t>
      </w:r>
      <w:r w:rsidR="00B1244C">
        <w:t>s</w:t>
      </w:r>
      <w:r w:rsidR="00D84F75">
        <w:t xml:space="preserve"> </w:t>
      </w:r>
      <w:r w:rsidRPr="002F2687">
        <w:t>incorporate many features of the high school reform movement</w:t>
      </w:r>
      <w:r w:rsidR="00BC4EFF">
        <w:t>,</w:t>
      </w:r>
      <w:r w:rsidRPr="002F2687">
        <w:t xml:space="preserve"> includ</w:t>
      </w:r>
      <w:r w:rsidR="00BC4EFF">
        <w:t>ing</w:t>
      </w:r>
      <w:r w:rsidRPr="002F2687">
        <w:t xml:space="preserve"> creating a close family-like atmosphere, integrating academic and </w:t>
      </w:r>
      <w:r>
        <w:t>CTE</w:t>
      </w:r>
      <w:r w:rsidR="00CC2755">
        <w:t xml:space="preserve"> curriculum</w:t>
      </w:r>
      <w:r w:rsidRPr="002F2687">
        <w:t>, and establishing viable business partnerships. Emphasis is also placed on student achievement and positive postsecondary outcomes. By law, at least half of each new class must meet specific “at-</w:t>
      </w:r>
      <w:r w:rsidR="00396B67">
        <w:t>promise</w:t>
      </w:r>
      <w:r w:rsidRPr="002F2687">
        <w:t>”</w:t>
      </w:r>
      <w:r w:rsidR="00396B67">
        <w:rPr>
          <w:rStyle w:val="FootnoteReference"/>
        </w:rPr>
        <w:footnoteReference w:id="21"/>
      </w:r>
      <w:r w:rsidRPr="002F2687">
        <w:t xml:space="preserve"> criteria </w:t>
      </w:r>
      <w:r w:rsidR="00B1244C">
        <w:t>t</w:t>
      </w:r>
      <w:r w:rsidRPr="002F2687">
        <w:t>o determine student eligibility. The remaining half ha</w:t>
      </w:r>
      <w:r w:rsidR="00812692">
        <w:t>ve</w:t>
      </w:r>
      <w:r w:rsidRPr="002F2687">
        <w:t xml:space="preserve"> no restrictions</w:t>
      </w:r>
      <w:r w:rsidR="00D84F75" w:rsidRPr="002F2687" w:rsidDel="00D84F75">
        <w:t xml:space="preserve"> </w:t>
      </w:r>
      <w:r w:rsidR="00D84F75">
        <w:t>for entry into the CPAs.</w:t>
      </w:r>
    </w:p>
    <w:p w14:paraId="570C30A5" w14:textId="49BA569F" w:rsidR="003D0766" w:rsidRPr="002F2687" w:rsidRDefault="003D0766" w:rsidP="003D0766">
      <w:r w:rsidRPr="002F2687">
        <w:t>Throughout the last several years</w:t>
      </w:r>
      <w:r>
        <w:t xml:space="preserve"> of implementing the </w:t>
      </w:r>
      <w:r w:rsidR="00796F51">
        <w:t>CPA</w:t>
      </w:r>
      <w:r w:rsidR="00C5745D">
        <w:t xml:space="preserve"> model</w:t>
      </w:r>
      <w:r w:rsidRPr="002F2687">
        <w:t xml:space="preserve">, districts implementing career pathway programs have developed structures to support student recruitment and placement that respond to both student choice and equitable access. They </w:t>
      </w:r>
      <w:r w:rsidR="00812692">
        <w:t xml:space="preserve">have </w:t>
      </w:r>
      <w:r w:rsidRPr="002F2687">
        <w:t>structure</w:t>
      </w:r>
      <w:r w:rsidR="00812692">
        <w:t>d</w:t>
      </w:r>
      <w:r w:rsidRPr="002F2687">
        <w:t xml:space="preserve"> programmatic ways for middle schools to introduce students to pathway themes early, such as elective “wheel”</w:t>
      </w:r>
      <w:r w:rsidRPr="00592BB3">
        <w:rPr>
          <w:vertAlign w:val="superscript"/>
        </w:rPr>
        <w:footnoteReference w:id="22"/>
      </w:r>
      <w:r w:rsidRPr="002F2687">
        <w:t xml:space="preserve"> courses, career fairs, information nights, outreach activities, and other events. They filter student applications for pathways</w:t>
      </w:r>
      <w:r w:rsidR="00812692">
        <w:t>,</w:t>
      </w:r>
      <w:r w:rsidRPr="002F2687">
        <w:t xml:space="preserve"> using lotteries to ensure diversity in pathways, and they 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 districts overcome access </w:t>
      </w:r>
      <w:r w:rsidRPr="002F2687">
        <w:lastRenderedPageBreak/>
        <w:t>barriers to pathway programs by providing support to avoid limitations such as a student’s ability to pay for transportation, a student’s past academic performance, or a lack of accessible information.</w:t>
      </w:r>
    </w:p>
    <w:p w14:paraId="5D295E62" w14:textId="2EBB74FC" w:rsidR="003A1E51" w:rsidRDefault="00A81ED8" w:rsidP="003A1E51">
      <w:r>
        <w:t xml:space="preserve">As previously </w:t>
      </w:r>
      <w:r w:rsidR="00812692">
        <w:t>described</w:t>
      </w:r>
      <w:r>
        <w:t>, t</w:t>
      </w:r>
      <w:r w:rsidR="003A1E51">
        <w:t>he JSPAC helps provide CTE instructors and administrators with PD opportunities and technical assistance related specifically to access and equity. These activities are directed to improve special</w:t>
      </w:r>
      <w:r w:rsidR="00EC14F6">
        <w:t>-</w:t>
      </w:r>
      <w:r w:rsidR="003A1E51">
        <w:t>population student</w:t>
      </w:r>
      <w:r w:rsidR="00284A33">
        <w:t>s’</w:t>
      </w:r>
      <w:r w:rsidR="003A1E51">
        <w:t xml:space="preserve"> access to CTE programs and provide the support services needed to enhance the</w:t>
      </w:r>
      <w:r w:rsidR="00284A33">
        <w:t>se students’</w:t>
      </w:r>
      <w:r w:rsidR="003A1E51">
        <w:t xml:space="preserve">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EC14F6">
        <w:t>-</w:t>
      </w:r>
      <w:r w:rsidR="003A1E51">
        <w:t>population students.</w:t>
      </w:r>
    </w:p>
    <w:p w14:paraId="1716CDB7" w14:textId="4E3FA358" w:rsidR="003A1E51" w:rsidRDefault="003A1E51" w:rsidP="003A1E51">
      <w:r>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284A33">
        <w:t xml:space="preserve">to </w:t>
      </w:r>
      <w:r w:rsidR="00C83C3A">
        <w:t xml:space="preserve">ensure that </w:t>
      </w:r>
      <w:r>
        <w:t xml:space="preserve">the necessary support services for special populations </w:t>
      </w:r>
      <w:r w:rsidR="00C83C3A">
        <w:t xml:space="preserve">are available </w:t>
      </w:r>
      <w:r w:rsidR="00284A33">
        <w:t xml:space="preserve">for </w:t>
      </w:r>
      <w:r w:rsidR="00C83C3A">
        <w:t xml:space="preserve">students </w:t>
      </w:r>
      <w:r>
        <w:t>to achieve nontraditional, high</w:t>
      </w:r>
      <w:r w:rsidR="00284A33">
        <w:t>-</w:t>
      </w:r>
      <w:r>
        <w:t>skill, high</w:t>
      </w:r>
      <w:r w:rsidR="00284A33">
        <w:t>-</w:t>
      </w:r>
      <w:r>
        <w:t>wage, or in</w:t>
      </w:r>
      <w:r w:rsidR="00284A33">
        <w:t>-</w:t>
      </w:r>
      <w:r>
        <w:t>demand occupations that lead to self-sufficiency. The JSPAC has focused its efforts on bringing about the following school and college improvements intended to ensure special</w:t>
      </w:r>
      <w:r w:rsidR="00EC14F6">
        <w:t>-</w:t>
      </w:r>
      <w:r>
        <w:t>population student access and success in the State’s CTE programs:</w:t>
      </w:r>
    </w:p>
    <w:p w14:paraId="04E792BE" w14:textId="64FD782B" w:rsidR="00031377" w:rsidRDefault="003A1E51" w:rsidP="00042002">
      <w:pPr>
        <w:pStyle w:val="ListParagraph"/>
        <w:ind w:left="1170" w:hanging="450"/>
      </w:pPr>
      <w:r w:rsidRPr="00C83C3A">
        <w:t>Outreach and recruitment to increase student/parent awareness of educational/career options</w:t>
      </w:r>
      <w:r w:rsidR="00284A33">
        <w:t>;</w:t>
      </w:r>
    </w:p>
    <w:p w14:paraId="50554338" w14:textId="1275D93D" w:rsidR="00031377" w:rsidRDefault="003A1E51" w:rsidP="00042002">
      <w:pPr>
        <w:pStyle w:val="ListParagraph"/>
        <w:ind w:left="1170" w:hanging="450"/>
      </w:pPr>
      <w:r w:rsidRPr="00C83C3A">
        <w:t>Career support (</w:t>
      </w:r>
      <w:r w:rsidR="00ED7723">
        <w:t>e.g</w:t>
      </w:r>
      <w:r w:rsidR="00A81ED8">
        <w:t xml:space="preserve">. </w:t>
      </w:r>
      <w:r w:rsidRPr="00C83C3A">
        <w:t>career development and exploration, field trips, mentoring and exposure with a focus on career paths that include high</w:t>
      </w:r>
      <w:r w:rsidR="0072184A">
        <w:t>-</w:t>
      </w:r>
      <w:r w:rsidRPr="00C83C3A">
        <w:t>skill, high</w:t>
      </w:r>
      <w:r w:rsidR="0072184A">
        <w:t>-</w:t>
      </w:r>
      <w:r w:rsidRPr="00C83C3A">
        <w:t>wage, or high</w:t>
      </w:r>
      <w:r w:rsidR="0072184A">
        <w:t>-</w:t>
      </w:r>
      <w:r w:rsidRPr="00C83C3A">
        <w:t>demand jobs)</w:t>
      </w:r>
      <w:r w:rsidR="0072184A">
        <w:t>;</w:t>
      </w:r>
    </w:p>
    <w:p w14:paraId="0CD45AF1" w14:textId="2FC176F4" w:rsidR="00031377" w:rsidRDefault="003A1E51" w:rsidP="00042002">
      <w:pPr>
        <w:pStyle w:val="ListParagraph"/>
        <w:ind w:left="1170" w:hanging="450"/>
      </w:pPr>
      <w:r w:rsidRPr="00C83C3A">
        <w:t>Academic support (</w:t>
      </w:r>
      <w:r w:rsidR="00A81ED8">
        <w:t xml:space="preserve">i.e., </w:t>
      </w:r>
      <w:r w:rsidRPr="00C83C3A">
        <w:t>advisement, tutoring, and special instructional classes)</w:t>
      </w:r>
      <w:r w:rsidR="0072184A">
        <w:t>;</w:t>
      </w:r>
    </w:p>
    <w:p w14:paraId="08F78037" w14:textId="5CC80C93" w:rsidR="00031377" w:rsidRDefault="003A1E51" w:rsidP="00042002">
      <w:pPr>
        <w:pStyle w:val="ListParagraph"/>
        <w:ind w:left="1170" w:hanging="450"/>
      </w:pPr>
      <w:r w:rsidRPr="00C83C3A">
        <w:t>Financial support (</w:t>
      </w:r>
      <w:r w:rsidR="00A81ED8">
        <w:t xml:space="preserve">i.e., </w:t>
      </w:r>
      <w:r w:rsidRPr="00C83C3A">
        <w:t>for childcare, transportation, books, and instructional materials)</w:t>
      </w:r>
      <w:r w:rsidR="0072184A">
        <w:t>;</w:t>
      </w:r>
    </w:p>
    <w:p w14:paraId="74B4797F" w14:textId="2DB6F339" w:rsidR="00031377" w:rsidRDefault="003A1E51" w:rsidP="00042002">
      <w:pPr>
        <w:pStyle w:val="ListParagraph"/>
        <w:ind w:left="1170" w:hanging="450"/>
      </w:pPr>
      <w:r w:rsidRPr="00C83C3A">
        <w:lastRenderedPageBreak/>
        <w:t>Access to technology (</w:t>
      </w:r>
      <w:r w:rsidR="00A81ED8">
        <w:t xml:space="preserve">i.e., developing </w:t>
      </w:r>
      <w:r w:rsidRPr="00C83C3A">
        <w:t>technology skills to succeed)</w:t>
      </w:r>
      <w:r w:rsidR="0072184A">
        <w:t>; and</w:t>
      </w:r>
      <w:r w:rsidRPr="00C83C3A">
        <w:t xml:space="preserve"> </w:t>
      </w:r>
    </w:p>
    <w:p w14:paraId="3647BFAE" w14:textId="4E1BA7B1" w:rsidR="003D0766" w:rsidRPr="00C83C3A" w:rsidRDefault="003A1E51" w:rsidP="00042002">
      <w:pPr>
        <w:pStyle w:val="ListParagraph"/>
        <w:ind w:left="1170" w:hanging="450"/>
      </w:pPr>
      <w:r w:rsidRPr="00C83C3A">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w:t>
      </w:r>
      <w:r w:rsidR="00EC14F6">
        <w:t>-</w:t>
      </w:r>
      <w:r w:rsidRPr="00C83C3A">
        <w:t>population students</w:t>
      </w:r>
      <w:r w:rsidR="0072184A">
        <w:t>,</w:t>
      </w:r>
      <w:r w:rsidR="00A81ED8">
        <w:t xml:space="preserve"> because m</w:t>
      </w:r>
      <w:r w:rsidRPr="00C83C3A">
        <w:t xml:space="preserve">any of these students </w:t>
      </w:r>
      <w:r w:rsidR="00A81ED8">
        <w:t xml:space="preserve">are eligible for </w:t>
      </w:r>
      <w:r w:rsidRPr="00C83C3A">
        <w:t>more than one special population category and face multiple barriers)</w:t>
      </w:r>
      <w:r w:rsidR="0072184A">
        <w:t>.</w:t>
      </w:r>
    </w:p>
    <w:p w14:paraId="64027F62" w14:textId="2A9A4C4D" w:rsidR="00255DD4" w:rsidRDefault="003A1E51" w:rsidP="00773E4B">
      <w:r w:rsidRPr="003A1E51">
        <w:t xml:space="preserve">The </w:t>
      </w:r>
      <w:r w:rsidR="001801A4">
        <w:t xml:space="preserve">Federal </w:t>
      </w:r>
      <w:r w:rsidRPr="003A1E51">
        <w:t xml:space="preserve">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72184A">
        <w:t xml:space="preserve">are </w:t>
      </w:r>
      <w:r w:rsidR="00A81ED8">
        <w:t>support</w:t>
      </w:r>
      <w:r w:rsidR="0072184A">
        <w:t>ed by</w:t>
      </w:r>
      <w:r w:rsidR="00A81ED8">
        <w:t xml:space="preserve"> </w:t>
      </w:r>
      <w:r w:rsidRPr="003A1E51">
        <w:t>programs to enable the</w:t>
      </w:r>
      <w:r w:rsidR="00A81ED8">
        <w:t>se students</w:t>
      </w:r>
      <w:r w:rsidRPr="003A1E51">
        <w:t xml:space="preserve"> to meet the </w:t>
      </w:r>
      <w:r w:rsidR="00D857D4">
        <w:t>S</w:t>
      </w:r>
      <w:r w:rsidRPr="003A1E51">
        <w:t>tate levels of performance</w:t>
      </w:r>
      <w:r w:rsidR="00A81ED8">
        <w:t xml:space="preserve">. In addition, </w:t>
      </w:r>
      <w:r w:rsidR="00D857D4">
        <w:t>S</w:t>
      </w:r>
      <w:r w:rsidRPr="003A1E51">
        <w:t xml:space="preserve">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t xml:space="preserve">all </w:t>
      </w:r>
      <w:r w:rsidRPr="003A1E51">
        <w:t xml:space="preserve">CTE programs and </w:t>
      </w:r>
      <w:r w:rsidR="0072184A">
        <w:t xml:space="preserve">to </w:t>
      </w:r>
      <w:r w:rsidRPr="003A1E51">
        <w:t xml:space="preserve">support activities and services for all secondary and postsecondary students </w:t>
      </w:r>
      <w:r w:rsidR="00E84128">
        <w:t xml:space="preserve">specifically for those who </w:t>
      </w:r>
      <w:r w:rsidRPr="003A1E51">
        <w:t>elect to enroll in these programs.</w:t>
      </w:r>
    </w:p>
    <w:p w14:paraId="33CA1487" w14:textId="4EDDB5F5" w:rsidR="00773E4B" w:rsidRPr="00F50DF2" w:rsidRDefault="001E2959" w:rsidP="00773E4B">
      <w:pPr>
        <w:rPr>
          <w:rFonts w:cs="Arial"/>
        </w:rPr>
      </w:pPr>
      <w:r>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the needs of special</w:t>
      </w:r>
      <w:r w:rsidR="00EC14F6">
        <w:t>-</w:t>
      </w:r>
      <w:r w:rsidR="00C33240" w:rsidRPr="002F2687">
        <w:t xml:space="preserve">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7FCA4E6A"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w:t>
      </w:r>
      <w:r w:rsidR="00A85A71">
        <w:t xml:space="preserve">the </w:t>
      </w:r>
      <w:r w:rsidRPr="002F2687">
        <w:t xml:space="preserve">CCCCO provide continuous oversight and technical assistance to </w:t>
      </w:r>
      <w:r w:rsidR="00A81ED8">
        <w:t xml:space="preserve">LEAs, </w:t>
      </w:r>
      <w:r w:rsidRPr="002F2687">
        <w:t>schools</w:t>
      </w:r>
      <w:r w:rsidR="00A85A71">
        <w:t>,</w:t>
      </w:r>
      <w:r w:rsidRPr="002F2687">
        <w:t xml:space="preserve"> and colleges with respect to ensuring nondiscrimination </w:t>
      </w:r>
      <w:r w:rsidR="00A85A71">
        <w:t>toward</w:t>
      </w:r>
      <w:r w:rsidRPr="002F2687">
        <w:t xml:space="preserve"> students who are members of special populations. </w:t>
      </w:r>
      <w:r w:rsidR="00E0027F">
        <w:t xml:space="preserve">CCC </w:t>
      </w:r>
      <w:r w:rsidRPr="002F2687">
        <w:t xml:space="preserve">and selected secondary school districts systematically receive annual statistical reviews or audits of programs and enrollments to ensure equal access and compliance </w:t>
      </w:r>
      <w:r w:rsidRPr="002F2687">
        <w:lastRenderedPageBreak/>
        <w:t>with policies related to race, sex, disability, limited English proficiency, salary, hiring practices, harassment, and technology. The ongoing federal Office of Civil Rights (OCR) compliance reviews conducted by both agencies</w:t>
      </w:r>
      <w:r w:rsidR="00A85A71">
        <w:t>,</w:t>
      </w:r>
      <w:r w:rsidRPr="002F2687">
        <w:t xml:space="preserve"> and continuous oversight and monitoring by the </w:t>
      </w:r>
      <w:r w:rsidR="009E70D1">
        <w:t>d</w:t>
      </w:r>
      <w:r w:rsidRPr="002F2687">
        <w:t>epartments’ assigned staff members</w:t>
      </w:r>
      <w:r w:rsidR="00A85A71">
        <w:t>,</w:t>
      </w:r>
      <w:r w:rsidRPr="002F2687">
        <w:t xml:space="preserve"> ensure that special populations are not discriminated against in programs and classes, and that all special population groups have </w:t>
      </w:r>
      <w:r w:rsidR="009E70D1">
        <w:t xml:space="preserve">equal </w:t>
      </w:r>
      <w:r w:rsidRPr="002F2687">
        <w:t>access to all programs.</w:t>
      </w:r>
    </w:p>
    <w:p w14:paraId="2E4661C4" w14:textId="5EF10EDA" w:rsidR="00C33240" w:rsidRPr="002F2687" w:rsidRDefault="00C33240" w:rsidP="0058053B">
      <w:r w:rsidRPr="002F2687">
        <w:t>The OCR provides guidance that secondary</w:t>
      </w:r>
      <w:r w:rsidR="00A85A71">
        <w:t xml:space="preserve"> schools</w:t>
      </w:r>
      <w:r w:rsidRPr="002F2687">
        <w:t>, adult</w:t>
      </w:r>
      <w:r w:rsidR="00A85A71">
        <w:t xml:space="preserve"> schools</w:t>
      </w:r>
      <w:r w:rsidRPr="002F2687">
        <w:t>, alternative school agencies</w:t>
      </w:r>
      <w:r w:rsidR="00DE50F6" w:rsidRPr="002F2687">
        <w:t>,</w:t>
      </w:r>
      <w:r w:rsidRPr="002F2687">
        <w:t xml:space="preserve"> and community colleges receiving Perkins V funding comply with the CTE</w:t>
      </w:r>
      <w:r w:rsidR="00A85A71">
        <w:t>–</w:t>
      </w:r>
      <w:r w:rsidRPr="002F2687">
        <w:t>Civil Rights regulations and that state-administered compliance reviews meet all OCR-approved timelines. Biennial site visit schedules and targeting plans will continue to be developed and submitted for OCR approval</w:t>
      </w:r>
      <w:r w:rsidR="00A85A71">
        <w:t>,</w:t>
      </w:r>
      <w:r w:rsidRPr="002F2687">
        <w:t xml:space="preserve"> and both </w:t>
      </w:r>
      <w:r w:rsidR="00A81ED8">
        <w:t>the CDE and the CCCCO</w:t>
      </w:r>
      <w:r w:rsidRPr="002F2687">
        <w:t xml:space="preserve"> will continue to submit CTE</w:t>
      </w:r>
      <w:r w:rsidR="00A85A71">
        <w:t>–</w:t>
      </w:r>
      <w:r w:rsidRPr="002F2687">
        <w:t xml:space="preserve">Civil Rights reports as required by the OCR. </w:t>
      </w:r>
      <w:r w:rsidR="00175D25" w:rsidRPr="00175D25">
        <w:t>The 2019</w:t>
      </w:r>
      <w:r w:rsidR="00724F9C">
        <w:t>–</w:t>
      </w:r>
      <w:r w:rsidR="00175D25" w:rsidRPr="00175D25">
        <w:t xml:space="preserve">20 Educational Equity Federal Programs Monitoring Instrument </w:t>
      </w:r>
      <w:r w:rsidR="00A81ED8">
        <w:t xml:space="preserve">is strengthened to demonstrate </w:t>
      </w:r>
      <w:r w:rsidR="00175D25" w:rsidRPr="00175D25">
        <w:t>how the initial civil rights report for CTE has expanded to address civil rights for all students across all programs in California</w:t>
      </w:r>
      <w:r w:rsidR="00C127E1">
        <w:t>.</w:t>
      </w:r>
      <w:r w:rsidR="00175D25">
        <w:rPr>
          <w:rStyle w:val="FootnoteReference"/>
        </w:rPr>
        <w:footnoteReference w:id="23"/>
      </w:r>
    </w:p>
    <w:p w14:paraId="134AF3A9" w14:textId="7FDF33FA" w:rsidR="00876564" w:rsidRPr="002F2687" w:rsidRDefault="00557F9B" w:rsidP="00876564">
      <w:r w:rsidRPr="00557F9B">
        <w:t>California will continue to invest in providing access to high-quality CTE programs</w:t>
      </w:r>
      <w:r w:rsidR="009A1151">
        <w:t>,</w:t>
      </w:r>
      <w:r w:rsidRPr="00557F9B">
        <w:t xml:space="preserve">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 xml:space="preserve">The </w:t>
      </w:r>
      <w:r w:rsidR="001801A4">
        <w:t xml:space="preserve">Federal </w:t>
      </w:r>
      <w:r w:rsidR="00876564" w:rsidRPr="00876564">
        <w:t>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all students and </w:t>
      </w:r>
      <w:r w:rsidR="009A1151">
        <w:t xml:space="preserve">on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 xml:space="preserve">California’s </w:t>
      </w:r>
      <w:r w:rsidR="001801A4">
        <w:t xml:space="preserve">Federal </w:t>
      </w:r>
      <w:r w:rsidR="00876564">
        <w:t xml:space="preserve">Perkins V State Plan </w:t>
      </w:r>
      <w:r w:rsidR="0000024A" w:rsidRPr="0000024A">
        <w:t xml:space="preserve">is strategically positioned to supplement and augment existing </w:t>
      </w:r>
      <w:r w:rsidR="00D857D4">
        <w:t>S</w:t>
      </w:r>
      <w:r w:rsidR="0000024A" w:rsidRPr="0000024A">
        <w:t>tate initiatives</w:t>
      </w:r>
      <w:r w:rsidR="009A1151">
        <w:t>,</w:t>
      </w:r>
      <w:r w:rsidR="0000024A" w:rsidRPr="0000024A">
        <w:t xml:space="preserve"> using the framework provided by</w:t>
      </w:r>
      <w:r w:rsidR="0000024A">
        <w:t xml:space="preserve"> </w:t>
      </w:r>
      <w:r w:rsidR="00876564">
        <w:t>the CWPJAC</w:t>
      </w:r>
      <w:r w:rsidR="006F061E">
        <w:t>’s</w:t>
      </w:r>
      <w:r w:rsidR="00876564">
        <w:t xml:space="preserve"> </w:t>
      </w:r>
      <w:r w:rsidR="00876564">
        <w:lastRenderedPageBreak/>
        <w:t xml:space="preserve">Guiding </w:t>
      </w:r>
      <w:r w:rsidR="005838F3">
        <w:t xml:space="preserve">Policy </w:t>
      </w:r>
      <w:r w:rsidR="00876564">
        <w:t xml:space="preserve">Principles </w:t>
      </w:r>
      <w:r w:rsidR="0000024A">
        <w:t xml:space="preserve">to intentionally design programs with a </w:t>
      </w:r>
      <w:r w:rsidR="00BB30C3" w:rsidRPr="002F2687">
        <w:t>student</w:t>
      </w:r>
      <w:r w:rsidR="00BB30C3">
        <w:t>-</w:t>
      </w:r>
      <w:r w:rsidR="00876564" w:rsidRPr="002F2687">
        <w:t>centered</w:t>
      </w:r>
      <w:r w:rsidR="00BB30C3">
        <w:t xml:space="preserve"> </w:t>
      </w:r>
      <w:r w:rsidR="00876564" w:rsidRPr="002F2687">
        <w:t>approach</w:t>
      </w:r>
      <w:r w:rsidR="0000024A">
        <w:t>.</w:t>
      </w:r>
    </w:p>
    <w:p w14:paraId="59C5D189" w14:textId="77777777" w:rsidR="00C33240" w:rsidRPr="002F2687" w:rsidRDefault="004B6794" w:rsidP="00E760C4">
      <w:pPr>
        <w:pStyle w:val="Heading6"/>
      </w:pPr>
      <w:r w:rsidRPr="002F2687">
        <w:t xml:space="preserve">v.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41EC9433"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BB30C3">
        <w:t xml:space="preserve">of </w:t>
      </w:r>
      <w:r w:rsidR="00AE1EC6">
        <w:t xml:space="preserve">federal </w:t>
      </w:r>
      <w:r w:rsidRPr="002F2687">
        <w:t>CTE programs. This section also recognizes the need for coordinated delivery of CTE in California</w:t>
      </w:r>
      <w:r w:rsidR="009A1151">
        <w:t>,</w:t>
      </w:r>
      <w:r w:rsidRPr="002F2687">
        <w:t xml:space="preserve">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042002">
      <w:pPr>
        <w:pStyle w:val="ListParagraph"/>
        <w:numPr>
          <w:ilvl w:val="2"/>
          <w:numId w:val="31"/>
        </w:numPr>
        <w:ind w:left="1170" w:hanging="450"/>
      </w:pPr>
      <w:r>
        <w:t>Provide for an advisory committee composed of an equal number of members of each board (i.e., the CWPJAC).</w:t>
      </w:r>
    </w:p>
    <w:p w14:paraId="7257787A" w14:textId="1566E04A" w:rsidR="0000024A" w:rsidRDefault="00ED7723" w:rsidP="00042002">
      <w:pPr>
        <w:pStyle w:val="ListParagraph"/>
        <w:numPr>
          <w:ilvl w:val="2"/>
          <w:numId w:val="31"/>
        </w:numPr>
        <w:ind w:left="1170" w:hanging="450"/>
      </w:pPr>
      <w:r>
        <w:t>En</w:t>
      </w:r>
      <w:r w:rsidR="0000024A">
        <w:t>sure shared planning and coordination.</w:t>
      </w:r>
    </w:p>
    <w:p w14:paraId="7579A8A3" w14:textId="26B738F9" w:rsidR="0000024A" w:rsidRDefault="0000024A" w:rsidP="00042002">
      <w:pPr>
        <w:pStyle w:val="ListParagraph"/>
        <w:numPr>
          <w:ilvl w:val="2"/>
          <w:numId w:val="31"/>
        </w:numPr>
        <w:ind w:left="1170" w:hanging="450"/>
      </w:pPr>
      <w:r>
        <w:t xml:space="preserve">Delegate to the </w:t>
      </w:r>
      <w:r w:rsidR="00F11968">
        <w:t>BOG</w:t>
      </w:r>
      <w:r>
        <w:t>, in keeping with the requirements of federal law, the maximum responsibility in administration, operation, and supervision of policies and procedures related to community college vocational programs provided for in federal law.</w:t>
      </w:r>
    </w:p>
    <w:p w14:paraId="5FFC5C57" w14:textId="66040A4B"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w:t>
      </w:r>
      <w:r w:rsidR="00D857D4">
        <w:t>S</w:t>
      </w:r>
      <w:r w:rsidRPr="002F2687">
        <w:t>tate and federal investments</w:t>
      </w:r>
      <w:r w:rsidR="00F11968">
        <w:t>,</w:t>
      </w:r>
      <w:r w:rsidRPr="002F2687">
        <w:t xml:space="preserve"> and makes recommendations to the </w:t>
      </w:r>
      <w:r w:rsidR="0027629C" w:rsidRPr="002F2687">
        <w:t>SBE</w:t>
      </w:r>
      <w:r w:rsidRPr="002F2687">
        <w:t xml:space="preserve"> for consideration.</w:t>
      </w:r>
      <w:r w:rsidR="00556D97">
        <w:t xml:space="preserve"> </w:t>
      </w:r>
      <w:r w:rsidR="008741D4">
        <w:t>For a more detailed explanation</w:t>
      </w:r>
      <w:r w:rsidR="00BB2703">
        <w:t xml:space="preserve"> on joint planning</w:t>
      </w:r>
      <w:r w:rsidR="008741D4">
        <w:t xml:space="preserve">, please see </w:t>
      </w:r>
      <w:r w:rsidR="00534476">
        <w:t xml:space="preserve">the response to prompt </w:t>
      </w:r>
      <w:r w:rsidR="008741D4">
        <w:t>B(1)</w:t>
      </w:r>
      <w:r w:rsidR="00534476">
        <w:t>(</w:t>
      </w:r>
      <w:r w:rsidR="008741D4">
        <w:t>c</w:t>
      </w:r>
      <w:r w:rsidR="00534476">
        <w:t>)</w:t>
      </w:r>
      <w:r w:rsidR="008741D4">
        <w:t>.</w:t>
      </w:r>
    </w:p>
    <w:p w14:paraId="251BD9D2" w14:textId="77777777" w:rsidR="00C33240" w:rsidRPr="002F2687" w:rsidRDefault="004B6794" w:rsidP="00E760C4">
      <w:pPr>
        <w:pStyle w:val="Heading6"/>
      </w:pPr>
      <w:r w:rsidRPr="002F2687">
        <w:lastRenderedPageBreak/>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71740081" w14:textId="769676C4" w:rsidR="00C33240" w:rsidRPr="002F2687" w:rsidRDefault="00C33240" w:rsidP="0058053B">
      <w:r w:rsidRPr="002F2687">
        <w:t xml:space="preserve">Many regional efforts link education to workforce and economic development in very specific ways, through labor market research </w:t>
      </w:r>
      <w:r w:rsidR="00BB30C3">
        <w:t xml:space="preserve">and </w:t>
      </w:r>
      <w:r w:rsidR="00EC6AFF">
        <w:t xml:space="preserve">through </w:t>
      </w:r>
      <w:r w:rsidRPr="002F2687">
        <w:t xml:space="preserve">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70C25348" w:rsidR="00C33240" w:rsidRPr="002F2687" w:rsidRDefault="001855ED" w:rsidP="0058053B">
      <w:r>
        <w:t>WBL</w:t>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 xml:space="preserve">and </w:t>
      </w:r>
      <w:r w:rsidR="00BA0AEE">
        <w:t xml:space="preserve">in </w:t>
      </w:r>
      <w:r w:rsidR="00C33240" w:rsidRPr="002F2687">
        <w:t xml:space="preserve">ensuring that programs provide students the opportunity to meet high industry standards. </w:t>
      </w:r>
      <w:r w:rsidR="001A603B">
        <w:t>WBL</w:t>
      </w:r>
      <w:r w:rsidR="00C33240" w:rsidRPr="002F2687">
        <w:t xml:space="preserve"> is offered at the secondary level through </w:t>
      </w:r>
      <w:r w:rsidR="003C4454">
        <w:t xml:space="preserve">the </w:t>
      </w:r>
      <w:r w:rsidR="008422DE">
        <w:t xml:space="preserve">CTEIG, </w:t>
      </w:r>
      <w:r w:rsidR="003C4454">
        <w:t xml:space="preserve">the </w:t>
      </w:r>
      <w:r w:rsidR="008422DE">
        <w:t xml:space="preserve">K–12 SWP, </w:t>
      </w:r>
      <w:r w:rsidR="00B77BD8" w:rsidRPr="002F2687">
        <w:t>WEE</w:t>
      </w:r>
      <w:r w:rsidR="00C33240" w:rsidRPr="002F2687">
        <w:t xml:space="preserve">, ROCPs, </w:t>
      </w:r>
      <w:r w:rsidR="00796F51">
        <w:t>CPAs</w:t>
      </w:r>
      <w:r w:rsidR="00800E9E" w:rsidRPr="002F2687">
        <w:t xml:space="preserve">, </w:t>
      </w:r>
      <w:r w:rsidR="00C33240" w:rsidRPr="002F2687">
        <w:t xml:space="preserve">other learning communities, and adult schools. Adult schools, ROCPs, and </w:t>
      </w:r>
      <w:r w:rsidR="001C0CE2">
        <w:t>CPAs</w:t>
      </w:r>
      <w:r w:rsidR="00C33240" w:rsidRPr="002F2687">
        <w:t xml:space="preserve"> require connection of </w:t>
      </w:r>
      <w:r w:rsidR="001A603B">
        <w:t>WBL</w:t>
      </w:r>
      <w:r w:rsidR="00C33240" w:rsidRPr="002F2687">
        <w:t xml:space="preserve"> to technical or academic clas</w:t>
      </w:r>
      <w:r w:rsidR="003C4454">
        <w:t>sroom curricula, whereas</w:t>
      </w:r>
      <w:r w:rsidR="00C33240" w:rsidRPr="002F2687">
        <w:t xml:space="preserv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BA0AEE">
        <w:t>c</w:t>
      </w:r>
      <w:r w:rsidR="001A603B">
        <w:t>o-op</w:t>
      </w:r>
      <w:r w:rsidR="00C33240" w:rsidRPr="002F2687">
        <w:t xml:space="preserve"> programs.</w:t>
      </w:r>
      <w:r w:rsidR="009755F9" w:rsidRPr="002F2687">
        <w:t xml:space="preserve"> The </w:t>
      </w:r>
      <w:r w:rsidR="00073C5C">
        <w:t>CCCCO,</w:t>
      </w:r>
      <w:r w:rsidR="009755F9" w:rsidRPr="002F2687">
        <w:t xml:space="preserve"> through its Guided Pathways initiative</w:t>
      </w:r>
      <w:r w:rsidR="00073C5C">
        <w:t>,</w:t>
      </w:r>
      <w:r w:rsidR="009755F9" w:rsidRPr="002F2687">
        <w:t xml:space="preser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 </w:t>
      </w:r>
      <w:r w:rsidR="00CD3A4B" w:rsidRPr="002F2687">
        <w:t>competency-based</w:t>
      </w:r>
      <w:r w:rsidR="009755F9" w:rsidRPr="002F2687">
        <w:t xml:space="preserve"> education.</w:t>
      </w:r>
    </w:p>
    <w:p w14:paraId="7FA8F30C" w14:textId="3CDA7FCF" w:rsidR="00557F9B" w:rsidRDefault="00557F9B" w:rsidP="00557F9B">
      <w:r>
        <w:lastRenderedPageBreak/>
        <w:t>Stakeholders reflected on direct supports for students and adults who work with students. They noted a need for giving students a voice at all levels (</w:t>
      </w:r>
      <w:r w:rsidR="00570009">
        <w:t>e</w:t>
      </w:r>
      <w:r w:rsidR="003C4454">
        <w:t>.</w:t>
      </w:r>
      <w:r w:rsidR="00570009">
        <w:t>g</w:t>
      </w:r>
      <w:r w:rsidR="003C4454">
        <w:t>.,</w:t>
      </w:r>
      <w:r>
        <w:t xml:space="preserve"> through CTSOs), providing early and ongoing counselor access, and supporting transitions from one level to the next. Stakeholders also discussed the need to value more than academic skills and</w:t>
      </w:r>
      <w:r w:rsidR="009E1ACE">
        <w:t xml:space="preserve"> </w:t>
      </w:r>
      <w:r>
        <w:t xml:space="preserve">include </w:t>
      </w:r>
      <w:r w:rsidR="00773E4B">
        <w:t>essential</w:t>
      </w:r>
      <w:r>
        <w:t xml:space="preserve"> and technical skills as well. This is consistent with recommendations by teachers to provide greater access for all students to attain leadership development through a CTSO to bolster student engagement. Some teachers expressed the need </w:t>
      </w:r>
      <w:r w:rsidR="00C2209F">
        <w:t>for</w:t>
      </w:r>
      <w:r>
        <w:t xml:space="preserve"> student participation in a CTSO </w:t>
      </w:r>
      <w:r w:rsidR="00C2209F">
        <w:t xml:space="preserve">to be </w:t>
      </w:r>
      <w:r>
        <w:t>a requirement for the receipt of funds. Recommended support</w:t>
      </w:r>
      <w:r w:rsidR="00C2209F">
        <w:t>s</w:t>
      </w:r>
      <w:r>
        <w:t xml:space="preserve"> for adults included stronger industry involvement, better information for families, </w:t>
      </w:r>
      <w:r w:rsidR="00C2209F">
        <w:t xml:space="preserve">and </w:t>
      </w:r>
      <w:r w:rsidR="00D857D4">
        <w:t>S</w:t>
      </w:r>
      <w:r>
        <w:t>tate and local leadership support and training on current CTE practices.</w:t>
      </w:r>
    </w:p>
    <w:p w14:paraId="0F80FF09" w14:textId="305DC9E8"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w:t>
      </w:r>
      <w:r w:rsidR="00C2209F">
        <w:t>-</w:t>
      </w:r>
      <w:r>
        <w:t>enrollment barriers in operations</w:t>
      </w:r>
      <w:r w:rsidR="00C2209F">
        <w:t>;</w:t>
      </w:r>
      <w:r>
        <w:t xml:space="preserve"> </w:t>
      </w:r>
      <w:r w:rsidR="00C2209F">
        <w:t xml:space="preserve">the need for </w:t>
      </w:r>
      <w:r>
        <w:t>shared governance and curriculum-based programs; and support for multiple entry and exit points. Better promotion/marketing is also needed to show CTE as a viable path to parents</w:t>
      </w:r>
      <w:r w:rsidR="00C2209F">
        <w:t xml:space="preserve"> and to</w:t>
      </w:r>
      <w:r>
        <w:t xml:space="preserve"> business and industry</w:t>
      </w:r>
      <w:r w:rsidR="008F27CB">
        <w:t>,</w:t>
      </w:r>
      <w:r>
        <w:t xml:space="preserve"> and to clarify </w:t>
      </w:r>
      <w:r w:rsidR="00C2209F">
        <w:t xml:space="preserve">what </w:t>
      </w:r>
      <w:r>
        <w:t xml:space="preserve">certifications and standards </w:t>
      </w:r>
      <w:r w:rsidR="00C2209F">
        <w:t xml:space="preserve">mean </w:t>
      </w:r>
      <w:r>
        <w:t>for parents and LEAs.</w:t>
      </w:r>
    </w:p>
    <w:p w14:paraId="5A67FE3F" w14:textId="25660BA2" w:rsidR="00557F9B" w:rsidRDefault="00557F9B" w:rsidP="00557F9B">
      <w:r>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students have the opportunity to select experiences of particular interest, and to connect meaningfully with an employer who is invested in the student’s success. This not only confers personalized attention and skills</w:t>
      </w:r>
      <w:r w:rsidR="00C2209F">
        <w:t xml:space="preserve"> on students</w:t>
      </w:r>
      <w:r>
        <w:t>, but also conveys to student</w:t>
      </w:r>
      <w:r w:rsidR="00C2209F">
        <w:t>s</w:t>
      </w:r>
      <w:r>
        <w:t xml:space="preserve">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47F78069" w:rsidR="00831C7E"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w:t>
      </w:r>
      <w:r w:rsidR="00C2209F">
        <w:t xml:space="preserve">that </w:t>
      </w:r>
      <w:r w:rsidRPr="002F2687">
        <w:t>industry partners provide guest speakers, coaches, and teacher professional learning, and that organizations/</w:t>
      </w:r>
      <w:r w:rsidR="00C2209F">
        <w:t>i</w:t>
      </w:r>
      <w:r w:rsidRPr="002F2687">
        <w:t xml:space="preserve">ndustry mentor </w:t>
      </w:r>
      <w:r w:rsidRPr="002F2687">
        <w:lastRenderedPageBreak/>
        <w:t>college students</w:t>
      </w:r>
      <w:r w:rsidR="00C2209F">
        <w:t xml:space="preserve"> and</w:t>
      </w:r>
      <w:r w:rsidRPr="002F2687">
        <w:t xml:space="preserve"> provide internships </w:t>
      </w:r>
      <w:r w:rsidR="005609C7">
        <w:t>and</w:t>
      </w:r>
      <w:r w:rsidRPr="002F2687">
        <w:t xml:space="preserve"> scholarships.</w:t>
      </w:r>
      <w:r w:rsidR="003C05D4">
        <w:t xml:space="preserve"> </w:t>
      </w:r>
      <w:r w:rsidRPr="002F2687">
        <w:t>Stakeholders called for an integrated curriculum that is informed by industry and aligned with employer</w:t>
      </w:r>
      <w:r w:rsidR="00C2209F">
        <w:t>s</w:t>
      </w:r>
      <w:r w:rsidRPr="002F2687">
        <w:t xml:space="preserve">’ needs. They noted that WBL and project-based learning need to be responsive </w:t>
      </w:r>
      <w:r w:rsidR="00570009">
        <w:t xml:space="preserve">to </w:t>
      </w:r>
      <w:r w:rsidRPr="002F2687">
        <w:t xml:space="preserve">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6B73F8B" w14:textId="75501CB0" w:rsidR="00773E4B" w:rsidRPr="002F2687" w:rsidRDefault="00773E4B" w:rsidP="00773E4B">
      <w:r w:rsidRPr="002F2687">
        <w:t>Strong expe</w:t>
      </w:r>
      <w:r>
        <w:t>rience in and understanding of</w:t>
      </w:r>
      <w:r w:rsidRPr="002F2687">
        <w:t xml:space="preserve"> all aspects of an industry are incorporated into the CTEMCS </w:t>
      </w:r>
      <w:r>
        <w:t xml:space="preserve">and </w:t>
      </w:r>
      <w:r w:rsidRPr="002F2687">
        <w:t xml:space="preserve">are integral to each </w:t>
      </w:r>
      <w:r>
        <w:t>LEA’s</w:t>
      </w:r>
      <w:r w:rsidRPr="002F2687">
        <w:t xml:space="preserve"> application for Perkins V Section 131 or 132 funds. In addition, each </w:t>
      </w:r>
      <w:r>
        <w:t>LEA</w:t>
      </w:r>
      <w:r w:rsidRPr="002F2687">
        <w:t xml:space="preserve"> application includes a signed statement of assurances that the program</w:t>
      </w:r>
      <w:r>
        <w:t>(</w:t>
      </w:r>
      <w:r w:rsidRPr="002F2687">
        <w:t>s</w:t>
      </w:r>
      <w:r>
        <w:t>)</w:t>
      </w:r>
      <w:r w:rsidRPr="002F2687">
        <w:t xml:space="preserve"> identified for assistance </w:t>
      </w:r>
      <w:r>
        <w:t>using federal</w:t>
      </w:r>
      <w:r w:rsidRPr="002F2687">
        <w:t xml:space="preserve"> funds will provide students with strong experience in and understanding of all aspects of the industry addressed by the program(s). CDE and CCCCO staff use annual </w:t>
      </w:r>
      <w:r>
        <w:t>state leadership</w:t>
      </w:r>
      <w:r w:rsidRPr="002F2687">
        <w:t xml:space="preserve"> fu</w:t>
      </w:r>
      <w:r>
        <w:t>nds for holding workshops to provide</w:t>
      </w:r>
      <w:r w:rsidRPr="002F2687">
        <w:t xml:space="preserve"> </w:t>
      </w:r>
      <w:r>
        <w:t>LEAs</w:t>
      </w:r>
      <w:r w:rsidRPr="002F2687">
        <w:t xml:space="preserve"> and </w:t>
      </w:r>
      <w:r>
        <w:t xml:space="preserve">community </w:t>
      </w:r>
      <w:r w:rsidRPr="002F2687">
        <w:t xml:space="preserve">college districts with detailed information related to the “all aspects” requirement. </w:t>
      </w:r>
      <w:r>
        <w:t>The workshops include</w:t>
      </w:r>
      <w:r w:rsidRPr="002F2687">
        <w:t xml:space="preserve"> the importance of instruction and strategies for </w:t>
      </w:r>
      <w:r w:rsidRPr="0000024A">
        <w:t>ensuring that local eligible agencies and institutions provide students with experience in, and understanding of, all aspects of an industry</w:t>
      </w:r>
      <w:r w:rsidR="00444456">
        <w:t>.</w:t>
      </w:r>
      <w:r w:rsidR="00B1244C">
        <w:t xml:space="preserve"> </w:t>
      </w:r>
      <w:r w:rsidRPr="002F2687">
        <w:t xml:space="preserve">Program monitoring visits and scheduled program reviews are used by both </w:t>
      </w:r>
      <w:r>
        <w:t>the CDE and the CCCCO</w:t>
      </w:r>
      <w:r w:rsidRPr="002F2687">
        <w:t xml:space="preserve"> to determine </w:t>
      </w:r>
      <w:r>
        <w:t>local</w:t>
      </w:r>
      <w:r w:rsidRPr="002F2687">
        <w:t xml:space="preserve"> compliance with the Perkins V Section 135 requirement.</w:t>
      </w:r>
    </w:p>
    <w:p w14:paraId="03C80ABC" w14:textId="02C39F25" w:rsidR="00C33240" w:rsidRPr="002F2687" w:rsidRDefault="004B6794" w:rsidP="00E760C4">
      <w:pPr>
        <w:pStyle w:val="Heading6"/>
      </w:pPr>
      <w:r w:rsidRPr="002F2687">
        <w:t xml:space="preserve">vii. </w:t>
      </w:r>
      <w:r w:rsidR="00CC0296" w:rsidRPr="00CC0296">
        <w:t>improve outcomes and reduce performance gaps for CTE concentrators, including those who are members of special populations. (Section 122(d)(4)(C) of Perkins V)</w:t>
      </w:r>
    </w:p>
    <w:p w14:paraId="2C508A3E" w14:textId="77777777" w:rsidR="00C33240" w:rsidRPr="002F2687" w:rsidRDefault="00C33240" w:rsidP="00B32A75">
      <w:r w:rsidRPr="002F2687">
        <w:rPr>
          <w:b/>
        </w:rPr>
        <w:t xml:space="preserve">Response: </w:t>
      </w:r>
    </w:p>
    <w:p w14:paraId="6450002C" w14:textId="39715FB5" w:rsidR="002F1410" w:rsidRDefault="0082367D" w:rsidP="0058053B">
      <w:r w:rsidRPr="0082367D">
        <w:t>Access and equity are often treated synonymously</w:t>
      </w:r>
      <w:r w:rsidR="009926F1">
        <w:t>,</w:t>
      </w:r>
      <w:r w:rsidRPr="0082367D">
        <w:t xml:space="preserve"> </w:t>
      </w:r>
      <w:r w:rsidR="009926F1">
        <w:t>although</w:t>
      </w:r>
      <w:r w:rsidR="009926F1" w:rsidRPr="0082367D">
        <w:t xml:space="preserve"> </w:t>
      </w:r>
      <w:r w:rsidRPr="0082367D">
        <w:t>they are not</w:t>
      </w:r>
      <w:r w:rsidR="009926F1">
        <w:t xml:space="preserve"> synonymous</w:t>
      </w:r>
      <w:r w:rsidRPr="0082367D">
        <w:t>.</w:t>
      </w:r>
      <w:r w:rsidR="006F5399">
        <w:t xml:space="preserve"> </w:t>
      </w:r>
      <w:r w:rsidRPr="0082367D">
        <w:t xml:space="preserve">The CWPJAC, in developing both the Guiding </w:t>
      </w:r>
      <w:r w:rsidR="000B4231">
        <w:t xml:space="preserve">Policy </w:t>
      </w:r>
      <w:r w:rsidRPr="0082367D">
        <w:t xml:space="preserve">Principles and the Essential Elements of a High-Quality </w:t>
      </w:r>
      <w:r w:rsidR="009926F1">
        <w:t xml:space="preserve">College and </w:t>
      </w:r>
      <w:r w:rsidRPr="0082367D">
        <w:t>Career Pathway, took care in separating the two</w:t>
      </w:r>
      <w:r w:rsidR="009926F1">
        <w:t>,</w:t>
      </w:r>
      <w:r w:rsidRPr="0082367D">
        <w:t xml:space="preserve"> for good reason.</w:t>
      </w:r>
      <w:r w:rsidR="006F5399">
        <w:t xml:space="preserve"> </w:t>
      </w:r>
      <w:r w:rsidRPr="00570009">
        <w:rPr>
          <w:i/>
          <w:iCs/>
        </w:rPr>
        <w:t>Access</w:t>
      </w:r>
      <w:r w:rsidRPr="0082367D">
        <w:t xml:space="preserve"> </w:t>
      </w:r>
      <w:r w:rsidR="00B3082D" w:rsidRPr="00B3082D">
        <w:t>denotes a broader vision of equity</w:t>
      </w:r>
      <w:r w:rsidR="009926F1">
        <w:t>,</w:t>
      </w:r>
      <w:r w:rsidR="00B3082D" w:rsidRPr="00B3082D">
        <w:t xml:space="preserve"> ensuring that all students are provided </w:t>
      </w:r>
      <w:r w:rsidR="009926F1">
        <w:t xml:space="preserve">with </w:t>
      </w:r>
      <w:r w:rsidR="00B3082D" w:rsidRPr="00B3082D">
        <w:t>ample opportunities to attain the necessary skills, education</w:t>
      </w:r>
      <w:r w:rsidR="009926F1">
        <w:t>,</w:t>
      </w:r>
      <w:r w:rsidR="00B3082D" w:rsidRPr="00B3082D">
        <w:t xml:space="preserve"> </w:t>
      </w:r>
      <w:r w:rsidR="00B3082D" w:rsidRPr="00B3082D">
        <w:lastRenderedPageBreak/>
        <w:t>and training required to maximize their individual goals</w:t>
      </w:r>
      <w:r w:rsidR="009926F1">
        <w:t>,</w:t>
      </w:r>
      <w:r w:rsidR="00B3082D" w:rsidRPr="00B3082D">
        <w:t xml:space="preserve"> including a collective</w:t>
      </w:r>
      <w:r w:rsidR="00BB30C3">
        <w:t xml:space="preserve"> awareness of all the supports that are available to students both inside and out of</w:t>
      </w:r>
      <w:r w:rsidR="00B3082D" w:rsidRPr="00B3082D">
        <w:t xml:space="preserve"> class. Access also facilitates the elimination of achievement gap</w:t>
      </w:r>
      <w:r w:rsidR="009926F1">
        <w:t>s</w:t>
      </w:r>
      <w:r w:rsidR="00B3082D" w:rsidRPr="00B3082D">
        <w:t xml:space="preserve"> by providing information on</w:t>
      </w:r>
      <w:r w:rsidR="00B3082D">
        <w:t xml:space="preserve"> </w:t>
      </w:r>
      <w:r w:rsidR="00B3082D" w:rsidRPr="00B3082D">
        <w:t>how to access programs, services, and rigorous coursework for all California students</w:t>
      </w:r>
      <w:r w:rsidR="009926F1">
        <w:t>,</w:t>
      </w:r>
      <w:r w:rsidR="00B3082D" w:rsidRPr="00B3082D">
        <w:t xml:space="preserve"> regardless of region, gender, socioeconomic status, special needs, and/or English proficiency.</w:t>
      </w:r>
      <w:r w:rsidR="00B3082D">
        <w:t xml:space="preserve"> </w:t>
      </w:r>
      <w:r w:rsidRPr="0082367D">
        <w:t>These accommodations may be academic, physical</w:t>
      </w:r>
      <w:r w:rsidR="009926F1">
        <w:t>,</w:t>
      </w:r>
      <w:r w:rsidRPr="0082367D">
        <w:t xml:space="preserve"> or cultural</w:t>
      </w:r>
      <w:r w:rsidR="009926F1">
        <w:t>,</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w:t>
      </w:r>
      <w:r w:rsidR="00570009">
        <w:rPr>
          <w:i/>
        </w:rPr>
        <w:t>e</w:t>
      </w:r>
      <w:r w:rsidRPr="00570009">
        <w:rPr>
          <w:i/>
          <w:iCs/>
        </w:rPr>
        <w:t>quity</w:t>
      </w:r>
      <w:r w:rsidRPr="0082367D">
        <w:t xml:space="preserve"> </w:t>
      </w:r>
      <w:r w:rsidR="00B3082D" w:rsidRPr="00B3082D">
        <w:t>goes beyond the reduction of institutional barriers to create an environment of being fair, impartial, and free from bias or favoritism</w:t>
      </w:r>
      <w:r w:rsidR="009926F1">
        <w:t>; to</w:t>
      </w:r>
      <w:r w:rsidR="00B3082D" w:rsidRPr="00B3082D">
        <w:t xml:space="preserve"> promote educational and employment attainment</w:t>
      </w:r>
      <w:r w:rsidR="009926F1">
        <w:t>;</w:t>
      </w:r>
      <w:r w:rsidR="00B3082D" w:rsidRPr="00B3082D">
        <w:t xml:space="preserve"> and to eliminate achievement gap</w:t>
      </w:r>
      <w:r w:rsidR="009926F1">
        <w:t>s</w:t>
      </w:r>
      <w:r w:rsidR="00B3082D" w:rsidRPr="00B3082D">
        <w:t xml:space="preserve"> for all students</w:t>
      </w:r>
      <w:r w:rsidR="009926F1">
        <w:t>,</w:t>
      </w:r>
      <w:r w:rsidR="00B3082D" w:rsidRPr="00B3082D">
        <w:t xml:space="preserve"> including, but not limited to, English language learners and students with disabilities</w:t>
      </w:r>
      <w:r w:rsidR="009926F1">
        <w:t>,</w:t>
      </w:r>
      <w:r w:rsidR="00B3082D" w:rsidRPr="00B3082D">
        <w:t xml:space="preserve"> in the career pathway system</w:t>
      </w:r>
      <w:r w:rsidRPr="0082367D">
        <w:t>.</w:t>
      </w:r>
      <w:r w:rsidR="006F5399">
        <w:t xml:space="preserve"> </w:t>
      </w:r>
      <w:r w:rsidR="004E701F">
        <w:t>E</w:t>
      </w:r>
      <w:r w:rsidRPr="0082367D">
        <w:t>quity is reflected</w:t>
      </w:r>
      <w:r w:rsidR="004E701F">
        <w:t xml:space="preserve">, </w:t>
      </w:r>
      <w:r w:rsidRPr="0082367D">
        <w:t>or not reflected</w:t>
      </w:r>
      <w:r w:rsidR="004E701F">
        <w:t>,</w:t>
      </w:r>
      <w:r w:rsidRPr="0082367D">
        <w:t xml:space="preserve"> in promotional and marketing materials, instructional materials such as syllabi, policy and procedure documents, and strategic plans</w:t>
      </w:r>
      <w:r w:rsidR="004E701F">
        <w:t>; a</w:t>
      </w:r>
      <w:r w:rsidRPr="0082367D">
        <w:t xml:space="preserve">ll of these documents either have or do not have the welcoming language that is generally used in curriculum and support services, in particular, </w:t>
      </w:r>
      <w:r w:rsidR="004E701F">
        <w:t>and</w:t>
      </w:r>
      <w:r w:rsidR="009926F1">
        <w:t>,</w:t>
      </w:r>
      <w:r w:rsidRPr="0082367D">
        <w:t xml:space="preserve"> more generally</w:t>
      </w:r>
      <w:r>
        <w:t>,</w:t>
      </w:r>
      <w:r w:rsidRPr="0082367D">
        <w:t xml:space="preserve"> in all internal and external document</w:t>
      </w:r>
      <w:r>
        <w:t>s</w:t>
      </w:r>
      <w:r w:rsidRPr="0082367D">
        <w:t>.</w:t>
      </w:r>
    </w:p>
    <w:p w14:paraId="1C71AA51" w14:textId="7E57D315" w:rsidR="004221B1" w:rsidRDefault="00B3082D" w:rsidP="004221B1">
      <w:r w:rsidRPr="00B3082D">
        <w:t>Realizing the vision embodied by</w:t>
      </w:r>
      <w:r w:rsidR="004221B1">
        <w:t xml:space="preserve"> access and equity in school districts and community colleges depends on the established accountability </w:t>
      </w:r>
      <w:r w:rsidR="00BF51BA">
        <w:t>framework, which</w:t>
      </w:r>
      <w:r w:rsidR="004221B1">
        <w:t xml:space="preserve"> explicitly tackles reducing performance gaps among all statutory student groups, including the members of special population groups. Perkins V </w:t>
      </w:r>
      <w:r w:rsidR="00BB30C3">
        <w:t xml:space="preserve">requires </w:t>
      </w:r>
      <w:r w:rsidR="004221B1">
        <w:t>states, and local recipients of Perkins</w:t>
      </w:r>
      <w:r w:rsidR="000B4231">
        <w:t xml:space="preserve"> V</w:t>
      </w:r>
      <w:r w:rsidR="004221B1">
        <w:t xml:space="preserve"> funds, to </w:t>
      </w:r>
      <w:r w:rsidR="00BF51BA">
        <w:t xml:space="preserve">explicitly </w:t>
      </w:r>
      <w:r w:rsidR="004221B1">
        <w:t xml:space="preserve">address performance gaps among special population groups through the CLNA, the local application plan, and the setting of four-year SDPLs for all required Perkins V indicators, as shown in </w:t>
      </w:r>
      <w:r w:rsidR="004E701F">
        <w:t>the t</w:t>
      </w:r>
      <w:r w:rsidRPr="00B3082D">
        <w:t xml:space="preserve">able </w:t>
      </w:r>
      <w:r w:rsidR="004E701F">
        <w:t xml:space="preserve">in Section </w:t>
      </w:r>
      <w:r w:rsidRPr="00B3082D">
        <w:t>V</w:t>
      </w:r>
      <w:r w:rsidR="009C0BD6">
        <w:t>,</w:t>
      </w:r>
      <w:r w:rsidRPr="00B3082D">
        <w:t xml:space="preserve"> </w:t>
      </w:r>
      <w:r w:rsidR="00001BFC">
        <w:t>on page</w:t>
      </w:r>
      <w:r w:rsidR="004E701F">
        <w:t>s</w:t>
      </w:r>
      <w:r w:rsidR="00001BFC">
        <w:t xml:space="preserve"> </w:t>
      </w:r>
      <w:r w:rsidR="000F7C8F">
        <w:t>180–181</w:t>
      </w:r>
      <w:r w:rsidR="00001BFC">
        <w:t>.</w:t>
      </w:r>
    </w:p>
    <w:p w14:paraId="28D42BFD" w14:textId="2E438D83"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w:t>
      </w:r>
      <w:r>
        <w:t xml:space="preserve"> </w:t>
      </w:r>
      <w:r w:rsidR="00B3082D">
        <w:t xml:space="preserve">intend to </w:t>
      </w:r>
      <w:r>
        <w:t>address performance gaps</w:t>
      </w:r>
      <w:r w:rsidR="00DC37DD">
        <w:t xml:space="preserve">, including </w:t>
      </w:r>
      <w:r w:rsidR="009C0BD6">
        <w:t xml:space="preserve">those of </w:t>
      </w:r>
      <w:r w:rsidR="00DC37DD">
        <w:t>special</w:t>
      </w:r>
      <w:r w:rsidR="00EC14F6">
        <w:t>-</w:t>
      </w:r>
      <w:r w:rsidR="006F5399">
        <w:t>population</w:t>
      </w:r>
      <w:r w:rsidR="00B3082D">
        <w:t xml:space="preserve"> student</w:t>
      </w:r>
      <w:r w:rsidR="006F5399">
        <w:t>s</w:t>
      </w:r>
      <w:r>
        <w:t>.</w:t>
      </w:r>
      <w:r w:rsidR="006F5399">
        <w:t xml:space="preserve"> </w:t>
      </w:r>
      <w:r>
        <w:t xml:space="preserve">More detail is provided in the </w:t>
      </w:r>
      <w:r w:rsidR="009C0BD6">
        <w:t xml:space="preserve">following </w:t>
      </w:r>
      <w:r>
        <w:t xml:space="preserve">Accountability for Results </w:t>
      </w:r>
      <w:r w:rsidR="00D56E0D">
        <w:t>S</w:t>
      </w:r>
      <w:r>
        <w:t xml:space="preserve">ection, as well as </w:t>
      </w:r>
      <w:r w:rsidR="009C0BD6">
        <w:t xml:space="preserve">in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w:t>
      </w:r>
      <w:r w:rsidR="00EC14F6">
        <w:t>-</w:t>
      </w:r>
      <w:r w:rsidR="00797175">
        <w:t xml:space="preserve">population categories </w:t>
      </w:r>
      <w:r w:rsidR="00B3082D">
        <w:t>are</w:t>
      </w:r>
      <w:r w:rsidR="00797175">
        <w:t xml:space="preserve"> the same as those under </w:t>
      </w:r>
      <w:r w:rsidR="00CE7705">
        <w:t xml:space="preserve">the </w:t>
      </w:r>
      <w:r w:rsidR="00797175">
        <w:t>ESSA, performance gaps for special</w:t>
      </w:r>
      <w:r w:rsidR="00EC14F6">
        <w:t>-</w:t>
      </w:r>
      <w:r w:rsidR="00797175">
        <w:t xml:space="preserve">population students </w:t>
      </w:r>
      <w:r w:rsidR="00B3082D">
        <w:t xml:space="preserve">enrolled </w:t>
      </w:r>
      <w:r w:rsidR="00797175">
        <w:t xml:space="preserve">in </w:t>
      </w:r>
      <w:r w:rsidR="00797175">
        <w:lastRenderedPageBreak/>
        <w:t xml:space="preserve">CTE can potentially </w:t>
      </w:r>
      <w:r w:rsidR="00CE7705">
        <w:t xml:space="preserve">be </w:t>
      </w:r>
      <w:r w:rsidR="00797175">
        <w:t xml:space="preserve">compared to those </w:t>
      </w:r>
      <w:r w:rsidR="00CE7705">
        <w:t xml:space="preserve">for </w:t>
      </w:r>
      <w:r w:rsidR="00DC37DD">
        <w:t>special</w:t>
      </w:r>
      <w:r w:rsidR="00EC14F6">
        <w:t>-</w:t>
      </w:r>
      <w:r w:rsidR="00DC37DD">
        <w:t xml:space="preserve">population students not </w:t>
      </w:r>
      <w:r w:rsidR="00B3082D">
        <w:t xml:space="preserve">enrolled </w:t>
      </w:r>
      <w:r w:rsidR="00DC37DD">
        <w:t>in CTE.</w:t>
      </w:r>
    </w:p>
    <w:p w14:paraId="12CE913D" w14:textId="7098B4A7" w:rsidR="003D550F" w:rsidRDefault="006876A9" w:rsidP="0058053B">
      <w:pPr>
        <w:rPr>
          <w:rFonts w:cs="Arial"/>
        </w:rPr>
      </w:pPr>
      <w:r w:rsidRPr="006876A9">
        <w:t xml:space="preserve">Under California </w:t>
      </w:r>
      <w:r w:rsidR="00D857D4">
        <w:t>S</w:t>
      </w:r>
      <w:r w:rsidRPr="006876A9">
        <w:t xml:space="preserve">tate law, every LEA must adopt and annually update a </w:t>
      </w:r>
      <w:r w:rsidR="00B3082D">
        <w:t xml:space="preserve">three-year </w:t>
      </w:r>
      <w:r w:rsidRPr="006876A9">
        <w:t>LCAP</w:t>
      </w:r>
      <w:r>
        <w:t>.</w:t>
      </w:r>
      <w:r w:rsidR="006F5399">
        <w:t xml:space="preserve"> </w:t>
      </w:r>
      <w:r w:rsidRPr="006876A9">
        <w:t xml:space="preserve">Long-term goals, and the ability for LEAs </w:t>
      </w:r>
      <w:r w:rsidR="00B3082D">
        <w:t>(</w:t>
      </w:r>
      <w:r w:rsidRPr="006876A9">
        <w:t>or schools</w:t>
      </w:r>
      <w:r w:rsidR="00CE7705">
        <w:t>,</w:t>
      </w:r>
      <w:r w:rsidR="00B3082D">
        <w:t xml:space="preserve"> for </w:t>
      </w:r>
      <w:r w:rsidR="00CE7705">
        <w:t xml:space="preserve">the </w:t>
      </w:r>
      <w:r w:rsidR="00B3082D">
        <w:t>ESSA)</w:t>
      </w:r>
      <w:r w:rsidRPr="006876A9">
        <w:t xml:space="preserve"> to determine interim progress goals, are built into the California Accountability Model</w:t>
      </w:r>
      <w:r w:rsidR="00CE7705">
        <w:t xml:space="preserve"> (California Model)</w:t>
      </w:r>
      <w:r w:rsidRPr="006876A9">
        <w:t>.</w:t>
      </w:r>
      <w:r>
        <w:rPr>
          <w:rStyle w:val="FootnoteReference"/>
        </w:rPr>
        <w:footnoteReference w:id="24"/>
      </w:r>
      <w:r w:rsidR="003D550F" w:rsidRPr="002F2687">
        <w:t xml:space="preserve"> </w:t>
      </w:r>
      <w:r w:rsidR="00CE7705" w:rsidRPr="002F2687">
        <w:t xml:space="preserve">Accordingly, </w:t>
      </w:r>
      <w:bookmarkStart w:id="60" w:name="_Hlk31293842"/>
      <w:r w:rsidR="00CE7705" w:rsidRPr="002F2687">
        <w:t>through the LCAP, under the California Model</w:t>
      </w:r>
      <w:r w:rsidR="00CE7705">
        <w:t xml:space="preserve">, </w:t>
      </w:r>
      <w:r w:rsidR="003D550F" w:rsidRPr="002F2687">
        <w:t xml:space="preserve">an LEA </w:t>
      </w:r>
      <w:r w:rsidR="00570009">
        <w:t xml:space="preserve">that </w:t>
      </w:r>
      <w:r w:rsidR="003D550F" w:rsidRPr="002F2687">
        <w:t xml:space="preserve">is not making progress toward closing performance gaps among student groups must </w:t>
      </w:r>
      <w:r w:rsidR="00570009">
        <w:t>d</w:t>
      </w:r>
      <w:r w:rsidR="003D550F" w:rsidRPr="002F2687">
        <w:t xml:space="preserve">escribe the efforts </w:t>
      </w:r>
      <w:r w:rsidR="002E5FA9">
        <w:t>it</w:t>
      </w:r>
      <w:r w:rsidR="003D550F" w:rsidRPr="002F2687">
        <w:t xml:space="preserve"> will undertake to make significant progress in closing performance gaps on </w:t>
      </w:r>
      <w:r w:rsidR="00B86166">
        <w:t xml:space="preserve">any of </w:t>
      </w:r>
      <w:r w:rsidR="003D550F" w:rsidRPr="002F2687">
        <w:t xml:space="preserve">the relevant indicator(s). LEAs must annually review and update their overarching plans for educational programming to address areas where </w:t>
      </w:r>
      <w:r w:rsidR="00CE7705">
        <w:t>they are</w:t>
      </w:r>
      <w:r w:rsidR="003D550F" w:rsidRPr="002F2687">
        <w:t xml:space="preserve"> not making progress in addressing performance gaps among student groups.</w:t>
      </w:r>
      <w:r w:rsidR="006F5399">
        <w:t xml:space="preserve"> </w:t>
      </w:r>
      <w:r w:rsidR="00773E4B" w:rsidRPr="00F50DF2">
        <w:rPr>
          <w:rFonts w:cs="Arial"/>
        </w:rPr>
        <w:t xml:space="preserve">Through developing the Perkins V CLNA, building the local application plans using information from the CLNA, and implementing the Perkins V accountability framework, </w:t>
      </w:r>
      <w:r w:rsidR="00BB17A2">
        <w:rPr>
          <w:rFonts w:cs="Arial"/>
        </w:rPr>
        <w:t>LEAs can connect secondary CTE to</w:t>
      </w:r>
      <w:r w:rsidR="00773E4B" w:rsidRPr="00F50DF2">
        <w:rPr>
          <w:rFonts w:cs="Arial"/>
        </w:rPr>
        <w:t xml:space="preserve"> the larger State Board effort on implementing LCFF/LCAP, and </w:t>
      </w:r>
      <w:r w:rsidR="00BB17A2">
        <w:rPr>
          <w:rFonts w:cs="Arial"/>
        </w:rPr>
        <w:t xml:space="preserve">to </w:t>
      </w:r>
      <w:r w:rsidR="00773E4B" w:rsidRPr="00F50DF2">
        <w:rPr>
          <w:rFonts w:cs="Arial"/>
        </w:rPr>
        <w:t xml:space="preserve">the CCC to the Vision for Success </w:t>
      </w:r>
      <w:r w:rsidR="00306BBC">
        <w:rPr>
          <w:rFonts w:cs="Arial"/>
        </w:rPr>
        <w:t>i</w:t>
      </w:r>
      <w:r w:rsidR="00773E4B" w:rsidRPr="00F50DF2">
        <w:rPr>
          <w:rFonts w:cs="Arial"/>
        </w:rPr>
        <w:t xml:space="preserve">mplementation. </w:t>
      </w:r>
      <w:bookmarkEnd w:id="60"/>
      <w:r w:rsidR="001870B4">
        <w:rPr>
          <w:rFonts w:cs="Arial"/>
        </w:rPr>
        <w:t xml:space="preserve">A broader </w:t>
      </w:r>
      <w:r w:rsidR="00773E4B" w:rsidRPr="00F50DF2">
        <w:rPr>
          <w:rFonts w:cs="Arial"/>
        </w:rPr>
        <w:t xml:space="preserve">discussion about system alignment within, and across, sectors </w:t>
      </w:r>
      <w:r w:rsidR="001870B4">
        <w:rPr>
          <w:rFonts w:cs="Arial"/>
        </w:rPr>
        <w:t xml:space="preserve">around CTE </w:t>
      </w:r>
      <w:r w:rsidR="00773E4B" w:rsidRPr="00F50DF2">
        <w:rPr>
          <w:rFonts w:cs="Arial"/>
        </w:rPr>
        <w:t xml:space="preserve">will be </w:t>
      </w:r>
      <w:r w:rsidR="001870B4">
        <w:rPr>
          <w:rFonts w:cs="Arial"/>
        </w:rPr>
        <w:t xml:space="preserve">brought forward to </w:t>
      </w:r>
      <w:r w:rsidR="00773E4B" w:rsidRPr="00F50DF2">
        <w:rPr>
          <w:rFonts w:cs="Arial"/>
        </w:rPr>
        <w:t>the CWPJAC</w:t>
      </w:r>
      <w:r w:rsidR="001870B4">
        <w:rPr>
          <w:rFonts w:cs="Arial"/>
        </w:rPr>
        <w:t>, when the Perkins V State Plan begins full implementation</w:t>
      </w:r>
      <w:r w:rsidR="00773E4B" w:rsidRPr="00F50DF2">
        <w:rPr>
          <w:rFonts w:cs="Arial"/>
        </w:rPr>
        <w:t>.</w:t>
      </w:r>
    </w:p>
    <w:p w14:paraId="1073AB31" w14:textId="3B0C489F" w:rsidR="00BB30C3" w:rsidRDefault="00BB30C3" w:rsidP="0058053B">
      <w:r>
        <w:t xml:space="preserve">With the enactment of the 2019 Budget Act, California has embarked on a Cradle to Career initiative in which data will be collected </w:t>
      </w:r>
      <w:r w:rsidR="00522DC8">
        <w:t xml:space="preserve">at the </w:t>
      </w:r>
      <w:r>
        <w:t>K–12, postsecondary, and workforce</w:t>
      </w:r>
      <w:r w:rsidR="00522DC8">
        <w:t xml:space="preserve"> levels</w:t>
      </w:r>
      <w:r>
        <w:t xml:space="preserve">. </w:t>
      </w:r>
      <w:r w:rsidR="00522DC8">
        <w:t>T</w:t>
      </w:r>
      <w:r>
        <w:t>hrough this initiative</w:t>
      </w:r>
      <w:r w:rsidR="00522DC8">
        <w:t>,</w:t>
      </w:r>
      <w:r>
        <w:t xml:space="preserve"> California intends to intentionally collect information on all students, including CTE concentrators. </w:t>
      </w:r>
    </w:p>
    <w:p w14:paraId="0DC16ED2" w14:textId="43604CB8" w:rsidR="00C33240" w:rsidRPr="002F2687" w:rsidRDefault="00DF27EF" w:rsidP="00C74AB8">
      <w:pPr>
        <w:pStyle w:val="Heading5"/>
      </w:pPr>
      <w:r w:rsidRPr="002F2687">
        <w:lastRenderedPageBreak/>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122(d)(4)(D) of Perkins V)</w:t>
      </w:r>
    </w:p>
    <w:p w14:paraId="50C5304D" w14:textId="77777777" w:rsidR="00C33240" w:rsidRPr="002F2687" w:rsidRDefault="00C33240" w:rsidP="00B32A75">
      <w:r w:rsidRPr="002F2687">
        <w:rPr>
          <w:b/>
        </w:rPr>
        <w:t>Response:</w:t>
      </w:r>
    </w:p>
    <w:p w14:paraId="37DAD4C9" w14:textId="72E5149A" w:rsidR="00C33240" w:rsidRPr="002F2687" w:rsidRDefault="00B86166" w:rsidP="0058053B">
      <w:r>
        <w:rPr>
          <w:lang w:val="en"/>
        </w:rPr>
        <w:t>T</w:t>
      </w:r>
      <w:r w:rsidR="00C33240" w:rsidRPr="002F2687">
        <w:rPr>
          <w:lang w:val="en"/>
        </w:rPr>
        <w:t>he CWPJAC</w:t>
      </w:r>
      <w:r w:rsidR="00915BB1">
        <w:rPr>
          <w:lang w:val="en"/>
        </w:rPr>
        <w:t>, through adoption of the Guiding Policy Principles, has envisioned the future</w:t>
      </w:r>
      <w:r w:rsidR="00C33240" w:rsidRPr="002F2687">
        <w:rPr>
          <w:lang w:val="en"/>
        </w:rPr>
        <w:t xml:space="preserve"> to build connected, </w:t>
      </w:r>
      <w:r w:rsidR="00C33240" w:rsidRPr="002F2687">
        <w:t>equitable, accessible high-quality K</w:t>
      </w:r>
      <w:r w:rsidR="007E5A9A" w:rsidRPr="002F2687">
        <w:t>−</w:t>
      </w:r>
      <w:r w:rsidR="00C33240" w:rsidRPr="002F2687">
        <w:t xml:space="preserve">14+ college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70C8CBC3" w14:textId="59543C20" w:rsidR="00C33240" w:rsidRPr="002F2687" w:rsidRDefault="00C33240" w:rsidP="0058053B">
      <w:r w:rsidRPr="002F2687">
        <w:t xml:space="preserve">Pathway alignment requires the sequencing of courses across segments to enable students to </w:t>
      </w:r>
      <w:r w:rsidR="00915BB1">
        <w:t>transition</w:t>
      </w:r>
      <w:r w:rsidR="00915BB1" w:rsidRPr="002F2687">
        <w:t xml:space="preserve"> </w:t>
      </w:r>
      <w:r w:rsidRPr="002F2687">
        <w:t>smoothly into postsecondary pathways after high school. More importantly, course articulations and dual</w:t>
      </w:r>
      <w:r w:rsidR="00B86166">
        <w:t>/concurrent</w:t>
      </w:r>
      <w:r w:rsidRPr="002F2687">
        <w:t xml:space="preserve"> enrollment opportunities offer benefits to students</w:t>
      </w:r>
      <w:r w:rsidR="00522DC8">
        <w:t>,</w:t>
      </w:r>
      <w:r w:rsidRPr="002F2687">
        <w:t xml:space="preserve"> often conferring postsecondary course credits prior to high school graduation.</w:t>
      </w:r>
      <w:r w:rsidR="00915BB1">
        <w:t xml:space="preserve"> </w:t>
      </w:r>
      <w:r w:rsidRPr="002F2687">
        <w:t xml:space="preserve">Recent </w:t>
      </w:r>
      <w:r w:rsidR="00D857D4">
        <w:t>S</w:t>
      </w:r>
      <w:r w:rsidRPr="002F2687">
        <w:t>tate initiatives</w:t>
      </w:r>
      <w:r w:rsidR="00522DC8">
        <w:t>,</w:t>
      </w:r>
      <w:r w:rsidRPr="002F2687">
        <w:t xml:space="preserve"> including the CCPT, the CTEIG, and the SWP</w:t>
      </w:r>
      <w:r w:rsidR="00522DC8">
        <w:t>,</w:t>
      </w:r>
      <w:r w:rsidRPr="002F2687">
        <w:t xml:space="preserve"> demonstrate the commitment and intentionality of </w:t>
      </w:r>
      <w:r w:rsidR="00D857D4">
        <w:t>S</w:t>
      </w:r>
      <w:r w:rsidRPr="002F2687">
        <w:t>tate investments to improve cross</w:t>
      </w:r>
      <w:r w:rsidR="00522DC8">
        <w:t>-</w:t>
      </w:r>
      <w:r w:rsidRPr="002F2687">
        <w:t>system collaboration and program alignment. Each of these efforts encourages and</w:t>
      </w:r>
      <w:r w:rsidR="00522DC8">
        <w:t>,</w:t>
      </w:r>
      <w:r w:rsidRPr="002F2687">
        <w:t xml:space="preserve"> in fact, incentivizes K</w:t>
      </w:r>
      <w:r w:rsidR="007E5A9A" w:rsidRPr="002F2687">
        <w:t>−</w:t>
      </w:r>
      <w:r w:rsidRPr="002F2687">
        <w:t>14+ collaboration and articulation.</w:t>
      </w:r>
    </w:p>
    <w:p w14:paraId="623DF14C" w14:textId="79B93BEB"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w:t>
      </w:r>
      <w:r w:rsidR="00915BB1">
        <w:rPr>
          <w:lang w:val="en"/>
        </w:rPr>
        <w:t>endorsed</w:t>
      </w:r>
      <w:r w:rsidR="00915BB1" w:rsidRPr="00B86166">
        <w:rPr>
          <w:lang w:val="en"/>
        </w:rPr>
        <w:t xml:space="preserve"> </w:t>
      </w:r>
      <w:r w:rsidRPr="00B86166">
        <w:rPr>
          <w:lang w:val="en"/>
        </w:rPr>
        <w:t xml:space="preserve">that </w:t>
      </w:r>
      <w:r>
        <w:rPr>
          <w:lang w:val="en"/>
        </w:rPr>
        <w:t>c</w:t>
      </w:r>
      <w:r w:rsidR="00C33240" w:rsidRPr="002F2687">
        <w:rPr>
          <w:lang w:val="en"/>
        </w:rPr>
        <w:t xml:space="preserve">ourses and programs may be designed to use cross-system strategies </w:t>
      </w:r>
      <w:r w:rsidR="00522DC8">
        <w:rPr>
          <w:lang w:val="en"/>
        </w:rPr>
        <w:t>such as</w:t>
      </w:r>
      <w:r w:rsidR="00C33240" w:rsidRPr="002F2687">
        <w:rPr>
          <w:lang w:val="en"/>
        </w:rPr>
        <w:t xml:space="preserve"> dual enrollment and/or dual credit with community colleges and universities or other articulations to create a seamless student experience</w:t>
      </w:r>
      <w:r w:rsidR="001A6340" w:rsidRPr="002F2687">
        <w:rPr>
          <w:lang w:val="en"/>
        </w:rPr>
        <w:t xml:space="preserve"> to</w:t>
      </w:r>
      <w:r w:rsidR="00C33240" w:rsidRPr="002F2687">
        <w:rPr>
          <w:lang w:val="en"/>
        </w:rPr>
        <w:t xml:space="preserve"> avoid unnecessary repe</w:t>
      </w:r>
      <w:r w:rsidR="00522DC8">
        <w:rPr>
          <w:lang w:val="en"/>
        </w:rPr>
        <w:t>tition</w:t>
      </w:r>
      <w:r w:rsidR="00C33240" w:rsidRPr="002F2687">
        <w:rPr>
          <w:lang w:val="en"/>
        </w:rPr>
        <w:t xml:space="preserve">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value-added outcome</w:t>
      </w:r>
      <w:r w:rsidR="00522DC8">
        <w:rPr>
          <w:lang w:val="en"/>
        </w:rPr>
        <w:t>s</w:t>
      </w:r>
      <w:r w:rsidR="00C33240" w:rsidRPr="002F2687">
        <w:rPr>
          <w:lang w:val="en"/>
        </w:rPr>
        <w:t>.</w:t>
      </w:r>
    </w:p>
    <w:p w14:paraId="7D5EDB61" w14:textId="1C9A1842" w:rsidR="00C33240" w:rsidRPr="002F2687" w:rsidRDefault="002E5FA9" w:rsidP="0058053B">
      <w:r>
        <w:t>California’s</w:t>
      </w:r>
      <w:r w:rsidR="00C33240" w:rsidRPr="002F2687">
        <w:t xml:space="preserve"> new accountability and continuous improvement system</w:t>
      </w:r>
      <w:r w:rsidR="00915BB1">
        <w:t xml:space="preserve"> for K–12</w:t>
      </w:r>
      <w:r w:rsidR="00C33240" w:rsidRPr="002F2687">
        <w:t xml:space="preserve"> provides information about how LEAs and schools are meeting the needs of California’s diverse student population. As part of this system, the </w:t>
      </w:r>
      <w:r w:rsidR="009D7364" w:rsidRPr="002F2687">
        <w:t>CCI</w:t>
      </w:r>
      <w:r w:rsidR="00C33240" w:rsidRPr="002F2687">
        <w:t xml:space="preserve"> identifies multiple measures as </w:t>
      </w:r>
      <w:r w:rsidR="00C33240" w:rsidRPr="002F2687">
        <w:lastRenderedPageBreak/>
        <w:t xml:space="preserve">indications of college </w:t>
      </w:r>
      <w:r w:rsidR="00E07158">
        <w:t>and</w:t>
      </w:r>
      <w:r w:rsidR="00C33240" w:rsidRPr="002F2687">
        <w:t xml:space="preserve"> career readiness. </w:t>
      </w:r>
      <w:r w:rsidR="001870B4" w:rsidRPr="001870B4">
        <w:t>The CCI measure shows how well LEAs are preparing students for success after high school graduation.</w:t>
      </w:r>
      <w:r w:rsidR="001870B4">
        <w:t xml:space="preserve"> </w:t>
      </w:r>
      <w:r w:rsidR="00B1244C">
        <w:t>Within the CCI,</w:t>
      </w:r>
      <w:r w:rsidR="00C33240" w:rsidRPr="002F2687">
        <w:t xml:space="preserve"> </w:t>
      </w:r>
      <w:r w:rsidR="00046A0D">
        <w:t>in addition to</w:t>
      </w:r>
      <w:r w:rsidR="00C33240" w:rsidRPr="002F2687">
        <w:t xml:space="preserve"> </w:t>
      </w:r>
      <w:r w:rsidR="00E07158">
        <w:t xml:space="preserve">student </w:t>
      </w:r>
      <w:r w:rsidR="00C33240" w:rsidRPr="002F2687">
        <w:t>completi</w:t>
      </w:r>
      <w:r w:rsidR="00E07158">
        <w:t>on of</w:t>
      </w:r>
      <w:r w:rsidR="00C33240" w:rsidRPr="002F2687">
        <w:t xml:space="preserve"> a CTE pathway and earning credit in a college course</w:t>
      </w:r>
      <w:r w:rsidR="00B1244C">
        <w:t>,</w:t>
      </w:r>
      <w:r w:rsidR="001870B4">
        <w:t xml:space="preserve"> are two ways at getting a student’s career re</w:t>
      </w:r>
      <w:r w:rsidR="00B1244C">
        <w:t>adiness</w:t>
      </w:r>
      <w:r w:rsidR="00046A0D">
        <w:t xml:space="preserve"> which</w:t>
      </w:r>
      <w:r w:rsidR="00C33240" w:rsidRPr="002F2687">
        <w:t xml:space="preserve"> are currently two established measures</w:t>
      </w:r>
      <w:r w:rsidR="00B86166">
        <w:t xml:space="preserve"> included</w:t>
      </w:r>
      <w:r w:rsidR="00E07158">
        <w:t xml:space="preserve"> in the CCI</w:t>
      </w:r>
      <w:r w:rsidR="00C33240" w:rsidRPr="002F2687">
        <w:t xml:space="preserve">. </w:t>
      </w:r>
      <w:r w:rsidR="001870B4">
        <w:t>These</w:t>
      </w:r>
      <w:r w:rsidR="001870B4" w:rsidRPr="002F2687">
        <w:t xml:space="preserve"> </w:t>
      </w:r>
      <w:r w:rsidR="00C33240" w:rsidRPr="002F2687">
        <w:t>two measures were purposefully included</w:t>
      </w:r>
      <w:r w:rsidR="00E07158">
        <w:t xml:space="preserve"> in the CCI</w:t>
      </w:r>
      <w:r w:rsidR="00C33240" w:rsidRPr="002F2687">
        <w:t xml:space="preserve"> to encourage </w:t>
      </w:r>
      <w:r w:rsidR="001A6340" w:rsidRPr="002F2687">
        <w:t xml:space="preserve">LEAs </w:t>
      </w:r>
      <w:r w:rsidR="00C33240" w:rsidRPr="002F2687">
        <w:t>to develop strong</w:t>
      </w:r>
      <w:r w:rsidR="00734C79">
        <w:t>,</w:t>
      </w:r>
      <w:r w:rsidR="00C33240" w:rsidRPr="002F2687">
        <w:t xml:space="preserve"> coordinated career pathways and credit transfer agreements</w:t>
      </w:r>
      <w:r w:rsidR="00734C79">
        <w:t>,</w:t>
      </w:r>
      <w:r w:rsidR="00C33240" w:rsidRPr="002F2687">
        <w:t xml:space="preserve"> which include more opportunities for students to participate in dual</w:t>
      </w:r>
      <w:r w:rsidR="00734C79">
        <w:t>-</w:t>
      </w:r>
      <w:r w:rsidR="00C33240" w:rsidRPr="002F2687">
        <w:t xml:space="preserve">enrollment courses and earn college credits prior to </w:t>
      </w:r>
      <w:r w:rsidR="00E107FE">
        <w:t xml:space="preserve">transitioning from high school. </w:t>
      </w:r>
      <w:r w:rsidR="001870B4" w:rsidRPr="001870B4">
        <w:t>California continues to explore viable options</w:t>
      </w:r>
      <w:r w:rsidR="001870B4">
        <w:t xml:space="preserve">, for example, </w:t>
      </w:r>
      <w:r w:rsidR="00AE6D0E">
        <w:t>WBL</w:t>
      </w:r>
      <w:r w:rsidR="007134A7">
        <w:t xml:space="preserve"> and industry-based certifications, </w:t>
      </w:r>
      <w:r w:rsidR="001870B4" w:rsidRPr="001870B4">
        <w:t xml:space="preserve">to </w:t>
      </w:r>
      <w:r w:rsidR="007134A7">
        <w:t>develop a more robust</w:t>
      </w:r>
      <w:r w:rsidR="001870B4" w:rsidRPr="001870B4">
        <w:t xml:space="preserve"> measure </w:t>
      </w:r>
      <w:r w:rsidR="007134A7">
        <w:t>of career readiness within the</w:t>
      </w:r>
      <w:r w:rsidR="001870B4" w:rsidRPr="001870B4">
        <w:t xml:space="preserve"> CCI</w:t>
      </w:r>
      <w:r w:rsidR="007134A7">
        <w:t>.</w:t>
      </w:r>
      <w:r w:rsidR="001870B4" w:rsidRPr="001870B4" w:rsidDel="001870B4">
        <w:t xml:space="preserve"> </w:t>
      </w:r>
    </w:p>
    <w:p w14:paraId="3B131239" w14:textId="7C4B8C37" w:rsidR="00C33240" w:rsidRPr="002F2687" w:rsidRDefault="00C33240" w:rsidP="0058053B">
      <w:r w:rsidRPr="002F2687">
        <w:t xml:space="preserve">The CCCCO Statewide Career Pathways Project improves the linkages of career technical pathways among high schools, ROCPs, and </w:t>
      </w:r>
      <w:r w:rsidR="000519EA">
        <w:t>CCC</w:t>
      </w:r>
      <w:r w:rsidR="001A6340" w:rsidRPr="002F2687">
        <w:t>. The project</w:t>
      </w:r>
      <w:r w:rsidRPr="002F2687">
        <w:t xml:space="preserve"> has developed a standardized articulation process across these educational institutions</w:t>
      </w:r>
      <w:r w:rsidR="00734C79">
        <w:t>,</w:t>
      </w:r>
      <w:r w:rsidRPr="002F2687">
        <w:t xml:space="preserve"> to provide the opportunity for secondary students to participate in dual or concurrent enrollment programs, early college high school</w:t>
      </w:r>
      <w:r w:rsidR="00E07158">
        <w:t>s</w:t>
      </w:r>
      <w:r w:rsidR="001549DA">
        <w:t xml:space="preserve"> (ECHS</w:t>
      </w:r>
      <w:r w:rsidR="00E07158">
        <w:t>s</w:t>
      </w:r>
      <w:r w:rsidR="001549DA">
        <w:t>)</w:t>
      </w:r>
      <w:r w:rsidRPr="002F2687">
        <w:t>, or competency-based education. The project also coordinates with grant-funded regional articulation projects to ensure that appropriate resources are available to all faculty tasked to develop articulation agreements.</w:t>
      </w:r>
    </w:p>
    <w:p w14:paraId="65AEE374" w14:textId="66FA9971" w:rsidR="00C33240" w:rsidRPr="002F2687" w:rsidRDefault="00C33240" w:rsidP="0058053B">
      <w:r w:rsidRPr="002F2687">
        <w:t xml:space="preserve">California </w:t>
      </w:r>
      <w:r w:rsidRPr="002F2687">
        <w:rPr>
          <w:i/>
        </w:rPr>
        <w:t>EC</w:t>
      </w:r>
      <w:r w:rsidR="001A6340" w:rsidRPr="002F2687">
        <w:t xml:space="preserve"> </w:t>
      </w:r>
      <w:r w:rsidRPr="002F2687">
        <w:t>Section 76004 authorizes</w:t>
      </w:r>
      <w:r w:rsidR="003C4454" w:rsidRPr="003C4454">
        <w:t xml:space="preserve"> a governing board of a community college district to enter into a College and Career Access Pathways (CCAP) partnership with the governing board of a school district for the purpose of offering or expanding dual</w:t>
      </w:r>
      <w:r w:rsidR="00101F07">
        <w:t>-</w:t>
      </w:r>
      <w:r w:rsidR="003C4454" w:rsidRPr="003C4454">
        <w:t xml:space="preserve">enrollment opportunities for </w:t>
      </w:r>
      <w:r w:rsidR="003C4454">
        <w:t>student</w:t>
      </w:r>
      <w:r w:rsidR="003C4454" w:rsidRPr="003C4454">
        <w:t xml:space="preserve">s who may not already be college bound or who are </w:t>
      </w:r>
      <w:r w:rsidR="00101F07">
        <w:t xml:space="preserve">from groups </w:t>
      </w:r>
      <w:r w:rsidR="003C4454" w:rsidRPr="003C4454">
        <w:t xml:space="preserve">underrepresented in higher education. The local governing boards must have the goal of developing seamless pathways from high school to community college for CTE, preparation for transfer, improving high school graduation rates, or helping high school </w:t>
      </w:r>
      <w:r w:rsidR="003C4454">
        <w:t>student</w:t>
      </w:r>
      <w:r w:rsidR="003C4454" w:rsidRPr="003C4454">
        <w:t>s achieve college and career readiness. This law</w:t>
      </w:r>
      <w:r w:rsidRPr="002F2687">
        <w:t xml:space="preserve"> </w:t>
      </w:r>
      <w:r w:rsidRPr="003C4454">
        <w:t>requires</w:t>
      </w:r>
      <w:r w:rsidRPr="002F2687">
        <w:t xml:space="preserve"> the partnership agreement to outline the terms of the partnership, as specified, and to establish protocols for information sharing, joint facilities use, and parental consent for high school </w:t>
      </w:r>
      <w:r w:rsidR="003C4454">
        <w:t>student</w:t>
      </w:r>
      <w:r w:rsidRPr="002F2687">
        <w:t>s to enroll in community college courses.</w:t>
      </w:r>
    </w:p>
    <w:p w14:paraId="0158D5AD" w14:textId="13107523" w:rsidR="00C33240" w:rsidRPr="002F2687" w:rsidRDefault="00C33240" w:rsidP="0058053B">
      <w:r w:rsidRPr="002F2687">
        <w:lastRenderedPageBreak/>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00A92EDA">
        <w:t>,</w:t>
      </w:r>
      <w:r w:rsidRPr="002F2687">
        <w:t xml:space="preserve"> including:</w:t>
      </w:r>
    </w:p>
    <w:p w14:paraId="4809FCFA" w14:textId="36DD7891" w:rsidR="00C33240" w:rsidRPr="002F2687" w:rsidRDefault="00C33240" w:rsidP="00042002">
      <w:pPr>
        <w:pStyle w:val="ListParagraph"/>
        <w:ind w:left="1170" w:hanging="450"/>
      </w:pPr>
      <w:r w:rsidRPr="002F2687">
        <w:rPr>
          <w:lang w:val="en"/>
        </w:rPr>
        <w:t xml:space="preserve">The total number of high school </w:t>
      </w:r>
      <w:r w:rsidR="003C4454">
        <w:rPr>
          <w:lang w:val="en"/>
        </w:rPr>
        <w:t>student</w:t>
      </w:r>
      <w:r w:rsidRPr="002F2687">
        <w:rPr>
          <w:lang w:val="en"/>
        </w:rPr>
        <w:t>s</w:t>
      </w:r>
      <w:r w:rsidR="00101F07">
        <w:rPr>
          <w:lang w:val="en"/>
        </w:rPr>
        <w:t>,</w:t>
      </w:r>
      <w:r w:rsidRPr="002F2687">
        <w:rPr>
          <w:lang w:val="en"/>
        </w:rPr>
        <w:t xml:space="preserve"> by </w:t>
      </w:r>
      <w:r w:rsidR="00972356" w:rsidRPr="002F2687">
        <w:rPr>
          <w:lang w:val="en"/>
        </w:rPr>
        <w:t>school site</w:t>
      </w:r>
      <w:r w:rsidR="00101F07">
        <w:rPr>
          <w:lang w:val="en"/>
        </w:rPr>
        <w:t>,</w:t>
      </w:r>
      <w:r w:rsidRPr="002F2687">
        <w:rPr>
          <w:lang w:val="en"/>
        </w:rPr>
        <w:t xml:space="preserve"> enrolled in each CCAP </w:t>
      </w:r>
      <w:r w:rsidRPr="002F2687">
        <w:t xml:space="preserve">partnership, aggregated by gender and ethnicity, and reported in compliance with all applicable </w:t>
      </w:r>
      <w:r w:rsidR="00D857D4">
        <w:t>S</w:t>
      </w:r>
      <w:r w:rsidRPr="002F2687">
        <w:t>tate and federal privacy laws</w:t>
      </w:r>
      <w:r w:rsidR="00101F07">
        <w:t>;</w:t>
      </w:r>
    </w:p>
    <w:p w14:paraId="423AE654" w14:textId="69671775" w:rsidR="00C33240" w:rsidRPr="002F2687" w:rsidRDefault="00C33240" w:rsidP="00042002">
      <w:pPr>
        <w:pStyle w:val="ListParagraph"/>
        <w:ind w:left="1170" w:hanging="450"/>
      </w:pPr>
      <w:r w:rsidRPr="002F2687">
        <w:t>The total number of community college courses</w:t>
      </w:r>
      <w:r w:rsidR="00101F07">
        <w:t>,</w:t>
      </w:r>
      <w:r w:rsidRPr="002F2687">
        <w:t xml:space="preserve"> by course category and type and by </w:t>
      </w:r>
      <w:r w:rsidR="00972356" w:rsidRPr="002F2687">
        <w:t>school site</w:t>
      </w:r>
      <w:r w:rsidR="00101F07">
        <w:t>,</w:t>
      </w:r>
      <w:r w:rsidRPr="002F2687">
        <w:t xml:space="preserve"> enrolled in by CCAP partnership participants</w:t>
      </w:r>
      <w:r w:rsidR="00101F07">
        <w:t>;</w:t>
      </w:r>
    </w:p>
    <w:p w14:paraId="68A2EBD8" w14:textId="02E5B93E" w:rsidR="00C33240" w:rsidRPr="002F2687" w:rsidRDefault="00C33240" w:rsidP="00042002">
      <w:pPr>
        <w:pStyle w:val="ListParagraph"/>
        <w:ind w:left="1170" w:hanging="450"/>
      </w:pPr>
      <w:r w:rsidRPr="002F2687">
        <w:t xml:space="preserve">The total number and percentage of successful course completions, by course category and type and by </w:t>
      </w:r>
      <w:r w:rsidR="00972356" w:rsidRPr="002F2687">
        <w:t>school site</w:t>
      </w:r>
      <w:r w:rsidRPr="002F2687">
        <w:t>, of CCAP partnership participants</w:t>
      </w:r>
      <w:r w:rsidR="00101F07">
        <w:t>; and</w:t>
      </w:r>
    </w:p>
    <w:p w14:paraId="4D3EBAAC" w14:textId="42003133" w:rsidR="00C33240" w:rsidRPr="002F2687" w:rsidRDefault="00C33240" w:rsidP="00042002">
      <w:pPr>
        <w:pStyle w:val="ListParagraph"/>
        <w:ind w:left="1170" w:hanging="450"/>
        <w:rPr>
          <w:lang w:val="en"/>
        </w:rPr>
      </w:pPr>
      <w:r w:rsidRPr="002F2687">
        <w:t>The total number of full-time equivalent students generated by CCAP partnership community</w:t>
      </w:r>
      <w:r w:rsidRPr="002F2687">
        <w:rPr>
          <w:lang w:val="en"/>
        </w:rPr>
        <w:t xml:space="preserve"> college district participants</w:t>
      </w:r>
      <w:r w:rsidR="00101F07">
        <w:rPr>
          <w:lang w:val="en"/>
        </w:rPr>
        <w:t>.</w:t>
      </w:r>
    </w:p>
    <w:p w14:paraId="7A8C4653" w14:textId="3D1B75B7" w:rsidR="00046A0D" w:rsidRDefault="00046A0D" w:rsidP="0058053B">
      <w:r>
        <w:t>This statute was recently amended by Senate Bill 586</w:t>
      </w:r>
      <w:r w:rsidR="003C4454">
        <w:t xml:space="preserve">, which </w:t>
      </w:r>
      <w:r>
        <w:t>require</w:t>
      </w:r>
      <w:r w:rsidR="003C4454">
        <w:t>s</w:t>
      </w:r>
      <w:r>
        <w:t xml:space="preserve"> the LEA and community college district boards</w:t>
      </w:r>
      <w:r w:rsidR="00101F07">
        <w:t>,</w:t>
      </w:r>
      <w:r>
        <w:t xml:space="preserve"> as a condition of adopting a CCAP partnership agreement</w:t>
      </w:r>
      <w:r w:rsidR="00101F07">
        <w:t>,</w:t>
      </w:r>
      <w:r>
        <w:t xml:space="preserve"> to consult with, and consider the input of, a local workforce investment board</w:t>
      </w:r>
      <w:r w:rsidR="00101F07">
        <w:t>,</w:t>
      </w:r>
      <w:r>
        <w:t xml:space="preserve"> to determine the extent to which the pathways are aligned to regional and statewide employment needs</w:t>
      </w:r>
      <w:r w:rsidR="00CD0ABC">
        <w:t>. T</w:t>
      </w:r>
      <w:r>
        <w:t xml:space="preserve">his bill </w:t>
      </w:r>
      <w:r w:rsidR="00915BB1">
        <w:t>became effective</w:t>
      </w:r>
      <w:r>
        <w:t xml:space="preserve"> on January 1, 2020.</w:t>
      </w:r>
    </w:p>
    <w:p w14:paraId="7272E94B" w14:textId="0214E77D"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w:t>
      </w:r>
      <w:r w:rsidR="003C4454">
        <w:t>student</w:t>
      </w:r>
      <w:r w:rsidRPr="002F2687">
        <w:t>s. The educational enrichment opportunity will typically result in a request for concurrent enrollment in courses not currently offered by the approving school.</w:t>
      </w:r>
    </w:p>
    <w:p w14:paraId="6CF58C44" w14:textId="658615FF" w:rsidR="001735FE" w:rsidRDefault="00C33240" w:rsidP="0058053B">
      <w:r w:rsidRPr="002F2687">
        <w:t>Students enrolled in</w:t>
      </w:r>
      <w:r w:rsidR="001549DA">
        <w:t xml:space="preserve"> </w:t>
      </w:r>
      <w:r w:rsidRPr="002F2687">
        <w:t>ECHS</w:t>
      </w:r>
      <w:r w:rsidR="003C4454">
        <w:t>s</w:t>
      </w:r>
      <w:r w:rsidRPr="002F2687">
        <w:t xml:space="preserve"> and </w:t>
      </w:r>
      <w:r w:rsidR="00E07158">
        <w:t>m</w:t>
      </w:r>
      <w:r w:rsidRPr="002F2687">
        <w:t xml:space="preserve">iddle </w:t>
      </w:r>
      <w:r w:rsidR="00E07158">
        <w:t>c</w:t>
      </w:r>
      <w:r w:rsidRPr="002F2687">
        <w:t xml:space="preserve">ollege </w:t>
      </w:r>
      <w:r w:rsidR="00E07158">
        <w:t>h</w:t>
      </w:r>
      <w:r w:rsidRPr="002F2687">
        <w:t xml:space="preserve">igh </w:t>
      </w:r>
      <w:r w:rsidR="00E07158">
        <w:t>s</w:t>
      </w:r>
      <w:r w:rsidRPr="002F2687">
        <w:t>chools (MCHS</w:t>
      </w:r>
      <w:r w:rsidR="003C4454">
        <w:t>s</w:t>
      </w:r>
      <w:r w:rsidRPr="002F2687">
        <w:t>) can earn college credit through dual</w:t>
      </w:r>
      <w:r w:rsidR="001735FE">
        <w:t>-</w:t>
      </w:r>
      <w:r w:rsidRPr="002F2687">
        <w:t>enrollment and concurrent</w:t>
      </w:r>
      <w:r w:rsidR="001735FE">
        <w:t>-</w:t>
      </w:r>
      <w:r w:rsidRPr="002F2687">
        <w:t>enrollment strategies. ECHS</w:t>
      </w:r>
      <w:r w:rsidR="003C4454">
        <w:t>s</w:t>
      </w:r>
      <w:r w:rsidRPr="002F2687">
        <w:t xml:space="preserve"> are </w:t>
      </w:r>
      <w:r w:rsidRPr="002F2687">
        <w:lastRenderedPageBreak/>
        <w:t>innovative partnerships between public or charter secondary schools and local community colleges</w:t>
      </w:r>
      <w:r w:rsidR="001735FE">
        <w:t>,</w:t>
      </w:r>
      <w:r w:rsidRPr="002F2687">
        <w:t xml:space="preserve"> </w:t>
      </w:r>
      <w:r w:rsidR="001735FE">
        <w:t>which</w:t>
      </w:r>
      <w:r w:rsidR="001735FE" w:rsidRPr="002F2687">
        <w:t xml:space="preserve"> </w:t>
      </w:r>
      <w:r w:rsidRPr="002F2687">
        <w:t xml:space="preserve">allow high school students to earn both their high school diploma and </w:t>
      </w:r>
      <w:r w:rsidR="00B86166">
        <w:t xml:space="preserve">an </w:t>
      </w:r>
      <w:r w:rsidR="001735FE">
        <w:t>a</w:t>
      </w:r>
      <w:r w:rsidRPr="002F2687">
        <w:t>ssociate</w:t>
      </w:r>
      <w:r w:rsidR="008049F6" w:rsidRPr="002F2687">
        <w:t>’s</w:t>
      </w:r>
      <w:r w:rsidRPr="002F2687">
        <w:t xml:space="preserve"> </w:t>
      </w:r>
      <w:r w:rsidR="001735FE">
        <w:t>d</w:t>
      </w:r>
      <w:r w:rsidRPr="002F2687">
        <w:t>egree</w:t>
      </w:r>
      <w:r w:rsidR="001735FE">
        <w:t>,</w:t>
      </w:r>
      <w:r w:rsidRPr="002F2687">
        <w:t xml:space="preserve"> with typically </w:t>
      </w:r>
      <w:r w:rsidR="00271D77" w:rsidRPr="002F2687">
        <w:t>low</w:t>
      </w:r>
      <w:r w:rsidRPr="002F2687">
        <w:t xml:space="preserve"> cost to the student. MCHS are secondary schools located on a college campus</w:t>
      </w:r>
      <w:r w:rsidR="001735FE">
        <w:t>,</w:t>
      </w:r>
      <w:r w:rsidRPr="002F2687">
        <w:t xml:space="preserve"> offering challenging academic programs</w:t>
      </w:r>
      <w:r w:rsidR="001735FE">
        <w:t>,</w:t>
      </w:r>
      <w:r w:rsidRPr="002F2687">
        <w:t xml:space="preserve"> and designed to serve high-potential, high-risk students. MCHS</w:t>
      </w:r>
      <w:r w:rsidR="003C4454">
        <w:t>s</w:t>
      </w:r>
      <w:r w:rsidRPr="002F2687">
        <w:t xml:space="preserve"> offer effective support services, small class sizes</w:t>
      </w:r>
      <w:r w:rsidR="00271D77" w:rsidRPr="002F2687">
        <w:t>,</w:t>
      </w:r>
      <w:r w:rsidRPr="002F2687">
        <w:t xml:space="preserve"> and the opportunity for </w:t>
      </w:r>
      <w:r w:rsidR="001735FE">
        <w:t xml:space="preserve">secondary school </w:t>
      </w:r>
      <w:r w:rsidRPr="002F2687">
        <w:t xml:space="preserve">students to concurrently take some college classes. All of these </w:t>
      </w:r>
      <w:r w:rsidR="00D857D4">
        <w:t>S</w:t>
      </w:r>
      <w:r w:rsidRPr="002F2687">
        <w:t>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t>
      </w:r>
      <w:r w:rsidR="001735FE">
        <w:t>and,</w:t>
      </w:r>
      <w:r w:rsidRPr="002F2687">
        <w:t xml:space="preserve"> at the same time, specifically designed to broaden access for disadvantaged students. </w:t>
      </w:r>
    </w:p>
    <w:p w14:paraId="113E954F" w14:textId="6406C75A" w:rsidR="00C33240" w:rsidRPr="002F2687" w:rsidRDefault="00C33240" w:rsidP="0058053B">
      <w:r w:rsidRPr="002F2687">
        <w:t xml:space="preserve">The State recognizes the local and regional differences </w:t>
      </w:r>
      <w:r w:rsidR="001735FE">
        <w:t xml:space="preserve">that </w:t>
      </w:r>
      <w:r w:rsidRPr="002F2687">
        <w:t xml:space="preserve">school districts, community colleges, and </w:t>
      </w:r>
      <w:r w:rsidR="001549DA">
        <w:t>LWDBs</w:t>
      </w:r>
      <w:r w:rsidRPr="002F2687">
        <w:t xml:space="preserve"> face when deve</w:t>
      </w:r>
      <w:r w:rsidR="00046A0D">
        <w:t>loping cross-agency agreements.</w:t>
      </w:r>
      <w:r w:rsidR="001735FE">
        <w:t xml:space="preserve"> </w:t>
      </w:r>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identify courses for articulation and dual enrollment, develop agreements, and build bridges to support students’ transitions</w:t>
      </w:r>
      <w:r w:rsidR="00271D77" w:rsidRPr="002F2687">
        <w:t xml:space="preserve">. Examples of this support include </w:t>
      </w:r>
      <w:r w:rsidRPr="002F2687">
        <w:t>data sharing, counseling, student supports</w:t>
      </w:r>
      <w:r w:rsidR="001735FE">
        <w:t>,</w:t>
      </w:r>
      <w:r w:rsidRPr="002F2687">
        <w:t xml:space="preserve">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731AC13A"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w:t>
      </w:r>
      <w:r w:rsidR="005C3CBF">
        <w:t>–</w:t>
      </w:r>
      <w:r w:rsidR="006816A1" w:rsidRPr="002F2687">
        <w:t>G</w:t>
      </w:r>
      <w:r w:rsidRPr="002F2687">
        <w:t>” approved CTE courses.</w:t>
      </w:r>
    </w:p>
    <w:p w14:paraId="13828AA8" w14:textId="66EBD0EA" w:rsidR="00EA1FDC" w:rsidRPr="002F2687" w:rsidRDefault="00EA1FDC" w:rsidP="00EA1FDC">
      <w:r w:rsidRPr="002F2687">
        <w:t>Stakeholders noted that</w:t>
      </w:r>
      <w:r w:rsidR="001735FE">
        <w:t>,</w:t>
      </w:r>
      <w:r w:rsidRPr="002F2687">
        <w:t xml:space="preserve"> with new dual</w:t>
      </w:r>
      <w:r w:rsidR="001735FE">
        <w:t>-</w:t>
      </w:r>
      <w:r w:rsidRPr="002F2687">
        <w:t xml:space="preserve">enrollment definitions and requirements in California </w:t>
      </w:r>
      <w:r>
        <w:t>in</w:t>
      </w:r>
      <w:r w:rsidRPr="002F2687">
        <w:t xml:space="preserve"> the past five years, more and clearer guidance from </w:t>
      </w:r>
      <w:r>
        <w:t xml:space="preserve">the </w:t>
      </w:r>
      <w:r w:rsidRPr="002F2687">
        <w:t xml:space="preserve">State around these requirements and </w:t>
      </w:r>
      <w:r w:rsidR="001735FE">
        <w:t xml:space="preserve">around </w:t>
      </w:r>
      <w:r w:rsidRPr="002F2687">
        <w:t xml:space="preserve">funding would be helpful in enabling greater coordination and </w:t>
      </w:r>
      <w:r w:rsidRPr="002F2687">
        <w:lastRenderedPageBreak/>
        <w:t xml:space="preserve">alignment between K–12 and the </w:t>
      </w:r>
      <w:r>
        <w:t>CCC</w:t>
      </w:r>
      <w:r w:rsidRPr="002F2687">
        <w:t xml:space="preserve"> system. Additional clarity, consistency, and further consideration were also requested </w:t>
      </w:r>
      <w:r w:rsidR="001735FE">
        <w:t xml:space="preserve">in </w:t>
      </w:r>
      <w:r w:rsidRPr="002F2687">
        <w:t>relat</w:t>
      </w:r>
      <w:r w:rsidR="001735FE">
        <w:t>ion</w:t>
      </w:r>
      <w:r w:rsidRPr="002F2687">
        <w:t xml:space="preserve"> to credentialing for CTE instructors, data systems, and the potential conflict between dual enrollment and articulation. As with all other initiatives, great care must also be taken to ensure that creating opportunities </w:t>
      </w:r>
      <w:r w:rsidR="001735FE">
        <w:t>such as</w:t>
      </w:r>
      <w:r w:rsidRPr="002F2687">
        <w:t xml:space="preserve"> those provided for dual enrollment does not </w:t>
      </w:r>
      <w:r w:rsidR="00915BB1">
        <w:t>inadvertently</w:t>
      </w:r>
      <w:r w:rsidR="00915BB1" w:rsidRPr="002F2687">
        <w:t xml:space="preserve"> </w:t>
      </w:r>
      <w:r w:rsidRPr="002F2687">
        <w:t>create further issues of access and</w:t>
      </w:r>
      <w:r w:rsidR="001735FE">
        <w:t>,</w:t>
      </w:r>
      <w:r w:rsidRPr="002F2687">
        <w:t xml:space="preserve"> thus, inequity.</w:t>
      </w:r>
    </w:p>
    <w:p w14:paraId="01C001F6" w14:textId="0AC3777B"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w:t>
      </w:r>
      <w:r w:rsidR="001735FE">
        <w:t>to</w:t>
      </w:r>
      <w:r w:rsidR="00C33240" w:rsidRPr="002F2687">
        <w:t xml:space="preserve"> develop opportunities for secondary school students to participate in dual or concurrent enrollment programs, </w:t>
      </w:r>
      <w:r w:rsidR="00382B90" w:rsidRPr="002F2687">
        <w:t>ECHS</w:t>
      </w:r>
      <w:r w:rsidR="00E07158">
        <w:t>s</w:t>
      </w:r>
      <w:r w:rsidR="001735FE">
        <w:t>,</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37D85FF6" w14:textId="07D38020" w:rsidR="00C33240" w:rsidRPr="002F2687" w:rsidRDefault="00686711" w:rsidP="00C74AB8">
      <w:pPr>
        <w:pStyle w:val="Heading5"/>
      </w:pPr>
      <w:r w:rsidRPr="002F2687">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p>
    <w:p w14:paraId="02E638B6" w14:textId="77777777" w:rsidR="00C33240" w:rsidRPr="00625A89" w:rsidRDefault="00C33240" w:rsidP="00625A89">
      <w:pPr>
        <w:rPr>
          <w:b/>
        </w:rPr>
      </w:pPr>
      <w:r w:rsidRPr="00625A89">
        <w:rPr>
          <w:b/>
        </w:rPr>
        <w:t xml:space="preserve">Response: </w:t>
      </w:r>
    </w:p>
    <w:p w14:paraId="3A310B86" w14:textId="425FA834" w:rsidR="00F6581A" w:rsidRDefault="00F6581A" w:rsidP="0058053B">
      <w:r>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w:t>
      </w:r>
      <w:r w:rsidR="000905DA">
        <w:t>,</w:t>
      </w:r>
      <w:r>
        <w:t xml:space="preserve"> in a variety of ways</w:t>
      </w:r>
      <w:r w:rsidR="000905DA">
        <w:t>,</w:t>
      </w:r>
      <w:r>
        <w:t xml:space="preserve">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t>Members</w:t>
      </w:r>
      <w:r w:rsidR="000905DA">
        <w:t xml:space="preserve"> of</w:t>
      </w:r>
      <w:r>
        <w:t xml:space="preserve"> and participa</w:t>
      </w:r>
      <w:r w:rsidR="000905DA">
        <w:t>nts</w:t>
      </w:r>
      <w:r>
        <w:t xml:space="preserve"> in the SSAC </w:t>
      </w:r>
      <w:r w:rsidR="006E3FE9">
        <w:t>were</w:t>
      </w:r>
      <w:r>
        <w:t xml:space="preserve"> selected from these different groups.</w:t>
      </w:r>
      <w:r w:rsidR="006F5399">
        <w:t xml:space="preserve"> </w:t>
      </w:r>
      <w:r w:rsidR="00E07158">
        <w:t>For more information about the SSAC, s</w:t>
      </w:r>
      <w:r>
        <w:t xml:space="preserve">ee </w:t>
      </w:r>
      <w:r w:rsidR="0046062E">
        <w:t xml:space="preserve">the response to prompt </w:t>
      </w:r>
      <w:r>
        <w:t>A(1).</w:t>
      </w:r>
    </w:p>
    <w:p w14:paraId="6718E76E" w14:textId="3B7D9950" w:rsidR="00196E41" w:rsidRDefault="00196E41" w:rsidP="0058053B">
      <w:r>
        <w:lastRenderedPageBreak/>
        <w:t xml:space="preserve">The </w:t>
      </w:r>
      <w:r w:rsidR="0046062E">
        <w:t xml:space="preserve">responses to the </w:t>
      </w:r>
      <w:r>
        <w:t xml:space="preserve">various prompts </w:t>
      </w:r>
      <w:r w:rsidR="0046062E">
        <w:t xml:space="preserve">in </w:t>
      </w:r>
      <w:r w:rsidR="0011427A">
        <w:t xml:space="preserve">Section </w:t>
      </w:r>
      <w:r>
        <w:t>B(</w:t>
      </w:r>
      <w:r w:rsidR="0011427A">
        <w:t>2</w:t>
      </w:r>
      <w:r>
        <w:t xml:space="preserve">) describe the different ways </w:t>
      </w:r>
      <w:r w:rsidR="00C34EB6">
        <w:t xml:space="preserve">in which </w:t>
      </w:r>
      <w:r>
        <w:t>stakeholders have been involved in the planning, development, and implementation of CTE programs.</w:t>
      </w:r>
      <w:r w:rsidR="006F5399">
        <w:t xml:space="preserve"> </w:t>
      </w:r>
      <w:r>
        <w:t xml:space="preserve">The evaluation of CTE programs </w:t>
      </w:r>
      <w:r w:rsidR="00C34EB6">
        <w:t>is</w:t>
      </w:r>
      <w:r>
        <w:t xml:space="preserve"> discussed in </w:t>
      </w:r>
      <w:r w:rsidR="002221DC">
        <w:t xml:space="preserve">the responses to the prompts in </w:t>
      </w:r>
      <w:r>
        <w:t xml:space="preserve">Section D: Accountability for Results. </w:t>
      </w:r>
    </w:p>
    <w:p w14:paraId="18828AD3" w14:textId="3B1DBC7C" w:rsidR="00196E41" w:rsidRDefault="00196E41" w:rsidP="0058053B">
      <w:r>
        <w:t xml:space="preserve">The typical way </w:t>
      </w:r>
      <w:r w:rsidR="00C34EB6">
        <w:t xml:space="preserve">in which </w:t>
      </w:r>
      <w:r>
        <w:t>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BB7731">
        <w:t xml:space="preserve"> system</w:t>
      </w:r>
      <w:r w:rsidR="00C34EB6">
        <w:t>s</w:t>
      </w:r>
      <w:r w:rsidR="00671334" w:rsidRPr="00671334">
        <w:t>, industry advisory committees help ensure that curricula address workplace demands. Educators then use the input to update curricula with the skills required for the workplace</w:t>
      </w:r>
      <w:r w:rsidR="00C34EB6">
        <w:t>,</w:t>
      </w:r>
      <w:r w:rsidR="00671334" w:rsidRPr="00671334">
        <w:t xml:space="preserve"> and align educational processes as appropriate to respond to industry needs. Individual educators’ abilit</w:t>
      </w:r>
      <w:r w:rsidR="00C34EB6">
        <w:t>ies</w:t>
      </w:r>
      <w:r w:rsidR="00671334" w:rsidRPr="00671334">
        <w:t xml:space="preserve"> to do this var</w:t>
      </w:r>
      <w:r w:rsidR="00C34EB6">
        <w:t>y</w:t>
      </w:r>
      <w:r w:rsidR="00671334" w:rsidRPr="00671334">
        <w:t xml:space="preserve"> widely, depending on the level</w:t>
      </w:r>
      <w:r w:rsidR="00C34EB6">
        <w:t>s</w:t>
      </w:r>
      <w:r w:rsidR="00671334" w:rsidRPr="00671334">
        <w:t xml:space="preserve"> of change and innovation allowed and encouraged on their campuses.</w:t>
      </w:r>
    </w:p>
    <w:p w14:paraId="62E14AE1" w14:textId="2BD245D4"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xml:space="preserve"> must maintain a CTE advisory committee to develop recommendations for the program and provide a liaison between the district and potential employers</w:t>
      </w:r>
      <w:r w:rsidR="00D661BB">
        <w:t xml:space="preserve">. This section also identifies the </w:t>
      </w:r>
      <w:r w:rsidRPr="002F2687">
        <w:t>required composition of the committee.</w:t>
      </w:r>
      <w:r w:rsidR="005A782D">
        <w:t xml:space="preserve"> </w:t>
      </w:r>
      <w:r w:rsidR="00046A0D">
        <w:t xml:space="preserve">As </w:t>
      </w:r>
      <w:r w:rsidR="00F3591A">
        <w:t xml:space="preserve">previously </w:t>
      </w:r>
      <w:r w:rsidR="00046A0D">
        <w:t>discussed,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MCS</w:t>
      </w:r>
      <w:r w:rsidR="00F3591A">
        <w:t>,</w:t>
      </w:r>
      <w:r w:rsidR="00382B90" w:rsidRPr="002F2687">
        <w:t xml:space="preserve"> </w:t>
      </w:r>
      <w:r w:rsidR="00F3591A">
        <w:t>which</w:t>
      </w:r>
      <w:r w:rsidR="00F3591A" w:rsidRPr="002F2687">
        <w:t xml:space="preserve"> </w:t>
      </w:r>
      <w:r w:rsidR="00C33240" w:rsidRPr="002F2687">
        <w:t xml:space="preserve">identify 15 </w:t>
      </w:r>
      <w:r w:rsidR="00107195">
        <w:t>I</w:t>
      </w:r>
      <w:r w:rsidR="00C33240" w:rsidRPr="002F2687">
        <w:t xml:space="preserve">ndustry </w:t>
      </w:r>
      <w:r w:rsidR="00107195">
        <w:t>S</w:t>
      </w:r>
      <w:r w:rsidR="00C33240" w:rsidRPr="002F2687">
        <w:t>ectors around which to organize CTE instruction</w:t>
      </w:r>
      <w:r w:rsidR="00F3591A">
        <w:t>;</w:t>
      </w:r>
      <w:r w:rsidR="00C33240" w:rsidRPr="002F2687">
        <w:t xml:space="preserve"> strategies for creating industry linkages</w:t>
      </w:r>
      <w:r w:rsidR="00F3591A">
        <w:t>,</w:t>
      </w:r>
      <w:r w:rsidR="00C33240" w:rsidRPr="002F2687">
        <w:t xml:space="preserve"> including advisory committees</w:t>
      </w:r>
      <w:r w:rsidR="00F3591A">
        <w:t>,</w:t>
      </w:r>
      <w:r w:rsidR="00C33240" w:rsidRPr="002F2687">
        <w:t xml:space="preserve"> for input on curriculum</w:t>
      </w:r>
      <w:r w:rsidR="00F3591A">
        <w:t>;</w:t>
      </w:r>
      <w:r w:rsidR="00C33240" w:rsidRPr="002F2687">
        <w:t xml:space="preserve"> and a recommended mechanism for the development of pathways aligned with postsecondary education and local labor market demands.</w:t>
      </w:r>
    </w:p>
    <w:p w14:paraId="283E4C99" w14:textId="798E7BD4" w:rsidR="007907C8" w:rsidRDefault="00F6581A" w:rsidP="005A782D">
      <w:r>
        <w:t xml:space="preserve">At the community college level, stakeholder participation is usually </w:t>
      </w:r>
      <w:r w:rsidR="00B86166">
        <w:t xml:space="preserve">provided </w:t>
      </w:r>
      <w:r>
        <w:t>at a regional level</w:t>
      </w:r>
      <w:r w:rsidR="00514472">
        <w:t>,</w:t>
      </w:r>
      <w:r>
        <w:t xml:space="preserve"> through </w:t>
      </w:r>
      <w:r w:rsidR="00833332">
        <w:t>the Economic and Workforce Development Advisory Committees</w:t>
      </w:r>
      <w:r>
        <w:t xml:space="preserve"> (</w:t>
      </w:r>
      <w:r w:rsidR="00833332">
        <w:t>EWDAC</w:t>
      </w:r>
      <w:r w:rsidR="00D661BB">
        <w:t>s</w:t>
      </w:r>
      <w:r>
        <w:t>)</w:t>
      </w:r>
      <w:r w:rsidR="003E6A20">
        <w:t>.</w:t>
      </w:r>
      <w:r w:rsidR="006F5399">
        <w:t xml:space="preserve"> </w:t>
      </w:r>
      <w:r w:rsidR="003E6A20">
        <w:t xml:space="preserve">California has seven </w:t>
      </w:r>
      <w:r w:rsidR="007134A7">
        <w:t>EWDACs</w:t>
      </w:r>
      <w:r w:rsidR="003E6A20">
        <w:t xml:space="preserve">: Sacramento and Far North; Bay Area; Central Valley/Mother Lode; South Central; San Diego and Imperial Counties; Inland Empire/Desert; and Los Angeles and Orange County. </w:t>
      </w:r>
    </w:p>
    <w:p w14:paraId="62EFE208" w14:textId="0EC3CE86" w:rsidR="007907C8" w:rsidRDefault="003E6A20" w:rsidP="005A782D">
      <w:r>
        <w:t xml:space="preserve">Made up of different stakeholders, including community college faculty and administrators, each </w:t>
      </w:r>
      <w:r w:rsidR="007907C8" w:rsidRPr="007907C8">
        <w:t xml:space="preserve">regional </w:t>
      </w:r>
      <w:r w:rsidR="00833332">
        <w:t>EWDAC</w:t>
      </w:r>
      <w:r w:rsidR="00D661BB">
        <w:t>s</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w:t>
      </w:r>
      <w:r w:rsidR="007907C8" w:rsidRPr="007907C8">
        <w:lastRenderedPageBreak/>
        <w:t xml:space="preserve">highly skilled workforce, the </w:t>
      </w:r>
      <w:r w:rsidR="00833332">
        <w:t>EWDAC</w:t>
      </w:r>
      <w:r w:rsidR="00D661BB">
        <w:t>s</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D661BB">
        <w:t>s</w:t>
      </w:r>
      <w:r w:rsidR="007907C8" w:rsidRPr="007907C8">
        <w:t xml:space="preserve"> faci</w:t>
      </w:r>
      <w:r w:rsidR="003C4454">
        <w:t>litate discussions and provide</w:t>
      </w:r>
      <w:r w:rsidR="007907C8" w:rsidRPr="007907C8">
        <w:t xml:space="preserve"> leadership for the priority </w:t>
      </w:r>
      <w:r w:rsidR="00107195">
        <w:t>I</w:t>
      </w:r>
      <w:r w:rsidR="007907C8" w:rsidRPr="007907C8">
        <w:t xml:space="preserve">ndustry </w:t>
      </w:r>
      <w:r w:rsidR="00107195">
        <w:t>S</w:t>
      </w:r>
      <w:r w:rsidR="007907C8" w:rsidRPr="007907C8">
        <w:t>ectors.</w:t>
      </w:r>
      <w:r w:rsidR="006F5399">
        <w:t xml:space="preserve"> </w:t>
      </w:r>
      <w:r w:rsidR="007907C8" w:rsidRPr="007907C8">
        <w:t xml:space="preserve">In other words, through public/private partnerships, </w:t>
      </w:r>
      <w:r w:rsidR="00833332">
        <w:t>EWDAC</w:t>
      </w:r>
      <w:r w:rsidR="00D661BB">
        <w:t>s</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w:t>
      </w:r>
      <w:r w:rsidR="003F34CA">
        <w:t>-</w:t>
      </w:r>
      <w:r w:rsidR="007907C8" w:rsidRPr="007907C8">
        <w:t>growth sectors.</w:t>
      </w:r>
    </w:p>
    <w:p w14:paraId="12EC000C" w14:textId="3989706C"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 xml:space="preserve">formed in conjunction with the development of the </w:t>
      </w:r>
      <w:r w:rsidR="001801A4">
        <w:t xml:space="preserve">Federal </w:t>
      </w:r>
      <w:r>
        <w:t>Perkins V State Plan.</w:t>
      </w:r>
      <w:r w:rsidR="006F5399">
        <w:t xml:space="preserve"> </w:t>
      </w:r>
      <w:r w:rsidR="00671334">
        <w:t>Th</w:t>
      </w:r>
      <w:r w:rsidR="00D661BB">
        <w:t>e</w:t>
      </w:r>
      <w:r w:rsidR="00671334">
        <w:t>s</w:t>
      </w:r>
      <w:r w:rsidR="00D661BB">
        <w:t>e</w:t>
      </w:r>
      <w:r w:rsidR="00671334">
        <w:t xml:space="preserve"> local stakeholder group</w:t>
      </w:r>
      <w:r w:rsidR="00D661BB">
        <w:t>s</w:t>
      </w:r>
      <w:r w:rsidR="00671334">
        <w:t xml:space="preserve"> will advise on the planning, development, implementation, and evaluation of CTE programs</w:t>
      </w:r>
      <w:r w:rsidR="00457379">
        <w:t>. In addition, the local stakeholder group</w:t>
      </w:r>
      <w:r w:rsidR="00FF3630">
        <w:t xml:space="preserve"> </w:t>
      </w:r>
      <w:r w:rsidR="00671334">
        <w:t xml:space="preserve">will </w:t>
      </w:r>
      <w:r w:rsidR="00FF3630">
        <w:t xml:space="preserve">be </w:t>
      </w:r>
      <w:r w:rsidR="00671334">
        <w:t xml:space="preserve">responsible for validating the CLNA, and </w:t>
      </w:r>
      <w:r w:rsidR="006D66ED">
        <w:t xml:space="preserve">will </w:t>
      </w:r>
      <w:r w:rsidR="00671334">
        <w:t>provide guidance with regar</w:t>
      </w:r>
      <w:r w:rsidR="00FF3630">
        <w:t>d to the local application plan.</w:t>
      </w:r>
      <w:r w:rsidR="006F5399">
        <w:t xml:space="preserve"> </w:t>
      </w:r>
      <w:r w:rsidR="00FF3630">
        <w:t xml:space="preserve">It should be noted that Perkins V requires the local application </w:t>
      </w:r>
      <w:r w:rsidR="006D66ED">
        <w:t xml:space="preserve">to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w:t>
      </w:r>
      <w:r w:rsidR="00457379">
        <w:t>,</w:t>
      </w:r>
      <w:r w:rsidR="00FF3630">
        <w:t xml:space="preserve"> </w:t>
      </w:r>
      <w:r w:rsidR="00457379">
        <w:t xml:space="preserve">which </w:t>
      </w:r>
      <w:r w:rsidR="00FF3630">
        <w:t>require input from stakeholders</w:t>
      </w:r>
      <w:r w:rsidR="006D66ED">
        <w:t xml:space="preserve"> —</w:t>
      </w:r>
      <w:r w:rsidR="00FF3630">
        <w:t xml:space="preserve"> mainly parents, teachers, students</w:t>
      </w:r>
      <w:r w:rsidR="00B86166">
        <w:t>, and community groups</w:t>
      </w:r>
      <w:r w:rsidR="006D66ED">
        <w:t xml:space="preserve"> —</w:t>
      </w:r>
      <w:r w:rsidR="00457379">
        <w:t xml:space="preserve"> as well as soliciting input from parents through school</w:t>
      </w:r>
      <w:r w:rsidR="006D66ED">
        <w:t>-</w:t>
      </w:r>
      <w:r w:rsidR="00457379">
        <w:t xml:space="preserve">site counselors and parents of English </w:t>
      </w:r>
      <w:r w:rsidR="00F845F1">
        <w:t xml:space="preserve">language </w:t>
      </w:r>
      <w:r w:rsidR="00457379">
        <w:t xml:space="preserve">learners at both the school and district levels, as required by </w:t>
      </w:r>
      <w:r w:rsidR="006D66ED">
        <w:t xml:space="preserve">the </w:t>
      </w:r>
      <w:r w:rsidR="00457379">
        <w:t>ESSA</w:t>
      </w:r>
      <w:r w:rsidR="00FF3630">
        <w:t>.</w:t>
      </w:r>
      <w:r w:rsidR="006F5399">
        <w:t xml:space="preserve"> </w:t>
      </w:r>
      <w:r w:rsidR="00FF3630">
        <w:t xml:space="preserve">Similarly, for community colleges, the </w:t>
      </w:r>
      <w:r w:rsidR="00B546B3">
        <w:t>CLNA/local application nexus</w:t>
      </w:r>
      <w:r w:rsidR="006D66ED">
        <w:t>,</w:t>
      </w:r>
      <w:r w:rsidR="00B546B3">
        <w:t xml:space="preserve"> like the </w:t>
      </w:r>
      <w:r w:rsidR="00FF3630">
        <w:t>program approval process</w:t>
      </w:r>
      <w:r w:rsidR="00B546B3">
        <w:t xml:space="preserve">, </w:t>
      </w:r>
      <w:r w:rsidR="00FF3630">
        <w:t>is driven locally through planning, development, and review stages using a myriad of internal and external stakeholders.</w:t>
      </w:r>
      <w:r w:rsidR="006F5399">
        <w:t xml:space="preserve"> </w:t>
      </w:r>
    </w:p>
    <w:p w14:paraId="3ABB6652" w14:textId="4CFEEF80" w:rsidR="007E2E40" w:rsidRPr="002F2687" w:rsidRDefault="007E2E40" w:rsidP="0058053B">
      <w:r w:rsidRPr="002F2687">
        <w:t>Stakeholders discussed parent engagement in two ways: engaging parents as consumers of CTE and as potential partners. It was asserted that better promotion/marketing is needed to show CTE as a viable path to parents</w:t>
      </w:r>
      <w:r w:rsidR="006D66ED">
        <w:t xml:space="preserve"> and to</w:t>
      </w:r>
      <w:r w:rsidRPr="002F2687">
        <w:t xml:space="preserve"> business and industry</w:t>
      </w:r>
      <w:r w:rsidR="00457379">
        <w:t>,</w:t>
      </w:r>
      <w:r w:rsidRPr="002F2687">
        <w:t xml:space="preserve"> and to clarify certifications and standards for parents and LEAs. 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w:t>
      </w:r>
      <w:r w:rsidR="006D66ED">
        <w:t>,</w:t>
      </w:r>
      <w:r w:rsidRPr="002F2687">
        <w:t xml:space="preserve"> from career exploration to apprenticeships.</w:t>
      </w:r>
    </w:p>
    <w:p w14:paraId="42513C6B" w14:textId="0749EE67" w:rsidR="007E2E40" w:rsidRPr="002F2687" w:rsidRDefault="007E2E40" w:rsidP="0058053B">
      <w:r w:rsidRPr="002F2687">
        <w:lastRenderedPageBreak/>
        <w:t>Stakeholders provided extensive input on industry’s role in supporting CTE and student success. They described both needs and suggestions for improvements. They would like to see active industry participation, building relationships for authentic engagement</w:t>
      </w:r>
      <w:r w:rsidR="00D661BB">
        <w:t>,</w:t>
      </w:r>
      <w:r w:rsidRPr="002F2687">
        <w:t xml:space="preserve"> and stronger connections between industry and schools. Stakeholder</w:t>
      </w:r>
      <w:r w:rsidR="00DD5B79">
        <w:t>s’</w:t>
      </w:r>
      <w:r w:rsidRPr="002F2687">
        <w:t xml:space="preserve"> comments </w:t>
      </w:r>
      <w:r w:rsidR="00686EE3">
        <w:t>recommended</w:t>
      </w:r>
      <w:r w:rsidRPr="002F2687">
        <w:t xml:space="preserve"> </w:t>
      </w:r>
      <w:r w:rsidR="00801E52">
        <w:t xml:space="preserve">when designing new, or improving existing, CTE programs, school </w:t>
      </w:r>
      <w:r w:rsidR="00B1244C">
        <w:t>districts</w:t>
      </w:r>
      <w:r w:rsidR="00801E52">
        <w:t xml:space="preserve"> and community colleges should </w:t>
      </w:r>
      <w:r w:rsidR="00BC30DC">
        <w:t xml:space="preserve">strongly consider </w:t>
      </w:r>
      <w:r w:rsidRPr="002F2687">
        <w:t>being more responsive to industry needs. They would like to see personnel dedicated to building and maintaining these relationships, including dedicated staff at the State level.</w:t>
      </w:r>
    </w:p>
    <w:p w14:paraId="4187AC8A" w14:textId="4281AA27" w:rsidR="007E2E40" w:rsidRPr="002F2687" w:rsidRDefault="007E2E40" w:rsidP="0058053B">
      <w:r w:rsidRPr="002F2687">
        <w:t xml:space="preserve">Stakeholders </w:t>
      </w:r>
      <w:r w:rsidR="00DD5B79">
        <w:t xml:space="preserve">also </w:t>
      </w:r>
      <w:r w:rsidRPr="002F2687">
        <w:t>commented on developing better interact</w:t>
      </w:r>
      <w:r w:rsidR="004A4C39">
        <w:t>ions</w:t>
      </w:r>
      <w:r w:rsidR="00BC30DC">
        <w:t xml:space="preserve"> with business and industry</w:t>
      </w:r>
      <w:r w:rsidR="004A4C39">
        <w:t xml:space="preserve">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 </w:t>
      </w:r>
      <w:r w:rsidR="00D661BB">
        <w:t>industry’s</w:t>
      </w:r>
      <w:r w:rsidRPr="002F2687">
        <w:t xml:space="preserve"> time. They also suggested that CTE programs need support for managing </w:t>
      </w:r>
      <w:r w:rsidR="00D661BB">
        <w:t>a</w:t>
      </w:r>
      <w:r w:rsidRPr="002F2687">
        <w:t xml:space="preserve">dvisory </w:t>
      </w:r>
      <w:r w:rsidR="00D661BB">
        <w:t>b</w:t>
      </w:r>
      <w:r w:rsidRPr="002F2687">
        <w:t xml:space="preserve">oards and keeping </w:t>
      </w:r>
      <w:r w:rsidR="00D661BB">
        <w:t>r</w:t>
      </w:r>
      <w:r w:rsidRPr="002F2687">
        <w:t xml:space="preserve">egional </w:t>
      </w:r>
      <w:r w:rsidR="00D661BB">
        <w:t>a</w:t>
      </w:r>
      <w:r w:rsidRPr="002F2687">
        <w:t xml:space="preserve">dvisory </w:t>
      </w:r>
      <w:r w:rsidR="00D661BB">
        <w:t>b</w:t>
      </w:r>
      <w:r w:rsidRPr="002F2687">
        <w:t xml:space="preserve">oards active. Overall, stakeholders recommended more interaction with advisory boards, asserting that once a year is not enough; they suggested that the State change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Clarif</w:t>
      </w:r>
      <w:r w:rsidR="00321F88">
        <w:t>ication of</w:t>
      </w:r>
      <w:r w:rsidRPr="002F2687">
        <w:t xml:space="preserve">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w:t>
      </w:r>
      <w:r w:rsidR="00321F88">
        <w:t xml:space="preserve">stakeholders </w:t>
      </w:r>
      <w:r w:rsidR="004C14AE">
        <w:t>claimed that</w:t>
      </w:r>
      <w:r w:rsidRPr="002F2687">
        <w:t xml:space="preserve"> the regions are too </w:t>
      </w:r>
      <w:r w:rsidR="00E769D4">
        <w:t>large</w:t>
      </w:r>
      <w:r w:rsidRPr="002F2687">
        <w:t xml:space="preserve"> to </w:t>
      </w:r>
      <w:r w:rsidR="00457379">
        <w:t>cultivate</w:t>
      </w:r>
      <w:r w:rsidRPr="002F2687">
        <w:t xml:space="preserve"> </w:t>
      </w:r>
      <w:r w:rsidR="00321F88">
        <w:t xml:space="preserve">the </w:t>
      </w:r>
      <w:r w:rsidRPr="002F2687">
        <w:t>relationships that are needed.</w:t>
      </w:r>
      <w:r w:rsidR="00686EE3">
        <w:t xml:space="preserve"> </w:t>
      </w:r>
      <w:r w:rsidR="00686EE3" w:rsidRPr="00686EE3">
        <w:t xml:space="preserve">Teachers suggested increasing the </w:t>
      </w:r>
      <w:r w:rsidR="00321F88">
        <w:t>frequency</w:t>
      </w:r>
      <w:r w:rsidR="00321F88" w:rsidRPr="00686EE3">
        <w:t xml:space="preserve"> </w:t>
      </w:r>
      <w:r w:rsidR="00686EE3" w:rsidRPr="00686EE3">
        <w:t>of required local CTE program advisory meetings to quarterly.</w:t>
      </w:r>
    </w:p>
    <w:p w14:paraId="5F2918F1" w14:textId="687AFA7E" w:rsidR="007E2E40" w:rsidRPr="002F2687" w:rsidRDefault="007E2E40" w:rsidP="0058053B">
      <w:r w:rsidRPr="002F2687">
        <w:t xml:space="preserve">Information and data were the primary conduits </w:t>
      </w:r>
      <w:r w:rsidR="00321F88">
        <w:t xml:space="preserve">that </w:t>
      </w:r>
      <w:r w:rsidRPr="002F2687">
        <w:t xml:space="preserve">stakeholders suggested for better connecting CTE with </w:t>
      </w:r>
      <w:r w:rsidR="00E769D4">
        <w:t>b</w:t>
      </w:r>
      <w:r w:rsidRPr="002F2687">
        <w:t xml:space="preserve">usiness and </w:t>
      </w:r>
      <w:r w:rsidR="00E769D4">
        <w:t>i</w:t>
      </w:r>
      <w:r w:rsidRPr="002F2687">
        <w:t>ndustry</w:t>
      </w:r>
      <w:r w:rsidR="00321F88">
        <w:t xml:space="preserve">. </w:t>
      </w:r>
      <w:r w:rsidRPr="002F2687">
        <w:t xml:space="preserve">They also noted </w:t>
      </w:r>
      <w:r w:rsidR="00321F88">
        <w:t>the</w:t>
      </w:r>
      <w:r w:rsidRPr="002F2687">
        <w:t xml:space="preserve"> need for greater alignment/collaboration at all levels</w:t>
      </w:r>
      <w:r w:rsidR="00321F88">
        <w:t>, from</w:t>
      </w:r>
      <w:r w:rsidRPr="002F2687">
        <w:t xml:space="preserve"> </w:t>
      </w:r>
      <w:r w:rsidR="009C0AA9" w:rsidRPr="002F2687">
        <w:t>K–1</w:t>
      </w:r>
      <w:r w:rsidRPr="002F2687">
        <w:t>2 to CCC to workforce partners</w:t>
      </w:r>
      <w:r w:rsidR="00321F88">
        <w:t>, and that a</w:t>
      </w:r>
      <w:r w:rsidRPr="002F2687">
        <w:t>rticulation, sharing of information, and alignment of data systems are needed across the whole K</w:t>
      </w:r>
      <w:r w:rsidR="00686711" w:rsidRPr="002F2687">
        <w:t>–</w:t>
      </w:r>
      <w:r w:rsidRPr="002F2687">
        <w:t>14</w:t>
      </w:r>
      <w:r w:rsidR="00457379">
        <w:t>+</w:t>
      </w:r>
      <w:r w:rsidRPr="002F2687">
        <w:t xml:space="preserve"> continuum.</w:t>
      </w:r>
    </w:p>
    <w:p w14:paraId="19351591" w14:textId="50E8928F" w:rsidR="007E2E40" w:rsidRDefault="007E2E40" w:rsidP="0058053B">
      <w:r w:rsidRPr="002F2687">
        <w:t xml:space="preserve">Stakeholders recommended </w:t>
      </w:r>
      <w:r w:rsidR="00321F88">
        <w:t xml:space="preserve">that </w:t>
      </w:r>
      <w:r w:rsidRPr="002F2687">
        <w:t>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w:t>
      </w:r>
      <w:r w:rsidR="00321F88">
        <w:t>ing</w:t>
      </w:r>
      <w:r w:rsidRPr="002F2687">
        <w:t xml:space="preserv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3442F2EE" w:rsidR="008C217B" w:rsidRDefault="008C217B" w:rsidP="0058053B">
      <w:r w:rsidRPr="008C217B">
        <w:lastRenderedPageBreak/>
        <w:t xml:space="preserve">Teacher groups supported these suggestions for </w:t>
      </w:r>
      <w:r w:rsidR="00D857D4">
        <w:t>S</w:t>
      </w:r>
      <w:r w:rsidRPr="008C217B">
        <w:t xml:space="preserve">tate alignment and strong industry partnerships. However, teachers also were concerned that data required to meet </w:t>
      </w:r>
      <w:r w:rsidR="00D857D4">
        <w:t>S</w:t>
      </w:r>
      <w:r w:rsidRPr="008C217B">
        <w:t>tate CTE initiatives (</w:t>
      </w:r>
      <w:r w:rsidR="00321F88">
        <w:t xml:space="preserve">e.g., </w:t>
      </w:r>
      <w:r w:rsidRPr="008C217B">
        <w:t xml:space="preserve">CTEIG, SWP) often do not align with the data required for Perkins V. </w:t>
      </w:r>
      <w:r w:rsidR="00AA176A">
        <w:t>T</w:t>
      </w:r>
      <w:r w:rsidRPr="008C217B">
        <w:t>he consensus from teacher</w:t>
      </w:r>
      <w:r w:rsidR="00AA176A">
        <w:t>s</w:t>
      </w:r>
      <w:r w:rsidRPr="008C217B">
        <w:t xml:space="preserve"> was for the </w:t>
      </w:r>
      <w:r w:rsidR="00D857D4">
        <w:t>S</w:t>
      </w:r>
      <w:r w:rsidRPr="008C217B">
        <w:t>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226A4BC6"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FF42AA8" w:rsidR="00407C7F" w:rsidRPr="002F2687" w:rsidRDefault="00C33240" w:rsidP="00B32A75">
      <w:r w:rsidRPr="002F2687">
        <w:rPr>
          <w:b/>
        </w:rPr>
        <w:t>Response:</w:t>
      </w:r>
    </w:p>
    <w:p w14:paraId="0895BF75" w14:textId="2EC19D3B" w:rsidR="00407C7F" w:rsidRPr="002F2687" w:rsidRDefault="00407C7F" w:rsidP="0058053B">
      <w:r w:rsidRPr="002F2687">
        <w:t>The CDE uses an online system called the Programs Grant Management System (PGMS) to manage the applications</w:t>
      </w:r>
      <w:r w:rsidR="00321F88">
        <w:t>,</w:t>
      </w:r>
      <w:r w:rsidRPr="002F2687">
        <w:t xml:space="preserve"> and some of the day-to-day work</w:t>
      </w:r>
      <w:r w:rsidR="00321F88">
        <w:t>,</w:t>
      </w:r>
      <w:r w:rsidRPr="002F2687">
        <w:t xml:space="preserve"> for awardees (</w:t>
      </w:r>
      <w:r w:rsidR="00321F88">
        <w:t xml:space="preserve">i.e., </w:t>
      </w:r>
      <w:r w:rsidRPr="002F2687">
        <w:t xml:space="preserve">LEAs) of </w:t>
      </w:r>
      <w:r w:rsidR="00B86166">
        <w:t>f</w:t>
      </w:r>
      <w:r w:rsidRPr="002F2687">
        <w:t xml:space="preserve">ederal Perkins </w:t>
      </w:r>
      <w:r w:rsidR="00B86166">
        <w:t>g</w:t>
      </w:r>
      <w:r w:rsidRPr="002F2687">
        <w:t>rant</w:t>
      </w:r>
      <w:r w:rsidR="00321F88">
        <w:t>s</w:t>
      </w:r>
      <w:r w:rsidRPr="002F2687">
        <w:t>, California</w:t>
      </w:r>
      <w:r w:rsidR="00523195">
        <w:t xml:space="preserve">’s </w:t>
      </w:r>
      <w:r w:rsidRPr="002F2687">
        <w:t>CTEIG</w:t>
      </w:r>
      <w:r w:rsidR="00321F88">
        <w:t>,</w:t>
      </w:r>
      <w:r w:rsidRPr="002F2687">
        <w:t xml:space="preserve"> and other grants designed to supplement </w:t>
      </w:r>
      <w:r w:rsidR="00B86166">
        <w:t>LEAs</w:t>
      </w:r>
      <w:r w:rsidRPr="002F2687">
        <w:t xml:space="preserve">’ </w:t>
      </w:r>
      <w:r w:rsidR="00457379">
        <w:t>LCFF</w:t>
      </w:r>
      <w:r w:rsidR="00457379" w:rsidRPr="002F2687">
        <w:t xml:space="preserve"> </w:t>
      </w:r>
      <w:r w:rsidRPr="002F2687">
        <w:t>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Quality C</w:t>
      </w:r>
      <w:r w:rsidR="00D7547B">
        <w:t>ollege and Career</w:t>
      </w:r>
      <w:r w:rsidRPr="002F2687">
        <w:t xml:space="preserve"> P</w:t>
      </w:r>
      <w:r w:rsidR="00E769D4">
        <w:t>athway</w:t>
      </w:r>
      <w:r w:rsidRPr="002F2687">
        <w:t>, CTE eligible credentialing, strategic spending plans, budget revisions, quarterly claims, and the contact information for the LEA’s CTE leader</w:t>
      </w:r>
      <w:r w:rsidR="00E769D4">
        <w:t>(s)</w:t>
      </w:r>
      <w:r w:rsidRPr="002F2687">
        <w:t xml:space="preserve"> and the CDE consultants assigned to help them.</w:t>
      </w:r>
    </w:p>
    <w:p w14:paraId="42DF8672" w14:textId="3820A4D7" w:rsidR="00F758BD" w:rsidRDefault="00407C7F" w:rsidP="0058053B">
      <w:r w:rsidRPr="002F2687">
        <w:t xml:space="preserve">Through the use of </w:t>
      </w:r>
      <w:r w:rsidR="00321F88">
        <w:t xml:space="preserve">the </w:t>
      </w:r>
      <w:r w:rsidRPr="002F2687">
        <w:t>PGMS, LEAs receiving Perkins</w:t>
      </w:r>
      <w:r w:rsidR="006F061E">
        <w:t xml:space="preserve"> V</w:t>
      </w:r>
      <w:r w:rsidRPr="002F2687">
        <w:t xml:space="preserve"> funds renew their applications annually, a process that reinforces their commitment to the ideals and obligations of the grant, documents their performance with respect to special populations and the elements of a high</w:t>
      </w:r>
      <w:r w:rsidR="001B5DF2">
        <w:t>-</w:t>
      </w:r>
      <w:r w:rsidRPr="002F2687">
        <w:t>quality CTE program, and builds their strategic spending plan</w:t>
      </w:r>
      <w:r w:rsidR="00321F88">
        <w:t>s</w:t>
      </w:r>
      <w:r w:rsidRPr="002F2687">
        <w:t xml:space="preserve">. The </w:t>
      </w:r>
      <w:r w:rsidR="00686711" w:rsidRPr="002F2687">
        <w:t>2019–20</w:t>
      </w:r>
      <w:r w:rsidRPr="002F2687">
        <w:t xml:space="preserve"> Perkins application </w:t>
      </w:r>
      <w:r w:rsidR="00B86166">
        <w:t>is</w:t>
      </w:r>
      <w:r w:rsidRPr="002F2687">
        <w:t xml:space="preserve"> the first (transition) under Perkins V</w:t>
      </w:r>
      <w:r w:rsidR="00321F88">
        <w:t>,</w:t>
      </w:r>
      <w:r w:rsidRPr="002F2687">
        <w:t xml:space="preserve"> and the </w:t>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 xml:space="preserve">Narrative summaries of each application </w:t>
      </w:r>
      <w:r w:rsidR="00803C36">
        <w:t>are provided later in this section</w:t>
      </w:r>
      <w:r w:rsidRPr="002F2687">
        <w:t>.</w:t>
      </w:r>
    </w:p>
    <w:p w14:paraId="73DEAD5D" w14:textId="0E508AF9" w:rsidR="00407C7F" w:rsidRPr="002F2687" w:rsidRDefault="004A4C39" w:rsidP="0058053B">
      <w:bookmarkStart w:id="61" w:name="_Hlk31280805"/>
      <w:r>
        <w:t>Perkins V requires that the CLNA</w:t>
      </w:r>
      <w:r w:rsidR="00407C7F" w:rsidRPr="002F2687">
        <w:t xml:space="preserve"> </w:t>
      </w:r>
      <w:r>
        <w:t xml:space="preserve">address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w:t>
      </w:r>
      <w:r w:rsidR="00803C36">
        <w:t>;</w:t>
      </w:r>
      <w:r w:rsidR="00407C7F" w:rsidRPr="002F2687">
        <w:t xml:space="preserve">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w:t>
      </w:r>
      <w:r w:rsidR="00407C7F" w:rsidRPr="002F2687">
        <w:lastRenderedPageBreak/>
        <w:t xml:space="preserve">of teachers, faculty, and staff; and </w:t>
      </w:r>
      <w:r w:rsidR="00F758BD">
        <w:t xml:space="preserve">(f) </w:t>
      </w:r>
      <w:r w:rsidR="00407C7F" w:rsidRPr="002F2687">
        <w:t>progress toward improving access and equity.</w:t>
      </w:r>
      <w:r w:rsidR="003B5FA0" w:rsidRPr="002F2687">
        <w:t xml:space="preserve"> </w:t>
      </w:r>
      <w:r w:rsidR="00407C7F" w:rsidRPr="002F2687">
        <w:t xml:space="preserve">As described in the </w:t>
      </w:r>
      <w:r w:rsidR="00803C36">
        <w:t xml:space="preserve">following </w:t>
      </w:r>
      <w:r w:rsidR="00407C7F" w:rsidRPr="002F2687">
        <w:t>narrative</w:t>
      </w:r>
      <w:r w:rsidR="00803C36">
        <w:t xml:space="preserve"> summaries</w:t>
      </w:r>
      <w:r w:rsidR="00407C7F" w:rsidRPr="002F2687">
        <w:t>, these six areas are being addressed within the application.</w:t>
      </w:r>
    </w:p>
    <w:bookmarkEnd w:id="61"/>
    <w:p w14:paraId="75F51459" w14:textId="16E44A5D" w:rsidR="00F758BD" w:rsidRDefault="00407C7F" w:rsidP="0058053B">
      <w:r w:rsidRPr="002F2687">
        <w:t xml:space="preserve">The CLNA is </w:t>
      </w:r>
      <w:r w:rsidR="004A4C39">
        <w:t>structured</w:t>
      </w:r>
      <w:r w:rsidRPr="002F2687">
        <w:t xml:space="preserve"> to identify strengths and weaknesses in the CTE programs/system and </w:t>
      </w:r>
      <w:r w:rsidR="00803C36">
        <w:t xml:space="preserve">to </w:t>
      </w:r>
      <w:r w:rsidR="004A4C39">
        <w:t>be</w:t>
      </w:r>
      <w:r w:rsidRPr="002F2687">
        <w:t xml:space="preserve"> informed and validated by stakeholders and partners. The local application </w:t>
      </w:r>
      <w:r w:rsidR="00B86166">
        <w:t xml:space="preserve">solicits </w:t>
      </w:r>
      <w:r w:rsidR="004A4C39">
        <w:t xml:space="preserve">each LEA to articulate </w:t>
      </w:r>
      <w:r w:rsidR="00803C36">
        <w:t>its</w:t>
      </w:r>
      <w:r w:rsidR="00803C36" w:rsidRPr="002F2687">
        <w:t xml:space="preserve"> </w:t>
      </w:r>
      <w:r w:rsidRPr="002F2687">
        <w:t>vision or theory of action for CTE</w:t>
      </w:r>
      <w:r w:rsidR="006C7261">
        <w:t>. The local application is also intended to help LEAs</w:t>
      </w:r>
      <w:r w:rsidR="006C7261" w:rsidRPr="002F2687">
        <w:t xml:space="preserve"> </w:t>
      </w:r>
      <w:r w:rsidR="00724F9C" w:rsidRPr="002F2687">
        <w:t>identify</w:t>
      </w:r>
      <w:r w:rsidRPr="002F2687">
        <w:t xml:space="preserve"> strategies, solutions</w:t>
      </w:r>
      <w:r w:rsidR="00663CD7">
        <w:t>,</w:t>
      </w:r>
      <w:r w:rsidRPr="002F2687">
        <w:t xml:space="preserve"> and investments to sustain and scale strengths in CTE programs/system</w:t>
      </w:r>
      <w:r w:rsidR="007D2F48">
        <w:t>s</w:t>
      </w:r>
      <w:r w:rsidR="006C7261">
        <w:t>,</w:t>
      </w:r>
      <w:r w:rsidRPr="002F2687">
        <w:t xml:space="preserve"> as well as to address weaknesses and gaps in the CTE programs/system</w:t>
      </w:r>
      <w:r w:rsidR="00663CD7">
        <w:t>s</w:t>
      </w:r>
      <w:r w:rsidRPr="002F2687">
        <w:t>.</w:t>
      </w:r>
    </w:p>
    <w:p w14:paraId="02365B7B" w14:textId="5A37CE70" w:rsidR="005B6E57" w:rsidRDefault="00F758BD" w:rsidP="0058053B">
      <w:r>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63CD7">
        <w:t>,</w:t>
      </w:r>
      <w:r w:rsidR="006F57AB">
        <w:t xml:space="preserve"> </w:t>
      </w:r>
      <w:r w:rsidR="006F57AB" w:rsidRPr="006F57AB">
        <w:t>in order to streamline and facilitate coordination of local application 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e.</w:t>
      </w:r>
      <w:r w:rsidR="00D661BB">
        <w:t>g.</w:t>
      </w:r>
      <w:r w:rsidR="006F57AB">
        <w:t xml:space="preserve">, </w:t>
      </w:r>
      <w:r>
        <w:t>equity and access, performance gaps for subgroups,</w:t>
      </w:r>
      <w:r w:rsidR="007B2351">
        <w:t xml:space="preserve"> teacher development); </w:t>
      </w:r>
      <w:r w:rsidR="00663CD7">
        <w:t>since</w:t>
      </w:r>
      <w:r w:rsidR="007B2351">
        <w:t xml:space="preserve"> other focus area</w:t>
      </w:r>
      <w:r w:rsidR="00E753DC">
        <w:t>s</w:t>
      </w:r>
      <w:r w:rsidR="007B2351">
        <w:t xml:space="preserve"> within Perkins V are unique (</w:t>
      </w:r>
      <w:r w:rsidR="006F57AB">
        <w:t>e.</w:t>
      </w:r>
      <w:r w:rsidR="00D661BB">
        <w:t>g.</w:t>
      </w:r>
      <w:r w:rsidR="006F57AB">
        <w:t xml:space="preserve">, </w:t>
      </w:r>
      <w:r w:rsidR="003D1FA4">
        <w:t>LMI</w:t>
      </w:r>
      <w:r w:rsidR="007B2351">
        <w:t>, size</w:t>
      </w:r>
      <w:r w:rsidR="001B0AB3">
        <w:t>,</w:t>
      </w:r>
      <w:r w:rsidR="007B2351">
        <w:t xml:space="preserve"> scope</w:t>
      </w:r>
      <w:r w:rsidR="001B0AB3">
        <w:t>,</w:t>
      </w:r>
      <w:r w:rsidR="007B2351">
        <w:t xml:space="preserve"> and quality)</w:t>
      </w:r>
      <w:r w:rsidR="00663CD7">
        <w:t>,</w:t>
      </w:r>
      <w:r w:rsidR="006F57AB">
        <w:t xml:space="preserve"> </w:t>
      </w:r>
      <w:r w:rsidR="006F57AB" w:rsidRPr="006F57AB">
        <w:t>intentional planning and coordination is warranted</w:t>
      </w:r>
      <w:r w:rsidR="007B2351">
        <w:t>.</w:t>
      </w:r>
    </w:p>
    <w:p w14:paraId="55134223" w14:textId="06AD4166" w:rsidR="00F758BD" w:rsidRDefault="007B2351" w:rsidP="0058053B">
      <w:r>
        <w:t>Also, the CLNA requires a focus on implementing POS to meet</w:t>
      </w:r>
      <w:r w:rsidR="00D661BB">
        <w:t xml:space="preserve"> the demands of</w:t>
      </w:r>
      <w:r>
        <w:t xml:space="preserve"> in-demand industries.</w:t>
      </w:r>
      <w:r w:rsidR="006F5399">
        <w:t xml:space="preserve"> </w:t>
      </w:r>
      <w:r>
        <w:t xml:space="preserve">Therefore, it raises the possibility of </w:t>
      </w:r>
      <w:r w:rsidR="00255DD4">
        <w:t xml:space="preserve">developing </w:t>
      </w:r>
      <w:r>
        <w:t xml:space="preserve">a common CLNA </w:t>
      </w:r>
      <w:r w:rsidR="00255DD4">
        <w:t>for both</w:t>
      </w:r>
      <w:r>
        <w:t xml:space="preserve"> </w:t>
      </w:r>
      <w:r w:rsidR="006F57AB">
        <w:t>LEAs</w:t>
      </w:r>
      <w:r>
        <w:t xml:space="preserve"> and community colleges</w:t>
      </w:r>
      <w:r w:rsidR="00CE0223">
        <w:t>,</w:t>
      </w:r>
      <w:r w:rsidR="00BB5BD2">
        <w:t xml:space="preserve"> because </w:t>
      </w:r>
      <w:r>
        <w:t xml:space="preserve">Perkins V requires POS to flow from </w:t>
      </w:r>
      <w:r w:rsidR="006F57AB">
        <w:t>LEA</w:t>
      </w:r>
      <w:r w:rsidR="00CE0223">
        <w:t>s</w:t>
      </w:r>
      <w:r>
        <w:t xml:space="preserve"> to community college</w:t>
      </w:r>
      <w:r w:rsidR="006F57AB">
        <w:t>s</w:t>
      </w:r>
      <w:r w:rsidR="00BB5BD2">
        <w:t>.</w:t>
      </w:r>
      <w:r w:rsidR="006F5399">
        <w:t xml:space="preserve"> </w:t>
      </w:r>
      <w:r w:rsidR="00BB5BD2">
        <w:t xml:space="preserve">This </w:t>
      </w:r>
      <w:r w:rsidR="00255830">
        <w:t xml:space="preserve">possibility </w:t>
      </w:r>
      <w:r w:rsidR="00BB5BD2">
        <w:t>is well worth considering</w:t>
      </w:r>
      <w:r w:rsidR="00CE0223">
        <w:t>,</w:t>
      </w:r>
      <w:r w:rsidR="00BB5BD2">
        <w:t xml:space="preserve"> </w:t>
      </w:r>
      <w:r w:rsidR="00E753DC">
        <w:t>g</w:t>
      </w:r>
      <w:r>
        <w:t xml:space="preserve">iven that the community college </w:t>
      </w:r>
      <w:r w:rsidR="006C7261">
        <w:t xml:space="preserve">curriculum </w:t>
      </w:r>
      <w:r>
        <w:t xml:space="preserve">approval process </w:t>
      </w:r>
      <w:r w:rsidR="00255830">
        <w:t>and</w:t>
      </w:r>
      <w:r>
        <w:t xml:space="preserve"> external accreditation processes address the </w:t>
      </w:r>
      <w:r w:rsidR="006274D1">
        <w:t>same focus areas required for the CLNA.</w:t>
      </w:r>
      <w:r w:rsidR="006F5399">
        <w:t xml:space="preserve"> </w:t>
      </w:r>
    </w:p>
    <w:p w14:paraId="46DC2D29" w14:textId="64F3B099" w:rsidR="00933DFC" w:rsidRDefault="00407C7F" w:rsidP="000C7F0D">
      <w:r w:rsidRPr="002F2687">
        <w:t xml:space="preserve">Over </w:t>
      </w:r>
      <w:r w:rsidR="00D661BB">
        <w:t>Program Year (</w:t>
      </w:r>
      <w:r w:rsidR="0088186C">
        <w:t>PY</w:t>
      </w:r>
      <w:r w:rsidR="00D661BB">
        <w:t>)</w:t>
      </w:r>
      <w:r w:rsidR="0088186C">
        <w:t xml:space="preserve"> </w:t>
      </w:r>
      <w:r w:rsidR="00686711" w:rsidRPr="002F2687">
        <w:t>2020–21</w:t>
      </w:r>
      <w:r w:rsidR="0057454A">
        <w:t>,</w:t>
      </w:r>
      <w:r w:rsidRPr="002F2687">
        <w:t xml:space="preserve"> </w:t>
      </w:r>
      <w:r w:rsidR="00697ADA">
        <w:t xml:space="preserve">CDE </w:t>
      </w:r>
      <w:r w:rsidRPr="002F2687">
        <w:t>staff will work with LEAs to formalize the CLNA within the local application plan</w:t>
      </w:r>
      <w:r w:rsidR="00BC30DC">
        <w:t xml:space="preserve"> proc</w:t>
      </w:r>
      <w:r w:rsidR="00B1244C">
        <w:t>ess</w:t>
      </w:r>
      <w:r w:rsidRPr="002F2687">
        <w:t>.</w:t>
      </w:r>
      <w:r w:rsidR="00933DFC">
        <w:t xml:space="preserve"> At the same time, </w:t>
      </w:r>
      <w:r w:rsidR="00FA5ADD">
        <w:t xml:space="preserve">the </w:t>
      </w:r>
      <w:r w:rsidR="00933DFC">
        <w:t>CCCCO is working on building a CLNA template, which the CCC will customize to suit the</w:t>
      </w:r>
      <w:r w:rsidR="00255DD4">
        <w:t>ir local needs and requirements</w:t>
      </w:r>
      <w:r w:rsidR="00933DFC">
        <w:t>. The expected outcome from these two now</w:t>
      </w:r>
      <w:r w:rsidR="004349DE">
        <w:t>-</w:t>
      </w:r>
      <w:r w:rsidR="00933DFC">
        <w:t xml:space="preserve">separate efforts will be </w:t>
      </w:r>
      <w:r w:rsidR="004349DE">
        <w:t xml:space="preserve">the </w:t>
      </w:r>
      <w:r w:rsidR="00933DFC">
        <w:t>develop</w:t>
      </w:r>
      <w:r w:rsidR="004349DE">
        <w:t>ment of</w:t>
      </w:r>
      <w:r w:rsidR="00933DFC">
        <w:t xml:space="preserve"> a CLNA template </w:t>
      </w:r>
      <w:r w:rsidR="004349DE">
        <w:t xml:space="preserve">that </w:t>
      </w:r>
      <w:r w:rsidR="00933DFC">
        <w:t>can be used as a basis for system alignment across secondary and community college CTE.</w:t>
      </w:r>
    </w:p>
    <w:p w14:paraId="40ADBC06" w14:textId="1C201588" w:rsidR="00407C7F" w:rsidRPr="002F2687" w:rsidRDefault="002979FF" w:rsidP="000C7F0D">
      <w:r>
        <w:lastRenderedPageBreak/>
        <w:t>More broadly,</w:t>
      </w:r>
      <w:r w:rsidR="00E17CAE">
        <w:t xml:space="preserve"> </w:t>
      </w:r>
      <w:r w:rsidR="00C74490">
        <w:t xml:space="preserve">further </w:t>
      </w:r>
      <w:r w:rsidR="00E17CAE">
        <w:t>discussion regarding the consolidation of the different local plans</w:t>
      </w:r>
      <w:r>
        <w:t xml:space="preserve"> from different </w:t>
      </w:r>
      <w:r w:rsidR="00D857D4">
        <w:t>S</w:t>
      </w:r>
      <w:r>
        <w:t>tate programs</w:t>
      </w:r>
      <w:r w:rsidR="003A01D7">
        <w:t xml:space="preserve"> </w:t>
      </w:r>
      <w:r>
        <w:t xml:space="preserve">into one local application </w:t>
      </w:r>
      <w:r w:rsidR="003A01D7">
        <w:t xml:space="preserve">that works for all </w:t>
      </w:r>
      <w:r w:rsidR="00D857D4">
        <w:t>S</w:t>
      </w:r>
      <w:r w:rsidR="003A01D7">
        <w:t>tate and federal programs</w:t>
      </w:r>
      <w:r w:rsidR="00C74490">
        <w:t xml:space="preserve"> is forthcoming</w:t>
      </w:r>
      <w:r w:rsidR="003A01D7">
        <w:t>.</w:t>
      </w:r>
      <w:r w:rsidR="00E17CAE">
        <w:t xml:space="preserve"> </w:t>
      </w:r>
      <w:r w:rsidR="00C74490">
        <w:t>In the meantime</w:t>
      </w:r>
      <w:r>
        <w:t>, California will be using the inclusion of the CLNA within the local application plan as an interim solution</w:t>
      </w:r>
      <w:r w:rsidR="004349DE">
        <w:t>,</w:t>
      </w:r>
      <w:r>
        <w:t xml:space="preserve"> as it </w:t>
      </w:r>
      <w:r w:rsidR="006F57AB">
        <w:t>considers</w:t>
      </w:r>
      <w:r>
        <w:t xml:space="preserve"> a more permanent </w:t>
      </w:r>
      <w:r w:rsidR="00C74490">
        <w:t xml:space="preserve">and streamlined </w:t>
      </w:r>
      <w:r>
        <w:t>solution for the CLNA.</w:t>
      </w:r>
    </w:p>
    <w:p w14:paraId="3724D8AF" w14:textId="2D3ED879" w:rsidR="0057454A" w:rsidRDefault="00686711" w:rsidP="00343C3C">
      <w:pPr>
        <w:ind w:left="720"/>
        <w:rPr>
          <w:b/>
          <w:bCs/>
          <w:sz w:val="26"/>
          <w:szCs w:val="26"/>
        </w:rPr>
      </w:pPr>
      <w:bookmarkStart w:id="62" w:name="_Hlk31277695"/>
      <w:r w:rsidRPr="002F2687">
        <w:rPr>
          <w:b/>
          <w:bCs/>
          <w:sz w:val="26"/>
          <w:szCs w:val="26"/>
        </w:rPr>
        <w:t>2019–20</w:t>
      </w:r>
      <w:r w:rsidR="00407C7F" w:rsidRPr="002F2687">
        <w:rPr>
          <w:b/>
          <w:bCs/>
          <w:sz w:val="26"/>
          <w:szCs w:val="26"/>
        </w:rPr>
        <w:t xml:space="preserve"> </w:t>
      </w:r>
      <w:r w:rsidR="00D032B6">
        <w:rPr>
          <w:b/>
          <w:bCs/>
          <w:sz w:val="26"/>
          <w:szCs w:val="26"/>
        </w:rPr>
        <w:t xml:space="preserve">Perkins V </w:t>
      </w:r>
      <w:r w:rsidR="00C74490">
        <w:rPr>
          <w:b/>
          <w:bCs/>
          <w:sz w:val="26"/>
          <w:szCs w:val="26"/>
        </w:rPr>
        <w:t xml:space="preserve">Secondary </w:t>
      </w:r>
      <w:r w:rsidR="00D032B6">
        <w:rPr>
          <w:b/>
          <w:bCs/>
          <w:sz w:val="26"/>
          <w:szCs w:val="26"/>
        </w:rPr>
        <w:t xml:space="preserve">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5EA99348" w:rsidR="001773A4" w:rsidRDefault="00407C7F" w:rsidP="00343C3C">
      <w:pPr>
        <w:ind w:left="720"/>
      </w:pPr>
      <w:r w:rsidRPr="002F2687">
        <w:t>Legal summaries of the requirements of the grant</w:t>
      </w:r>
      <w:r w:rsidR="00343C3C">
        <w:t>,</w:t>
      </w:r>
      <w:r w:rsidRPr="002F2687">
        <w:t xml:space="preserve"> to be signed and filed by the LEA.</w:t>
      </w:r>
    </w:p>
    <w:p w14:paraId="3C1A45D2" w14:textId="77777777" w:rsidR="00407C7F" w:rsidRPr="002F2687" w:rsidRDefault="00407C7F" w:rsidP="00343C3C">
      <w:pPr>
        <w:ind w:left="720"/>
        <w:rPr>
          <w:rStyle w:val="Emphasis"/>
        </w:rPr>
      </w:pPr>
      <w:r w:rsidRPr="002F2687">
        <w:rPr>
          <w:rStyle w:val="Emphasis"/>
        </w:rPr>
        <w:t>Section 2: Representatives of Special Populations</w:t>
      </w:r>
    </w:p>
    <w:p w14:paraId="56F54B26" w14:textId="1560BB33" w:rsidR="00407C7F" w:rsidRPr="002F2687" w:rsidRDefault="00407C7F" w:rsidP="00343C3C">
      <w:pPr>
        <w:ind w:left="720"/>
      </w:pPr>
      <w:r w:rsidRPr="002F2687">
        <w:t>A listing of LEA staff in charge of each of the enumerated categories of special populations, reminding the</w:t>
      </w:r>
      <w:r w:rsidR="00962410">
        <w:t xml:space="preserve"> LEA</w:t>
      </w:r>
      <w:r w:rsidRPr="002F2687">
        <w:t xml:space="preserve">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343C3C">
      <w:pPr>
        <w:ind w:left="720"/>
        <w:rPr>
          <w:rStyle w:val="Emphasis"/>
        </w:rPr>
      </w:pPr>
      <w:r w:rsidRPr="002F2687">
        <w:rPr>
          <w:rStyle w:val="Emphasis"/>
        </w:rPr>
        <w:t>Section 3: Assessment of Career Technical Programs</w:t>
      </w:r>
    </w:p>
    <w:p w14:paraId="094961C7" w14:textId="13308304" w:rsidR="00407C7F" w:rsidRPr="002F2687" w:rsidRDefault="00407C7F" w:rsidP="00343C3C">
      <w:pPr>
        <w:ind w:left="720"/>
      </w:pPr>
      <w:r w:rsidRPr="002F2687">
        <w:t>This section documents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target is not met, 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343C3C">
        <w:t xml:space="preserve">must </w:t>
      </w:r>
      <w:r w:rsidR="00D032B6">
        <w:t>fund the</w:t>
      </w:r>
      <w:r w:rsidRPr="002F2687">
        <w:t xml:space="preserve"> </w:t>
      </w:r>
      <w:r w:rsidR="006F57AB">
        <w:t xml:space="preserve">corresponding </w:t>
      </w:r>
      <w:r w:rsidRPr="002F2687">
        <w:t>strategy.</w:t>
      </w:r>
    </w:p>
    <w:p w14:paraId="5F38B25C" w14:textId="41A3DFFB" w:rsidR="00407C7F" w:rsidRPr="002F2687" w:rsidRDefault="00407C7F" w:rsidP="0014411F">
      <w:pPr>
        <w:ind w:left="720"/>
        <w:rPr>
          <w:rStyle w:val="Emphasis"/>
        </w:rPr>
      </w:pPr>
      <w:r w:rsidRPr="002F2687">
        <w:rPr>
          <w:rStyle w:val="Emphasis"/>
        </w:rPr>
        <w:t xml:space="preserve">Section 4: Progress Report </w:t>
      </w:r>
      <w:r w:rsidR="00B1244C" w:rsidRPr="002F2687">
        <w:rPr>
          <w:rStyle w:val="Emphasis"/>
        </w:rPr>
        <w:t>towards</w:t>
      </w:r>
      <w:r w:rsidRPr="002F2687">
        <w:rPr>
          <w:rStyle w:val="Emphasis"/>
        </w:rPr>
        <w:t xml:space="preserve"> Implementing the Local CTE Plan</w:t>
      </w:r>
    </w:p>
    <w:p w14:paraId="1D1F4D90" w14:textId="234A6635" w:rsidR="00407C7F" w:rsidRPr="002F2687" w:rsidRDefault="00407C7F" w:rsidP="00343C3C">
      <w:pPr>
        <w:ind w:left="720"/>
      </w:pPr>
      <w:r w:rsidRPr="002F2687">
        <w:t xml:space="preserve">This section represents the other </w:t>
      </w:r>
      <w:r w:rsidR="00C74490">
        <w:t>portion of</w:t>
      </w:r>
      <w:r w:rsidRPr="002F2687">
        <w:t xml:space="preserve"> assessment</w:t>
      </w:r>
      <w:r w:rsidR="006F57AB">
        <w:t xml:space="preserve"> regarding an </w:t>
      </w:r>
      <w:r w:rsidRPr="002F2687">
        <w:t>LEA’s performance with respect to the 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w:t>
      </w:r>
      <w:r w:rsidR="00686EE3">
        <w:t xml:space="preserve">tions based on the </w:t>
      </w:r>
      <w:r w:rsidRPr="002F2687">
        <w:t>Elements of a High</w:t>
      </w:r>
      <w:r w:rsidR="005509AE">
        <w:t>-</w:t>
      </w:r>
      <w:r w:rsidRPr="002F2687">
        <w:t>Quality CTE P</w:t>
      </w:r>
      <w:r w:rsidR="00BB17A2">
        <w:t>rogram</w:t>
      </w:r>
      <w:r w:rsidRPr="002F2687">
        <w:t>.</w:t>
      </w:r>
      <w:r w:rsidR="003B5FA0" w:rsidRPr="002F2687">
        <w:t xml:space="preserve"> </w:t>
      </w:r>
      <w:r w:rsidRPr="002F2687">
        <w:t>To answer each question, LEAs use the results of their own self-assessment</w:t>
      </w:r>
      <w:r w:rsidR="006839AC">
        <w:t>,</w:t>
      </w:r>
      <w:r w:rsidRPr="002F2687">
        <w:t xml:space="preserve"> b</w:t>
      </w:r>
      <w:r w:rsidR="00686EE3">
        <w:t>ased on the</w:t>
      </w:r>
      <w:r w:rsidRPr="002F2687">
        <w:t xml:space="preserve">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w:t>
      </w:r>
      <w:r w:rsidR="006839AC">
        <w:t xml:space="preserve"> wi</w:t>
      </w:r>
      <w:r w:rsidRPr="002F2687">
        <w:t>ll improve it.</w:t>
      </w:r>
      <w:r w:rsidR="003B5FA0" w:rsidRPr="002F2687">
        <w:t xml:space="preserve"> </w:t>
      </w:r>
      <w:r w:rsidRPr="002F2687">
        <w:t xml:space="preserve">Finally, this </w:t>
      </w:r>
      <w:r w:rsidRPr="002F2687">
        <w:lastRenderedPageBreak/>
        <w:t>section gives LEAs a separate spreadsheet, the CTE Teacher Matrix, to report their CTE teachers’ names, the document number</w:t>
      </w:r>
      <w:r w:rsidR="006839AC">
        <w:t>s</w:t>
      </w:r>
      <w:r w:rsidRPr="002F2687">
        <w:t xml:space="preserve"> of the</w:t>
      </w:r>
      <w:r w:rsidR="006839AC">
        <w:t>se teachers’</w:t>
      </w:r>
      <w:r w:rsidRPr="002F2687">
        <w:t xml:space="preserve"> CTE-eligible credentials, and the names of the pathways assigned to them.</w:t>
      </w:r>
    </w:p>
    <w:p w14:paraId="54EF547E" w14:textId="19893984" w:rsidR="00407C7F" w:rsidRPr="002F2687" w:rsidRDefault="00407C7F" w:rsidP="00343C3C">
      <w:pPr>
        <w:ind w:left="720"/>
        <w:rPr>
          <w:rStyle w:val="Emphasis"/>
        </w:rPr>
      </w:pPr>
      <w:r w:rsidRPr="002F2687">
        <w:rPr>
          <w:rStyle w:val="Emphasis"/>
        </w:rPr>
        <w:t>Sec</w:t>
      </w:r>
      <w:r w:rsidR="00686EE3">
        <w:rPr>
          <w:rStyle w:val="Emphasis"/>
        </w:rPr>
        <w:t>tion 5: Sequence of Courses to B</w:t>
      </w:r>
      <w:r w:rsidRPr="002F2687">
        <w:rPr>
          <w:rStyle w:val="Emphasis"/>
        </w:rPr>
        <w:t>e Funded</w:t>
      </w:r>
    </w:p>
    <w:p w14:paraId="7C89550A" w14:textId="3E181209" w:rsidR="001773A4" w:rsidRDefault="00407C7F" w:rsidP="00343C3C">
      <w:pPr>
        <w:ind w:left="720"/>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allocation</w:t>
      </w:r>
      <w:r w:rsidR="006839AC">
        <w:t>,</w:t>
      </w:r>
      <w:r w:rsidRPr="002F2687">
        <w:t xml:space="preserve">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343C3C">
      <w:pPr>
        <w:ind w:left="720"/>
        <w:rPr>
          <w:rStyle w:val="Emphasis"/>
        </w:rPr>
      </w:pPr>
      <w:r w:rsidRPr="002F2687">
        <w:rPr>
          <w:rStyle w:val="Emphasis"/>
        </w:rPr>
        <w:t>Section 6: Budget Expenditure Schedule</w:t>
      </w:r>
    </w:p>
    <w:p w14:paraId="2B5BB4E0" w14:textId="7BAFCC9A" w:rsidR="00407C7F" w:rsidRPr="002F2687" w:rsidRDefault="00407C7F" w:rsidP="00343C3C">
      <w:pPr>
        <w:ind w:left="720"/>
      </w:pPr>
      <w:r w:rsidRPr="002F2687">
        <w:t xml:space="preserve">This section shows the LEA a tabular view of </w:t>
      </w:r>
      <w:r w:rsidR="00C61154">
        <w:t>the LEA</w:t>
      </w:r>
      <w:r w:rsidR="006839AC">
        <w:t>’</w:t>
      </w:r>
      <w:r w:rsidR="00C61154">
        <w:t>s</w:t>
      </w:r>
      <w:r w:rsidRPr="002F2687">
        <w:t xml:space="preserve"> strategic spending plan</w:t>
      </w:r>
      <w:r w:rsidR="006839AC">
        <w:t>,</w:t>
      </w:r>
      <w:r w:rsidRPr="002F2687">
        <w:t xml:space="preserve"> by allowable spending categories, A</w:t>
      </w:r>
      <w:r w:rsidR="006839AC">
        <w:t>–</w:t>
      </w:r>
      <w:r w:rsidRPr="002F2687">
        <w:t>H, along the X axis</w:t>
      </w:r>
      <w:r w:rsidR="006839AC">
        <w:t>,</w:t>
      </w:r>
      <w:r w:rsidRPr="002F2687">
        <w:t xml:space="preserve"> and </w:t>
      </w:r>
      <w:r w:rsidR="006839AC">
        <w:t xml:space="preserve">by </w:t>
      </w:r>
      <w:r w:rsidRPr="002F2687">
        <w:t>object code</w:t>
      </w:r>
      <w:r w:rsidR="00E753DC">
        <w:t>s</w:t>
      </w:r>
      <w:r w:rsidRPr="002F2687">
        <w:t xml:space="preserve"> 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C = 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Pr="002F2687">
        <w:t>A</w:t>
      </w:r>
      <w:r w:rsidR="006839AC">
        <w:t>–</w:t>
      </w:r>
      <w:r w:rsidRPr="002F2687">
        <w:t>F must equal 85</w:t>
      </w:r>
      <w:r w:rsidR="00D65C34">
        <w:t xml:space="preserve"> percent</w:t>
      </w:r>
      <w:r w:rsidRPr="002F2687">
        <w:t xml:space="preserve"> or more.</w:t>
      </w:r>
    </w:p>
    <w:p w14:paraId="7836BBA8" w14:textId="77777777" w:rsidR="00407C7F" w:rsidRPr="002F2687" w:rsidRDefault="00407C7F" w:rsidP="00343C3C">
      <w:pPr>
        <w:ind w:left="720"/>
        <w:rPr>
          <w:rStyle w:val="Emphasis"/>
        </w:rPr>
      </w:pPr>
      <w:r w:rsidRPr="002F2687">
        <w:rPr>
          <w:rStyle w:val="Emphasis"/>
        </w:rPr>
        <w:t>Section 7: Local CTE Plan Update</w:t>
      </w:r>
    </w:p>
    <w:p w14:paraId="66CA0468" w14:textId="3FD2A025" w:rsidR="00407C7F" w:rsidRPr="002F2687" w:rsidRDefault="00407C7F" w:rsidP="00343C3C">
      <w:pPr>
        <w:ind w:left="720"/>
      </w:pPr>
      <w:r w:rsidRPr="002F2687">
        <w:t>This section serves to highlight major changes in the LEA’s local CTE plan</w:t>
      </w:r>
      <w:r w:rsidR="006839AC">
        <w:t xml:space="preserve"> —</w:t>
      </w:r>
      <w:r w:rsidRPr="002F2687">
        <w:t xml:space="preserve"> for example</w:t>
      </w:r>
      <w:r w:rsidR="006839AC">
        <w:t>,</w:t>
      </w:r>
      <w:r w:rsidRPr="002F2687">
        <w:t xml:space="preserve"> closing or opening a pathway.</w:t>
      </w:r>
    </w:p>
    <w:p w14:paraId="6F17E4AB" w14:textId="77777777" w:rsidR="00407C7F" w:rsidRPr="002F2687" w:rsidRDefault="00407C7F" w:rsidP="00343C3C">
      <w:pPr>
        <w:ind w:left="720"/>
        <w:rPr>
          <w:rStyle w:val="Emphasis"/>
        </w:rPr>
      </w:pPr>
      <w:r w:rsidRPr="002F2687">
        <w:rPr>
          <w:rStyle w:val="Emphasis"/>
        </w:rPr>
        <w:t>Section 8: LEA Transition Plan</w:t>
      </w:r>
    </w:p>
    <w:p w14:paraId="02AC5AA1" w14:textId="5ABECFBD" w:rsidR="00407C7F" w:rsidRDefault="00407C7F" w:rsidP="00343C3C">
      <w:pPr>
        <w:ind w:left="720"/>
      </w:pPr>
      <w:r w:rsidRPr="002F2687">
        <w:t xml:space="preserve">This section only appeared in the </w:t>
      </w:r>
      <w:r w:rsidR="00686711" w:rsidRPr="002F2687">
        <w:t>2019–20</w:t>
      </w:r>
      <w:r w:rsidRPr="002F2687">
        <w:t xml:space="preserve"> application</w:t>
      </w:r>
      <w:r w:rsidR="006839AC">
        <w:t>,</w:t>
      </w:r>
      <w:r w:rsidRPr="002F2687">
        <w:t xml:space="preserve"> and served to highlight the changes from Perkins IV to Perkins V</w:t>
      </w:r>
      <w:r w:rsidR="00C61154">
        <w:t>. F</w:t>
      </w:r>
      <w:r w:rsidRPr="002F2687">
        <w:t>or each change</w:t>
      </w:r>
      <w:r w:rsidR="00C61154">
        <w:t>,</w:t>
      </w:r>
      <w:r w:rsidRPr="002F2687">
        <w:t xml:space="preserve"> LEAs </w:t>
      </w:r>
      <w:r w:rsidR="00C61154">
        <w:t xml:space="preserve">must </w:t>
      </w:r>
      <w:r w:rsidRPr="002F2687">
        <w:t>write a description of the actions they</w:t>
      </w:r>
      <w:r w:rsidR="006839AC">
        <w:t xml:space="preserve"> wi</w:t>
      </w:r>
      <w:r w:rsidRPr="002F2687">
        <w:t xml:space="preserve">ll be taking to </w:t>
      </w:r>
      <w:r w:rsidR="00C61154">
        <w:t>prepare</w:t>
      </w:r>
      <w:r w:rsidRPr="002F2687">
        <w:t xml:space="preserve"> for full impl</w:t>
      </w:r>
      <w:r w:rsidR="000C7665">
        <w:t>ementation of Perkins V in 2020–</w:t>
      </w:r>
      <w:r w:rsidRPr="002F2687">
        <w:t>21.</w:t>
      </w:r>
    </w:p>
    <w:p w14:paraId="65347275" w14:textId="34437AED" w:rsidR="0014411F" w:rsidRDefault="0014411F" w:rsidP="00343C3C">
      <w:pPr>
        <w:ind w:left="720"/>
      </w:pPr>
      <w:r>
        <w:br w:type="page"/>
      </w:r>
    </w:p>
    <w:p w14:paraId="291D722F" w14:textId="77777777" w:rsidR="00407C7F" w:rsidRPr="002F2687" w:rsidRDefault="00407C7F" w:rsidP="0014411F">
      <w:pPr>
        <w:ind w:left="720"/>
        <w:rPr>
          <w:rStyle w:val="Emphasis"/>
        </w:rPr>
      </w:pPr>
      <w:r w:rsidRPr="002F2687">
        <w:rPr>
          <w:rStyle w:val="Emphasis"/>
        </w:rPr>
        <w:lastRenderedPageBreak/>
        <w:t>Section 9: Status</w:t>
      </w:r>
    </w:p>
    <w:p w14:paraId="69B2488B" w14:textId="0C4C5C63" w:rsidR="00407C7F" w:rsidRPr="002F2687" w:rsidRDefault="00407C7F" w:rsidP="00343C3C">
      <w:pPr>
        <w:ind w:left="720"/>
      </w:pPr>
      <w:r w:rsidRPr="002F2687">
        <w:t>This section tracks the completion status of the Perkins application</w:t>
      </w:r>
      <w:r w:rsidR="003B02CA">
        <w:t>,</w:t>
      </w:r>
      <w:r w:rsidRPr="002F2687">
        <w:t xml:space="preserve"> from initial submission by the LEA, to approval by the CDE, to the LEA </w:t>
      </w:r>
      <w:r w:rsidR="00343C3C">
        <w:t>S</w:t>
      </w:r>
      <w:r w:rsidRPr="002F2687">
        <w:t>uperintendent’s approval of the application and subsequent issuance of the Grant Award Notification.</w:t>
      </w:r>
    </w:p>
    <w:bookmarkEnd w:id="62"/>
    <w:p w14:paraId="4708CB56" w14:textId="4BD57215" w:rsidR="00FB764B" w:rsidRDefault="00686711" w:rsidP="00343C3C">
      <w:pPr>
        <w:ind w:left="720"/>
        <w:rPr>
          <w:b/>
          <w:sz w:val="26"/>
          <w:szCs w:val="26"/>
        </w:rPr>
      </w:pPr>
      <w:r w:rsidRPr="002F2687">
        <w:rPr>
          <w:b/>
          <w:sz w:val="26"/>
          <w:szCs w:val="26"/>
        </w:rPr>
        <w:t xml:space="preserve">2020–21 </w:t>
      </w:r>
      <w:r w:rsidR="00D032B6">
        <w:rPr>
          <w:b/>
          <w:sz w:val="26"/>
          <w:szCs w:val="26"/>
        </w:rPr>
        <w:t xml:space="preserve">Perkins V </w:t>
      </w:r>
      <w:r w:rsidR="00C74490">
        <w:rPr>
          <w:b/>
          <w:sz w:val="26"/>
          <w:szCs w:val="26"/>
        </w:rPr>
        <w:t xml:space="preserve">Secondary </w:t>
      </w:r>
      <w:r w:rsidR="00D032B6">
        <w:rPr>
          <w:b/>
          <w:sz w:val="26"/>
          <w:szCs w:val="26"/>
        </w:rPr>
        <w:t xml:space="preserve">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343C3C">
      <w:pPr>
        <w:ind w:left="720"/>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343C3C">
      <w:pPr>
        <w:ind w:left="720"/>
        <w:rPr>
          <w:b/>
        </w:rPr>
      </w:pPr>
      <w:r w:rsidRPr="002F2687">
        <w:rPr>
          <w:b/>
        </w:rPr>
        <w:t xml:space="preserve">Section 2: Stakeholders </w:t>
      </w:r>
      <w:r w:rsidR="005609C7">
        <w:rPr>
          <w:b/>
        </w:rPr>
        <w:t>and</w:t>
      </w:r>
      <w:r w:rsidRPr="002F2687">
        <w:rPr>
          <w:b/>
        </w:rPr>
        <w:t xml:space="preserve"> CTE Advisory Management</w:t>
      </w:r>
    </w:p>
    <w:p w14:paraId="0DA354C4" w14:textId="7A39EB15" w:rsidR="00407C7F" w:rsidRPr="002F2687" w:rsidRDefault="00407C7F" w:rsidP="00343C3C">
      <w:pPr>
        <w:ind w:left="720"/>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populations, 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w:t>
      </w:r>
      <w:r w:rsidR="003B02CA">
        <w:t>its</w:t>
      </w:r>
      <w:r w:rsidR="003B02CA" w:rsidRPr="002F2687">
        <w:t xml:space="preserve"> </w:t>
      </w:r>
      <w:r w:rsidRPr="002F2687">
        <w:t>CTE advisory committee meeting</w:t>
      </w:r>
      <w:r w:rsidR="003B02CA">
        <w:t xml:space="preserve">; </w:t>
      </w:r>
      <w:r w:rsidRPr="002F2687">
        <w:t xml:space="preserve">the membership of </w:t>
      </w:r>
      <w:r w:rsidR="00604F35">
        <w:t>the advisory committee</w:t>
      </w:r>
      <w:r w:rsidR="003B02CA">
        <w:t>,</w:t>
      </w:r>
      <w:r w:rsidR="00C61154">
        <w:t xml:space="preserve"> </w:t>
      </w:r>
      <w:r w:rsidRPr="002F2687">
        <w:t>meet</w:t>
      </w:r>
      <w:r w:rsidR="003B02CA">
        <w:t>ing</w:t>
      </w:r>
      <w:r w:rsidRPr="002F2687">
        <w:t xml:space="preserve"> the requirements of Section 133(d)</w:t>
      </w:r>
      <w:r w:rsidR="003B02CA">
        <w:t>; that</w:t>
      </w:r>
      <w:r w:rsidR="00C61154">
        <w:t xml:space="preserve"> </w:t>
      </w:r>
      <w:r w:rsidRPr="002F2687">
        <w:t>evaluative data and recommendations for strategic response were collected at that meeting</w:t>
      </w:r>
      <w:r w:rsidR="003B02CA">
        <w:t>;</w:t>
      </w:r>
      <w:r w:rsidRPr="002F2687">
        <w:t xml:space="preserve"> and the </w:t>
      </w:r>
      <w:r w:rsidR="00FB764B">
        <w:t>s</w:t>
      </w:r>
      <w:r w:rsidRPr="002F2687">
        <w:t>takeholders</w:t>
      </w:r>
      <w:r w:rsidR="003B02CA">
        <w:t>’</w:t>
      </w:r>
      <w:r w:rsidRPr="002F2687">
        <w:t xml:space="preserve">,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w:t>
      </w:r>
      <w:r w:rsidR="00C74490">
        <w:t>met</w:t>
      </w:r>
      <w:r w:rsidR="00C74490" w:rsidRPr="002F2687">
        <w:t xml:space="preserve"> </w:t>
      </w:r>
      <w:r w:rsidRPr="002F2687">
        <w:t xml:space="preserve">during the school year leading up to the opening of the application, it will ask </w:t>
      </w:r>
      <w:r w:rsidR="00C61154">
        <w:t>LEAs</w:t>
      </w:r>
      <w:r w:rsidRPr="002F2687">
        <w:t xml:space="preserve"> to affirm the future date, agenda, and Section 133(d)</w:t>
      </w:r>
      <w:r w:rsidR="003B02CA">
        <w:t>–</w:t>
      </w:r>
      <w:r w:rsidRPr="002F2687">
        <w:t>compliant membership.</w:t>
      </w:r>
    </w:p>
    <w:p w14:paraId="4DF79C73" w14:textId="35FAABDD" w:rsidR="00407C7F" w:rsidRPr="002F2687" w:rsidRDefault="00407C7F" w:rsidP="00343C3C">
      <w:pPr>
        <w:ind w:left="720"/>
      </w:pPr>
      <w:r w:rsidRPr="002F2687">
        <w:t>In the long term, this section will be a robust CTE stakeholder management system, including a listing of all Section 133(d)</w:t>
      </w:r>
      <w:r w:rsidR="003B02CA">
        <w:t>–</w:t>
      </w:r>
      <w:r w:rsidRPr="002F2687">
        <w:t>compliant stakeholders</w:t>
      </w:r>
      <w:r w:rsidR="003B02CA">
        <w:t>,</w:t>
      </w:r>
      <w:r w:rsidRPr="002F2687">
        <w:t xml:space="preserve"> which </w:t>
      </w:r>
      <w:r w:rsidR="003B02CA">
        <w:t xml:space="preserve">will </w:t>
      </w:r>
      <w:r w:rsidRPr="002F2687">
        <w:t xml:space="preserve">include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w:t>
      </w:r>
      <w:r w:rsidR="00D21F5A">
        <w:t>,</w:t>
      </w:r>
      <w:r w:rsidRPr="002F2687">
        <w:t xml:space="preserve"> for use in other sections.</w:t>
      </w:r>
    </w:p>
    <w:p w14:paraId="2F39B8ED" w14:textId="77777777" w:rsidR="00407C7F" w:rsidRPr="002F2687" w:rsidRDefault="00407C7F" w:rsidP="00343C3C">
      <w:pPr>
        <w:ind w:left="720"/>
        <w:rPr>
          <w:b/>
        </w:rPr>
      </w:pPr>
      <w:r w:rsidRPr="002F2687">
        <w:rPr>
          <w:b/>
        </w:rPr>
        <w:lastRenderedPageBreak/>
        <w:t>Section 3: Comprehensive Local Needs Assessment</w:t>
      </w:r>
    </w:p>
    <w:p w14:paraId="54782B12" w14:textId="52C44C22" w:rsidR="00407C7F" w:rsidRPr="002F2687" w:rsidRDefault="00407C7F" w:rsidP="00343C3C">
      <w:pPr>
        <w:ind w:left="720"/>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343C3C">
      <w:pPr>
        <w:ind w:left="720"/>
        <w:rPr>
          <w:i/>
        </w:rPr>
      </w:pPr>
      <w:r w:rsidRPr="002F2687">
        <w:rPr>
          <w:i/>
        </w:rPr>
        <w:t xml:space="preserve">Subsection 3A: Performance of Special Populations </w:t>
      </w:r>
    </w:p>
    <w:p w14:paraId="60371C2A" w14:textId="1FD198DA" w:rsidR="00407C7F" w:rsidRPr="002F2687" w:rsidRDefault="00407C7F" w:rsidP="00343C3C">
      <w:pPr>
        <w:ind w:left="720"/>
      </w:pPr>
      <w:r w:rsidRPr="002F2687">
        <w:t xml:space="preserve">This subsection will show the performance of </w:t>
      </w:r>
      <w:r w:rsidR="00460C29">
        <w:t xml:space="preserve">students in </w:t>
      </w:r>
      <w:r w:rsidRPr="002F2687">
        <w:t xml:space="preserve">each category of special population and the general population for each of the </w:t>
      </w:r>
      <w:r w:rsidR="00BB17A2">
        <w:t>c</w:t>
      </w:r>
      <w:r w:rsidRPr="002F2687">
        <w:t xml:space="preserve">ore </w:t>
      </w:r>
      <w:r w:rsidR="00BB17A2">
        <w:t>i</w:t>
      </w:r>
      <w:r w:rsidRPr="002F2687">
        <w:t>ndicators for each of the last three years.</w:t>
      </w:r>
      <w:r w:rsidR="003B5FA0" w:rsidRPr="002F2687">
        <w:t xml:space="preserve"> </w:t>
      </w:r>
      <w:r w:rsidRPr="002F2687">
        <w:t xml:space="preserve">Strategic response: </w:t>
      </w:r>
      <w:r w:rsidR="00F97EAE">
        <w:t>F</w:t>
      </w:r>
      <w:r w:rsidRPr="002F2687">
        <w:t xml:space="preserve">or each </w:t>
      </w:r>
      <w:r w:rsidR="001C6063">
        <w:t>accountability indicator metric</w:t>
      </w:r>
      <w:r w:rsidR="001C6063" w:rsidRPr="002F2687">
        <w:t xml:space="preserve"> </w:t>
      </w:r>
      <w:r w:rsidRPr="002F2687">
        <w:t xml:space="preserve">meeting or exceeding standards, the LEA will describe how </w:t>
      </w:r>
      <w:r w:rsidR="00F97EAE">
        <w:t>it</w:t>
      </w:r>
      <w:r w:rsidR="00F97EAE" w:rsidRPr="002F2687">
        <w:t xml:space="preserve"> </w:t>
      </w:r>
      <w:r w:rsidRPr="002F2687">
        <w:t>plan</w:t>
      </w:r>
      <w:r w:rsidR="00F97EAE">
        <w:t>s</w:t>
      </w:r>
      <w:r w:rsidRPr="002F2687">
        <w:t xml:space="preserve">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reasonably be expected to improve the metric and </w:t>
      </w:r>
      <w:r w:rsidR="00BB17A2">
        <w:t xml:space="preserve">will </w:t>
      </w:r>
      <w:r w:rsidRPr="002F2687">
        <w:t>allot funds to that strategy.</w:t>
      </w:r>
      <w:r w:rsidR="003B5FA0" w:rsidRPr="002F2687">
        <w:t xml:space="preserve"> </w:t>
      </w:r>
      <w:r w:rsidRPr="002F2687">
        <w:t>The district’s strategic responses for each metric for each of the last three years will also be displayed.</w:t>
      </w:r>
    </w:p>
    <w:p w14:paraId="3D405BE3" w14:textId="634E8C1D" w:rsidR="00407C7F" w:rsidRPr="002F2687" w:rsidRDefault="00407C7F" w:rsidP="00343C3C">
      <w:pPr>
        <w:ind w:left="720"/>
        <w:rPr>
          <w:i/>
        </w:rPr>
      </w:pPr>
      <w:r w:rsidRPr="002F2687">
        <w:rPr>
          <w:i/>
        </w:rPr>
        <w:t>Subsection 3B: Elements of a High</w:t>
      </w:r>
      <w:r w:rsidR="005509AE">
        <w:rPr>
          <w:i/>
        </w:rPr>
        <w:t>-</w:t>
      </w:r>
      <w:r w:rsidRPr="002F2687">
        <w:rPr>
          <w:i/>
        </w:rPr>
        <w:t>Quality CTE Program</w:t>
      </w:r>
    </w:p>
    <w:p w14:paraId="6911EB21" w14:textId="52DCE48F" w:rsidR="00407C7F" w:rsidRPr="002F2687" w:rsidRDefault="009B434F" w:rsidP="00343C3C">
      <w:pPr>
        <w:ind w:left="720"/>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w:t>
      </w:r>
      <w:r w:rsidR="009742AE">
        <w:t>F</w:t>
      </w:r>
      <w:r w:rsidR="00407C7F" w:rsidRPr="002F2687">
        <w:t xml:space="preserve">or each element or sub-element meeting or exceeding standards, the LEA will describe how </w:t>
      </w:r>
      <w:r w:rsidR="009742AE">
        <w:t>it</w:t>
      </w:r>
      <w:r w:rsidR="009742AE" w:rsidRPr="002F2687">
        <w:t xml:space="preserve"> </w:t>
      </w:r>
      <w:r w:rsidR="00407C7F" w:rsidRPr="002F2687">
        <w:t>plan</w:t>
      </w:r>
      <w:r w:rsidR="009742AE">
        <w:t>s</w:t>
      </w:r>
      <w:r w:rsidR="00407C7F" w:rsidRPr="002F2687">
        <w:t xml:space="preserve"> 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 </w:t>
      </w:r>
      <w:r w:rsidR="009742AE">
        <w:t xml:space="preserve">the </w:t>
      </w:r>
      <w:r w:rsidR="00407C7F" w:rsidRPr="002F2687">
        <w:t>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08138D95" w:rsidR="00407C7F" w:rsidRDefault="00E11847" w:rsidP="00343C3C">
      <w:pPr>
        <w:ind w:left="720"/>
      </w:pPr>
      <w:r>
        <w:t>Once the format and content of the local application plan has been finalized</w:t>
      </w:r>
      <w:r w:rsidR="00686EE3">
        <w:t>, the results of the LEA’s</w:t>
      </w:r>
      <w:r w:rsidR="00407C7F" w:rsidRPr="002F2687">
        <w:t xml:space="preserve"> self-assessment will be pre-populated from the information in Section 2.</w:t>
      </w:r>
    </w:p>
    <w:p w14:paraId="712B354A" w14:textId="4E994028" w:rsidR="0014411F" w:rsidRDefault="0014411F" w:rsidP="00343C3C">
      <w:pPr>
        <w:ind w:left="720"/>
      </w:pPr>
      <w:r>
        <w:br w:type="page"/>
      </w:r>
    </w:p>
    <w:p w14:paraId="2652764A" w14:textId="77777777" w:rsidR="00407C7F" w:rsidRPr="002F2687" w:rsidRDefault="00407C7F" w:rsidP="00343C3C">
      <w:pPr>
        <w:ind w:left="720"/>
        <w:rPr>
          <w:b/>
        </w:rPr>
      </w:pPr>
      <w:r w:rsidRPr="002F2687">
        <w:rPr>
          <w:b/>
        </w:rPr>
        <w:lastRenderedPageBreak/>
        <w:t>Section 4: Strategic Spending Plan</w:t>
      </w:r>
    </w:p>
    <w:p w14:paraId="4490B83E" w14:textId="4D507BE3" w:rsidR="00407C7F" w:rsidRPr="002F2687" w:rsidRDefault="00407C7F" w:rsidP="00343C3C">
      <w:pPr>
        <w:ind w:left="720"/>
      </w:pPr>
      <w:r w:rsidRPr="002F2687">
        <w:t xml:space="preserve">This section will be divided into two subsections: 4A: By Site </w:t>
      </w:r>
      <w:r w:rsidR="005D4F93">
        <w:t>and</w:t>
      </w:r>
      <w:r w:rsidRPr="002F2687">
        <w:t xml:space="preserve"> Pathway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343C3C">
      <w:pPr>
        <w:ind w:left="720"/>
        <w:rPr>
          <w:i/>
        </w:rPr>
      </w:pPr>
      <w:r w:rsidRPr="002F2687">
        <w:rPr>
          <w:i/>
        </w:rPr>
        <w:t xml:space="preserve">Subsection 4A: By Site </w:t>
      </w:r>
      <w:r w:rsidR="005609C7">
        <w:rPr>
          <w:i/>
        </w:rPr>
        <w:t>and</w:t>
      </w:r>
      <w:r w:rsidRPr="002F2687">
        <w:rPr>
          <w:i/>
        </w:rPr>
        <w:t xml:space="preserve"> Pathway</w:t>
      </w:r>
    </w:p>
    <w:p w14:paraId="32A859EE" w14:textId="02F3EB4A" w:rsidR="00407C7F" w:rsidRPr="002F2687" w:rsidRDefault="002A02DA" w:rsidP="00343C3C">
      <w:pPr>
        <w:ind w:left="720"/>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w:t>
      </w:r>
      <w:r w:rsidR="00AF30DE">
        <w:t>,</w:t>
      </w:r>
      <w:r w:rsidR="00407C7F" w:rsidRPr="002F2687">
        <w:t xml:space="preserve">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23AD9A6B" w:rsidR="00407C7F" w:rsidRPr="002F2687" w:rsidRDefault="00407C7F" w:rsidP="00343C3C">
      <w:pPr>
        <w:ind w:left="720"/>
      </w:pPr>
      <w:r w:rsidRPr="002F2687">
        <w:t xml:space="preserve">In the long term, this section will pre-populate from </w:t>
      </w:r>
      <w:r w:rsidR="00AF30DE">
        <w:t>the</w:t>
      </w:r>
      <w:r w:rsidRPr="002F2687">
        <w:t xml:space="preserve"> integrated CTE </w:t>
      </w:r>
      <w:r w:rsidR="00C61154">
        <w:t>T</w:t>
      </w:r>
      <w:r w:rsidRPr="002F2687">
        <w:t xml:space="preserve">eacher </w:t>
      </w:r>
      <w:r w:rsidR="00C61154">
        <w:t>M</w:t>
      </w:r>
      <w:r w:rsidRPr="002F2687">
        <w:t>atrix</w:t>
      </w:r>
      <w:r w:rsidR="00AF30DE">
        <w:t xml:space="preserve"> in Section 2,</w:t>
      </w:r>
      <w:r w:rsidRPr="002F2687">
        <w:t xml:space="preserve"> and will have the option to designate each line item as primarily targeting a special population and/or a specific strategy listed in Section 3.</w:t>
      </w:r>
    </w:p>
    <w:p w14:paraId="24DFFFE8" w14:textId="77777777" w:rsidR="00407C7F" w:rsidRPr="002F2687" w:rsidRDefault="00407C7F" w:rsidP="00343C3C">
      <w:pPr>
        <w:ind w:left="720"/>
        <w:rPr>
          <w:i/>
        </w:rPr>
      </w:pPr>
      <w:r w:rsidRPr="002F2687">
        <w:rPr>
          <w:i/>
        </w:rPr>
        <w:t>Subsection 4B: By Object Code and Permissible Activity</w:t>
      </w:r>
    </w:p>
    <w:p w14:paraId="4069343C" w14:textId="4FBF77FB" w:rsidR="00407C7F" w:rsidRPr="002F2687" w:rsidRDefault="00407C7F" w:rsidP="00343C3C">
      <w:pPr>
        <w:ind w:left="720"/>
      </w:pPr>
      <w:r w:rsidRPr="002F2687">
        <w:t xml:space="preserve">This section will be the same as Section 6 in the </w:t>
      </w:r>
      <w:r w:rsidR="00686711" w:rsidRPr="002F2687">
        <w:t>2019–20</w:t>
      </w:r>
      <w:r w:rsidRPr="002F2687">
        <w:t xml:space="preserve"> application, where LEAs are presented </w:t>
      </w:r>
      <w:r w:rsidR="00CC09FD">
        <w:t xml:space="preserve">with </w:t>
      </w:r>
      <w:r w:rsidRPr="002F2687">
        <w:t xml:space="preserve">a tabular view </w:t>
      </w:r>
      <w:r w:rsidR="00460C29">
        <w:t xml:space="preserve">of </w:t>
      </w:r>
      <w:r w:rsidRPr="002F2687">
        <w:t>their spending</w:t>
      </w:r>
      <w:r w:rsidR="00CC09FD">
        <w:t>,</w:t>
      </w:r>
      <w:r w:rsidRPr="002F2687">
        <w:t xml:space="preserve"> by permissible activity, A</w:t>
      </w:r>
      <w:r w:rsidR="00CC09FD">
        <w:t>–</w:t>
      </w:r>
      <w:r w:rsidRPr="002F2687">
        <w:t>H, along the X axis</w:t>
      </w:r>
      <w:r w:rsidR="00CC09FD">
        <w:t>,</w:t>
      </w:r>
      <w:r w:rsidRPr="002F2687">
        <w:t xml:space="preserve"> and </w:t>
      </w:r>
      <w:r w:rsidR="00CC09FD">
        <w:t xml:space="preserve">by </w:t>
      </w:r>
      <w:r w:rsidRPr="002F2687">
        <w:t>object code along the Y axis.</w:t>
      </w:r>
    </w:p>
    <w:p w14:paraId="1F05AA2E" w14:textId="77777777" w:rsidR="00407C7F" w:rsidRPr="002F2687" w:rsidRDefault="00407C7F" w:rsidP="0014411F">
      <w:pPr>
        <w:ind w:left="720"/>
        <w:rPr>
          <w:b/>
        </w:rPr>
      </w:pPr>
      <w:r w:rsidRPr="002F2687">
        <w:rPr>
          <w:b/>
        </w:rPr>
        <w:t>Section 5: Status</w:t>
      </w:r>
    </w:p>
    <w:p w14:paraId="375E6C05" w14:textId="484A48D5" w:rsidR="00407C7F" w:rsidRPr="002F2687" w:rsidRDefault="00407C7F" w:rsidP="00343C3C">
      <w:pPr>
        <w:ind w:left="720"/>
      </w:pPr>
      <w:r w:rsidRPr="002F2687">
        <w:t xml:space="preserve">This section will be the same as Section 9 in the </w:t>
      </w:r>
      <w:r w:rsidR="00686711" w:rsidRPr="002F2687">
        <w:t>2019–20</w:t>
      </w:r>
      <w:r w:rsidRPr="002F2687">
        <w:t xml:space="preserve"> application</w:t>
      </w:r>
      <w:r w:rsidR="00CC09FD">
        <w:t>,</w:t>
      </w:r>
      <w:r w:rsidRPr="002F2687">
        <w:t xml:space="preserve"> </w:t>
      </w:r>
      <w:r w:rsidR="00CC09FD">
        <w:t>which</w:t>
      </w:r>
      <w:r w:rsidR="00CC09FD" w:rsidRPr="002F2687">
        <w:t xml:space="preserve"> </w:t>
      </w:r>
      <w:r w:rsidRPr="002F2687">
        <w:t>tracks the completion status of the Perkins application</w:t>
      </w:r>
      <w:r w:rsidR="00CC09FD">
        <w:t>,</w:t>
      </w:r>
      <w:r w:rsidRPr="002F2687">
        <w:t xml:space="preserve"> from initial submission by the LEA, to approval by the CDE, to the LEA Superintendent’s approval of the application</w:t>
      </w:r>
      <w:r w:rsidR="001773A4">
        <w:t>,</w:t>
      </w:r>
      <w:r w:rsidRPr="002F2687">
        <w:t xml:space="preserve"> and subsequent issuance of the Grant Award Notification.</w:t>
      </w:r>
    </w:p>
    <w:p w14:paraId="2EF3E0D7" w14:textId="27F3787E" w:rsidR="00347DDA" w:rsidRDefault="00407C7F" w:rsidP="00343C3C">
      <w:pPr>
        <w:ind w:left="720"/>
      </w:pPr>
      <w:r w:rsidRPr="002F2687">
        <w:t xml:space="preserve">To view the sample </w:t>
      </w:r>
      <w:r w:rsidR="00AA176A">
        <w:t xml:space="preserve">secondary </w:t>
      </w:r>
      <w:r w:rsidRPr="002F2687">
        <w:t xml:space="preserve">application for </w:t>
      </w:r>
      <w:r w:rsidR="00686711" w:rsidRPr="002F2687">
        <w:t>2019–20</w:t>
      </w:r>
      <w:r w:rsidRPr="002F2687">
        <w:t>, log</w:t>
      </w:r>
      <w:r w:rsidR="00CC09FD">
        <w:t xml:space="preserve"> </w:t>
      </w:r>
      <w:r w:rsidRPr="002F2687">
        <w:t>in</w:t>
      </w:r>
      <w:r w:rsidR="00F34AB0">
        <w:t>to the PGMS at</w:t>
      </w:r>
      <w:r w:rsidRPr="002F2687">
        <w:t xml:space="preserve"> </w:t>
      </w:r>
      <w:hyperlink r:id="rId30" w:tooltip="PGMS sample local application" w:history="1">
        <w:r w:rsidR="00347DDA">
          <w:rPr>
            <w:rStyle w:val="Hyperlink"/>
          </w:rPr>
          <w:t>https://www3.cde.ca.gov/pgms/logon.aspx</w:t>
        </w:r>
      </w:hyperlink>
      <w:r w:rsidR="00347DDA" w:rsidRPr="002F2687">
        <w:t xml:space="preserve"> </w:t>
      </w:r>
      <w:r w:rsidRPr="002F2687">
        <w:t xml:space="preserve">with the </w:t>
      </w:r>
      <w:r w:rsidR="00347DDA">
        <w:t>following:</w:t>
      </w:r>
    </w:p>
    <w:p w14:paraId="0DB44F28" w14:textId="77442D69" w:rsidR="00347DDA" w:rsidRPr="00923ED1" w:rsidRDefault="00347DDA" w:rsidP="0093009B">
      <w:pPr>
        <w:pStyle w:val="ListParagraph"/>
        <w:numPr>
          <w:ilvl w:val="0"/>
          <w:numId w:val="42"/>
        </w:numPr>
      </w:pPr>
      <w:r>
        <w:lastRenderedPageBreak/>
        <w:t>U</w:t>
      </w:r>
      <w:r w:rsidR="00407C7F" w:rsidRPr="002F2687">
        <w:t>sername</w:t>
      </w:r>
      <w:r>
        <w:t>:</w:t>
      </w:r>
      <w:r w:rsidR="00407C7F" w:rsidRPr="002F2687">
        <w:t xml:space="preserve"> </w:t>
      </w:r>
      <w:r w:rsidR="00B039AC">
        <w:t>[Username removed due to security concerns on June 15, 2023]</w:t>
      </w:r>
      <w:r w:rsidR="002726DE">
        <w:t xml:space="preserve"> (case </w:t>
      </w:r>
      <w:r w:rsidR="002726DE" w:rsidRPr="00923ED1">
        <w:t>sensitive)</w:t>
      </w:r>
    </w:p>
    <w:p w14:paraId="3E5186FE" w14:textId="6B03AE7C" w:rsidR="00347DDA" w:rsidRPr="00923ED1" w:rsidRDefault="00347DDA" w:rsidP="0093009B">
      <w:pPr>
        <w:pStyle w:val="ListParagraph"/>
        <w:numPr>
          <w:ilvl w:val="0"/>
          <w:numId w:val="42"/>
        </w:numPr>
      </w:pPr>
      <w:r w:rsidRPr="00923ED1">
        <w:t>P</w:t>
      </w:r>
      <w:r w:rsidR="00407C7F" w:rsidRPr="00923ED1">
        <w:t>assword</w:t>
      </w:r>
      <w:r w:rsidRPr="00923ED1">
        <w:t xml:space="preserve">: </w:t>
      </w:r>
      <w:r w:rsidR="00B039AC">
        <w:t>[</w:t>
      </w:r>
      <w:r w:rsidR="00B039AC">
        <w:t>Password</w:t>
      </w:r>
      <w:r w:rsidR="00B039AC">
        <w:t xml:space="preserve"> removed due to security concerns on June 15, 2023</w:t>
      </w:r>
      <w:proofErr w:type="gramStart"/>
      <w:r w:rsidR="00B039AC">
        <w:t xml:space="preserve">] </w:t>
      </w:r>
      <w:r w:rsidR="002726DE" w:rsidRPr="00923ED1">
        <w:t xml:space="preserve"> (</w:t>
      </w:r>
      <w:proofErr w:type="gramEnd"/>
      <w:r w:rsidR="002726DE" w:rsidRPr="00923ED1">
        <w:t>case sensitive)</w:t>
      </w:r>
    </w:p>
    <w:p w14:paraId="4AC1640D" w14:textId="6447C078" w:rsidR="00347DDA" w:rsidRPr="00923ED1" w:rsidRDefault="00347DDA" w:rsidP="0093009B">
      <w:pPr>
        <w:pStyle w:val="ListParagraph"/>
        <w:numPr>
          <w:ilvl w:val="0"/>
          <w:numId w:val="42"/>
        </w:numPr>
      </w:pPr>
      <w:r w:rsidRPr="00923ED1">
        <w:t>Reporting year: 2020–21</w:t>
      </w:r>
    </w:p>
    <w:p w14:paraId="13CAF76A" w14:textId="4DEF0688" w:rsidR="002726DE" w:rsidRPr="00923ED1" w:rsidRDefault="00347DDA" w:rsidP="0093009B">
      <w:pPr>
        <w:pStyle w:val="ListParagraph"/>
        <w:numPr>
          <w:ilvl w:val="0"/>
          <w:numId w:val="42"/>
        </w:numPr>
        <w:spacing w:after="0"/>
      </w:pPr>
      <w:r w:rsidRPr="00923ED1">
        <w:t>LEA Name: Red Rock Canyon</w:t>
      </w:r>
      <w:r w:rsidR="002726DE" w:rsidRPr="00923ED1">
        <w:t>*</w:t>
      </w:r>
      <w:r w:rsidRPr="00923ED1">
        <w:t xml:space="preserve"> </w:t>
      </w:r>
    </w:p>
    <w:p w14:paraId="3C62D655" w14:textId="65DA6B0B" w:rsidR="00407C7F" w:rsidRPr="00923ED1" w:rsidRDefault="002726DE" w:rsidP="002726DE">
      <w:pPr>
        <w:pStyle w:val="ListParagraph"/>
        <w:numPr>
          <w:ilvl w:val="0"/>
          <w:numId w:val="0"/>
        </w:numPr>
        <w:ind w:left="1440"/>
      </w:pPr>
      <w:r w:rsidRPr="00923ED1">
        <w:t>*</w:t>
      </w:r>
      <w:r w:rsidR="00347DDA" w:rsidRPr="00923ED1">
        <w:t>Red Rock Canyon is a fictional LEA used for presentations and trainings.</w:t>
      </w:r>
    </w:p>
    <w:p w14:paraId="3309E6A4" w14:textId="49ACF73B" w:rsidR="00A00300" w:rsidRPr="00923ED1" w:rsidRDefault="00A00300" w:rsidP="00A00300">
      <w:pPr>
        <w:ind w:left="720"/>
      </w:pPr>
      <w:r w:rsidRPr="00923ED1">
        <w:rPr>
          <w:rFonts w:cs="Arial"/>
        </w:rPr>
        <w:t>The secondary local application was approved by the CWPJAC at the July 10, 2020 meeting.</w:t>
      </w:r>
      <w:r w:rsidRPr="00923ED1">
        <w:t xml:space="preserve"> The </w:t>
      </w:r>
      <w:r w:rsidRPr="00923ED1">
        <w:rPr>
          <w:rFonts w:eastAsia="Times New Roman" w:cs="Arial"/>
        </w:rPr>
        <w:t>2020–21 Perkins V Local Application (13 pages)</w:t>
      </w:r>
      <w:r w:rsidRPr="00923ED1">
        <w:rPr>
          <w:rFonts w:cs="Arial"/>
        </w:rPr>
        <w:t xml:space="preserve">, can be found on the CWPJAC’s web page at, </w:t>
      </w:r>
      <w:hyperlink r:id="rId31" w:tooltip="The 2020–21 Perkins V Local Application" w:history="1">
        <w:r w:rsidRPr="00923ED1">
          <w:rPr>
            <w:rStyle w:val="Hyperlink"/>
            <w:rFonts w:cs="Arial"/>
          </w:rPr>
          <w:t>https://www.cde.ca.gov/ci/ct/gi/documents/cwpjacmemojune20a4.docx</w:t>
        </w:r>
      </w:hyperlink>
      <w:r w:rsidRPr="00923ED1">
        <w:rPr>
          <w:rFonts w:cs="Arial"/>
        </w:rPr>
        <w:t>.</w:t>
      </w:r>
    </w:p>
    <w:p w14:paraId="36C53E8A" w14:textId="2246A0E0" w:rsidR="007C4FD4" w:rsidRPr="00923ED1" w:rsidRDefault="007C4FD4" w:rsidP="00343C3C">
      <w:pPr>
        <w:ind w:left="720"/>
      </w:pPr>
      <w:r w:rsidRPr="00923ED1">
        <w:t>To view a sample of the postsecondary application for 2019</w:t>
      </w:r>
      <w:r w:rsidR="00F34AB0" w:rsidRPr="00923ED1">
        <w:t>–</w:t>
      </w:r>
      <w:r w:rsidRPr="00923ED1">
        <w:t xml:space="preserve">20, </w:t>
      </w:r>
      <w:r w:rsidR="00FB764B" w:rsidRPr="00923ED1">
        <w:t xml:space="preserve">please visit the CCCCO website </w:t>
      </w:r>
      <w:r w:rsidRPr="00923ED1">
        <w:t xml:space="preserve">at </w:t>
      </w:r>
      <w:hyperlink r:id="rId32" w:tooltip="The postsecondary application " w:history="1">
        <w:r w:rsidRPr="00923ED1">
          <w:rPr>
            <w:rStyle w:val="Hyperlink"/>
          </w:rPr>
          <w:t>https://misweb04.cccco.edu/ctegrantplan/prod/logon.cfm</w:t>
        </w:r>
      </w:hyperlink>
      <w:r w:rsidRPr="00923ED1">
        <w:t>. To see the structure by section, please select</w:t>
      </w:r>
      <w:r w:rsidR="000B40A3" w:rsidRPr="00923ED1">
        <w:t xml:space="preserve"> “</w:t>
      </w:r>
      <w:r w:rsidRPr="00923ED1">
        <w:t>Antelope Valley College</w:t>
      </w:r>
      <w:r w:rsidR="000B40A3" w:rsidRPr="00923ED1">
        <w:t>”</w:t>
      </w:r>
      <w:r w:rsidRPr="00923ED1">
        <w:t xml:space="preserve"> and use </w:t>
      </w:r>
      <w:r w:rsidR="000B40A3" w:rsidRPr="00923ED1">
        <w:t xml:space="preserve">the </w:t>
      </w:r>
      <w:r w:rsidRPr="00923ED1">
        <w:t xml:space="preserve">password </w:t>
      </w:r>
      <w:r w:rsidR="000B40A3" w:rsidRPr="00923ED1">
        <w:t>“</w:t>
      </w:r>
      <w:r w:rsidRPr="00923ED1">
        <w:t>067667</w:t>
      </w:r>
      <w:r w:rsidR="000B40A3" w:rsidRPr="00923ED1">
        <w:t>” (without quotation marks)</w:t>
      </w:r>
      <w:r w:rsidRPr="00923ED1">
        <w:t>.</w:t>
      </w:r>
    </w:p>
    <w:p w14:paraId="746A7942" w14:textId="7204E961" w:rsidR="00A00300" w:rsidRPr="00923ED1" w:rsidRDefault="00A00300" w:rsidP="00A00300">
      <w:pPr>
        <w:ind w:left="720"/>
        <w:rPr>
          <w:rFonts w:cs="Arial"/>
        </w:rPr>
      </w:pPr>
      <w:r w:rsidRPr="00923ED1">
        <w:rPr>
          <w:rFonts w:cs="Arial"/>
        </w:rPr>
        <w:t>The CWPJAC reviewed the postsecondary local application at the May 8, 2020 CWPJAC meeting. These documents were presented to the CWPJAC members as an information item. The 2020–21 Postsecondary Perkins V Local Application (3 pages), can be found on the CCCCO’s web page at,</w:t>
      </w:r>
      <w:r w:rsidRPr="00923ED1">
        <w:t xml:space="preserve"> </w:t>
      </w:r>
      <w:hyperlink r:id="rId33" w:tooltip="The 2020–21 Postsecondary Perkins V Local Application" w:history="1">
        <w:r w:rsidRPr="00923ED1">
          <w:rPr>
            <w:rStyle w:val="Hyperlink"/>
            <w:rFonts w:cs="Arial"/>
          </w:rPr>
          <w:t>https://www.cccco.edu/-/media/CCCCO-Website/Files/Workforce-and-Economic-Development/Perkins-V/2020-21-nova-perkins-ic-application-questions-cccco-ada.pdf?la=en&amp;hash=ECC1E6F16D32D1AB8BD788AAF97263283085B1AC</w:t>
        </w:r>
      </w:hyperlink>
      <w:r w:rsidRPr="00923ED1">
        <w:t>.</w:t>
      </w:r>
    </w:p>
    <w:p w14:paraId="47FD0ECC" w14:textId="77777777" w:rsidR="00C33240" w:rsidRPr="00923ED1" w:rsidRDefault="000F7410" w:rsidP="00C74AB8">
      <w:pPr>
        <w:pStyle w:val="Heading5"/>
      </w:pPr>
      <w:r w:rsidRPr="00923ED1">
        <w:t xml:space="preserve">g. </w:t>
      </w:r>
      <w:r w:rsidR="00CC0296" w:rsidRPr="00923ED1">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923ED1" w:rsidRDefault="00C33240" w:rsidP="000F7410">
      <w:pPr>
        <w:pStyle w:val="BodyTextIndent3"/>
        <w:spacing w:after="240"/>
        <w:ind w:left="0"/>
        <w:rPr>
          <w:rFonts w:cs="Arial"/>
          <w:sz w:val="24"/>
          <w:szCs w:val="24"/>
        </w:rPr>
      </w:pPr>
      <w:r w:rsidRPr="00923ED1">
        <w:rPr>
          <w:rFonts w:cs="Arial"/>
          <w:b/>
          <w:sz w:val="24"/>
          <w:szCs w:val="24"/>
        </w:rPr>
        <w:t>Response:</w:t>
      </w:r>
    </w:p>
    <w:p w14:paraId="35A2E72D" w14:textId="5BF56179" w:rsidR="00C33240" w:rsidRPr="00923ED1" w:rsidRDefault="0002622D" w:rsidP="000F7410">
      <w:pPr>
        <w:pStyle w:val="BodyTextIndent3"/>
        <w:spacing w:after="240"/>
        <w:ind w:left="0"/>
        <w:rPr>
          <w:rFonts w:cs="Arial"/>
          <w:sz w:val="24"/>
          <w:szCs w:val="24"/>
        </w:rPr>
      </w:pPr>
      <w:r w:rsidRPr="00923ED1">
        <w:rPr>
          <w:rFonts w:cs="Arial"/>
          <w:sz w:val="24"/>
          <w:szCs w:val="24"/>
        </w:rPr>
        <w:lastRenderedPageBreak/>
        <w:t xml:space="preserve">See </w:t>
      </w:r>
      <w:r w:rsidR="00D769DA" w:rsidRPr="00923ED1">
        <w:rPr>
          <w:rFonts w:cs="Arial"/>
          <w:sz w:val="24"/>
          <w:szCs w:val="24"/>
        </w:rPr>
        <w:t xml:space="preserve">the previous </w:t>
      </w:r>
      <w:r w:rsidRPr="00923ED1">
        <w:rPr>
          <w:rFonts w:cs="Arial"/>
          <w:sz w:val="24"/>
          <w:szCs w:val="24"/>
        </w:rPr>
        <w:t xml:space="preserve">response to </w:t>
      </w:r>
      <w:r w:rsidR="00D769DA" w:rsidRPr="00923ED1">
        <w:rPr>
          <w:rFonts w:cs="Arial"/>
          <w:sz w:val="24"/>
          <w:szCs w:val="24"/>
        </w:rPr>
        <w:t xml:space="preserve">prompt </w:t>
      </w:r>
      <w:r w:rsidR="002A45E1" w:rsidRPr="00923ED1">
        <w:rPr>
          <w:rFonts w:cs="Arial"/>
          <w:sz w:val="24"/>
          <w:szCs w:val="24"/>
        </w:rPr>
        <w:t>B(</w:t>
      </w:r>
      <w:r w:rsidR="00D769DA" w:rsidRPr="00923ED1">
        <w:rPr>
          <w:rFonts w:cs="Arial"/>
          <w:sz w:val="24"/>
          <w:szCs w:val="24"/>
        </w:rPr>
        <w:t>2</w:t>
      </w:r>
      <w:r w:rsidR="002A45E1" w:rsidRPr="00923ED1">
        <w:rPr>
          <w:rFonts w:cs="Arial"/>
          <w:sz w:val="24"/>
          <w:szCs w:val="24"/>
        </w:rPr>
        <w:t>)</w:t>
      </w:r>
      <w:r w:rsidRPr="00923ED1">
        <w:rPr>
          <w:rFonts w:cs="Arial"/>
          <w:sz w:val="24"/>
          <w:szCs w:val="24"/>
        </w:rPr>
        <w:t>(f).</w:t>
      </w:r>
    </w:p>
    <w:p w14:paraId="21B8EFE0" w14:textId="341CFF12" w:rsidR="00A00300" w:rsidRPr="00923ED1" w:rsidRDefault="00A00300" w:rsidP="00A00300">
      <w:r w:rsidRPr="00923ED1">
        <w:rPr>
          <w:rFonts w:cs="Arial"/>
        </w:rPr>
        <w:t>The secondary CLNA was approved by the CWPJAC at the July 10, 2020 meeting.</w:t>
      </w:r>
      <w:r w:rsidR="0093009B" w:rsidRPr="00923ED1">
        <w:t xml:space="preserve"> </w:t>
      </w:r>
      <w:r w:rsidRPr="00923ED1">
        <w:t>The secondary CLNA contains three documents:</w:t>
      </w:r>
    </w:p>
    <w:p w14:paraId="7CF9FDB7" w14:textId="77777777" w:rsidR="0093009B" w:rsidRPr="00923ED1" w:rsidRDefault="0093009B" w:rsidP="0093009B">
      <w:pPr>
        <w:pStyle w:val="ListParagraph"/>
        <w:numPr>
          <w:ilvl w:val="0"/>
          <w:numId w:val="44"/>
        </w:numPr>
        <w:spacing w:line="240" w:lineRule="auto"/>
        <w:ind w:left="1080"/>
        <w:rPr>
          <w:rFonts w:cs="Arial"/>
        </w:rPr>
      </w:pPr>
      <w:r w:rsidRPr="00923ED1">
        <w:rPr>
          <w:rFonts w:cs="Arial"/>
        </w:rPr>
        <w:t>CLNA Overview Document</w:t>
      </w:r>
    </w:p>
    <w:p w14:paraId="1D875084" w14:textId="3E1FD5E2" w:rsidR="0093009B" w:rsidRPr="00923ED1" w:rsidRDefault="0093009B" w:rsidP="0093009B">
      <w:pPr>
        <w:pStyle w:val="ListParagraph"/>
        <w:numPr>
          <w:ilvl w:val="0"/>
          <w:numId w:val="0"/>
        </w:numPr>
        <w:spacing w:line="240" w:lineRule="auto"/>
        <w:ind w:left="1440"/>
        <w:rPr>
          <w:rFonts w:cs="Arial"/>
        </w:rPr>
      </w:pPr>
      <w:r w:rsidRPr="00923ED1">
        <w:rPr>
          <w:rFonts w:cs="Arial"/>
        </w:rPr>
        <w:t xml:space="preserve">Found on the CWPJAC’s web page at, </w:t>
      </w:r>
      <w:hyperlink r:id="rId34" w:tooltip="The CLNA Overview Document" w:history="1">
        <w:r w:rsidRPr="00923ED1">
          <w:rPr>
            <w:rStyle w:val="Hyperlink"/>
            <w:rFonts w:cs="Arial"/>
          </w:rPr>
          <w:t>https://www.cde.ca.gov/ci/ct/gi/documents/cwpjacmemojune20a1.docx</w:t>
        </w:r>
      </w:hyperlink>
      <w:r w:rsidRPr="00923ED1">
        <w:rPr>
          <w:rFonts w:cs="Arial"/>
        </w:rPr>
        <w:t>.</w:t>
      </w:r>
    </w:p>
    <w:p w14:paraId="6B289551" w14:textId="77777777" w:rsidR="0093009B" w:rsidRPr="00923ED1" w:rsidRDefault="0093009B" w:rsidP="0093009B">
      <w:pPr>
        <w:pStyle w:val="ListParagraph"/>
        <w:numPr>
          <w:ilvl w:val="0"/>
          <w:numId w:val="44"/>
        </w:numPr>
        <w:spacing w:line="240" w:lineRule="auto"/>
        <w:ind w:left="1080"/>
        <w:rPr>
          <w:rFonts w:cs="Arial"/>
        </w:rPr>
      </w:pPr>
      <w:r w:rsidRPr="00923ED1">
        <w:rPr>
          <w:rFonts w:cs="Arial"/>
        </w:rPr>
        <w:t>CLNA Workbook</w:t>
      </w:r>
    </w:p>
    <w:p w14:paraId="0EF53B91" w14:textId="7B3AF54E" w:rsidR="0093009B" w:rsidRPr="00923ED1" w:rsidRDefault="0093009B" w:rsidP="0093009B">
      <w:pPr>
        <w:pStyle w:val="ListParagraph"/>
        <w:numPr>
          <w:ilvl w:val="0"/>
          <w:numId w:val="0"/>
        </w:numPr>
        <w:spacing w:line="240" w:lineRule="auto"/>
        <w:ind w:left="1440"/>
        <w:rPr>
          <w:rFonts w:cs="Arial"/>
        </w:rPr>
      </w:pPr>
      <w:r w:rsidRPr="00923ED1">
        <w:rPr>
          <w:rFonts w:cs="Arial"/>
        </w:rPr>
        <w:t xml:space="preserve">Found on the CWPJAC’s web page at, </w:t>
      </w:r>
      <w:hyperlink r:id="rId35" w:tooltip="The CLNA Workbook" w:history="1">
        <w:r w:rsidRPr="00923ED1">
          <w:rPr>
            <w:rStyle w:val="Hyperlink"/>
            <w:rFonts w:cs="Arial"/>
          </w:rPr>
          <w:t>https://www.cde.ca.gov/ci/ct/gi/documents/cwpjacmemojune20a3.docx</w:t>
        </w:r>
      </w:hyperlink>
      <w:r w:rsidRPr="00923ED1">
        <w:rPr>
          <w:rFonts w:cs="Arial"/>
        </w:rPr>
        <w:t>.</w:t>
      </w:r>
    </w:p>
    <w:p w14:paraId="70FAD5F5" w14:textId="77777777" w:rsidR="0093009B" w:rsidRPr="00923ED1" w:rsidRDefault="0093009B" w:rsidP="0093009B">
      <w:pPr>
        <w:pStyle w:val="ListParagraph"/>
        <w:numPr>
          <w:ilvl w:val="0"/>
          <w:numId w:val="44"/>
        </w:numPr>
        <w:spacing w:line="240" w:lineRule="auto"/>
        <w:ind w:left="1080"/>
        <w:rPr>
          <w:rFonts w:cs="Arial"/>
        </w:rPr>
      </w:pPr>
      <w:r w:rsidRPr="00923ED1">
        <w:rPr>
          <w:rFonts w:cs="Arial"/>
        </w:rPr>
        <w:t>CLNA Reporting Template</w:t>
      </w:r>
    </w:p>
    <w:p w14:paraId="61EEFF41" w14:textId="762F75AF" w:rsidR="0093009B" w:rsidRPr="00923ED1" w:rsidRDefault="0093009B" w:rsidP="0093009B">
      <w:pPr>
        <w:pStyle w:val="ListParagraph"/>
        <w:numPr>
          <w:ilvl w:val="0"/>
          <w:numId w:val="0"/>
        </w:numPr>
        <w:spacing w:line="240" w:lineRule="auto"/>
        <w:ind w:left="1440"/>
        <w:rPr>
          <w:rFonts w:cs="Arial"/>
        </w:rPr>
      </w:pPr>
      <w:r w:rsidRPr="00923ED1">
        <w:rPr>
          <w:rFonts w:cs="Arial"/>
        </w:rPr>
        <w:t xml:space="preserve">Found on the CWPJAC’s web page at, </w:t>
      </w:r>
      <w:hyperlink r:id="rId36" w:tooltip="The CLNA Reporting Template" w:history="1">
        <w:r w:rsidRPr="00923ED1">
          <w:rPr>
            <w:rStyle w:val="Hyperlink"/>
            <w:rFonts w:cs="Arial"/>
          </w:rPr>
          <w:t>https://www.cde.ca.gov/ci/ct/gi/documents/jul10item04attach2-updated.docx</w:t>
        </w:r>
      </w:hyperlink>
      <w:r w:rsidRPr="00923ED1">
        <w:rPr>
          <w:rFonts w:cs="Arial"/>
        </w:rPr>
        <w:t>.</w:t>
      </w:r>
    </w:p>
    <w:p w14:paraId="1DB82F8E" w14:textId="08DAAF04" w:rsidR="00A00300" w:rsidRPr="00923ED1" w:rsidRDefault="00A00300" w:rsidP="00A00300">
      <w:pPr>
        <w:rPr>
          <w:rFonts w:cs="Arial"/>
        </w:rPr>
      </w:pPr>
      <w:r w:rsidRPr="00923ED1">
        <w:rPr>
          <w:rFonts w:cs="Arial"/>
        </w:rPr>
        <w:t xml:space="preserve">The CWPJAC reviewed the postsecondary CLNA at the May 8, 2020 CWPJAC meeting. These documents were presented to the CWPJAC members as an information item. The </w:t>
      </w:r>
      <w:r w:rsidR="0093009B" w:rsidRPr="00923ED1">
        <w:rPr>
          <w:rFonts w:cs="Arial"/>
        </w:rPr>
        <w:t xml:space="preserve">CCCCO: Perkins V CLNA (21 pages), </w:t>
      </w:r>
      <w:r w:rsidRPr="00923ED1">
        <w:rPr>
          <w:rFonts w:cs="Arial"/>
        </w:rPr>
        <w:t>can be found on the CCCCO’s web page at,</w:t>
      </w:r>
      <w:r w:rsidRPr="00923ED1">
        <w:t xml:space="preserve"> </w:t>
      </w:r>
      <w:hyperlink r:id="rId37" w:tooltip="The CCCCO: Perkins V CLNA" w:history="1">
        <w:r w:rsidRPr="00923ED1">
          <w:rPr>
            <w:rStyle w:val="Hyperlink"/>
            <w:rFonts w:cs="Arial"/>
          </w:rPr>
          <w:t>https://www.cccco.edu/-/media/CCCCO-Website/Files/Workforce-and-Economic-Development/Perkins-V/2020-21-nova-perkins-ic-application-questions-cccco-ada.pdf?la=en&amp;hash=ECC1E6F16D32D1AB8BD788AAF97263283085B1AC</w:t>
        </w:r>
      </w:hyperlink>
      <w:r w:rsidRPr="00923ED1">
        <w:t>.</w:t>
      </w:r>
    </w:p>
    <w:p w14:paraId="458B7BB2" w14:textId="77777777" w:rsidR="00C33240" w:rsidRPr="002F2687" w:rsidRDefault="000F7410" w:rsidP="00C74AB8">
      <w:pPr>
        <w:pStyle w:val="Heading5"/>
      </w:pPr>
      <w:r w:rsidRPr="00923ED1">
        <w:t xml:space="preserve">h. </w:t>
      </w:r>
      <w:r w:rsidR="00CC0296" w:rsidRPr="00923ED1">
        <w:t>Provide the eligible agency’s definition for “size, scope, and quality” that will be used to make funds available to eligible recipients pursuant</w:t>
      </w:r>
      <w:r w:rsidR="00CC0296" w:rsidRPr="00CC0296">
        <w:t xml:space="preserve">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421642D8" w:rsidR="00C33240" w:rsidRPr="002F2687" w:rsidRDefault="00C33240" w:rsidP="003D11E9">
      <w:r w:rsidRPr="002F2687">
        <w:t>As previously stated, California provides eligible recipients with a vast amount of resources</w:t>
      </w:r>
      <w:r w:rsidR="00615616">
        <w:t>,</w:t>
      </w:r>
      <w:r w:rsidRPr="002F2687">
        <w:t xml:space="preserve">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39C0AAC8" w:rsidR="00C30BFD" w:rsidRDefault="00C33240" w:rsidP="00C30BFD">
      <w:r w:rsidRPr="002F2687">
        <w:lastRenderedPageBreak/>
        <w:t>The size</w:t>
      </w:r>
      <w:r w:rsidR="00615616">
        <w:t>s</w:t>
      </w:r>
      <w:r w:rsidRPr="002F2687">
        <w:t xml:space="preserve"> of CTE programs </w:t>
      </w:r>
      <w:r w:rsidR="00615616">
        <w:t>are</w:t>
      </w:r>
      <w:r w:rsidR="00615616" w:rsidRPr="002F2687">
        <w:t xml:space="preserve"> </w:t>
      </w:r>
      <w:r w:rsidRPr="002F2687">
        <w:t>as varied as the size</w:t>
      </w:r>
      <w:r w:rsidR="00615616">
        <w:t>s</w:t>
      </w:r>
      <w:r w:rsidRPr="002F2687">
        <w:t xml:space="preserve"> of eligible recipients located throughout California, and in proportion to the size of the total student enrollment served by their local agency or institution. </w:t>
      </w:r>
      <w:r w:rsidR="00C30BFD">
        <w:t>In addition, local agencies</w:t>
      </w:r>
      <w:r w:rsidR="00686EE3">
        <w:t xml:space="preserve"> receiving Perkins V funds must:</w:t>
      </w:r>
    </w:p>
    <w:p w14:paraId="3F5D2D46" w14:textId="2F64928C" w:rsidR="00031377" w:rsidRDefault="00686EE3" w:rsidP="00042002">
      <w:pPr>
        <w:pStyle w:val="ListParagraph"/>
        <w:ind w:left="1170" w:hanging="450"/>
      </w:pPr>
      <w:r>
        <w:t>M</w:t>
      </w:r>
      <w:r w:rsidR="00C30BFD" w:rsidRPr="003B63AD">
        <w:t>eet the minimum allocation requirements of $15,000 for secondary schools and $50,000 for postsecondary schools</w:t>
      </w:r>
      <w:r w:rsidR="00615616">
        <w:t>; and</w:t>
      </w:r>
    </w:p>
    <w:p w14:paraId="468985CC" w14:textId="1742356F" w:rsidR="00C30BFD" w:rsidRPr="003B63AD" w:rsidRDefault="00C30BFD" w:rsidP="00042002">
      <w:pPr>
        <w:pStyle w:val="ListParagraph"/>
        <w:ind w:left="1170" w:hanging="450"/>
      </w:pPr>
      <w:r w:rsidRPr="003B63AD">
        <w:t xml:space="preserve">Have adequate facilities, appropriate equipment, </w:t>
      </w:r>
      <w:r w:rsidR="00615616">
        <w:t xml:space="preserve">and </w:t>
      </w:r>
      <w:r w:rsidRPr="003B63AD">
        <w:t>properly credential</w:t>
      </w:r>
      <w:r w:rsidR="00C61154">
        <w:t>ed</w:t>
      </w:r>
      <w:r w:rsidRPr="003B63AD">
        <w:t xml:space="preserve"> </w:t>
      </w:r>
      <w:r w:rsidR="00EA1FDC">
        <w:t>teachers and accredited faculty</w:t>
      </w:r>
      <w:r w:rsidRPr="003B63AD">
        <w:t xml:space="preserve"> to meet the requirements of each program, </w:t>
      </w:r>
      <w:r w:rsidR="00D610E9" w:rsidRPr="003B63AD">
        <w:t>POS</w:t>
      </w:r>
      <w:r w:rsidRPr="003B63AD">
        <w:t>, or industry pathway.</w:t>
      </w:r>
    </w:p>
    <w:p w14:paraId="256BD59D" w14:textId="6D75E702" w:rsidR="005C03A3" w:rsidRPr="002F2687" w:rsidRDefault="00686EE3" w:rsidP="004721C9">
      <w:r>
        <w:t>The s</w:t>
      </w:r>
      <w:r w:rsidR="00C33240" w:rsidRPr="002F2687">
        <w:t>ize</w:t>
      </w:r>
      <w:r w:rsidR="00615616">
        <w:t>s</w:t>
      </w:r>
      <w:r w:rsidR="00C33240" w:rsidRPr="002F2687">
        <w:t xml:space="preserve"> of local CTE programs </w:t>
      </w:r>
      <w:r w:rsidR="00615616">
        <w:t>are</w:t>
      </w:r>
      <w:r w:rsidR="00615616" w:rsidRPr="002F2687">
        <w:t xml:space="preserve"> </w:t>
      </w:r>
      <w:r w:rsidR="00C33240" w:rsidRPr="002F2687">
        <w:t>also determined by local and regional employment data</w:t>
      </w:r>
      <w:r w:rsidR="00615616">
        <w:t>;</w:t>
      </w:r>
      <w:r w:rsidR="00C33240" w:rsidRPr="002F2687">
        <w:t xml:space="preserve"> the needs of the local and regional economies, in consultation with business and workforce partners</w:t>
      </w:r>
      <w:r w:rsidR="00615616">
        <w:t>;</w:t>
      </w:r>
      <w:r w:rsidR="00C33240" w:rsidRPr="002F2687">
        <w:t xml:space="preserve"> and available resources. In a state like California, it is important to consider scaling CTE programs to match local and regional workforce and economic needs</w:t>
      </w:r>
      <w:r w:rsidR="00615616">
        <w:t>,</w:t>
      </w:r>
      <w:r w:rsidR="00C33240" w:rsidRPr="002F2687">
        <w:t xml:space="preserve"> whether the</w:t>
      </w:r>
      <w:r w:rsidR="00615616">
        <w:t>se programs</w:t>
      </w:r>
      <w:r w:rsidR="00C33240" w:rsidRPr="002F2687">
        <w:t xml:space="preserve"> are in rural or metropolitan areas of the </w:t>
      </w:r>
      <w:r w:rsidR="00CD3A4B" w:rsidRPr="002F2687">
        <w:t>State. As</w:t>
      </w:r>
      <w:r w:rsidR="00C33240" w:rsidRPr="002F2687">
        <w:t xml:space="preserve"> a condition of receiving funds, </w:t>
      </w:r>
      <w:r w:rsidR="00C61154">
        <w:t>LEAs</w:t>
      </w:r>
      <w:r w:rsidR="00C33240" w:rsidRPr="002F2687">
        <w:t xml:space="preserve"> must be actively involved in the delivery of CTE programs, meaning </w:t>
      </w:r>
      <w:r w:rsidR="00615616">
        <w:t xml:space="preserve">that </w:t>
      </w:r>
      <w:r w:rsidR="00C33240" w:rsidRPr="002F2687">
        <w:t>the</w:t>
      </w:r>
      <w:r w:rsidR="00C61154">
        <w:t xml:space="preserve"> LEAs </w:t>
      </w:r>
      <w:r w:rsidR="00C33240" w:rsidRPr="002F2687">
        <w:t xml:space="preserve">must provide at least one </w:t>
      </w:r>
      <w:r w:rsidR="00467E93" w:rsidRPr="002F2687">
        <w:t>POS</w:t>
      </w:r>
      <w:r w:rsidR="00C33240" w:rsidRPr="002F2687">
        <w:t xml:space="preserve"> that includes at least one district-funded course. Additionally, the </w:t>
      </w:r>
      <w:r w:rsidR="00C61154">
        <w:t>LEAs</w:t>
      </w:r>
      <w:r w:rsidR="00C33240" w:rsidRPr="002F2687">
        <w:t xml:space="preserve"> must provide at least one course in each </w:t>
      </w:r>
      <w:r w:rsidR="00107195">
        <w:t>I</w:t>
      </w:r>
      <w:r w:rsidR="00C33240" w:rsidRPr="002F2687">
        <w:t xml:space="preserve">ndustry </w:t>
      </w:r>
      <w:r w:rsidR="00107195">
        <w:t>S</w:t>
      </w:r>
      <w:r w:rsidR="00C33240" w:rsidRPr="002F2687">
        <w:t xml:space="preserve">ector assisted with the funds. The course may be introductory or advanced, and </w:t>
      </w:r>
      <w:r w:rsidR="00615616">
        <w:t xml:space="preserve">it </w:t>
      </w:r>
      <w:r w:rsidR="00C33240" w:rsidRPr="002F2687">
        <w:t xml:space="preserve">must be clearly integral to one or more of the sequences of courses offered in the </w:t>
      </w:r>
      <w:r w:rsidR="00107195">
        <w:t>I</w:t>
      </w:r>
      <w:r w:rsidR="00C33240" w:rsidRPr="002F2687">
        <w:t xml:space="preserve">ndustry </w:t>
      </w:r>
      <w:r w:rsidR="00107195">
        <w:t>S</w:t>
      </w:r>
      <w:r w:rsidR="00C33240" w:rsidRPr="002F2687">
        <w:t>ector.</w:t>
      </w:r>
    </w:p>
    <w:p w14:paraId="421593A6" w14:textId="5C0EE437" w:rsidR="00C30BFD" w:rsidRDefault="00C30BFD" w:rsidP="003D11E9">
      <w:r>
        <w:t xml:space="preserve">Scope for California is defined using the </w:t>
      </w:r>
      <w:r w:rsidRPr="00C30BFD">
        <w:t>CWPJAC’s Guiding Policy Principles</w:t>
      </w:r>
      <w:r w:rsidR="00605ECF">
        <w:t>,</w:t>
      </w:r>
      <w:r w:rsidRPr="00C30BFD">
        <w:t xml:space="preserve"> </w:t>
      </w:r>
      <w:r w:rsidR="00605ECF">
        <w:t xml:space="preserve">which </w:t>
      </w:r>
      <w:r w:rsidRPr="00C30BFD">
        <w:t xml:space="preserve">help to define </w:t>
      </w:r>
      <w:r w:rsidR="00D857D4">
        <w:t>S</w:t>
      </w:r>
      <w:r w:rsidRPr="00C30BFD">
        <w:t xml:space="preserve">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D06E50">
        <w:t>C</w:t>
      </w:r>
      <w:r>
        <w:t>urricul</w:t>
      </w:r>
      <w:r w:rsidR="00605ECF">
        <w:t>um</w:t>
      </w:r>
      <w:r>
        <w:t xml:space="preserve"> content </w:t>
      </w:r>
      <w:r w:rsidR="00C74490">
        <w:t xml:space="preserve">must </w:t>
      </w:r>
      <w:r>
        <w:t xml:space="preserve">align to </w:t>
      </w:r>
      <w:r w:rsidR="00D857D4">
        <w:t>S</w:t>
      </w:r>
      <w:r>
        <w:t>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w:t>
      </w:r>
      <w:r w:rsidR="00605ECF">
        <w:t>-</w:t>
      </w:r>
      <w:r w:rsidR="00D06E50">
        <w:t xml:space="preserve"> and on</w:t>
      </w:r>
      <w:r w:rsidR="00605ECF">
        <w:t>-</w:t>
      </w:r>
      <w:r w:rsidR="00D06E50">
        <w:t>ramps.</w:t>
      </w:r>
      <w:r w:rsidR="006F5399">
        <w:t xml:space="preserve"> </w:t>
      </w:r>
      <w:r w:rsidR="00097857">
        <w:t xml:space="preserve">Furthermore, all </w:t>
      </w:r>
      <w:r w:rsidR="00097857">
        <w:lastRenderedPageBreak/>
        <w:t xml:space="preserve">student </w:t>
      </w:r>
      <w:r w:rsidR="00384E2B">
        <w:t>sub</w:t>
      </w:r>
      <w:r w:rsidR="00097857">
        <w:t xml:space="preserve">groups </w:t>
      </w:r>
      <w:r w:rsidR="00C61154">
        <w:t xml:space="preserve">must </w:t>
      </w:r>
      <w:r w:rsidR="00421704">
        <w:t>have equitable access to high</w:t>
      </w:r>
      <w:r w:rsidR="00D04BEE">
        <w:t>-</w:t>
      </w:r>
      <w:r w:rsidR="00421704">
        <w:t>quality CTE programs</w:t>
      </w:r>
      <w:r w:rsidR="00384E2B">
        <w:t>, including the removal of individual, institutional, and systemic</w:t>
      </w:r>
      <w:r w:rsidR="005D0446">
        <w:t xml:space="preserve"> barriers that impede the progress of students achieving their education and career goals.</w:t>
      </w:r>
    </w:p>
    <w:p w14:paraId="5D34C224" w14:textId="3C111A99" w:rsidR="00C33240" w:rsidRPr="002F2687" w:rsidRDefault="00097857" w:rsidP="003D11E9">
      <w:r>
        <w:t>Like scope, the</w:t>
      </w:r>
      <w:r w:rsidR="00C33240" w:rsidRPr="002F2687">
        <w:t xml:space="preserve"> quality of CTE programs in California is enhanced by the CWPJAC’s </w:t>
      </w:r>
      <w:r w:rsidR="00605ECF">
        <w:br w:type="textWrapping" w:clear="all"/>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w:t>
      </w:r>
      <w:r w:rsidR="00111971">
        <w:t>,</w:t>
      </w:r>
      <w:r w:rsidR="00C33240" w:rsidRPr="002F2687">
        <w:t xml:space="preserve"> </w:t>
      </w:r>
      <w:r w:rsidR="003E11F5">
        <w:t>provided in Appendix D</w:t>
      </w:r>
      <w:r w:rsidR="00C33240" w:rsidRPr="002F2687">
        <w:t>.</w:t>
      </w:r>
    </w:p>
    <w:p w14:paraId="6E709950" w14:textId="426716D9"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r w:rsidR="00605ECF">
        <w:t xml:space="preserve"> </w:t>
      </w:r>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w:t>
      </w:r>
      <w:r w:rsidR="00605ECF">
        <w:t>,</w:t>
      </w:r>
      <w:r w:rsidRPr="002F2687">
        <w:t xml:space="preserve"> and has made available, a CTE Program Self-Review Tool</w:t>
      </w:r>
      <w:r w:rsidR="00221B68">
        <w:t xml:space="preserve"> (see </w:t>
      </w:r>
      <w:r w:rsidR="00365E99">
        <w:t>the previous response to prompt B[</w:t>
      </w:r>
      <w:r w:rsidR="00221B68">
        <w:t>2</w:t>
      </w:r>
      <w:r w:rsidR="00365E99">
        <w:t>][</w:t>
      </w:r>
      <w:r w:rsidR="00221B68">
        <w:t>g</w:t>
      </w:r>
      <w:r w:rsidR="00365E99">
        <w:t>]</w:t>
      </w:r>
      <w:r w:rsidR="00221B68">
        <w:t>)</w:t>
      </w:r>
      <w:r w:rsidRPr="002F2687">
        <w:t>. This instrument allows eligible recipients to self-assess their CTE programs</w:t>
      </w:r>
      <w:r w:rsidR="00C9788D">
        <w:t>,</w:t>
      </w:r>
      <w:r w:rsidRPr="002F2687">
        <w:t xml:space="preserve">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3E11F5">
        <w:t>Give</w:t>
      </w:r>
      <w:r w:rsidR="005D0446">
        <w:t>n</w:t>
      </w:r>
      <w:r w:rsidR="003E11F5">
        <w:t xml:space="preserve"> approval of the Essential Elements of a High-Quality College and Career Pathway program, California will be using these</w:t>
      </w:r>
      <w:r w:rsidR="00C04209">
        <w:t xml:space="preserve"> elements</w:t>
      </w:r>
      <w:r w:rsidR="00FF725A">
        <w:t xml:space="preserve"> for all s</w:t>
      </w:r>
      <w:r w:rsidR="003E11F5">
        <w:t>tate</w:t>
      </w:r>
      <w:r w:rsidR="00C04209">
        <w:t>-</w:t>
      </w:r>
      <w:r w:rsidR="003E11F5">
        <w:t xml:space="preserve"> and Perkins-supported programs.</w:t>
      </w:r>
    </w:p>
    <w:p w14:paraId="70B675B7" w14:textId="4B601B0C" w:rsidR="00C33240" w:rsidRPr="002F2687" w:rsidRDefault="00C33240" w:rsidP="003D11E9">
      <w:r w:rsidRPr="002F2687">
        <w:t xml:space="preserve">The application for funds process administered by the CDE and the CCCCO requires that local </w:t>
      </w:r>
      <w:r w:rsidR="00221B68">
        <w:t>recipients of Perkins funds, as well as the</w:t>
      </w:r>
      <w:r w:rsidR="006F5399">
        <w:t xml:space="preserve"> </w:t>
      </w:r>
      <w:r w:rsidR="00D857D4">
        <w:t>S</w:t>
      </w:r>
      <w:r w:rsidRPr="002F2687">
        <w:t>tate</w:t>
      </w:r>
      <w:r w:rsidR="00221B68">
        <w:t>, give</w:t>
      </w:r>
      <w:r w:rsidR="006F5399">
        <w:t xml:space="preserve"> </w:t>
      </w:r>
      <w:r w:rsidRPr="002F2687">
        <w:t>attention to the six requirements of local programs assisted with the funds, which include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515ADB09" w14:textId="77E2EF76" w:rsidR="007A4C2D" w:rsidRPr="007A4C2D" w:rsidRDefault="007A4C2D" w:rsidP="007A4C2D">
      <w:r w:rsidRPr="007A4C2D">
        <w:t xml:space="preserve">Program monitoring visits and scheduled program reviews are used by the CDE and the CCCCO to determine eligible recipients’ compliance with all Perkins V Section 135 </w:t>
      </w:r>
      <w:r w:rsidRPr="007A4C2D">
        <w:lastRenderedPageBreak/>
        <w:t>requirements, including offering programs of sufficient size, scop</w:t>
      </w:r>
      <w:r>
        <w:t>e, and quality to be effective.</w:t>
      </w:r>
    </w:p>
    <w:p w14:paraId="2591D238" w14:textId="503B7750" w:rsidR="007A4C2D" w:rsidRPr="007A4C2D" w:rsidRDefault="0046463F" w:rsidP="007A4C2D">
      <w:r>
        <w:t>The Federal Program Monitoring (</w:t>
      </w:r>
      <w:r w:rsidR="007A4C2D" w:rsidRPr="007A4C2D">
        <w:t>FPM</w:t>
      </w:r>
      <w:r>
        <w:t>)</w:t>
      </w:r>
      <w:r w:rsidR="007A4C2D" w:rsidRPr="007A4C2D">
        <w:t xml:space="preserve"> for Perkins V is </w:t>
      </w:r>
      <w:r w:rsidR="00FF725A">
        <w:t>conducted</w:t>
      </w:r>
      <w:r w:rsidR="007A4C2D" w:rsidRPr="007A4C2D">
        <w:t xml:space="preserve"> in concurrence with other federally monitored programs. The CDE</w:t>
      </w:r>
      <w:r w:rsidR="003E11F5">
        <w:t>’s</w:t>
      </w:r>
      <w:r w:rsidR="007A4C2D" w:rsidRPr="007A4C2D">
        <w:t xml:space="preserve"> FPM Office works with other federal program offices to ensure that FPM</w:t>
      </w:r>
      <w:r w:rsidR="00C04209">
        <w:t xml:space="preserve"> visit</w:t>
      </w:r>
      <w:r w:rsidR="007A4C2D" w:rsidRPr="007A4C2D">
        <w:t>s are consistent. The CTE Leadership Office (CTELO), within the</w:t>
      </w:r>
      <w:r w:rsidR="00BC1A64">
        <w:t xml:space="preserve"> </w:t>
      </w:r>
      <w:r w:rsidR="007A4C2D" w:rsidRPr="007A4C2D">
        <w:t xml:space="preserve">CCTD, works with the FPM office to </w:t>
      </w:r>
      <w:r w:rsidR="003E11F5">
        <w:t xml:space="preserve">conduct </w:t>
      </w:r>
      <w:r w:rsidR="007A4C2D" w:rsidRPr="007A4C2D">
        <w:t>Perkins V monitoring.</w:t>
      </w:r>
    </w:p>
    <w:p w14:paraId="663A8209" w14:textId="139D5309" w:rsidR="007A4C2D" w:rsidRDefault="007A4C2D" w:rsidP="007A4C2D">
      <w:r>
        <w:t>The FPM Office divides all LEAs into one of four cohorts: A, B, C, and D. Each year</w:t>
      </w:r>
      <w:r w:rsidR="00E91C6D">
        <w:t>,</w:t>
      </w:r>
      <w:r>
        <w:t xml:space="preserve"> one cohort is used to select on-site reviews, and another is used to select online reviews. LEAs are selected by </w:t>
      </w:r>
      <w:r w:rsidR="00E91C6D">
        <w:t xml:space="preserve">a </w:t>
      </w:r>
      <w:r>
        <w:t>CTELO administrator</w:t>
      </w:r>
      <w:r w:rsidR="00D57699">
        <w:t>,</w:t>
      </w:r>
      <w:r>
        <w:t xml:space="preserve"> based on a variety of risk factors, including size of the program, performance on </w:t>
      </w:r>
      <w:r w:rsidR="00D857D4">
        <w:t>S</w:t>
      </w:r>
      <w:r>
        <w:t>tate assessments, rates of poverty and high</w:t>
      </w:r>
      <w:r w:rsidR="00D57699">
        <w:t>-</w:t>
      </w:r>
      <w:r>
        <w:t xml:space="preserve">needs students, unspent funds, late spending, findings in past FPMs, and time </w:t>
      </w:r>
      <w:r w:rsidR="00E91C6D">
        <w:t xml:space="preserve">lapsed </w:t>
      </w:r>
      <w:r>
        <w:t>since their last FPM.</w:t>
      </w:r>
    </w:p>
    <w:p w14:paraId="03D741BF" w14:textId="54210AAA" w:rsidR="007A4C2D" w:rsidRDefault="007A4C2D" w:rsidP="007A4C2D">
      <w:r>
        <w:t xml:space="preserve">The FPM Office notifies LEAs of their selection for </w:t>
      </w:r>
      <w:r w:rsidR="00E91C6D">
        <w:t xml:space="preserve">an </w:t>
      </w:r>
      <w:r>
        <w:t>FPM and coordinates an annual training for all selected FPMs</w:t>
      </w:r>
      <w:r w:rsidR="00D57699">
        <w:t>,</w:t>
      </w:r>
      <w:r>
        <w:t xml:space="preserve"> to help them prepare for their review. In addition, CTELO consultants contact LEAs and begin to </w:t>
      </w:r>
      <w:r w:rsidR="00E91C6D">
        <w:t>assist with preparation</w:t>
      </w:r>
      <w:r>
        <w:t xml:space="preserve"> for the visit</w:t>
      </w:r>
      <w:r w:rsidR="00E91C6D">
        <w:t>,</w:t>
      </w:r>
      <w:r>
        <w:t xml:space="preserve"> including a review of the</w:t>
      </w:r>
      <w:r w:rsidR="00D57699">
        <w:t xml:space="preserve"> LEA’s</w:t>
      </w:r>
      <w:r>
        <w:t xml:space="preserve"> local application plan. An FPM visit is typically a week long, with the first day as an overview of strength and weakness</w:t>
      </w:r>
      <w:r w:rsidR="00D57699">
        <w:t>,</w:t>
      </w:r>
      <w:r>
        <w:t xml:space="preserve"> garnered from the online review of evidence</w:t>
      </w:r>
      <w:r w:rsidR="00D57699">
        <w:t>,</w:t>
      </w:r>
      <w:r>
        <w:t xml:space="preserve"> and a preview of the upcoming site visitations. The CTELO consultant visit</w:t>
      </w:r>
      <w:r w:rsidR="0013605F">
        <w:t>s</w:t>
      </w:r>
      <w:r>
        <w:t xml:space="preserve"> 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w:t>
      </w:r>
      <w:r w:rsidR="00D57699">
        <w:t xml:space="preserve">that </w:t>
      </w:r>
      <w:r>
        <w:t xml:space="preserve">the FPMs will not markedly change under Perkins V, CTELO consultants will have to include the CLNA </w:t>
      </w:r>
      <w:r w:rsidR="0013605F">
        <w:t>as part of an LEA’s</w:t>
      </w:r>
      <w:r>
        <w:t xml:space="preserve"> local application </w:t>
      </w:r>
      <w:r w:rsidR="0013605F">
        <w:t>and</w:t>
      </w:r>
      <w:r w:rsidR="00D57699">
        <w:t xml:space="preserve"> its</w:t>
      </w:r>
      <w:r>
        <w:t xml:space="preserve"> federal monitoring review process.</w:t>
      </w:r>
    </w:p>
    <w:p w14:paraId="751FBFBC" w14:textId="7401EBF7" w:rsidR="00E61323" w:rsidRPr="00054543" w:rsidRDefault="00E61323" w:rsidP="007A4C2D">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lastRenderedPageBreak/>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24B17FD3" w14:textId="77777777" w:rsidR="007C3951" w:rsidRPr="007C3951" w:rsidRDefault="007C3951" w:rsidP="007C3951">
      <w:pPr>
        <w:rPr>
          <w:rFonts w:cs="Arial"/>
        </w:rPr>
      </w:pPr>
      <w:r w:rsidRPr="007C3951">
        <w:rPr>
          <w:rFonts w:cs="Arial"/>
        </w:rPr>
        <w:t>At the K–12 level, meeting the needs of all special-population student groups, not just those enrolled in CTE, has its roots in the SBE commitment to fully implement the LCFF/LCAP by ensuring that entire LEA budgets serve the goal of advancing equity and eliminating disparities in opportunities and outcomes. At the CCC level, the framework for achieving the Vision for Success is the Guided Pathways effort, which, among other things, integrates support services throughout a student’s community college experience, thereby improving outcomes for all students by eliminating achievement gaps.</w:t>
      </w:r>
    </w:p>
    <w:p w14:paraId="488194E6" w14:textId="77777777" w:rsidR="007C3951" w:rsidRPr="007C3951" w:rsidRDefault="007C3951" w:rsidP="007C3951">
      <w:pPr>
        <w:rPr>
          <w:rFonts w:cs="Arial"/>
        </w:rPr>
      </w:pPr>
      <w:r w:rsidRPr="007C3951">
        <w:rPr>
          <w:rFonts w:cs="Arial"/>
        </w:rPr>
        <w:t>California is committed to supporting the special student populations as defined in Perkins V, including:</w:t>
      </w:r>
    </w:p>
    <w:p w14:paraId="2E3A0DD4" w14:textId="77777777" w:rsidR="007C3951" w:rsidRPr="009F1843" w:rsidRDefault="007C3951" w:rsidP="0093009B">
      <w:pPr>
        <w:pStyle w:val="ListParagraph"/>
        <w:numPr>
          <w:ilvl w:val="0"/>
          <w:numId w:val="43"/>
        </w:numPr>
        <w:ind w:left="1170" w:hanging="450"/>
        <w:rPr>
          <w:rFonts w:cs="Arial"/>
        </w:rPr>
      </w:pPr>
      <w:r w:rsidRPr="009F1843">
        <w:rPr>
          <w:rFonts w:cs="Arial"/>
        </w:rPr>
        <w:t>Individuals with disabilities;</w:t>
      </w:r>
    </w:p>
    <w:p w14:paraId="0431426E" w14:textId="77777777" w:rsidR="007C3951" w:rsidRPr="009F1843" w:rsidRDefault="007C3951" w:rsidP="0093009B">
      <w:pPr>
        <w:pStyle w:val="ListParagraph"/>
        <w:numPr>
          <w:ilvl w:val="0"/>
          <w:numId w:val="43"/>
        </w:numPr>
        <w:ind w:left="1170" w:hanging="450"/>
        <w:rPr>
          <w:rFonts w:cs="Arial"/>
        </w:rPr>
      </w:pPr>
      <w:r w:rsidRPr="009F1843">
        <w:rPr>
          <w:rFonts w:cs="Arial"/>
        </w:rPr>
        <w:t>Individuals from economically disadvantaged families, including low-income youth and adults;</w:t>
      </w:r>
    </w:p>
    <w:p w14:paraId="70CE2337" w14:textId="77777777" w:rsidR="007C3951" w:rsidRPr="009F1843" w:rsidRDefault="007C3951" w:rsidP="0093009B">
      <w:pPr>
        <w:pStyle w:val="ListParagraph"/>
        <w:numPr>
          <w:ilvl w:val="0"/>
          <w:numId w:val="43"/>
        </w:numPr>
        <w:ind w:left="1170" w:hanging="450"/>
        <w:rPr>
          <w:rFonts w:cs="Arial"/>
        </w:rPr>
      </w:pPr>
      <w:r w:rsidRPr="009F1843">
        <w:rPr>
          <w:rFonts w:cs="Arial"/>
        </w:rPr>
        <w:t>Individuals preparing for nontraditional fields;</w:t>
      </w:r>
    </w:p>
    <w:p w14:paraId="2F29EA18" w14:textId="77777777" w:rsidR="007C3951" w:rsidRPr="009F1843" w:rsidRDefault="007C3951" w:rsidP="0093009B">
      <w:pPr>
        <w:pStyle w:val="ListParagraph"/>
        <w:numPr>
          <w:ilvl w:val="0"/>
          <w:numId w:val="43"/>
        </w:numPr>
        <w:ind w:left="1170" w:hanging="450"/>
        <w:rPr>
          <w:rFonts w:cs="Arial"/>
        </w:rPr>
      </w:pPr>
      <w:r w:rsidRPr="009F1843">
        <w:rPr>
          <w:rFonts w:cs="Arial"/>
        </w:rPr>
        <w:t>Single parents, including single pregnant women;</w:t>
      </w:r>
    </w:p>
    <w:p w14:paraId="760670F5" w14:textId="77777777" w:rsidR="007C3951" w:rsidRPr="009F1843" w:rsidRDefault="007C3951" w:rsidP="0093009B">
      <w:pPr>
        <w:pStyle w:val="ListParagraph"/>
        <w:numPr>
          <w:ilvl w:val="0"/>
          <w:numId w:val="43"/>
        </w:numPr>
        <w:ind w:left="1170" w:hanging="450"/>
        <w:rPr>
          <w:rFonts w:cs="Arial"/>
        </w:rPr>
      </w:pPr>
      <w:r w:rsidRPr="009F1843">
        <w:rPr>
          <w:rFonts w:cs="Arial"/>
        </w:rPr>
        <w:t>Out-of-workforce individuals;</w:t>
      </w:r>
    </w:p>
    <w:p w14:paraId="702869D3" w14:textId="77777777" w:rsidR="007C3951" w:rsidRPr="009F1843" w:rsidRDefault="007C3951" w:rsidP="0093009B">
      <w:pPr>
        <w:pStyle w:val="ListParagraph"/>
        <w:numPr>
          <w:ilvl w:val="0"/>
          <w:numId w:val="43"/>
        </w:numPr>
        <w:ind w:left="1170" w:hanging="450"/>
        <w:rPr>
          <w:rFonts w:cs="Arial"/>
        </w:rPr>
      </w:pPr>
      <w:r w:rsidRPr="009F1843">
        <w:rPr>
          <w:rFonts w:cs="Arial"/>
        </w:rPr>
        <w:t>English language learners;</w:t>
      </w:r>
    </w:p>
    <w:p w14:paraId="5970C98C" w14:textId="77777777" w:rsidR="007C3951" w:rsidRPr="009F1843" w:rsidRDefault="007C3951" w:rsidP="0093009B">
      <w:pPr>
        <w:pStyle w:val="ListParagraph"/>
        <w:numPr>
          <w:ilvl w:val="0"/>
          <w:numId w:val="43"/>
        </w:numPr>
        <w:ind w:left="1170" w:hanging="450"/>
        <w:rPr>
          <w:rFonts w:cs="Arial"/>
        </w:rPr>
      </w:pPr>
      <w:r w:rsidRPr="009F1843">
        <w:rPr>
          <w:rFonts w:cs="Arial"/>
        </w:rPr>
        <w:t>Homeless individuals;</w:t>
      </w:r>
    </w:p>
    <w:p w14:paraId="56F0F07A" w14:textId="77777777" w:rsidR="007C3951" w:rsidRPr="009F1843" w:rsidRDefault="007C3951" w:rsidP="0093009B">
      <w:pPr>
        <w:pStyle w:val="ListParagraph"/>
        <w:numPr>
          <w:ilvl w:val="0"/>
          <w:numId w:val="43"/>
        </w:numPr>
        <w:ind w:left="1170" w:hanging="450"/>
        <w:rPr>
          <w:rFonts w:cs="Arial"/>
        </w:rPr>
      </w:pPr>
      <w:r w:rsidRPr="009F1843">
        <w:rPr>
          <w:rFonts w:cs="Arial"/>
        </w:rPr>
        <w:lastRenderedPageBreak/>
        <w:t>Youth who are in, or have aged out of, the foster care system; and</w:t>
      </w:r>
    </w:p>
    <w:p w14:paraId="74465262" w14:textId="77777777" w:rsidR="007C3951" w:rsidRPr="009F1843" w:rsidRDefault="007C3951" w:rsidP="0093009B">
      <w:pPr>
        <w:pStyle w:val="ListParagraph"/>
        <w:numPr>
          <w:ilvl w:val="0"/>
          <w:numId w:val="43"/>
        </w:numPr>
        <w:ind w:left="1170" w:hanging="450"/>
        <w:rPr>
          <w:rFonts w:cs="Arial"/>
        </w:rPr>
      </w:pPr>
      <w:r w:rsidRPr="009F1843">
        <w:rPr>
          <w:rFonts w:cs="Arial"/>
        </w:rPr>
        <w:t>Youth with a parent who is a member of the armed forces and is on active duty.</w:t>
      </w:r>
    </w:p>
    <w:p w14:paraId="48D3602E" w14:textId="77777777" w:rsidR="007C3951" w:rsidRPr="007C3951" w:rsidRDefault="007C3951" w:rsidP="007C3951">
      <w:pPr>
        <w:rPr>
          <w:rFonts w:cs="Arial"/>
        </w:rPr>
      </w:pPr>
      <w:r w:rsidRPr="007C3951">
        <w:rPr>
          <w:rFonts w:cs="Arial"/>
        </w:rPr>
        <w:t>While the federal legislation requires the use of the above special population subgroups, for California, undocumented and immigrant students are significant special population subgroups that need to be added to the above list.</w:t>
      </w:r>
    </w:p>
    <w:p w14:paraId="4C22F323" w14:textId="77777777" w:rsidR="003D4DA3" w:rsidRDefault="003D4DA3" w:rsidP="003D4DA3">
      <w:pPr>
        <w:rPr>
          <w:rFonts w:cs="Arial"/>
        </w:rPr>
      </w:pPr>
      <w:r w:rsidRPr="003D4DA3">
        <w:rPr>
          <w:rFonts w:cs="Arial"/>
        </w:rPr>
        <w:t xml:space="preserve">California affirms its strong commitment to promote equity and access to CTE programs by supporting the JSPAC, which provides the following related activities and services: </w:t>
      </w:r>
    </w:p>
    <w:p w14:paraId="396FAEE1" w14:textId="78E6DFC1" w:rsidR="007C3951" w:rsidRPr="003D4DA3" w:rsidRDefault="007C3951" w:rsidP="0093009B">
      <w:pPr>
        <w:pStyle w:val="ListParagraph"/>
        <w:numPr>
          <w:ilvl w:val="0"/>
          <w:numId w:val="43"/>
        </w:numPr>
        <w:ind w:left="1170" w:hanging="450"/>
        <w:rPr>
          <w:rFonts w:cs="Arial"/>
        </w:rPr>
      </w:pPr>
      <w:r w:rsidRPr="003D4DA3">
        <w:rPr>
          <w:rFonts w:cs="Arial"/>
        </w:rPr>
        <w:t>A statewide leadership training conference and regional workshops providing specific information for supporting special populations;</w:t>
      </w:r>
    </w:p>
    <w:p w14:paraId="0C94D12C" w14:textId="77777777" w:rsidR="007C3951" w:rsidRPr="007C3951" w:rsidRDefault="007C3951" w:rsidP="0093009B">
      <w:pPr>
        <w:pStyle w:val="ListParagraph"/>
        <w:numPr>
          <w:ilvl w:val="0"/>
          <w:numId w:val="43"/>
        </w:numPr>
        <w:ind w:left="1170" w:hanging="450"/>
        <w:rPr>
          <w:rFonts w:cs="Arial"/>
        </w:rPr>
      </w:pPr>
      <w:r w:rsidRPr="007C3951">
        <w:rPr>
          <w:rFonts w:cs="Arial"/>
        </w:rPr>
        <w:t>Training and strategies to educators to assist special-population students in meeting or exceeding state-adjusted levels of performance;</w:t>
      </w:r>
    </w:p>
    <w:p w14:paraId="442939E2" w14:textId="77777777" w:rsidR="007C3951" w:rsidRPr="007C3951" w:rsidRDefault="007C3951" w:rsidP="0093009B">
      <w:pPr>
        <w:pStyle w:val="ListParagraph"/>
        <w:numPr>
          <w:ilvl w:val="0"/>
          <w:numId w:val="43"/>
        </w:numPr>
        <w:ind w:left="1170" w:hanging="450"/>
        <w:rPr>
          <w:rFonts w:cs="Arial"/>
        </w:rPr>
      </w:pPr>
      <w:r w:rsidRPr="007C3951">
        <w:rPr>
          <w:rFonts w:cs="Arial"/>
        </w:rPr>
        <w:t>Linkages and partnerships to support special-population students, including the identification of community-based organizations, social service agencies, and workforce development agencies; and</w:t>
      </w:r>
    </w:p>
    <w:p w14:paraId="7C9E7614" w14:textId="77777777" w:rsidR="007C3951" w:rsidRPr="007C3951" w:rsidRDefault="007C3951" w:rsidP="0093009B">
      <w:pPr>
        <w:pStyle w:val="ListParagraph"/>
        <w:numPr>
          <w:ilvl w:val="0"/>
          <w:numId w:val="43"/>
        </w:numPr>
        <w:ind w:left="1170" w:hanging="450"/>
        <w:rPr>
          <w:rFonts w:cs="Arial"/>
        </w:rPr>
      </w:pPr>
      <w:r w:rsidRPr="007C3951">
        <w:rPr>
          <w:rFonts w:cs="Arial"/>
        </w:rPr>
        <w:t>Collaboration with other programs and service providers to address the specific needs of all special-population students.</w:t>
      </w:r>
    </w:p>
    <w:p w14:paraId="18DF3106" w14:textId="1B490C21" w:rsidR="006A3362" w:rsidRDefault="006A3362" w:rsidP="007C3951">
      <w:pPr>
        <w:rPr>
          <w:rFonts w:cs="Arial"/>
        </w:rPr>
      </w:pPr>
      <w:r w:rsidRPr="006A3362">
        <w:rPr>
          <w:rFonts w:cs="Arial"/>
        </w:rPr>
        <w:t xml:space="preserve">The work of the JSPAC is supported by investments in the many programs designed to serve the needs of special populations such as the Student Equity and Achievement Program (SEAP), Guided Pathways, AB 705, Extended Opportunity Programs and </w:t>
      </w:r>
      <w:r w:rsidRPr="006A3362">
        <w:rPr>
          <w:rFonts w:cs="Arial"/>
        </w:rPr>
        <w:lastRenderedPageBreak/>
        <w:t>Services,</w:t>
      </w:r>
      <w:r>
        <w:rPr>
          <w:rStyle w:val="FootnoteReference"/>
          <w:rFonts w:cs="Arial"/>
        </w:rPr>
        <w:footnoteReference w:id="25"/>
      </w:r>
      <w:r w:rsidRPr="006A3362">
        <w:rPr>
          <w:rFonts w:cs="Arial"/>
        </w:rPr>
        <w:t xml:space="preserve"> Disabled Student Programs and Services (DSPS), Puente Project,</w:t>
      </w:r>
      <w:r>
        <w:rPr>
          <w:rStyle w:val="FootnoteReference"/>
          <w:rFonts w:cs="Arial"/>
        </w:rPr>
        <w:footnoteReference w:id="26"/>
      </w:r>
      <w:r w:rsidRPr="006A3362">
        <w:rPr>
          <w:rFonts w:cs="Arial"/>
        </w:rPr>
        <w:t xml:space="preserve"> and others. Efforts are being made to coordinate with the CWDB and programs available to youth and adults that increases success in career aspirations.</w:t>
      </w:r>
    </w:p>
    <w:p w14:paraId="6624DB71" w14:textId="0E52C86A" w:rsidR="007C3951" w:rsidRPr="007C3951" w:rsidRDefault="007C3951" w:rsidP="007C3951">
      <w:pPr>
        <w:rPr>
          <w:rFonts w:cs="Arial"/>
        </w:rPr>
      </w:pPr>
      <w:r w:rsidRPr="007C3951">
        <w:rPr>
          <w:rFonts w:cs="Arial"/>
        </w:rPr>
        <w:t xml:space="preserve">The scope and charge of the JSPAC is broad, spanning both secondary school districts and community colleges. But the JSPAC has a relatively small appropriation in the Perkins budget, generally using the funds allocated to special populations. Also state special schools provide CTE programs to secondary and adult students, including providing opportunities for WBL, at the California Schools for the Deaf in Fremont and Riverside, and the California School for the Blind in Fremont. Each year, these schools receive a portion of the State’s Perkins V allocation to help improve their CTE programs. Under Perkins V it is the intent of the state to go beyond funding these two programs with Perkins V funds. </w:t>
      </w:r>
      <w:bookmarkStart w:id="64" w:name="_Hlk34384786"/>
      <w:r w:rsidR="008B3DC5">
        <w:rPr>
          <w:rFonts w:cs="Arial"/>
        </w:rPr>
        <w:t>In addition, California has dedicated resources, as well as coordinates with public and private entities to address the needs of undocumented students, veterans, the incarcerated, and the formerly incarcerated population.</w:t>
      </w:r>
      <w:bookmarkEnd w:id="64"/>
    </w:p>
    <w:p w14:paraId="2F0379C2" w14:textId="0C91251C" w:rsidR="007C3951" w:rsidRPr="007C3951" w:rsidRDefault="007C3951" w:rsidP="007C3951">
      <w:pPr>
        <w:rPr>
          <w:rFonts w:cs="Arial"/>
        </w:rPr>
      </w:pPr>
      <w:r w:rsidRPr="009F1843">
        <w:rPr>
          <w:rFonts w:cs="Arial"/>
          <w:b/>
        </w:rPr>
        <w:t>Special Education Students.</w:t>
      </w:r>
      <w:r w:rsidRPr="007C3951">
        <w:rPr>
          <w:rFonts w:cs="Arial"/>
        </w:rPr>
        <w:t xml:space="preserve"> Each Special Education Local Plan Area (SELPA)</w:t>
      </w:r>
      <w:r w:rsidR="009F1843">
        <w:rPr>
          <w:rStyle w:val="FootnoteReference"/>
          <w:rFonts w:cs="Arial"/>
        </w:rPr>
        <w:footnoteReference w:id="27"/>
      </w:r>
      <w:r w:rsidRPr="007C3951">
        <w:rPr>
          <w:rFonts w:cs="Arial"/>
        </w:rPr>
        <w:t xml:space="preserve"> is dedicated to the belief that all students can learn and that special-needs students must be guaranteed equal opportunity to become contributing members of society. SELPAs </w:t>
      </w:r>
      <w:r w:rsidRPr="007C3951">
        <w:rPr>
          <w:rFonts w:cs="Arial"/>
        </w:rPr>
        <w:lastRenderedPageBreak/>
        <w:t>facilitate high-quality educational programs and services for special-needs students and training for parents and educators. The goal of each SELPA is to support and assist member districts with their special education programs and services, enabling them to operate in the most efficient and cost-effective manner possible. Each SELPA is responsible for ensuring that all eligible children receive appropriate services to help them be successful. In addition to providing administrative support, SELPAs help their members comply with legal requirements concerning students with disabilities, and provide PD activities to foster better relationships between schools and the families of special-needs students.</w:t>
      </w:r>
    </w:p>
    <w:p w14:paraId="3362DD0C" w14:textId="77777777" w:rsidR="007C3951" w:rsidRPr="007C3951" w:rsidRDefault="007C3951" w:rsidP="007C3951">
      <w:pPr>
        <w:rPr>
          <w:rFonts w:cs="Arial"/>
        </w:rPr>
      </w:pPr>
      <w:r w:rsidRPr="009F1843">
        <w:rPr>
          <w:rFonts w:cs="Arial"/>
          <w:b/>
        </w:rPr>
        <w:t>Single parents, including single pregnant women and teen parents.</w:t>
      </w:r>
      <w:r w:rsidRPr="007C3951">
        <w:rPr>
          <w:rFonts w:cs="Arial"/>
        </w:rPr>
        <w:t xml:space="preserve"> Many single parents, single pregnant women, and teen parents enroll in CTE programs such as childcare, teacher’s aide, video animation and design. Schools also offer infant care courses for both teen mothers and fathers. As an example, the CDE Early Learning and Care Division (ELCD) provides support for single parents through child care services provided by ELCD contractors. </w:t>
      </w:r>
    </w:p>
    <w:p w14:paraId="72C6D977" w14:textId="77777777" w:rsidR="007C3951" w:rsidRPr="007C3951" w:rsidRDefault="007C3951" w:rsidP="007C3951">
      <w:pPr>
        <w:rPr>
          <w:rFonts w:cs="Arial"/>
        </w:rPr>
      </w:pPr>
      <w:r w:rsidRPr="009F1843">
        <w:rPr>
          <w:rFonts w:cs="Arial"/>
          <w:b/>
        </w:rPr>
        <w:t>Out-of-workforce individuals.</w:t>
      </w:r>
      <w:r w:rsidRPr="007C3951">
        <w:rPr>
          <w:rFonts w:cs="Arial"/>
        </w:rPr>
        <w:t xml:space="preserve"> Through adult education programs, CDE funds CTE training for high school drop outs and adults in all 15 industry sectors. Some CTE students concurrently enroll in completing their general education diploma (GED). Also, incarcerated youth have access to CTE programs through county offices of education, community colleges, and there are some jail schools which offer CTE programs. Additionally, these grants provide for services to low-income and hard-to-serve adults who demonstrate basic skills deficiency below the eighth-grade level. </w:t>
      </w:r>
    </w:p>
    <w:p w14:paraId="5191AEB4" w14:textId="042AC8F6" w:rsidR="007C3951" w:rsidRPr="007C3951" w:rsidRDefault="007C3951" w:rsidP="007C3951">
      <w:pPr>
        <w:rPr>
          <w:rFonts w:cs="Arial"/>
        </w:rPr>
      </w:pPr>
      <w:r w:rsidRPr="009F1843">
        <w:rPr>
          <w:rFonts w:cs="Arial"/>
          <w:b/>
        </w:rPr>
        <w:t>English Learners (EL).</w:t>
      </w:r>
      <w:r w:rsidRPr="007C3951">
        <w:rPr>
          <w:rFonts w:cs="Arial"/>
        </w:rPr>
        <w:t xml:space="preserve"> The CDE provides many programs and services to help students who do not speak, read, write or understand English well as a result of English not being their home language. State and federal funding is used for offering EL students support for achieving academic success by teaching to CTE content standards in order to meet industry skill attainment. CTE teachers also integrate English and mathematics standards into their CTE course curriculum. Bilingual classroom aides work with CTE teachers to support EL students for retention and completion of CTE programs of study which can include an industry certification for employment. </w:t>
      </w:r>
      <w:r w:rsidRPr="007C3951">
        <w:rPr>
          <w:rFonts w:cs="Arial"/>
        </w:rPr>
        <w:lastRenderedPageBreak/>
        <w:t>Instruction through adult education programs enables students with limited English proficiency to learn competency-based English.</w:t>
      </w:r>
      <w:r w:rsidR="009F1843">
        <w:rPr>
          <w:rStyle w:val="FootnoteReference"/>
          <w:rFonts w:cs="Arial"/>
        </w:rPr>
        <w:footnoteReference w:id="28"/>
      </w:r>
      <w:r w:rsidRPr="007C3951">
        <w:rPr>
          <w:rFonts w:cs="Arial"/>
        </w:rPr>
        <w:t xml:space="preserve"> </w:t>
      </w:r>
    </w:p>
    <w:p w14:paraId="5CE80E9F" w14:textId="77777777" w:rsidR="007C3951" w:rsidRPr="007C3951" w:rsidRDefault="007C3951" w:rsidP="007C3951">
      <w:pPr>
        <w:rPr>
          <w:rFonts w:cs="Arial"/>
        </w:rPr>
      </w:pPr>
      <w:r w:rsidRPr="009F1843">
        <w:rPr>
          <w:rFonts w:cs="Arial"/>
          <w:b/>
        </w:rPr>
        <w:t xml:space="preserve">Homeless individuals. </w:t>
      </w:r>
      <w:r w:rsidRPr="007C3951">
        <w:rPr>
          <w:rFonts w:cs="Arial"/>
        </w:rPr>
        <w:t>The CDE provides many resources, including training modules for homeless children and youth. High schools identify homeless students and connect them with basic support services offered in their community. There are schools connected with food kitchens where homeless students can concurrently engage in training for workforce preparation and career readiness while engaged in grade level instruction. These connections are created by CTE teachers which offer after school opportunities to complete CTE projects and continue to develop skill attainment by practicing their sector training such as welding or computer design. School counselors and after school programs also offer students support services for academic and CTE pathway success. Adult education services are available for people who live in extreme poverty and who often cannot afford to travel to adult education programs. Adult literacy services provide life skills instruction, connections with community resources, self-esteem support, and preparation for employment. The ELCD provides child development services on the basis of homelessness.</w:t>
      </w:r>
    </w:p>
    <w:p w14:paraId="4D85E4CB" w14:textId="0453970B" w:rsidR="007C3951" w:rsidRPr="007C3951" w:rsidRDefault="007C3951" w:rsidP="007C3951">
      <w:pPr>
        <w:rPr>
          <w:rFonts w:cs="Arial"/>
        </w:rPr>
      </w:pPr>
      <w:r w:rsidRPr="009F1843">
        <w:rPr>
          <w:rFonts w:cs="Arial"/>
          <w:b/>
        </w:rPr>
        <w:t>Foster Youth.</w:t>
      </w:r>
      <w:r w:rsidRPr="007C3951">
        <w:rPr>
          <w:rFonts w:cs="Arial"/>
        </w:rPr>
        <w:t xml:space="preserve"> Schools identify foster youth and work with guardians to provide students with the support needed to complete their CTE programs of study. CTE teachers add after school or weekend hours to provide students opportunities to complete CTE </w:t>
      </w:r>
      <w:r w:rsidR="00AE6D0E">
        <w:rPr>
          <w:rFonts w:cs="Arial"/>
        </w:rPr>
        <w:t>WBL</w:t>
      </w:r>
      <w:r w:rsidRPr="007C3951">
        <w:rPr>
          <w:rFonts w:cs="Arial"/>
        </w:rPr>
        <w:t xml:space="preserve"> projects. CDE’s Integrated Student Support and Programs Office administers the Foster Youth Services Coordinating Programs (FYSCPs) through grants to county offices of education and selected school districts. The FYSCPs provide support services to foster children who suffer the traumatic effects of displacement from family and schools and multiple placements in foster care. These FYSCPs have the ability and authority to ensure that health and school records are obtained to establish appropriate placements and coordinate instruction, counseling, tutoring, mentoring, </w:t>
      </w:r>
      <w:r w:rsidRPr="007C3951">
        <w:rPr>
          <w:rFonts w:cs="Arial"/>
        </w:rPr>
        <w:lastRenderedPageBreak/>
        <w:t>vocational training, emancipation services, training for independent living, and other related services. The FYSCPs increase the stability of placements for foster children and youth. These services are designed to improve the children's educational performance and personal achievement, directly benefiting them as well as providing long-range cost savings to the state.</w:t>
      </w:r>
    </w:p>
    <w:p w14:paraId="24A72354" w14:textId="77777777" w:rsidR="007C3951" w:rsidRPr="007C3951" w:rsidRDefault="007C3951" w:rsidP="007C3951">
      <w:pPr>
        <w:rPr>
          <w:rFonts w:cs="Arial"/>
        </w:rPr>
      </w:pPr>
      <w:r w:rsidRPr="009F1843">
        <w:rPr>
          <w:rFonts w:cs="Arial"/>
          <w:b/>
        </w:rPr>
        <w:t>Youth with a parent who is a member of the armed forces.</w:t>
      </w:r>
      <w:r w:rsidRPr="007C3951">
        <w:rPr>
          <w:rFonts w:cs="Arial"/>
        </w:rPr>
        <w:t xml:space="preserve"> California participates as a member of the Interstate Compact on Educational Opportunity for Military Children (ICEOMC). The purpose of the ICEOMC is to remove barriers to educational success imposed on children of military families due to the frequent moves and deployment of their parents. The ICEOMC addresses key educational transition issues encountered by military families, including enrollment, placement, attendance, eligibility, and graduation.</w:t>
      </w:r>
    </w:p>
    <w:p w14:paraId="3B03105A" w14:textId="77777777" w:rsidR="007C3951" w:rsidRPr="007C3951" w:rsidRDefault="007C3951" w:rsidP="007C3951">
      <w:pPr>
        <w:rPr>
          <w:rFonts w:cs="Arial"/>
        </w:rPr>
      </w:pPr>
      <w:r w:rsidRPr="007C3951">
        <w:rPr>
          <w:rFonts w:cs="Arial"/>
        </w:rPr>
        <w:t>The CCC offer a number of programs that are targeted investments designated to serve special populations including veterans, economically disadvantage students, disabled students, and many others. These programs exist at every campus, and include:</w:t>
      </w:r>
    </w:p>
    <w:p w14:paraId="7F97276E" w14:textId="1DE82A44" w:rsidR="007C3951" w:rsidRPr="007C3951" w:rsidRDefault="007C3951" w:rsidP="0093009B">
      <w:pPr>
        <w:pStyle w:val="ListParagraph"/>
        <w:numPr>
          <w:ilvl w:val="0"/>
          <w:numId w:val="43"/>
        </w:numPr>
        <w:ind w:left="1170" w:hanging="450"/>
        <w:rPr>
          <w:rFonts w:cs="Arial"/>
        </w:rPr>
      </w:pPr>
      <w:r w:rsidRPr="007C3951">
        <w:rPr>
          <w:rFonts w:cs="Arial"/>
        </w:rPr>
        <w:t>SEAP – is a statewide categorical program focused on closing equity gaps for all students.</w:t>
      </w:r>
    </w:p>
    <w:p w14:paraId="64D0A5E3" w14:textId="4B9BF973" w:rsidR="007C3951" w:rsidRPr="007C3951" w:rsidRDefault="007C3951" w:rsidP="0093009B">
      <w:pPr>
        <w:pStyle w:val="ListParagraph"/>
        <w:numPr>
          <w:ilvl w:val="0"/>
          <w:numId w:val="43"/>
        </w:numPr>
        <w:ind w:left="1170" w:hanging="450"/>
        <w:rPr>
          <w:rFonts w:cs="Arial"/>
        </w:rPr>
      </w:pPr>
      <w:r w:rsidRPr="007C3951">
        <w:rPr>
          <w:rFonts w:cs="Arial"/>
        </w:rPr>
        <w:t>The DSPS provided through CCC are focused on equity and making sure students can reach their full potential. The DSPS assist students with disabilities so that they have equal access to all programs and activities on campus.</w:t>
      </w:r>
    </w:p>
    <w:p w14:paraId="3378EA47" w14:textId="77777777" w:rsidR="007C3951" w:rsidRPr="007C3951" w:rsidRDefault="007C3951" w:rsidP="0093009B">
      <w:pPr>
        <w:pStyle w:val="ListParagraph"/>
        <w:numPr>
          <w:ilvl w:val="0"/>
          <w:numId w:val="43"/>
        </w:numPr>
        <w:ind w:left="1170" w:hanging="450"/>
        <w:rPr>
          <w:rFonts w:cs="Arial"/>
        </w:rPr>
      </w:pPr>
      <w:r w:rsidRPr="007C3951">
        <w:rPr>
          <w:rFonts w:cs="Arial"/>
        </w:rPr>
        <w:t>The DSPS provide support services to students with physical disabilities, learning disabilities, psychological disabilities, developmental delays, brain injuries, visual impairments, health problems, and hearing impairments. Among the array of services offered are priority registration, specialized counseling, class scheduling, mobility assistance, test proctoring, specialized tutoring, transcription services, and interpreter services for hearing-impaired or deaf students.</w:t>
      </w:r>
    </w:p>
    <w:p w14:paraId="40C08673" w14:textId="77777777" w:rsidR="007C3951" w:rsidRPr="007C3951" w:rsidRDefault="007C3951" w:rsidP="0093009B">
      <w:pPr>
        <w:pStyle w:val="ListParagraph"/>
        <w:numPr>
          <w:ilvl w:val="0"/>
          <w:numId w:val="43"/>
        </w:numPr>
        <w:ind w:left="1170" w:hanging="450"/>
        <w:rPr>
          <w:rFonts w:cs="Arial"/>
        </w:rPr>
      </w:pPr>
      <w:r w:rsidRPr="007C3951">
        <w:rPr>
          <w:rFonts w:cs="Arial"/>
        </w:rPr>
        <w:lastRenderedPageBreak/>
        <w:t>Extended Opportunity Programs and Services assist students disadvantaged by social, economic, educational, or linguistic barriers with obtaining the resources needed to enroll and succeed at any CCC.</w:t>
      </w:r>
    </w:p>
    <w:p w14:paraId="34F2CFC1" w14:textId="77777777" w:rsidR="007C3951" w:rsidRPr="007C3951" w:rsidRDefault="007C3951" w:rsidP="0093009B">
      <w:pPr>
        <w:pStyle w:val="ListParagraph"/>
        <w:numPr>
          <w:ilvl w:val="0"/>
          <w:numId w:val="43"/>
        </w:numPr>
        <w:ind w:left="1170" w:hanging="450"/>
        <w:rPr>
          <w:rFonts w:cs="Arial"/>
        </w:rPr>
      </w:pPr>
      <w:r w:rsidRPr="007C3951">
        <w:rPr>
          <w:rFonts w:cs="Arial"/>
        </w:rPr>
        <w:t>Foster Youth Success Initiative seeks to remove barriers that current and former foster youth often find in college. The program focus includes expanding access to academic support services and resources to help current and former foster youth secure a certificate or degree or transfer to a four year-college or university.</w:t>
      </w:r>
    </w:p>
    <w:p w14:paraId="6219011E" w14:textId="77777777" w:rsidR="007C3951" w:rsidRPr="007C3951" w:rsidRDefault="007C3951" w:rsidP="0093009B">
      <w:pPr>
        <w:pStyle w:val="ListParagraph"/>
        <w:numPr>
          <w:ilvl w:val="0"/>
          <w:numId w:val="43"/>
        </w:numPr>
        <w:ind w:left="1170" w:hanging="450"/>
        <w:rPr>
          <w:rFonts w:cs="Arial"/>
        </w:rPr>
      </w:pPr>
      <w:r w:rsidRPr="007C3951">
        <w:rPr>
          <w:rFonts w:cs="Arial"/>
        </w:rPr>
        <w:t xml:space="preserve">Many CCC campuses also have established special programs to support Veterans in their transition from the military and offer supportive networks that increases academic acclamation and success with campus life and academics. </w:t>
      </w:r>
    </w:p>
    <w:p w14:paraId="744CCC37" w14:textId="77777777" w:rsidR="007C3951" w:rsidRPr="007C3951" w:rsidRDefault="007C3951" w:rsidP="0093009B">
      <w:pPr>
        <w:pStyle w:val="ListParagraph"/>
        <w:numPr>
          <w:ilvl w:val="0"/>
          <w:numId w:val="43"/>
        </w:numPr>
        <w:ind w:left="1170" w:hanging="450"/>
        <w:rPr>
          <w:rFonts w:cs="Arial"/>
        </w:rPr>
      </w:pPr>
      <w:r w:rsidRPr="007C3951">
        <w:rPr>
          <w:rFonts w:cs="Arial"/>
        </w:rPr>
        <w:t>Health assessment and treatment, psychological counseling and crisis intervention, and first aid and community partnerships are available at all CCC campuses. These partnerships have resulted in a growing number of food pantries and free farmers markets, as recent studies are finding more than half of community college students face food insecurities and nearly half experience housing insecurity or homelessness.</w:t>
      </w:r>
    </w:p>
    <w:p w14:paraId="41433E89" w14:textId="77777777" w:rsidR="007C3951" w:rsidRPr="007C3951" w:rsidRDefault="007C3951" w:rsidP="007C3951">
      <w:pPr>
        <w:rPr>
          <w:rFonts w:cs="Arial"/>
        </w:rPr>
      </w:pPr>
      <w:r w:rsidRPr="007C3951">
        <w:rPr>
          <w:rFonts w:cs="Arial"/>
        </w:rPr>
        <w:t>California is dedicated to the belief that all students can learn and that students with disabilities and English language learners must be guaranteed equal opportunity to access career pathway programs to realize their greatest potential. Through statewide employment-first policies combined with efforts to enable competitive integrated employment, California is ensuring that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4BC2DE9E" w14:textId="77777777" w:rsidR="007C3951" w:rsidRPr="007C3951" w:rsidRDefault="007C3951" w:rsidP="007C3951">
      <w:pPr>
        <w:rPr>
          <w:rFonts w:cs="Arial"/>
        </w:rPr>
      </w:pPr>
      <w:r w:rsidRPr="007C3951">
        <w:rPr>
          <w:rFonts w:cs="Arial"/>
        </w:rPr>
        <w:lastRenderedPageBreak/>
        <w:t>As affirmed by the CWPJAC in its Essential Elements of a High-Quality College and Career Pathway program, the strong presence of career exploration and student supports is an essential component of establishing a learning plan for all K–14+ students, especially to meet the needs of special populations. This includes identifying appropriate foundational courses (e.g., using competency-based learning) and information about jobs, determining student progression in a single pathway or along multiple pathways or sequences of learning, and making available in-class and online course offerings and WBL opportunities. To complement their learning plans and to achieve their individual goals and aspirations, all students, including those with special needs, should also have access to comprehensive counseling, individualized supports along their journey (including, but not limited to, students who are part-time, face barriers to learning, or need academic or cultural supports, transportation, child care, or financial aid), and opportunities through student leadership development organizations.</w:t>
      </w:r>
    </w:p>
    <w:p w14:paraId="0DE32CDE" w14:textId="77777777" w:rsidR="007C3951" w:rsidRPr="007C3951" w:rsidRDefault="007C3951" w:rsidP="007C3951">
      <w:pPr>
        <w:rPr>
          <w:rFonts w:cs="Arial"/>
        </w:rPr>
      </w:pPr>
      <w:r w:rsidRPr="007C3951">
        <w:rPr>
          <w:rFonts w:cs="Arial"/>
        </w:rPr>
        <w:t>Student leadership activities, including those provided through CTSOs, provide all students, including special populations, additional support regarding specific Industry Sectors, self-advocacy, and acquiring leadership skills. Other activities that target the different special population sub-groups include developing and/or disseminating training materials for administrators, faculty, counselors, and student support staff to assist students who are members of special populations in gaining access to and succeeding in high-quality CTE programs. Also, additional supports that target the different special population sub-groups include WBL opportunities, workability programs, providing adaptive equipment and services, and increasing the flexibility of program schedules to accommodate working students and students with young children.</w:t>
      </w:r>
    </w:p>
    <w:p w14:paraId="69C154D1" w14:textId="5F3CEF7A" w:rsidR="00E61323" w:rsidRPr="00054543" w:rsidRDefault="007C3951" w:rsidP="007C3951">
      <w:r w:rsidRPr="007C3951">
        <w:rPr>
          <w:rFonts w:cs="Arial"/>
        </w:rPr>
        <w:t>California affirms its strong commitment to promote equity and access to CTE programs by eliminating institutional barriers and achievement gaps for all students, particularly members of special populations, to realize their educational and career aspirations. The State expects all LEAs and institutions to design educational environments that maximize equity and access for all student populations. This commitment is explicitly emphasized in the Guiding Policy Principles and enumerated in the Essential Elements of a High-Quality CTE Program, established by the CWPJAC</w:t>
      </w:r>
      <w:r w:rsidR="00E61323" w:rsidRPr="00054543">
        <w:t>.</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lastRenderedPageBreak/>
        <w:t>ii. will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6FA19BF6" w:rsidR="00E61323" w:rsidRPr="00054543" w:rsidRDefault="00E61323" w:rsidP="00E61323">
      <w:pPr>
        <w:rPr>
          <w:rFonts w:eastAsia="Calibri" w:cs="Times New Roman"/>
        </w:rPr>
      </w:pPr>
      <w:r w:rsidRPr="00054543">
        <w:rPr>
          <w:rFonts w:eastAsia="Calibri" w:cs="Times New Roman"/>
        </w:rPr>
        <w:t xml:space="preserve">Existing </w:t>
      </w:r>
      <w:r w:rsidR="00D857D4">
        <w:rPr>
          <w:rFonts w:eastAsia="Calibri" w:cs="Times New Roman"/>
        </w:rPr>
        <w:t>S</w:t>
      </w:r>
      <w:r w:rsidRPr="00054543">
        <w:rPr>
          <w:rFonts w:eastAsia="Calibri" w:cs="Times New Roman"/>
        </w:rPr>
        <w:t xml:space="preserve">tate policies require eligible recipients to comply with </w:t>
      </w:r>
      <w:r w:rsidR="00D857D4">
        <w:rPr>
          <w:rFonts w:eastAsia="Calibri" w:cs="Times New Roman"/>
        </w:rPr>
        <w:t>S</w:t>
      </w:r>
      <w:r w:rsidRPr="00054543">
        <w:rPr>
          <w:rFonts w:eastAsia="Calibri" w:cs="Times New Roman"/>
        </w:rPr>
        <w:t xml:space="preserve">tate and federal laws and regulations prohibiting discrimination based on race, color, national origin, sex, sexuality, </w:t>
      </w:r>
      <w:r w:rsidR="002E6495">
        <w:rPr>
          <w:rFonts w:eastAsia="Calibri" w:cs="Times New Roman"/>
        </w:rPr>
        <w:t>or</w:t>
      </w:r>
      <w:r w:rsidR="002E6495" w:rsidRPr="00054543">
        <w:rPr>
          <w:rFonts w:eastAsia="Calibri" w:cs="Times New Roman"/>
        </w:rPr>
        <w:t xml:space="preserve"> </w:t>
      </w:r>
      <w:r w:rsidRPr="00054543">
        <w:rPr>
          <w:rFonts w:eastAsia="Calibri" w:cs="Times New Roman"/>
        </w:rPr>
        <w:t>disability. The 2019–20 application will require applicants to demonstrate how discrimination of any kind is not tolerated. Eligible recipients must provide nondiscrimination notifications to students, parents, school employees, and the general public.</w:t>
      </w:r>
    </w:p>
    <w:p w14:paraId="0ECA7E50" w14:textId="45D568AD" w:rsidR="006A7887" w:rsidRPr="00054543" w:rsidRDefault="00E61323" w:rsidP="00E61323">
      <w:pPr>
        <w:rPr>
          <w:rFonts w:eastAsia="Calibri" w:cs="Times New Roman"/>
        </w:rPr>
      </w:pPr>
      <w:r w:rsidRPr="00054543">
        <w:rPr>
          <w:rFonts w:eastAsia="Calibri" w:cs="Times New Roman"/>
        </w:rPr>
        <w:t xml:space="preserve">As stated in the response to </w:t>
      </w:r>
      <w:r w:rsidR="00382CFA">
        <w:rPr>
          <w:rFonts w:eastAsia="Calibri" w:cs="Times New Roman"/>
        </w:rPr>
        <w:t>prompt B</w:t>
      </w:r>
      <w:r w:rsidRPr="00054543">
        <w:rPr>
          <w:rFonts w:eastAsia="Calibri" w:cs="Times New Roman"/>
        </w:rPr>
        <w:t>(3)(a)(i), California provides an abundance of support services for all special student populations in the State. Eligible recipients are expected to design educational environments that are attuned to the needs of special student populations.</w:t>
      </w:r>
      <w:r w:rsidR="006E0AC0" w:rsidRPr="006E0AC0">
        <w:t xml:space="preserve"> </w:t>
      </w:r>
      <w:r w:rsidR="006E0AC0" w:rsidRPr="006E0AC0">
        <w:rPr>
          <w:rFonts w:eastAsia="Calibri" w:cs="Times New Roman"/>
        </w:rPr>
        <w:t>CTE programs can use existing processes such as individual education plans and 504 plans for students with disabilities to secure adaptive equipment and service needs.</w:t>
      </w:r>
      <w:r w:rsidRPr="00054543">
        <w:rPr>
          <w:rFonts w:eastAsia="Calibri" w:cs="Times New Roman"/>
        </w:rPr>
        <w:t xml:space="preserve"> This includes making appropriate and necessary accommodations for students, as well as developing and/or disseminating training and informational materials for administrators, faculty, counselors, and student support staff to assist students who are members of special populations </w:t>
      </w:r>
      <w:r w:rsidR="002E6495">
        <w:rPr>
          <w:rFonts w:eastAsia="Calibri" w:cs="Times New Roman"/>
        </w:rPr>
        <w:t xml:space="preserve">in </w:t>
      </w:r>
      <w:r w:rsidRPr="00054543">
        <w:rPr>
          <w:rFonts w:eastAsia="Calibri" w:cs="Times New Roman"/>
        </w:rPr>
        <w:t>succeed</w:t>
      </w:r>
      <w:r w:rsidR="002E6495">
        <w:rPr>
          <w:rFonts w:eastAsia="Calibri" w:cs="Times New Roman"/>
        </w:rPr>
        <w:t>ing</w:t>
      </w:r>
      <w:r w:rsidRPr="00054543">
        <w:rPr>
          <w:rFonts w:eastAsia="Calibri" w:cs="Times New Roman"/>
        </w:rPr>
        <w:t xml:space="preserve"> in high-quality CTE programs; providing adaptive equipment and services; and increasing the flexibility of program schedules to accommodate working students and students with young children.</w:t>
      </w:r>
      <w:r w:rsidR="006A7887">
        <w:rPr>
          <w:rFonts w:eastAsia="Calibri" w:cs="Times New Roman"/>
        </w:rPr>
        <w:t xml:space="preserve"> </w:t>
      </w:r>
    </w:p>
    <w:p w14:paraId="7909C464" w14:textId="326559B7" w:rsidR="00E61323" w:rsidRPr="00054543" w:rsidRDefault="00E61323" w:rsidP="00E61323">
      <w:pPr>
        <w:rPr>
          <w:rFonts w:eastAsia="Calibri" w:cs="Times New Roman"/>
        </w:rPr>
      </w:pPr>
      <w:r w:rsidRPr="00054543">
        <w:rPr>
          <w:rFonts w:eastAsia="Calibri" w:cs="Times New Roman"/>
        </w:rPr>
        <w:t xml:space="preserve">California provides continuous oversight and technical assistance to schools and colleges with respect to preserving nondiscrimination </w:t>
      </w:r>
      <w:r w:rsidR="002E6495">
        <w:rPr>
          <w:rFonts w:eastAsia="Calibri" w:cs="Times New Roman"/>
        </w:rPr>
        <w:t>toward</w:t>
      </w:r>
      <w:r w:rsidR="002E6495" w:rsidRPr="00054543">
        <w:rPr>
          <w:rFonts w:eastAsia="Calibri" w:cs="Times New Roman"/>
        </w:rPr>
        <w:t xml:space="preserve"> </w:t>
      </w:r>
      <w:r w:rsidRPr="00054543">
        <w:rPr>
          <w:rFonts w:eastAsia="Calibri" w:cs="Times New Roman"/>
        </w:rPr>
        <w:t xml:space="preserve">students who are members of special populations. All CCC and selected secondary school districts receive annual statistical reviews or audits of programs and enrollments to </w:t>
      </w:r>
      <w:r w:rsidR="002E6495">
        <w:rPr>
          <w:rFonts w:eastAsia="Calibri" w:cs="Times New Roman"/>
        </w:rPr>
        <w:t>en</w:t>
      </w:r>
      <w:r w:rsidRPr="00054543">
        <w:rPr>
          <w:rFonts w:eastAsia="Calibri" w:cs="Times New Roman"/>
        </w:rPr>
        <w:t>sure equal access and the upholding of policies related to race, sex, disability, limited English proficiency, salary, hiring practices, harassment, and technology.</w:t>
      </w:r>
    </w:p>
    <w:p w14:paraId="06C01782" w14:textId="752F9C5E" w:rsidR="00E61323" w:rsidRPr="00054543" w:rsidRDefault="00E61323" w:rsidP="00E61323">
      <w:pPr>
        <w:rPr>
          <w:rFonts w:eastAsia="Calibri" w:cs="Times New Roman"/>
        </w:rPr>
      </w:pPr>
      <w:r w:rsidRPr="00054543">
        <w:rPr>
          <w:rFonts w:eastAsia="Calibri" w:cs="Times New Roman"/>
        </w:rPr>
        <w:lastRenderedPageBreak/>
        <w:t xml:space="preserve">Biennial site visit schedules and targeting plans will continue to be developed and submitted to the OCR for approval, and both </w:t>
      </w:r>
      <w:r w:rsidR="000B2D20">
        <w:rPr>
          <w:rFonts w:eastAsia="Calibri" w:cs="Times New Roman"/>
        </w:rPr>
        <w:t>the CDE and the CCCCO</w:t>
      </w:r>
      <w:r w:rsidRPr="00054543">
        <w:rPr>
          <w:rFonts w:eastAsia="Calibri" w:cs="Times New Roman"/>
        </w:rPr>
        <w:t xml:space="preserve"> will continue to submit CTE</w:t>
      </w:r>
      <w:r w:rsidR="002E6495">
        <w:rPr>
          <w:rFonts w:eastAsia="Calibri" w:cs="Times New Roman"/>
        </w:rPr>
        <w:t>–</w:t>
      </w:r>
      <w:r w:rsidRPr="00054543">
        <w:rPr>
          <w:rFonts w:eastAsia="Calibri" w:cs="Times New Roman"/>
        </w:rPr>
        <w:t>Civil Rights reports as required by the OCR.</w:t>
      </w:r>
    </w:p>
    <w:p w14:paraId="12528E5A" w14:textId="0088471C" w:rsidR="00E61323" w:rsidRPr="00054543" w:rsidRDefault="00E61323" w:rsidP="00E61323">
      <w:pPr>
        <w:rPr>
          <w:rFonts w:eastAsia="Calibri" w:cs="Times New Roman"/>
        </w:rPr>
      </w:pPr>
      <w:r w:rsidRPr="00054543">
        <w:rPr>
          <w:rFonts w:eastAsia="Calibri" w:cs="Times New Roman"/>
        </w:rPr>
        <w:t xml:space="preserve">California takes its regulatory responsibility seriously and will continue to monitor eligible recipients for compliance with </w:t>
      </w:r>
      <w:r w:rsidR="00D857D4">
        <w:rPr>
          <w:rFonts w:eastAsia="Calibri" w:cs="Times New Roman"/>
        </w:rPr>
        <w:t>S</w:t>
      </w:r>
      <w:r w:rsidRPr="00054543">
        <w:rPr>
          <w:rFonts w:eastAsia="Calibri" w:cs="Times New Roman"/>
        </w:rPr>
        <w:t>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iii. will be provided with programs designed to enable individuals who are members of special populations to meet or exceed State determined levels of performance described in section 113, and </w:t>
      </w:r>
      <w:bookmarkStart w:id="65" w:name="_Hlk32227874"/>
      <w:r w:rsidRPr="00054543">
        <w:rPr>
          <w:rFonts w:eastAsia="Times New Roman" w:cs="Times New Roman"/>
          <w:b/>
          <w:i/>
          <w:color w:val="000000"/>
        </w:rPr>
        <w:t xml:space="preserve">prepare special populations for further learning </w:t>
      </w:r>
      <w:bookmarkEnd w:id="65"/>
      <w:r w:rsidRPr="00054543">
        <w:rPr>
          <w:rFonts w:eastAsia="Times New Roman" w:cs="Times New Roman"/>
          <w:b/>
          <w:i/>
          <w:color w:val="000000"/>
        </w:rPr>
        <w:t>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2066CB57" w14:textId="7F8350A6" w:rsidR="00135101" w:rsidRDefault="002E6495" w:rsidP="00E61323">
      <w:r>
        <w:t xml:space="preserve">As previously described, </w:t>
      </w:r>
      <w:r w:rsidR="00135101">
        <w:t>Perkins V requires that the CLNA</w:t>
      </w:r>
      <w:r w:rsidR="00135101" w:rsidRPr="002F2687">
        <w:t xml:space="preserve"> </w:t>
      </w:r>
      <w:r w:rsidR="00135101">
        <w:t xml:space="preserve">address the following: </w:t>
      </w:r>
      <w:r w:rsidR="00135101" w:rsidRPr="002F2687">
        <w:t xml:space="preserve">(a) disaggregated student performance; (b) alignment to </w:t>
      </w:r>
      <w:r w:rsidR="00135101">
        <w:t>LMI</w:t>
      </w:r>
      <w:r w:rsidR="00135101" w:rsidRPr="002F2687">
        <w:t xml:space="preserve">; (c) </w:t>
      </w:r>
      <w:r w:rsidR="00135101">
        <w:t>requirements for</w:t>
      </w:r>
      <w:r w:rsidR="00135101" w:rsidRPr="002F2687">
        <w:t xml:space="preserve"> sufficient size, scope, and quality</w:t>
      </w:r>
      <w:r>
        <w:t>;</w:t>
      </w:r>
      <w:r w:rsidR="00135101" w:rsidRPr="002F2687">
        <w:t xml:space="preserve"> (d) implement</w:t>
      </w:r>
      <w:r w:rsidR="00135101">
        <w:t>ation of</w:t>
      </w:r>
      <w:r w:rsidR="00135101" w:rsidRPr="002F2687">
        <w:t xml:space="preserve"> programs and </w:t>
      </w:r>
      <w:r w:rsidR="00135101">
        <w:t>POS</w:t>
      </w:r>
      <w:r w:rsidR="00135101" w:rsidRPr="002F2687">
        <w:t>; (e) recruit</w:t>
      </w:r>
      <w:r w:rsidR="00135101">
        <w:t>ment</w:t>
      </w:r>
      <w:r w:rsidR="00135101" w:rsidRPr="002F2687">
        <w:t xml:space="preserve">, retention, and training of teachers, faculty, and staff; and </w:t>
      </w:r>
      <w:r w:rsidR="00135101">
        <w:t xml:space="preserve">(f) </w:t>
      </w:r>
      <w:r w:rsidR="00135101" w:rsidRPr="002F2687">
        <w:t>progress toward improving access and equity</w:t>
      </w:r>
      <w:r w:rsidR="00135101">
        <w:t xml:space="preserve">. Addressing all </w:t>
      </w:r>
      <w:r>
        <w:t xml:space="preserve">six of </w:t>
      </w:r>
      <w:r w:rsidR="00135101">
        <w:t>these items effectively for individuals who are members of special populations should lead to their meeting or exceeding SDPLs</w:t>
      </w:r>
      <w:r w:rsidR="0012677E">
        <w:t>. LEAs and community colleges are to use the CLNA information that specifically relate</w:t>
      </w:r>
      <w:r>
        <w:t>s</w:t>
      </w:r>
      <w:r w:rsidR="0012677E">
        <w:t xml:space="preserve"> to performance gaps among individuals who are members of special populations by allocating funds toward programs that narrow these gaps.</w:t>
      </w:r>
      <w:r w:rsidR="00DE4F19">
        <w:t xml:space="preserve"> </w:t>
      </w:r>
      <w:r w:rsidR="00F4676B">
        <w:t xml:space="preserve">A limiting factor in the creation of such programs is the need for recruitment, </w:t>
      </w:r>
      <w:r w:rsidR="00F4676B" w:rsidRPr="002F2687">
        <w:t>retention, and training of teachers, faculty, and staff</w:t>
      </w:r>
      <w:r w:rsidR="00F4676B">
        <w:t>, another required element in the CLNA.</w:t>
      </w:r>
    </w:p>
    <w:p w14:paraId="487D9337" w14:textId="3A7448AC" w:rsidR="00F4676B" w:rsidRDefault="00F4676B" w:rsidP="00E61323">
      <w:r>
        <w:t>The plan for enhancing programming rest</w:t>
      </w:r>
      <w:r w:rsidR="009E145A">
        <w:t>s</w:t>
      </w:r>
      <w:r>
        <w:t xml:space="preserve"> on the </w:t>
      </w:r>
      <w:r w:rsidR="00D857D4">
        <w:t>S</w:t>
      </w:r>
      <w:r>
        <w:t xml:space="preserve">tate </w:t>
      </w:r>
      <w:r w:rsidR="009E145A">
        <w:t>e</w:t>
      </w:r>
      <w:r>
        <w:t xml:space="preserve">ffecting, particularly in a local control context, key methods for professional and leadership development. Two key </w:t>
      </w:r>
      <w:r>
        <w:lastRenderedPageBreak/>
        <w:t xml:space="preserve">initiatives under </w:t>
      </w:r>
      <w:r w:rsidR="00DA3308">
        <w:t xml:space="preserve">the </w:t>
      </w:r>
      <w:r>
        <w:t>California System of Support for Education</w:t>
      </w:r>
      <w:r>
        <w:rPr>
          <w:rStyle w:val="FootnoteReference"/>
        </w:rPr>
        <w:footnoteReference w:id="29"/>
      </w:r>
      <w:r w:rsidR="00904B3E">
        <w:t xml:space="preserve"> </w:t>
      </w:r>
      <w:r w:rsidR="006C5851">
        <w:t>are the</w:t>
      </w:r>
      <w:r w:rsidR="00904B3E">
        <w:t xml:space="preserve"> Educator Workforce Investment Grant (EWIG) and the 21</w:t>
      </w:r>
      <w:r w:rsidR="00904B3E" w:rsidRPr="00A41984">
        <w:rPr>
          <w:vertAlign w:val="superscript"/>
        </w:rPr>
        <w:t>st</w:t>
      </w:r>
      <w:r w:rsidR="00904B3E">
        <w:t xml:space="preserve"> Century California School Leadership Academy (21CSLA). </w:t>
      </w:r>
      <w:r w:rsidR="00FF725A">
        <w:t xml:space="preserve">Governor Newsom has proposed a second year investment of $350 million to augment the 2019 Budget Act. </w:t>
      </w:r>
      <w:r w:rsidR="00904B3E">
        <w:t xml:space="preserve">EWIG is a program that supports professional learning opportunities for teachers and paraprofessionals across California, </w:t>
      </w:r>
      <w:r w:rsidR="00BA76DE">
        <w:t>and includes special education</w:t>
      </w:r>
      <w:r w:rsidR="00FF725A">
        <w:t>, multi-tiered systems of support and mental health interventions, English language learners, social-emotional learning/restorative practices, non-discrimination/anti-bullying, and affirmative supports for Lesbian, Gay, Bisexual, Transgender, and Queer, and other marginalized students</w:t>
      </w:r>
      <w:r w:rsidR="009C0A8D">
        <w:t>,</w:t>
      </w:r>
      <w:r w:rsidR="00FF725A">
        <w:t xml:space="preserve"> computer science and science technology</w:t>
      </w:r>
      <w:r w:rsidR="009C0A8D">
        <w:t>, English, and Mathematics. There is an additional $18 million proposed to bolster awareness of available services and supports for all LEAs to strengthen their capacity to improve student outcomes in state priority areas as mentioned in Section 2(c)</w:t>
      </w:r>
      <w:r w:rsidR="00904B3E">
        <w:t xml:space="preserve">. </w:t>
      </w:r>
      <w:r w:rsidR="00AB1AC8">
        <w:t>The 21CSLA is a statewide professional learning i</w:t>
      </w:r>
      <w:r w:rsidR="00BA76DE">
        <w:t>ni</w:t>
      </w:r>
      <w:r w:rsidR="00AB1AC8">
        <w:t>t</w:t>
      </w:r>
      <w:r w:rsidR="00BA76DE">
        <w:t>i</w:t>
      </w:r>
      <w:r w:rsidR="00AB1AC8">
        <w:t xml:space="preserve">ative for administrators and other school leaders. One area of professional learning opportunities is the coaching and training of school leaders around strategies for addressing performance gaps. </w:t>
      </w:r>
      <w:r w:rsidR="00364A6D">
        <w:t xml:space="preserve">As the </w:t>
      </w:r>
      <w:r w:rsidR="00850719">
        <w:t>F</w:t>
      </w:r>
      <w:r w:rsidR="00364A6D">
        <w:t xml:space="preserve">ederal Perkins V State Plan begins to get implemented across the </w:t>
      </w:r>
      <w:r w:rsidR="00D857D4">
        <w:t>S</w:t>
      </w:r>
      <w:r w:rsidR="00364A6D">
        <w:t xml:space="preserve">tate, there is </w:t>
      </w:r>
      <w:r w:rsidR="00BA76DE">
        <w:t xml:space="preserve">an </w:t>
      </w:r>
      <w:r w:rsidR="00364A6D">
        <w:t xml:space="preserve">opportunity to have CTE teachers of students who are members of special populations be included within these two programs. A step forward would be to begin programmatic coordination across those departments that specifically deal with special education, including </w:t>
      </w:r>
      <w:r w:rsidR="00BA76DE">
        <w:t xml:space="preserve">the </w:t>
      </w:r>
      <w:r w:rsidR="00364A6D">
        <w:t>CCTD</w:t>
      </w:r>
      <w:r w:rsidR="00BA76DE">
        <w:t>,</w:t>
      </w:r>
      <w:r w:rsidR="00364A6D">
        <w:t xml:space="preserve"> which is responsible for implementing the </w:t>
      </w:r>
      <w:r w:rsidR="00850719">
        <w:t>F</w:t>
      </w:r>
      <w:r w:rsidR="00364A6D">
        <w:t>ederal Perkins V State Plan</w:t>
      </w:r>
      <w:r w:rsidR="003D38C6">
        <w:t>.</w:t>
      </w:r>
    </w:p>
    <w:p w14:paraId="6935F8AF" w14:textId="22631D54" w:rsidR="00E61323" w:rsidRDefault="00E61323" w:rsidP="00E61323">
      <w:pPr>
        <w:rPr>
          <w:rFonts w:eastAsia="Calibri" w:cs="Times New Roman"/>
        </w:rPr>
      </w:pPr>
      <w:r>
        <w:rPr>
          <w:rFonts w:eastAsia="Calibri" w:cs="Times New Roman"/>
        </w:rPr>
        <w:t xml:space="preserve">Along with </w:t>
      </w:r>
      <w:r w:rsidR="003D38C6">
        <w:rPr>
          <w:rFonts w:eastAsia="Calibri" w:cs="Times New Roman"/>
        </w:rPr>
        <w:t xml:space="preserve">inclusion of CTE within the aforementioned programs, as well as those </w:t>
      </w:r>
      <w:r>
        <w:rPr>
          <w:rFonts w:eastAsia="Calibri" w:cs="Times New Roman"/>
        </w:rPr>
        <w:t xml:space="preserve">described in </w:t>
      </w:r>
      <w:r w:rsidR="00BA76DE">
        <w:rPr>
          <w:rFonts w:eastAsia="Calibri" w:cs="Times New Roman"/>
        </w:rPr>
        <w:t>the response to prompt B(3)(a)</w:t>
      </w:r>
      <w:r>
        <w:rPr>
          <w:rFonts w:eastAsia="Calibri" w:cs="Times New Roman"/>
        </w:rPr>
        <w:t>(i), 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 xml:space="preserve">convened to provide input on the </w:t>
      </w:r>
      <w:r w:rsidR="001801A4">
        <w:t xml:space="preserve">Federal </w:t>
      </w:r>
      <w:r w:rsidRPr="00054543">
        <w:rPr>
          <w:rFonts w:eastAsia="Calibri" w:cs="Times New Roman"/>
        </w:rPr>
        <w:t>Perkins V State Plan</w:t>
      </w:r>
      <w:r>
        <w:rPr>
          <w:rFonts w:eastAsia="Calibri" w:cs="Times New Roman"/>
        </w:rPr>
        <w:t xml:space="preserve">, specifically </w:t>
      </w:r>
      <w:r w:rsidRPr="00054543">
        <w:rPr>
          <w:rFonts w:eastAsia="Calibri" w:cs="Times New Roman"/>
        </w:rPr>
        <w:t>discuss</w:t>
      </w:r>
      <w:r>
        <w:rPr>
          <w:rFonts w:eastAsia="Calibri" w:cs="Times New Roman"/>
        </w:rPr>
        <w:t xml:space="preserve">ing equity and access </w:t>
      </w:r>
      <w:r>
        <w:rPr>
          <w:rFonts w:eastAsia="Calibri" w:cs="Times New Roman"/>
        </w:rPr>
        <w:lastRenderedPageBreak/>
        <w:t>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4F68E2A7" w:rsidR="00E61323" w:rsidRPr="00054543" w:rsidRDefault="00E61323" w:rsidP="00E61323">
      <w:pPr>
        <w:rPr>
          <w:rFonts w:eastAsia="Calibri" w:cs="Times New Roman"/>
        </w:rPr>
      </w:pPr>
      <w:r w:rsidRPr="00054543">
        <w:rPr>
          <w:rFonts w:eastAsia="Calibri" w:cs="Times New Roman"/>
        </w:rPr>
        <w:t>Stakeholders recommended training for educators</w:t>
      </w:r>
      <w:r w:rsidR="00BA76DE">
        <w:rPr>
          <w:rFonts w:eastAsia="Calibri" w:cs="Times New Roman"/>
        </w:rPr>
        <w:t>,</w:t>
      </w:r>
      <w:r w:rsidRPr="00054543">
        <w:rPr>
          <w:rFonts w:eastAsia="Calibri" w:cs="Times New Roman"/>
        </w:rPr>
        <w:t xml:space="preserve">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 as well as additional staff to support special populations, </w:t>
      </w:r>
      <w:r w:rsidR="00BA76DE">
        <w:rPr>
          <w:rFonts w:eastAsia="Calibri" w:cs="Times New Roman"/>
        </w:rPr>
        <w:t xml:space="preserve">are needed, </w:t>
      </w:r>
      <w:r w:rsidRPr="00054543">
        <w:rPr>
          <w:rFonts w:eastAsia="Calibri" w:cs="Times New Roman"/>
        </w:rPr>
        <w:t xml:space="preserve">and that counseling standards be reviewed, with new California counseling standards created as needed. </w:t>
      </w:r>
    </w:p>
    <w:p w14:paraId="4601D4D8" w14:textId="38BCE6CE" w:rsidR="00E61323" w:rsidRPr="00054543" w:rsidRDefault="00E61323" w:rsidP="00E61323">
      <w:pPr>
        <w:rPr>
          <w:rFonts w:eastAsia="Calibri" w:cs="Times New Roman"/>
        </w:rPr>
      </w:pPr>
      <w:r w:rsidRPr="00054543">
        <w:rPr>
          <w:rFonts w:eastAsia="Calibri" w:cs="Times New Roman"/>
        </w:rPr>
        <w:t>Stakeholders discussed emphasizing issues of equity in professional learning</w:t>
      </w:r>
      <w:r w:rsidR="006C5851">
        <w:rPr>
          <w:rFonts w:eastAsia="Calibri" w:cs="Times New Roman"/>
        </w:rPr>
        <w:t xml:space="preserve">, </w:t>
      </w:r>
      <w:r w:rsidRPr="00054543">
        <w:rPr>
          <w:rFonts w:eastAsia="Calibri" w:cs="Times New Roman"/>
        </w:rPr>
        <w:t xml:space="preserve">including the study of cultural responsiveness, implicit bias, and trauma; creating a welcoming learning environment </w:t>
      </w:r>
      <w:r w:rsidR="00D429DC">
        <w:rPr>
          <w:rFonts w:eastAsia="Calibri" w:cs="Times New Roman"/>
        </w:rPr>
        <w:t xml:space="preserve">that </w:t>
      </w:r>
      <w:r w:rsidRPr="00054543">
        <w:rPr>
          <w:rFonts w:eastAsia="Calibri" w:cs="Times New Roman"/>
        </w:rPr>
        <w:t>includ</w:t>
      </w:r>
      <w:r w:rsidR="00D429DC">
        <w:rPr>
          <w:rFonts w:eastAsia="Calibri" w:cs="Times New Roman"/>
        </w:rPr>
        <w:t>es</w:t>
      </w:r>
      <w:r w:rsidRPr="00054543">
        <w:rPr>
          <w:rFonts w:eastAsia="Calibri" w:cs="Times New Roman"/>
        </w:rPr>
        <w:t xml:space="preserve"> awareness and sensitivity to disabilities; and honoring student voices. Stakeholders also noted the importance of diversifying the teacher workforce to more closely match student populations</w:t>
      </w:r>
      <w:r w:rsidR="00D429DC">
        <w:rPr>
          <w:rFonts w:eastAsia="Calibri" w:cs="Times New Roman"/>
        </w:rPr>
        <w:t>,</w:t>
      </w:r>
      <w:r w:rsidRPr="00054543">
        <w:rPr>
          <w:rFonts w:eastAsia="Calibri" w:cs="Times New Roman"/>
        </w:rPr>
        <w:t xml:space="preserve"> and </w:t>
      </w:r>
      <w:r w:rsidR="00D429DC">
        <w:rPr>
          <w:rFonts w:eastAsia="Calibri" w:cs="Times New Roman"/>
        </w:rPr>
        <w:t xml:space="preserve">of </w:t>
      </w:r>
      <w:r w:rsidRPr="00054543">
        <w:rPr>
          <w:rFonts w:eastAsia="Calibri" w:cs="Times New Roman"/>
        </w:rPr>
        <w:t>implementing learning from teachers to the field and vice versa.</w:t>
      </w:r>
      <w:r>
        <w:rPr>
          <w:rFonts w:eastAsia="Calibri" w:cs="Times New Roman"/>
        </w:rPr>
        <w:t xml:space="preserve"> </w:t>
      </w:r>
      <w:r w:rsidR="00D429DC">
        <w:rPr>
          <w:rFonts w:eastAsia="Calibri" w:cs="Times New Roman"/>
        </w:rPr>
        <w:t>They</w:t>
      </w:r>
      <w:r w:rsidR="00D429DC" w:rsidRPr="00054543">
        <w:rPr>
          <w:rFonts w:eastAsia="Calibri" w:cs="Times New Roman"/>
        </w:rPr>
        <w:t xml:space="preserve"> </w:t>
      </w:r>
      <w:r w:rsidRPr="00054543">
        <w:rPr>
          <w:rFonts w:eastAsia="Calibri" w:cs="Times New Roman"/>
        </w:rPr>
        <w:t>also suggested supporting teachers with funding to get more lab time for students</w:t>
      </w:r>
      <w:r w:rsidR="00D429DC">
        <w:rPr>
          <w:rFonts w:eastAsia="Calibri" w:cs="Times New Roman"/>
        </w:rPr>
        <w:t>,</w:t>
      </w:r>
      <w:r w:rsidRPr="00054543">
        <w:rPr>
          <w:rFonts w:eastAsia="Calibri" w:cs="Times New Roman"/>
        </w:rPr>
        <w:t xml:space="preserve"> and holding systems accountable for student outcomes.</w:t>
      </w:r>
    </w:p>
    <w:p w14:paraId="4F4F4466" w14:textId="075D2B4C" w:rsidR="00E61323" w:rsidRPr="00054543" w:rsidRDefault="00E61323" w:rsidP="00E61323">
      <w:pPr>
        <w:rPr>
          <w:rFonts w:eastAsia="Calibri" w:cs="Times New Roman"/>
        </w:rPr>
      </w:pPr>
      <w:r w:rsidRPr="00054543">
        <w:rPr>
          <w:rFonts w:eastAsia="Calibri" w:cs="Times New Roman"/>
        </w:rPr>
        <w:t xml:space="preserve">Stakeholders commented on coordination with the juvenile court system and </w:t>
      </w:r>
      <w:r w:rsidR="00D429DC">
        <w:rPr>
          <w:rFonts w:eastAsia="Calibri" w:cs="Times New Roman"/>
        </w:rPr>
        <w:t xml:space="preserve">with </w:t>
      </w:r>
      <w:r w:rsidRPr="00054543">
        <w:rPr>
          <w:rFonts w:eastAsia="Calibri" w:cs="Times New Roman"/>
        </w:rPr>
        <w:t xml:space="preserve">Department of Labor and Justice programs, suggesting that students </w:t>
      </w:r>
      <w:r w:rsidR="00D429DC">
        <w:rPr>
          <w:rFonts w:eastAsia="Calibri" w:cs="Times New Roman"/>
        </w:rPr>
        <w:t xml:space="preserve">in this system </w:t>
      </w:r>
      <w:r w:rsidRPr="00054543">
        <w:rPr>
          <w:rFonts w:eastAsia="Calibri" w:cs="Times New Roman"/>
        </w:rPr>
        <w:t>also needed better access to pathways and career-related opportunities</w:t>
      </w:r>
      <w:r w:rsidR="00D429DC">
        <w:rPr>
          <w:rFonts w:eastAsia="Calibri" w:cs="Times New Roman"/>
        </w:rPr>
        <w:t>,</w:t>
      </w:r>
      <w:r w:rsidRPr="00054543">
        <w:rPr>
          <w:rFonts w:eastAsia="Calibri" w:cs="Times New Roman"/>
        </w:rPr>
        <w:t xml:space="preserve">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w:t>
      </w:r>
      <w:r w:rsidR="00A1689E">
        <w:rPr>
          <w:rFonts w:eastAsia="Calibri" w:cs="Times New Roman"/>
        </w:rPr>
        <w:t xml:space="preserve"> within programs that focus on career-related opportunities</w:t>
      </w:r>
      <w:r w:rsidR="008676C5">
        <w:rPr>
          <w:rFonts w:eastAsia="Calibri" w:cs="Times New Roman"/>
        </w:rPr>
        <w:t>,</w:t>
      </w:r>
      <w:r w:rsidRPr="00054543">
        <w:rPr>
          <w:rFonts w:eastAsia="Calibri" w:cs="Times New Roman"/>
        </w:rPr>
        <w:t xml:space="preserve"> </w:t>
      </w:r>
      <w:r w:rsidR="00A1689E">
        <w:rPr>
          <w:rFonts w:eastAsia="Calibri" w:cs="Times New Roman"/>
        </w:rPr>
        <w:t>as well as</w:t>
      </w:r>
      <w:r w:rsidR="00A1689E" w:rsidRPr="00054543">
        <w:rPr>
          <w:rFonts w:eastAsia="Calibri" w:cs="Times New Roman"/>
        </w:rPr>
        <w:t xml:space="preserve"> </w:t>
      </w:r>
      <w:r w:rsidR="00A1689E">
        <w:rPr>
          <w:rFonts w:eastAsia="Calibri" w:cs="Times New Roman"/>
        </w:rPr>
        <w:t>having</w:t>
      </w:r>
      <w:r w:rsidRPr="00054543">
        <w:rPr>
          <w:rFonts w:eastAsia="Calibri" w:cs="Times New Roman"/>
        </w:rPr>
        <w:t xml:space="preserve"> access to apprenticeships, digital literacy, and connections with the probation department.</w:t>
      </w:r>
      <w:r>
        <w:rPr>
          <w:rFonts w:eastAsia="Calibri" w:cs="Times New Roman"/>
        </w:rPr>
        <w:t xml:space="preserve"> </w:t>
      </w:r>
      <w:r w:rsidRPr="00054543">
        <w:rPr>
          <w:rFonts w:eastAsia="Calibri" w:cs="Times New Roman"/>
        </w:rPr>
        <w:t>They also discussed equitable funding, and guiding students to explore a variety of careers and identify their interests.</w:t>
      </w:r>
      <w:r w:rsidR="006F5399">
        <w:rPr>
          <w:rFonts w:eastAsia="Calibri" w:cs="Times New Roman"/>
        </w:rPr>
        <w:t xml:space="preserve"> </w:t>
      </w:r>
    </w:p>
    <w:p w14:paraId="2EFFE668" w14:textId="4A093669"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w:t>
      </w:r>
      <w:r w:rsidR="00347B39">
        <w:rPr>
          <w:rFonts w:eastAsia="Calibri" w:cs="Times New Roman"/>
        </w:rPr>
        <w:t xml:space="preserve"> ensuring the</w:t>
      </w:r>
      <w:r w:rsidRPr="00054543">
        <w:rPr>
          <w:rFonts w:eastAsia="Calibri" w:cs="Times New Roman"/>
        </w:rPr>
        <w:t xml:space="preserve"> disaggregation of data and use of multiple data sources; </w:t>
      </w:r>
      <w:r w:rsidR="008676C5">
        <w:rPr>
          <w:rFonts w:eastAsia="Calibri" w:cs="Times New Roman"/>
        </w:rPr>
        <w:t xml:space="preserve">and </w:t>
      </w:r>
      <w:r w:rsidRPr="00054543">
        <w:rPr>
          <w:rFonts w:eastAsia="Calibri" w:cs="Times New Roman"/>
        </w:rPr>
        <w:t>holding deep conversations on accountability to encourage 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 xml:space="preserve">Stakeholders responded to </w:t>
      </w:r>
      <w:r w:rsidR="00A1689E">
        <w:rPr>
          <w:rFonts w:eastAsia="Calibri" w:cs="Times New Roman"/>
        </w:rPr>
        <w:t xml:space="preserve">having the state </w:t>
      </w:r>
      <w:r w:rsidRPr="00054543">
        <w:rPr>
          <w:rFonts w:eastAsia="Calibri" w:cs="Times New Roman"/>
        </w:rPr>
        <w:t xml:space="preserve">address equity </w:t>
      </w:r>
      <w:r w:rsidR="007B6FB6">
        <w:rPr>
          <w:rFonts w:eastAsia="Calibri" w:cs="Times New Roman"/>
        </w:rPr>
        <w:t>by</w:t>
      </w:r>
      <w:r w:rsidR="007B6FB6" w:rsidRPr="00054543">
        <w:rPr>
          <w:rFonts w:eastAsia="Calibri" w:cs="Times New Roman"/>
        </w:rPr>
        <w:t xml:space="preserve"> </w:t>
      </w:r>
      <w:r w:rsidRPr="00054543">
        <w:rPr>
          <w:rFonts w:eastAsia="Calibri" w:cs="Times New Roman"/>
        </w:rPr>
        <w:t>closing achievement gap</w:t>
      </w:r>
      <w:r w:rsidR="008676C5">
        <w:rPr>
          <w:rFonts w:eastAsia="Calibri" w:cs="Times New Roman"/>
        </w:rPr>
        <w:t>s</w:t>
      </w:r>
      <w:r w:rsidRPr="00054543">
        <w:rPr>
          <w:rFonts w:eastAsia="Calibri" w:cs="Times New Roman"/>
        </w:rPr>
        <w:t xml:space="preserve"> </w:t>
      </w:r>
      <w:r w:rsidR="00A1689E">
        <w:rPr>
          <w:rFonts w:eastAsia="Calibri" w:cs="Times New Roman"/>
        </w:rPr>
        <w:t xml:space="preserve">by explicitly studying </w:t>
      </w:r>
      <w:r w:rsidR="007B6FB6">
        <w:rPr>
          <w:rFonts w:eastAsia="Calibri" w:cs="Times New Roman"/>
        </w:rPr>
        <w:t xml:space="preserve">CTE </w:t>
      </w:r>
      <w:r w:rsidR="00A1689E">
        <w:rPr>
          <w:rFonts w:eastAsia="Calibri" w:cs="Times New Roman"/>
        </w:rPr>
        <w:t xml:space="preserve">performance gaps </w:t>
      </w:r>
      <w:r w:rsidR="007B6FB6">
        <w:rPr>
          <w:rFonts w:eastAsia="Calibri" w:cs="Times New Roman"/>
        </w:rPr>
        <w:t>among different sub-populations,</w:t>
      </w:r>
      <w:r w:rsidR="0016591E">
        <w:rPr>
          <w:rFonts w:eastAsia="Calibri" w:cs="Times New Roman"/>
        </w:rPr>
        <w:t xml:space="preserve"> </w:t>
      </w:r>
      <w:r w:rsidRPr="00054543">
        <w:rPr>
          <w:rFonts w:eastAsia="Calibri" w:cs="Times New Roman"/>
        </w:rPr>
        <w:t xml:space="preserve">foster and homeless </w:t>
      </w:r>
      <w:r w:rsidRPr="00054543">
        <w:rPr>
          <w:rFonts w:eastAsia="Calibri" w:cs="Times New Roman"/>
        </w:rPr>
        <w:lastRenderedPageBreak/>
        <w:t xml:space="preserve">students, </w:t>
      </w:r>
      <w:r w:rsidR="008676C5">
        <w:rPr>
          <w:rFonts w:eastAsia="Calibri" w:cs="Times New Roman"/>
        </w:rPr>
        <w:t xml:space="preserve">students in </w:t>
      </w:r>
      <w:r w:rsidRPr="00054543">
        <w:rPr>
          <w:rFonts w:eastAsia="Calibri" w:cs="Times New Roman"/>
        </w:rPr>
        <w:t xml:space="preserve">rural areas, </w:t>
      </w:r>
      <w:r w:rsidR="008676C5">
        <w:rPr>
          <w:rFonts w:eastAsia="Calibri" w:cs="Times New Roman"/>
        </w:rPr>
        <w:t xml:space="preserve">and </w:t>
      </w:r>
      <w:r w:rsidRPr="00054543">
        <w:rPr>
          <w:rFonts w:eastAsia="Calibri" w:cs="Times New Roman"/>
        </w:rPr>
        <w:t>special populations</w:t>
      </w:r>
      <w:r w:rsidR="00D05383">
        <w:rPr>
          <w:rFonts w:eastAsia="Calibri" w:cs="Times New Roman"/>
        </w:rPr>
        <w:t>.</w:t>
      </w:r>
      <w:r w:rsidRPr="00054543">
        <w:rPr>
          <w:rFonts w:eastAsia="Calibri" w:cs="Times New Roman"/>
        </w:rPr>
        <w:t xml:space="preserve"> </w:t>
      </w:r>
      <w:r>
        <w:rPr>
          <w:rFonts w:eastAsia="Calibri" w:cs="Times New Roman"/>
        </w:rPr>
        <w:t>I</w:t>
      </w:r>
      <w:r w:rsidRPr="00054543">
        <w:rPr>
          <w:rFonts w:eastAsia="Calibri" w:cs="Times New Roman"/>
        </w:rPr>
        <w:t>ncreas</w:t>
      </w:r>
      <w:r w:rsidR="00EC594B">
        <w:rPr>
          <w:rFonts w:eastAsia="Calibri" w:cs="Times New Roman"/>
        </w:rPr>
        <w:t>ing</w:t>
      </w:r>
      <w:r w:rsidRPr="00054543">
        <w:rPr>
          <w:rFonts w:eastAsia="Calibri" w:cs="Times New Roman"/>
        </w:rPr>
        <w:t xml:space="preserve"> public awareness about the benefits of CTE, including expanded employer outreach</w:t>
      </w:r>
      <w:r w:rsidR="00EC594B">
        <w:rPr>
          <w:rFonts w:eastAsia="Calibri" w:cs="Times New Roman"/>
        </w:rPr>
        <w:t>,</w:t>
      </w:r>
      <w:r w:rsidRPr="00054543">
        <w:rPr>
          <w:rFonts w:eastAsia="Calibri" w:cs="Times New Roman"/>
        </w:rPr>
        <w:t xml:space="preserve"> </w:t>
      </w:r>
      <w:r w:rsidR="00EC594B">
        <w:rPr>
          <w:rFonts w:eastAsia="Calibri" w:cs="Times New Roman"/>
        </w:rPr>
        <w:t>was also</w:t>
      </w:r>
      <w:r w:rsidR="00EC594B" w:rsidRPr="00054543">
        <w:rPr>
          <w:rFonts w:eastAsia="Calibri" w:cs="Times New Roman"/>
        </w:rPr>
        <w:t xml:space="preserve"> </w:t>
      </w:r>
      <w:r w:rsidRPr="00054543">
        <w:rPr>
          <w:rFonts w:eastAsia="Calibri" w:cs="Times New Roman"/>
        </w:rPr>
        <w:t>considered important to expanding access for students.</w:t>
      </w:r>
    </w:p>
    <w:p w14:paraId="2A36E618" w14:textId="1C52A83A" w:rsidR="00E61323" w:rsidRDefault="00E61323" w:rsidP="00E61323">
      <w:pPr>
        <w:rPr>
          <w:rFonts w:eastAsia="Calibri" w:cs="Times New Roman"/>
        </w:rPr>
      </w:pPr>
      <w:r w:rsidRPr="00054543">
        <w:rPr>
          <w:rFonts w:eastAsia="Calibri" w:cs="Times New Roman"/>
        </w:rPr>
        <w:t>Stakeholders noted the lack of awareness and underutilization of existing resources, the lack of funding for studen</w:t>
      </w:r>
      <w:r w:rsidR="00347B39">
        <w:rPr>
          <w:rFonts w:eastAsia="Calibri" w:cs="Times New Roman"/>
        </w:rPr>
        <w:t>ts before they become “at-</w:t>
      </w:r>
      <w:r w:rsidR="00396B67">
        <w:rPr>
          <w:rFonts w:eastAsia="Calibri" w:cs="Times New Roman"/>
        </w:rPr>
        <w:t>promise</w:t>
      </w:r>
      <w:r w:rsidR="00347B39">
        <w:rPr>
          <w:rFonts w:eastAsia="Calibri" w:cs="Times New Roman"/>
        </w:rPr>
        <w:t>,”</w:t>
      </w:r>
      <w:r w:rsidRPr="00054543">
        <w:rPr>
          <w:rFonts w:eastAsia="Calibri" w:cs="Times New Roman"/>
        </w:rPr>
        <w:t xml:space="preserve"> and the lack of partnering between agencies as obstacles.</w:t>
      </w:r>
      <w:r w:rsidR="006F5399">
        <w:rPr>
          <w:rFonts w:eastAsia="Calibri" w:cs="Times New Roman"/>
        </w:rPr>
        <w:t xml:space="preserve"> </w:t>
      </w:r>
      <w:r w:rsidR="00EC594B">
        <w:rPr>
          <w:rFonts w:eastAsia="Calibri" w:cs="Times New Roman"/>
        </w:rPr>
        <w:t>They</w:t>
      </w:r>
      <w:r w:rsidR="00EC594B" w:rsidRPr="00054543">
        <w:rPr>
          <w:rFonts w:eastAsia="Calibri" w:cs="Times New Roman"/>
        </w:rPr>
        <w:t xml:space="preserve"> </w:t>
      </w:r>
      <w:r w:rsidRPr="00054543">
        <w:rPr>
          <w:rFonts w:eastAsia="Calibri" w:cs="Times New Roman"/>
        </w:rPr>
        <w:t>identified educator mindsets and approaches to special populations as a barrier. They also noted lack of training and lack of a way to assess students in small subgroups as obstacles. It is crucial that</w:t>
      </w:r>
      <w:r w:rsidR="00EC594B">
        <w:rPr>
          <w:rFonts w:eastAsia="Calibri" w:cs="Times New Roman"/>
        </w:rPr>
        <w:t>, instead of seeing these challenges as obstacles,</w:t>
      </w:r>
      <w:r w:rsidRPr="00054543">
        <w:rPr>
          <w:rFonts w:eastAsia="Calibri" w:cs="Times New Roman"/>
        </w:rPr>
        <w:t xml:space="preserve"> educators see </w:t>
      </w:r>
      <w:r w:rsidR="00EC594B">
        <w:rPr>
          <w:rFonts w:eastAsia="Calibri" w:cs="Times New Roman"/>
        </w:rPr>
        <w:t>them</w:t>
      </w:r>
      <w:r w:rsidRPr="00054543">
        <w:rPr>
          <w:rFonts w:eastAsia="Calibri" w:cs="Times New Roman"/>
        </w:rPr>
        <w:t xml:space="preserve"> as yet-to-be-developed workforce readiness skills, and see themselves as responsible for and capable of teaching these skills to the students presenting these challenges. There are instances where this is becoming a better</w:t>
      </w:r>
      <w:r w:rsidR="00EC594B">
        <w:rPr>
          <w:rFonts w:eastAsia="Calibri" w:cs="Times New Roman"/>
        </w:rPr>
        <w:t>-</w:t>
      </w:r>
      <w:r w:rsidRPr="00054543">
        <w:rPr>
          <w:rFonts w:eastAsia="Calibri" w:cs="Times New Roman"/>
        </w:rPr>
        <w:t>understood practice, but much PD is needed to expand the prevalence of this approach. Stakeholders suggested that PD is also needed to address overall issues of bias and equity.</w:t>
      </w:r>
    </w:p>
    <w:p w14:paraId="1725F70B" w14:textId="69D27814" w:rsidR="00E61323" w:rsidRDefault="00E61323" w:rsidP="00E61323">
      <w:pPr>
        <w:rPr>
          <w:rFonts w:eastAsia="Calibri" w:cs="Times New Roman"/>
        </w:rPr>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w:t>
      </w:r>
      <w:r w:rsidR="00EC594B">
        <w:rPr>
          <w:rFonts w:eastAsia="Calibri" w:cs="Times New Roman"/>
        </w:rPr>
        <w:t xml:space="preserve">that are </w:t>
      </w:r>
      <w:r w:rsidRPr="00054543">
        <w:rPr>
          <w:rFonts w:eastAsia="Calibri" w:cs="Times New Roman"/>
        </w:rPr>
        <w:t>currently provided and supports that are needed, including case management, tutorials, and counselors, as well as better understanding of resources available for student support</w:t>
      </w:r>
      <w:r w:rsidR="00FD10B7">
        <w:rPr>
          <w:rFonts w:eastAsia="Calibri" w:cs="Times New Roman"/>
        </w:rPr>
        <w:t>s</w:t>
      </w:r>
      <w:r w:rsidRPr="00054543">
        <w:rPr>
          <w:rFonts w:eastAsia="Calibri" w:cs="Times New Roman"/>
        </w:rPr>
        <w:t xml:space="preserve"> and of students’ learning preferences.</w:t>
      </w:r>
      <w:r w:rsidR="006F5399">
        <w:rPr>
          <w:rFonts w:eastAsia="Calibri" w:cs="Times New Roman"/>
        </w:rPr>
        <w:t xml:space="preserve"> </w:t>
      </w:r>
      <w:r w:rsidRPr="00054543">
        <w:rPr>
          <w:rFonts w:eastAsia="Calibri" w:cs="Times New Roman"/>
        </w:rPr>
        <w:t xml:space="preserve">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w:t>
      </w:r>
      <w:r w:rsidR="00EC594B">
        <w:rPr>
          <w:rFonts w:eastAsia="Calibri" w:cs="Times New Roman"/>
        </w:rPr>
        <w:t xml:space="preserve">to </w:t>
      </w:r>
      <w:r w:rsidRPr="00054543">
        <w:rPr>
          <w:rFonts w:eastAsia="Calibri" w:cs="Times New Roman"/>
        </w:rPr>
        <w:t>improv</w:t>
      </w:r>
      <w:r w:rsidR="00EC594B">
        <w:rPr>
          <w:rFonts w:eastAsia="Calibri" w:cs="Times New Roman"/>
        </w:rPr>
        <w:t>e</w:t>
      </w:r>
      <w:r w:rsidRPr="00054543">
        <w:rPr>
          <w:rFonts w:eastAsia="Calibri" w:cs="Times New Roman"/>
        </w:rPr>
        <w:t xml:space="preserve"> access to workplace experience</w:t>
      </w:r>
      <w:r w:rsidR="00FD10B7">
        <w:rPr>
          <w:rFonts w:eastAsia="Calibri" w:cs="Times New Roman"/>
        </w:rPr>
        <w:t>s</w:t>
      </w:r>
      <w:r w:rsidRPr="00054543">
        <w:rPr>
          <w:rFonts w:eastAsia="Calibri" w:cs="Times New Roman"/>
        </w:rPr>
        <w:t>.</w:t>
      </w:r>
    </w:p>
    <w:p w14:paraId="2683300C" w14:textId="63AA7CDB" w:rsidR="00E61323" w:rsidRPr="00054543" w:rsidRDefault="00E61323" w:rsidP="00E61323">
      <w:pPr>
        <w:rPr>
          <w:rFonts w:eastAsia="Calibri" w:cs="Times New Roman"/>
        </w:rPr>
      </w:pPr>
      <w:r>
        <w:rPr>
          <w:rFonts w:eastAsia="Calibri" w:cs="Times New Roman"/>
        </w:rPr>
        <w:t>S</w:t>
      </w:r>
      <w:r w:rsidRPr="00054543">
        <w:rPr>
          <w:rFonts w:eastAsia="Calibri" w:cs="Times New Roman"/>
        </w:rPr>
        <w:t>takeholders recommended educating employers about working with diverse students</w:t>
      </w:r>
      <w:r w:rsidR="00EC594B">
        <w:rPr>
          <w:rFonts w:eastAsia="Calibri" w:cs="Times New Roman"/>
        </w:rPr>
        <w:t>;</w:t>
      </w:r>
      <w:r w:rsidRPr="00054543">
        <w:rPr>
          <w:rFonts w:eastAsia="Calibri" w:cs="Times New Roman"/>
        </w:rPr>
        <w:t xml:space="preserve"> providing wage supports</w:t>
      </w:r>
      <w:r w:rsidR="00EC594B">
        <w:rPr>
          <w:rFonts w:eastAsia="Calibri" w:cs="Times New Roman"/>
        </w:rPr>
        <w:t>;</w:t>
      </w:r>
      <w:r w:rsidRPr="00054543">
        <w:rPr>
          <w:rFonts w:eastAsia="Calibri" w:cs="Times New Roman"/>
        </w:rPr>
        <w:t xml:space="preserve">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They suggested</w:t>
      </w:r>
      <w:r w:rsidR="00FD10B7">
        <w:rPr>
          <w:rFonts w:eastAsia="Calibri" w:cs="Times New Roman"/>
        </w:rPr>
        <w:t xml:space="preserve"> </w:t>
      </w:r>
      <w:r w:rsidRPr="00054543">
        <w:rPr>
          <w:rFonts w:eastAsia="Calibri" w:cs="Times New Roman"/>
        </w:rPr>
        <w:t>support</w:t>
      </w:r>
      <w:r w:rsidR="00EC594B">
        <w:rPr>
          <w:rFonts w:eastAsia="Calibri" w:cs="Times New Roman"/>
        </w:rPr>
        <w:t>ing</w:t>
      </w:r>
      <w:r w:rsidRPr="00054543">
        <w:rPr>
          <w:rFonts w:eastAsia="Calibri" w:cs="Times New Roman"/>
        </w:rPr>
        <w:t xml:space="preserve"> students in accessing job opportunities and apprenticeships</w:t>
      </w:r>
      <w:r w:rsidR="00EC594B">
        <w:rPr>
          <w:rFonts w:eastAsia="Calibri" w:cs="Times New Roman"/>
        </w:rPr>
        <w:t>,</w:t>
      </w:r>
      <w:r w:rsidRPr="00054543">
        <w:rPr>
          <w:rFonts w:eastAsia="Calibri" w:cs="Times New Roman"/>
        </w:rPr>
        <w:t xml:space="preserve"> and noted the importance of relationship building and partnerships </w:t>
      </w:r>
      <w:r w:rsidR="00EC594B">
        <w:rPr>
          <w:rFonts w:eastAsia="Calibri" w:cs="Times New Roman"/>
        </w:rPr>
        <w:t>among</w:t>
      </w:r>
      <w:r w:rsidR="00EC594B" w:rsidRPr="00054543">
        <w:rPr>
          <w:rFonts w:eastAsia="Calibri" w:cs="Times New Roman"/>
        </w:rPr>
        <w:t xml:space="preserve"> </w:t>
      </w:r>
      <w:r w:rsidRPr="00054543">
        <w:rPr>
          <w:rFonts w:eastAsia="Calibri" w:cs="Times New Roman"/>
        </w:rPr>
        <w:t>employers, educators</w:t>
      </w:r>
      <w:r w:rsidR="00FD10B7">
        <w:rPr>
          <w:rFonts w:eastAsia="Calibri" w:cs="Times New Roman"/>
        </w:rPr>
        <w:t>,</w:t>
      </w:r>
      <w:r w:rsidRPr="00054543">
        <w:rPr>
          <w:rFonts w:eastAsia="Calibri" w:cs="Times New Roman"/>
        </w:rPr>
        <w:t xml:space="preserve"> and nonprofit entities. Stakeholders also noted liability concerns of employers, as well as </w:t>
      </w:r>
      <w:r w:rsidR="00FD10B7">
        <w:rPr>
          <w:rFonts w:eastAsia="Calibri" w:cs="Times New Roman"/>
        </w:rPr>
        <w:t xml:space="preserve">a </w:t>
      </w:r>
      <w:r w:rsidRPr="00054543">
        <w:rPr>
          <w:rFonts w:eastAsia="Calibri" w:cs="Times New Roman"/>
        </w:rPr>
        <w:t xml:space="preserve">lack of </w:t>
      </w:r>
      <w:r w:rsidRPr="00054543">
        <w:rPr>
          <w:rFonts w:eastAsia="Calibri" w:cs="Times New Roman"/>
        </w:rPr>
        <w:lastRenderedPageBreak/>
        <w:t>understanding of disabilities and limited hours of employment</w:t>
      </w:r>
      <w:r w:rsidR="00EC594B">
        <w:rPr>
          <w:rFonts w:eastAsia="Calibri" w:cs="Times New Roman"/>
        </w:rPr>
        <w:t xml:space="preserve">, </w:t>
      </w:r>
      <w:r w:rsidR="00EC594B" w:rsidRPr="00054543">
        <w:rPr>
          <w:rFonts w:eastAsia="Calibri" w:cs="Times New Roman"/>
        </w:rPr>
        <w:t>as obstacle</w:t>
      </w:r>
      <w:r w:rsidR="00EC594B">
        <w:rPr>
          <w:rFonts w:eastAsia="Calibri" w:cs="Times New Roman"/>
        </w:rPr>
        <w:t>s</w:t>
      </w:r>
      <w:r w:rsidR="00EC594B" w:rsidRPr="00054543">
        <w:rPr>
          <w:rFonts w:eastAsia="Calibri" w:cs="Times New Roman"/>
        </w:rPr>
        <w:t xml:space="preserve"> to providing </w:t>
      </w:r>
      <w:r w:rsidR="00EC594B">
        <w:rPr>
          <w:rFonts w:eastAsia="Calibri" w:cs="Times New Roman"/>
        </w:rPr>
        <w:t>WBL</w:t>
      </w:r>
      <w:r w:rsidR="00EC594B" w:rsidRPr="00054543">
        <w:rPr>
          <w:rFonts w:eastAsia="Calibri" w:cs="Times New Roman"/>
        </w:rPr>
        <w:t xml:space="preserve"> opportunities for students</w:t>
      </w:r>
      <w:r w:rsidRPr="00054543">
        <w:rPr>
          <w:rFonts w:eastAsia="Calibri" w:cs="Times New Roman"/>
        </w:rPr>
        <w:t>.</w:t>
      </w:r>
    </w:p>
    <w:p w14:paraId="11D7080A" w14:textId="6CE883E7" w:rsidR="00E61323" w:rsidRPr="00054543" w:rsidRDefault="00E61323" w:rsidP="00E61323">
      <w:pPr>
        <w:rPr>
          <w:rFonts w:eastAsia="Calibri" w:cs="Times New Roman"/>
        </w:rPr>
      </w:pPr>
      <w:r w:rsidRPr="00054543">
        <w:rPr>
          <w:rFonts w:eastAsia="Calibri" w:cs="Times New Roman"/>
        </w:rPr>
        <w:t xml:space="preserve">Some specific recommended strategies </w:t>
      </w:r>
      <w:r w:rsidR="007B6FB6">
        <w:rPr>
          <w:rFonts w:eastAsia="Calibri" w:cs="Times New Roman"/>
        </w:rPr>
        <w:t>for preparing special populations for further learning i</w:t>
      </w:r>
      <w:r w:rsidRPr="00054543">
        <w:rPr>
          <w:rFonts w:eastAsia="Calibri" w:cs="Times New Roman"/>
        </w:rPr>
        <w:t>nclude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w:t>
      </w:r>
      <w:r w:rsidR="00347B39">
        <w:rPr>
          <w:rFonts w:eastAsia="Calibri" w:cs="Times New Roman"/>
        </w:rPr>
        <w:t>Stakeholders</w:t>
      </w:r>
      <w:r w:rsidRPr="00054543">
        <w:rPr>
          <w:rFonts w:eastAsia="Calibri" w:cs="Times New Roman"/>
        </w:rPr>
        <w:t xml:space="preserve"> also suggested creating “safe zones” for lesbian, gay, bisexual, transgender, and queer (or questioning) students</w:t>
      </w:r>
      <w:r w:rsidR="007915C2">
        <w:rPr>
          <w:rFonts w:eastAsia="Calibri" w:cs="Times New Roman"/>
        </w:rPr>
        <w:t>;</w:t>
      </w:r>
      <w:r w:rsidRPr="00054543">
        <w:rPr>
          <w:rFonts w:eastAsia="Calibri" w:cs="Times New Roman"/>
        </w:rPr>
        <w:t xml:space="preserve"> addressing the needs of homeless students</w:t>
      </w:r>
      <w:r w:rsidR="007915C2">
        <w:rPr>
          <w:rFonts w:eastAsia="Calibri" w:cs="Times New Roman"/>
        </w:rPr>
        <w:t>;</w:t>
      </w:r>
      <w:r w:rsidRPr="00054543">
        <w:rPr>
          <w:rFonts w:eastAsia="Calibri" w:cs="Times New Roman"/>
        </w:rPr>
        <w:t xml:space="preserve"> and </w:t>
      </w:r>
      <w:r w:rsidR="007915C2">
        <w:rPr>
          <w:rFonts w:eastAsia="Calibri" w:cs="Times New Roman"/>
        </w:rPr>
        <w:t>increasing</w:t>
      </w:r>
      <w:r w:rsidR="007915C2" w:rsidRPr="00054543">
        <w:rPr>
          <w:rFonts w:eastAsia="Calibri" w:cs="Times New Roman"/>
        </w:rPr>
        <w:t xml:space="preserve"> </w:t>
      </w:r>
      <w:r w:rsidRPr="00054543">
        <w:rPr>
          <w:rFonts w:eastAsia="Calibri" w:cs="Times New Roman"/>
        </w:rPr>
        <w:t xml:space="preserve">engagement with parents and families. To fund these efforts, stakeholders recommended braiding funds and improving alignment across </w:t>
      </w:r>
      <w:r w:rsidR="00D857D4">
        <w:rPr>
          <w:rFonts w:eastAsia="Calibri" w:cs="Times New Roman"/>
        </w:rPr>
        <w:t>S</w:t>
      </w:r>
      <w:r w:rsidRPr="00054543">
        <w:rPr>
          <w:rFonts w:eastAsia="Calibri" w:cs="Times New Roman"/>
        </w:rPr>
        <w:t xml:space="preserve">tate agencies and programs, including </w:t>
      </w:r>
      <w:r w:rsidR="007915C2">
        <w:rPr>
          <w:rFonts w:eastAsia="Calibri" w:cs="Times New Roman"/>
        </w:rPr>
        <w:t xml:space="preserve">the </w:t>
      </w:r>
      <w:r w:rsidRPr="00054543">
        <w:rPr>
          <w:rFonts w:eastAsia="Calibri" w:cs="Times New Roman"/>
        </w:rPr>
        <w:t xml:space="preserve">Department of Rehabilitation, </w:t>
      </w:r>
      <w:r w:rsidR="007915C2">
        <w:rPr>
          <w:rFonts w:eastAsia="Calibri" w:cs="Times New Roman"/>
        </w:rPr>
        <w:t xml:space="preserve">the </w:t>
      </w:r>
      <w:r w:rsidRPr="00054543">
        <w:rPr>
          <w:rFonts w:eastAsia="Calibri" w:cs="Times New Roman"/>
        </w:rPr>
        <w:t>Health and Human Services</w:t>
      </w:r>
      <w:r w:rsidR="007915C2">
        <w:rPr>
          <w:rFonts w:eastAsia="Calibri" w:cs="Times New Roman"/>
        </w:rPr>
        <w:t xml:space="preserve"> Agency</w:t>
      </w:r>
      <w:r w:rsidRPr="00054543">
        <w:rPr>
          <w:rFonts w:eastAsia="Calibri" w:cs="Times New Roman"/>
        </w:rPr>
        <w:t>, and Student Attendance Review Boards.</w:t>
      </w:r>
    </w:p>
    <w:p w14:paraId="015C2CA5" w14:textId="5379F43C"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w:t>
      </w:r>
      <w:r w:rsidR="007915C2">
        <w:rPr>
          <w:rFonts w:eastAsia="Calibri" w:cs="Times New Roman"/>
        </w:rPr>
        <w:t>;</w:t>
      </w:r>
      <w:r w:rsidRPr="00054543">
        <w:rPr>
          <w:rFonts w:eastAsia="Calibri" w:cs="Times New Roman"/>
        </w:rPr>
        <w:t xml:space="preserve"> prepare </w:t>
      </w:r>
      <w:r w:rsidR="007915C2">
        <w:rPr>
          <w:rFonts w:eastAsia="Calibri" w:cs="Times New Roman"/>
        </w:rPr>
        <w:t xml:space="preserve">them </w:t>
      </w:r>
      <w:r w:rsidRPr="00054543">
        <w:rPr>
          <w:rFonts w:eastAsia="Calibri" w:cs="Times New Roman"/>
        </w:rPr>
        <w:t>for entry into nontraditional, high</w:t>
      </w:r>
      <w:r w:rsidR="007915C2">
        <w:rPr>
          <w:rFonts w:eastAsia="Calibri" w:cs="Times New Roman"/>
        </w:rPr>
        <w:t>-</w:t>
      </w:r>
      <w:r w:rsidRPr="00054543">
        <w:rPr>
          <w:rFonts w:eastAsia="Calibri" w:cs="Times New Roman"/>
        </w:rPr>
        <w:t>skill, high</w:t>
      </w:r>
      <w:r w:rsidR="007915C2">
        <w:rPr>
          <w:rFonts w:eastAsia="Calibri" w:cs="Times New Roman"/>
        </w:rPr>
        <w:t>-</w:t>
      </w:r>
      <w:r w:rsidRPr="00054543">
        <w:rPr>
          <w:rFonts w:eastAsia="Calibri" w:cs="Times New Roman"/>
        </w:rPr>
        <w:t>wage, and in-demand career fields</w:t>
      </w:r>
      <w:r w:rsidR="007915C2">
        <w:rPr>
          <w:rFonts w:eastAsia="Calibri" w:cs="Times New Roman"/>
        </w:rPr>
        <w:t>;</w:t>
      </w:r>
      <w:r w:rsidRPr="00054543">
        <w:rPr>
          <w:rFonts w:eastAsia="Calibri" w:cs="Times New Roman"/>
        </w:rPr>
        <w:t xml:space="preserve"> and prepare </w:t>
      </w:r>
      <w:r w:rsidR="007915C2">
        <w:rPr>
          <w:rFonts w:eastAsia="Calibri" w:cs="Times New Roman"/>
        </w:rPr>
        <w:t xml:space="preserve">them </w:t>
      </w:r>
      <w:r w:rsidRPr="00054543">
        <w:rPr>
          <w:rFonts w:eastAsia="Calibri" w:cs="Times New Roman"/>
        </w:rPr>
        <w:t>for further education or training. California will also explore ways to provide coherence among different entities providing similar services</w:t>
      </w:r>
      <w:r w:rsidR="007915C2">
        <w:rPr>
          <w:rFonts w:eastAsia="Calibri" w:cs="Times New Roman"/>
        </w:rPr>
        <w:t>,</w:t>
      </w:r>
      <w:r w:rsidRPr="00054543">
        <w:rPr>
          <w:rFonts w:eastAsia="Calibri" w:cs="Times New Roman"/>
        </w:rPr>
        <w:t xml:space="preserve"> to avoid duplication of efforts and </w:t>
      </w:r>
      <w:r w:rsidR="007915C2">
        <w:rPr>
          <w:rFonts w:eastAsia="Calibri" w:cs="Times New Roman"/>
        </w:rPr>
        <w:t xml:space="preserve">to </w:t>
      </w:r>
      <w:r w:rsidRPr="00054543">
        <w:rPr>
          <w:rFonts w:eastAsia="Calibri" w:cs="Times New Roman"/>
        </w:rPr>
        <w:t>maximize the best use of public resources for providing appropriate accommodations to students.</w:t>
      </w:r>
    </w:p>
    <w:p w14:paraId="48297495" w14:textId="00B380CD" w:rsidR="00E61323" w:rsidRPr="00054543" w:rsidRDefault="00E61323" w:rsidP="00E61323">
      <w:pPr>
        <w:rPr>
          <w:rFonts w:eastAsia="Calibri" w:cs="Times New Roman"/>
        </w:rPr>
      </w:pPr>
      <w:r w:rsidRPr="00054543">
        <w:rPr>
          <w:rFonts w:eastAsia="Calibri" w:cs="Times New Roman"/>
        </w:rPr>
        <w:t>California looks forward to continuing engagement with stakeholders to identify ways to use Perkins V funding</w:t>
      </w:r>
      <w:r w:rsidR="009F29ED">
        <w:rPr>
          <w:rFonts w:eastAsia="Calibri" w:cs="Times New Roman"/>
        </w:rPr>
        <w:t xml:space="preserve"> to supplement existing efforts</w:t>
      </w:r>
      <w:r w:rsidRPr="00054543">
        <w:rPr>
          <w:rFonts w:eastAsia="Calibri" w:cs="Times New Roman"/>
        </w:rPr>
        <w:t xml:space="preserve"> and </w:t>
      </w:r>
      <w:r w:rsidR="007915C2">
        <w:rPr>
          <w:rFonts w:eastAsia="Calibri" w:cs="Times New Roman"/>
        </w:rPr>
        <w:t xml:space="preserve">to </w:t>
      </w:r>
      <w:r w:rsidRPr="00054543">
        <w:rPr>
          <w:rFonts w:eastAsia="Calibri" w:cs="Times New Roman"/>
        </w:rPr>
        <w:t>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iv. will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59133873" w:rsidR="00E61323" w:rsidRPr="00054543" w:rsidRDefault="00E61323" w:rsidP="00E61323">
      <w:pPr>
        <w:rPr>
          <w:rFonts w:eastAsia="Calibri" w:cs="Times New Roman"/>
        </w:rPr>
      </w:pPr>
      <w:r w:rsidRPr="00054543">
        <w:rPr>
          <w:rFonts w:eastAsia="Calibri" w:cs="Times New Roman"/>
        </w:rPr>
        <w:lastRenderedPageBreak/>
        <w:t xml:space="preserve">See </w:t>
      </w:r>
      <w:r w:rsidR="00365E99">
        <w:rPr>
          <w:rFonts w:eastAsia="Calibri" w:cs="Times New Roman"/>
        </w:rPr>
        <w:t>the previous responses to prompts B(3)(a)</w:t>
      </w:r>
      <w:r w:rsidRPr="00054543">
        <w:rPr>
          <w:rFonts w:eastAsia="Calibri" w:cs="Times New Roman"/>
        </w:rPr>
        <w:t xml:space="preserve">(ii) </w:t>
      </w:r>
      <w:r w:rsidR="00107003">
        <w:rPr>
          <w:rFonts w:eastAsia="Calibri" w:cs="Times New Roman"/>
        </w:rPr>
        <w:t xml:space="preserve">and </w:t>
      </w:r>
      <w:r w:rsidR="00365E99">
        <w:rPr>
          <w:rFonts w:eastAsia="Calibri" w:cs="Times New Roman"/>
        </w:rPr>
        <w:t>B(</w:t>
      </w:r>
      <w:r w:rsidR="00107003">
        <w:rPr>
          <w:rFonts w:eastAsia="Calibri" w:cs="Times New Roman"/>
        </w:rPr>
        <w:t>2</w:t>
      </w:r>
      <w:r w:rsidR="00365E99">
        <w:rPr>
          <w:rFonts w:eastAsia="Calibri" w:cs="Times New Roman"/>
        </w:rPr>
        <w:t>)</w:t>
      </w:r>
      <w:r w:rsidR="00107003">
        <w:rPr>
          <w:rFonts w:eastAsia="Calibri" w:cs="Times New Roman"/>
        </w:rPr>
        <w:t>(c)</w:t>
      </w:r>
      <w:r w:rsidR="00365E99">
        <w:rPr>
          <w:rFonts w:eastAsia="Calibri" w:cs="Times New Roman"/>
        </w:rPr>
        <w:t>(</w:t>
      </w:r>
      <w:r w:rsidR="00107003">
        <w:rPr>
          <w:rFonts w:eastAsia="Calibri" w:cs="Times New Roman"/>
        </w:rPr>
        <w:t>iv</w:t>
      </w:r>
      <w:r w:rsidR="00365E99">
        <w:rPr>
          <w:rFonts w:eastAsia="Calibri" w:cs="Times New Roman"/>
        </w:rPr>
        <w:t>)</w:t>
      </w:r>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v. will be provided instruction and work-based learning opportunities in integrated settings that support competitive, integrated employment. (Section 122(d)(9)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41E3AAC1" w14:textId="23947C7B" w:rsidR="00B2208F" w:rsidRDefault="0076578B" w:rsidP="00E61323">
      <w:pPr>
        <w:rPr>
          <w:rFonts w:eastAsia="Calibri" w:cs="Times New Roman"/>
        </w:rPr>
      </w:pPr>
      <w:r>
        <w:rPr>
          <w:rFonts w:eastAsia="Calibri" w:cs="Times New Roman"/>
        </w:rPr>
        <w:t xml:space="preserve">As career pathways expand throughout the </w:t>
      </w:r>
      <w:r w:rsidR="00D857D4">
        <w:rPr>
          <w:rFonts w:eastAsia="Calibri" w:cs="Times New Roman"/>
        </w:rPr>
        <w:t>S</w:t>
      </w:r>
      <w:r>
        <w:rPr>
          <w:rFonts w:eastAsia="Calibri" w:cs="Times New Roman"/>
        </w:rPr>
        <w:t>tate, scaling up WBL opportunities is challenging, and</w:t>
      </w:r>
      <w:r w:rsidR="007915C2">
        <w:rPr>
          <w:rFonts w:eastAsia="Calibri" w:cs="Times New Roman"/>
        </w:rPr>
        <w:t>,</w:t>
      </w:r>
      <w:r>
        <w:rPr>
          <w:rFonts w:eastAsia="Calibri" w:cs="Times New Roman"/>
        </w:rPr>
        <w:t xml:space="preserve"> often</w:t>
      </w:r>
      <w:r w:rsidR="007915C2">
        <w:rPr>
          <w:rFonts w:eastAsia="Calibri" w:cs="Times New Roman"/>
        </w:rPr>
        <w:t>,</w:t>
      </w:r>
      <w:r>
        <w:rPr>
          <w:rFonts w:eastAsia="Calibri" w:cs="Times New Roman"/>
        </w:rPr>
        <w:t xml:space="preserve"> access</w:t>
      </w:r>
      <w:r w:rsidR="00821FB0">
        <w:rPr>
          <w:rFonts w:eastAsia="Calibri" w:cs="Times New Roman"/>
        </w:rPr>
        <w:t xml:space="preserve"> to WBL</w:t>
      </w:r>
      <w:r>
        <w:rPr>
          <w:rFonts w:eastAsia="Calibri" w:cs="Times New Roman"/>
        </w:rPr>
        <w:t xml:space="preserve"> is limited, putting special education students at a competitive disadvantage. One way to address this competitive disadvantage is to more closely </w:t>
      </w:r>
      <w:r w:rsidR="00D4632F">
        <w:rPr>
          <w:rFonts w:eastAsia="Calibri" w:cs="Times New Roman"/>
        </w:rPr>
        <w:t xml:space="preserve">integrate </w:t>
      </w:r>
      <w:r>
        <w:rPr>
          <w:rFonts w:eastAsia="Calibri" w:cs="Times New Roman"/>
        </w:rPr>
        <w:t>CTE programming with workability options. WorkAbility I (WAI) is a model transition program for youth with disabilities</w:t>
      </w:r>
      <w:r w:rsidR="00CF7152">
        <w:rPr>
          <w:rFonts w:eastAsia="Calibri" w:cs="Times New Roman"/>
        </w:rPr>
        <w:t>.</w:t>
      </w:r>
      <w:r>
        <w:rPr>
          <w:rStyle w:val="FootnoteReference"/>
          <w:rFonts w:eastAsia="Calibri" w:cs="Times New Roman"/>
        </w:rPr>
        <w:footnoteReference w:id="30"/>
      </w:r>
      <w:r>
        <w:rPr>
          <w:rFonts w:eastAsia="Calibri" w:cs="Times New Roman"/>
        </w:rPr>
        <w:t xml:space="preserve"> </w:t>
      </w:r>
      <w:r w:rsidR="00A30356" w:rsidRPr="00A30356">
        <w:rPr>
          <w:rFonts w:eastAsia="Calibri" w:cs="Times New Roman"/>
        </w:rPr>
        <w:t xml:space="preserve">The WAI funding model is based on the number of students “served." To qualify as served, a student must be provided </w:t>
      </w:r>
      <w:r w:rsidR="00D4632F">
        <w:rPr>
          <w:rFonts w:eastAsia="Calibri" w:cs="Times New Roman"/>
        </w:rPr>
        <w:t xml:space="preserve">with </w:t>
      </w:r>
      <w:r w:rsidR="00A30356" w:rsidRPr="00A30356">
        <w:rPr>
          <w:rFonts w:eastAsia="Calibri" w:cs="Times New Roman"/>
        </w:rPr>
        <w:t>career/vocational assessment, career counseling</w:t>
      </w:r>
      <w:r w:rsidR="00D4632F">
        <w:rPr>
          <w:rFonts w:eastAsia="Calibri" w:cs="Times New Roman"/>
        </w:rPr>
        <w:t>,</w:t>
      </w:r>
      <w:r w:rsidR="00A30356" w:rsidRPr="00A30356">
        <w:rPr>
          <w:rFonts w:eastAsia="Calibri" w:cs="Times New Roman"/>
        </w:rPr>
        <w:t xml:space="preserve"> and guidance in the School-Based Component, and </w:t>
      </w:r>
      <w:r w:rsidR="00D4632F">
        <w:rPr>
          <w:rFonts w:eastAsia="Calibri" w:cs="Times New Roman"/>
        </w:rPr>
        <w:t xml:space="preserve">with </w:t>
      </w:r>
      <w:r w:rsidR="00A30356" w:rsidRPr="00A30356">
        <w:rPr>
          <w:rFonts w:eastAsia="Calibri" w:cs="Times New Roman"/>
        </w:rPr>
        <w:t xml:space="preserve">one or more services in the Connecting Activities and </w:t>
      </w:r>
      <w:r w:rsidR="002264D7">
        <w:rPr>
          <w:rFonts w:eastAsia="Calibri" w:cs="Times New Roman"/>
        </w:rPr>
        <w:t>WBL</w:t>
      </w:r>
      <w:r w:rsidR="00A30356" w:rsidRPr="00A30356">
        <w:rPr>
          <w:rFonts w:eastAsia="Calibri" w:cs="Times New Roman"/>
        </w:rPr>
        <w:t xml:space="preserve"> Component. At least one of these services must be directly provided by the WAI </w:t>
      </w:r>
      <w:r w:rsidR="00D4632F">
        <w:rPr>
          <w:rFonts w:eastAsia="Calibri" w:cs="Times New Roman"/>
        </w:rPr>
        <w:t>p</w:t>
      </w:r>
      <w:r w:rsidR="00A30356" w:rsidRPr="00A30356">
        <w:rPr>
          <w:rFonts w:eastAsia="Calibri" w:cs="Times New Roman"/>
        </w:rPr>
        <w:t>rogram, or documentation must exist of WAI’s role in the indirect provision of the service.</w:t>
      </w:r>
      <w:r w:rsidR="00A30356">
        <w:rPr>
          <w:rFonts w:eastAsia="Calibri" w:cs="Times New Roman"/>
        </w:rPr>
        <w:t xml:space="preserve"> </w:t>
      </w:r>
    </w:p>
    <w:p w14:paraId="2195CA27" w14:textId="70AB3CF3" w:rsidR="0076578B" w:rsidRDefault="00A30356" w:rsidP="00E61323">
      <w:pPr>
        <w:rPr>
          <w:rFonts w:eastAsia="Calibri" w:cs="Times New Roman"/>
        </w:rPr>
      </w:pPr>
      <w:r>
        <w:rPr>
          <w:rFonts w:eastAsia="Calibri" w:cs="Times New Roman"/>
        </w:rPr>
        <w:t xml:space="preserve">Of particular note here is that there is opportunity to strengthen the integration between the </w:t>
      </w:r>
      <w:r w:rsidR="00821FB0">
        <w:rPr>
          <w:rFonts w:eastAsia="Calibri" w:cs="Times New Roman"/>
        </w:rPr>
        <w:t>S</w:t>
      </w:r>
      <w:r>
        <w:rPr>
          <w:rFonts w:eastAsia="Calibri" w:cs="Times New Roman"/>
        </w:rPr>
        <w:t>chool-</w:t>
      </w:r>
      <w:r w:rsidR="00821FB0">
        <w:rPr>
          <w:rFonts w:eastAsia="Calibri" w:cs="Times New Roman"/>
        </w:rPr>
        <w:t>B</w:t>
      </w:r>
      <w:r>
        <w:rPr>
          <w:rFonts w:eastAsia="Calibri" w:cs="Times New Roman"/>
        </w:rPr>
        <w:t xml:space="preserve">ased </w:t>
      </w:r>
      <w:r w:rsidR="00821FB0">
        <w:rPr>
          <w:rFonts w:eastAsia="Calibri" w:cs="Times New Roman"/>
        </w:rPr>
        <w:t>C</w:t>
      </w:r>
      <w:r>
        <w:rPr>
          <w:rFonts w:eastAsia="Calibri" w:cs="Times New Roman"/>
        </w:rPr>
        <w:t xml:space="preserve">omponent </w:t>
      </w:r>
      <w:r w:rsidR="00D4632F">
        <w:rPr>
          <w:rFonts w:eastAsia="Calibri" w:cs="Times New Roman"/>
        </w:rPr>
        <w:t xml:space="preserve">and </w:t>
      </w:r>
      <w:r>
        <w:rPr>
          <w:rFonts w:eastAsia="Calibri" w:cs="Times New Roman"/>
        </w:rPr>
        <w:t xml:space="preserve">WBL as the </w:t>
      </w:r>
      <w:r w:rsidR="008A6179">
        <w:rPr>
          <w:rFonts w:eastAsia="Calibri" w:cs="Times New Roman"/>
        </w:rPr>
        <w:t>F</w:t>
      </w:r>
      <w:r>
        <w:rPr>
          <w:rFonts w:eastAsia="Calibri" w:cs="Times New Roman"/>
        </w:rPr>
        <w:t xml:space="preserve">ederal Perkins </w:t>
      </w:r>
      <w:r w:rsidR="00B2208F">
        <w:rPr>
          <w:rFonts w:eastAsia="Calibri" w:cs="Times New Roman"/>
        </w:rPr>
        <w:t xml:space="preserve">V </w:t>
      </w:r>
      <w:r>
        <w:rPr>
          <w:rFonts w:eastAsia="Calibri" w:cs="Times New Roman"/>
        </w:rPr>
        <w:t>State Plan gets implemented in California.</w:t>
      </w:r>
      <w:r w:rsidR="00B2208F">
        <w:rPr>
          <w:rFonts w:eastAsia="Calibri" w:cs="Times New Roman"/>
        </w:rPr>
        <w:t xml:space="preserve"> Further, given that several </w:t>
      </w:r>
      <w:r w:rsidR="00D857D4">
        <w:rPr>
          <w:rFonts w:eastAsia="Calibri" w:cs="Times New Roman"/>
        </w:rPr>
        <w:t>S</w:t>
      </w:r>
      <w:r w:rsidR="00B2208F">
        <w:rPr>
          <w:rFonts w:eastAsia="Calibri" w:cs="Times New Roman"/>
        </w:rPr>
        <w:t xml:space="preserve">tate agencies (see </w:t>
      </w:r>
      <w:r w:rsidR="00365E99">
        <w:rPr>
          <w:rFonts w:eastAsia="Calibri" w:cs="Times New Roman"/>
        </w:rPr>
        <w:t xml:space="preserve">the response to prompt </w:t>
      </w:r>
      <w:r w:rsidR="00B2208F">
        <w:rPr>
          <w:rFonts w:eastAsia="Calibri" w:cs="Times New Roman"/>
        </w:rPr>
        <w:t>B</w:t>
      </w:r>
      <w:r w:rsidR="00365E99">
        <w:rPr>
          <w:rFonts w:eastAsia="Calibri" w:cs="Times New Roman"/>
        </w:rPr>
        <w:t>[</w:t>
      </w:r>
      <w:r w:rsidR="00B2208F">
        <w:rPr>
          <w:rFonts w:eastAsia="Calibri" w:cs="Times New Roman"/>
        </w:rPr>
        <w:t>1</w:t>
      </w:r>
      <w:r w:rsidR="00365E99">
        <w:rPr>
          <w:rFonts w:eastAsia="Calibri" w:cs="Times New Roman"/>
        </w:rPr>
        <w:t>][</w:t>
      </w:r>
      <w:r w:rsidR="00B2208F">
        <w:rPr>
          <w:rFonts w:eastAsia="Calibri" w:cs="Times New Roman"/>
        </w:rPr>
        <w:t>a</w:t>
      </w:r>
      <w:r w:rsidR="00365E99">
        <w:rPr>
          <w:rFonts w:eastAsia="Calibri" w:cs="Times New Roman"/>
        </w:rPr>
        <w:t>]</w:t>
      </w:r>
      <w:r w:rsidR="00B2208F">
        <w:rPr>
          <w:rFonts w:eastAsia="Calibri" w:cs="Times New Roman"/>
        </w:rPr>
        <w:t xml:space="preserve">) independently offer WBL in a variety of forms (WEE, pre-apprenticeships, apprenticeships), the implementation of the federal Perkins V State Plan should provide </w:t>
      </w:r>
      <w:r w:rsidR="008A6179">
        <w:rPr>
          <w:rFonts w:eastAsia="Calibri" w:cs="Times New Roman"/>
        </w:rPr>
        <w:t>an</w:t>
      </w:r>
      <w:r w:rsidR="00B2208F">
        <w:rPr>
          <w:rFonts w:eastAsia="Calibri" w:cs="Times New Roman"/>
        </w:rPr>
        <w:t xml:space="preserve"> opportunity </w:t>
      </w:r>
      <w:r w:rsidR="008A6179">
        <w:rPr>
          <w:rFonts w:eastAsia="Calibri" w:cs="Times New Roman"/>
        </w:rPr>
        <w:t>for</w:t>
      </w:r>
      <w:r w:rsidR="00B2208F">
        <w:rPr>
          <w:rFonts w:eastAsia="Calibri" w:cs="Times New Roman"/>
        </w:rPr>
        <w:t xml:space="preserve"> </w:t>
      </w:r>
      <w:r w:rsidR="00F77B77">
        <w:rPr>
          <w:rFonts w:eastAsia="Calibri" w:cs="Times New Roman"/>
        </w:rPr>
        <w:t xml:space="preserve">these different </w:t>
      </w:r>
      <w:r w:rsidR="00D857D4">
        <w:rPr>
          <w:rFonts w:eastAsia="Calibri" w:cs="Times New Roman"/>
        </w:rPr>
        <w:t>S</w:t>
      </w:r>
      <w:r w:rsidR="00F77B77">
        <w:rPr>
          <w:rFonts w:eastAsia="Calibri" w:cs="Times New Roman"/>
        </w:rPr>
        <w:t>tate agencies to holistically address WBL. In particular, the WAI program is a good place to start</w:t>
      </w:r>
      <w:r w:rsidR="008A6179">
        <w:rPr>
          <w:rFonts w:eastAsia="Calibri" w:cs="Times New Roman"/>
        </w:rPr>
        <w:t>,</w:t>
      </w:r>
      <w:r w:rsidR="00F77B77">
        <w:rPr>
          <w:rFonts w:eastAsia="Calibri" w:cs="Times New Roman"/>
        </w:rPr>
        <w:t xml:space="preserve"> as workability options provide a specific and valuable set of WBL resources that begin with special education students</w:t>
      </w:r>
      <w:r w:rsidR="008A6179">
        <w:rPr>
          <w:rFonts w:eastAsia="Calibri" w:cs="Times New Roman"/>
        </w:rPr>
        <w:t>,</w:t>
      </w:r>
      <w:r w:rsidR="00F77B77">
        <w:rPr>
          <w:rFonts w:eastAsia="Calibri" w:cs="Times New Roman"/>
        </w:rPr>
        <w:t xml:space="preserve"> but </w:t>
      </w:r>
      <w:r w:rsidR="008A6179">
        <w:rPr>
          <w:rFonts w:eastAsia="Calibri" w:cs="Times New Roman"/>
        </w:rPr>
        <w:t xml:space="preserve">that </w:t>
      </w:r>
      <w:r w:rsidR="00F77B77">
        <w:rPr>
          <w:rFonts w:eastAsia="Calibri" w:cs="Times New Roman"/>
        </w:rPr>
        <w:t xml:space="preserve">can be modified and expanded to all students. </w:t>
      </w:r>
    </w:p>
    <w:p w14:paraId="70E66C20" w14:textId="7AB7FE5D" w:rsidR="00E61323" w:rsidRPr="00054543" w:rsidRDefault="00AA4C03" w:rsidP="00E61323">
      <w:pPr>
        <w:rPr>
          <w:rFonts w:eastAsia="Calibri" w:cs="Times New Roman"/>
        </w:rPr>
      </w:pPr>
      <w:r>
        <w:rPr>
          <w:rFonts w:eastAsia="Calibri" w:cs="Times New Roman"/>
        </w:rPr>
        <w:lastRenderedPageBreak/>
        <w:t>Also s</w:t>
      </w:r>
      <w:r w:rsidR="00E61323" w:rsidRPr="00054543">
        <w:rPr>
          <w:rFonts w:eastAsia="Calibri" w:cs="Times New Roman"/>
        </w:rPr>
        <w:t xml:space="preserve">ee </w:t>
      </w:r>
      <w:r>
        <w:rPr>
          <w:rFonts w:eastAsia="Calibri" w:cs="Times New Roman"/>
        </w:rPr>
        <w:t>the responses to prompts B(3)(a)</w:t>
      </w:r>
      <w:r w:rsidR="00E61323" w:rsidRPr="00054543">
        <w:rPr>
          <w:rFonts w:eastAsia="Calibri" w:cs="Times New Roman"/>
        </w:rPr>
        <w:t xml:space="preserve">(iii) </w:t>
      </w:r>
      <w:r w:rsidR="00534AF9">
        <w:rPr>
          <w:rFonts w:eastAsia="Calibri" w:cs="Times New Roman"/>
        </w:rPr>
        <w:t xml:space="preserve">and </w:t>
      </w:r>
      <w:r>
        <w:rPr>
          <w:rFonts w:eastAsia="Calibri" w:cs="Times New Roman"/>
        </w:rPr>
        <w:t>B(</w:t>
      </w:r>
      <w:r w:rsidR="00534AF9">
        <w:rPr>
          <w:rFonts w:eastAsia="Calibri" w:cs="Times New Roman"/>
        </w:rPr>
        <w:t>2</w:t>
      </w:r>
      <w:r>
        <w:rPr>
          <w:rFonts w:eastAsia="Calibri" w:cs="Times New Roman"/>
        </w:rPr>
        <w:t>)</w:t>
      </w:r>
      <w:r w:rsidR="00534AF9">
        <w:rPr>
          <w:rFonts w:eastAsia="Calibri" w:cs="Times New Roman"/>
        </w:rPr>
        <w:t>(e)</w:t>
      </w:r>
      <w:r w:rsidR="00E61323" w:rsidRPr="00054543">
        <w:rPr>
          <w:rFonts w:eastAsia="Calibri" w:cs="Times New Roman"/>
        </w:rPr>
        <w:t>.</w:t>
      </w:r>
    </w:p>
    <w:p w14:paraId="5084DE60" w14:textId="77777777" w:rsidR="00C33240" w:rsidRPr="002F2687" w:rsidRDefault="00AE5A46" w:rsidP="00C74AB8">
      <w:pPr>
        <w:pStyle w:val="Heading4"/>
      </w:pPr>
      <w:r w:rsidRPr="002F2687">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3A05106D" w14:textId="4CDECB37" w:rsidR="003E7E8C" w:rsidRPr="008718E1" w:rsidRDefault="003E7E8C" w:rsidP="008718E1">
      <w:bookmarkStart w:id="66" w:name="_Toc18935412"/>
      <w:bookmarkStart w:id="67" w:name="_Toc21683332"/>
      <w:bookmarkStart w:id="68" w:name="_Toc21944236"/>
      <w:r w:rsidRPr="008718E1">
        <w:t xml:space="preserve">Addressing this prompt requires taking into consideration the preparation of </w:t>
      </w:r>
      <w:r w:rsidR="00C82B9D">
        <w:br/>
      </w:r>
      <w:r w:rsidRPr="008718E1">
        <w:t>K</w:t>
      </w:r>
      <w:r w:rsidR="00C82B9D">
        <w:t>–</w:t>
      </w:r>
      <w:r w:rsidRPr="008718E1">
        <w:t xml:space="preserve">12 teachers and community college faculty, </w:t>
      </w:r>
      <w:r w:rsidR="00163A23">
        <w:t xml:space="preserve">administrators, and other specialized support personnel, </w:t>
      </w:r>
      <w:r w:rsidRPr="008718E1">
        <w:t>how they are recruited into the</w:t>
      </w:r>
      <w:r w:rsidR="00163A23">
        <w:t>ir</w:t>
      </w:r>
      <w:r w:rsidRPr="008718E1">
        <w:t xml:space="preserve"> profession</w:t>
      </w:r>
      <w:r w:rsidR="00163A23">
        <w:t>s</w:t>
      </w:r>
      <w:r w:rsidRPr="008718E1">
        <w:t xml:space="preserve">. Examples of how </w:t>
      </w:r>
      <w:r w:rsidR="00163A23">
        <w:t xml:space="preserve">the field is supported through </w:t>
      </w:r>
      <w:r w:rsidR="0046463F">
        <w:t>PD</w:t>
      </w:r>
      <w:r w:rsidR="00C82B9D">
        <w:t xml:space="preserve"> </w:t>
      </w:r>
      <w:r w:rsidR="00163A23">
        <w:t>opportunities for both</w:t>
      </w:r>
      <w:r w:rsidR="00C82B9D">
        <w:t xml:space="preserve"> the K–</w:t>
      </w:r>
      <w:r w:rsidRPr="008718E1">
        <w:t>12 and the community college levels are shown</w:t>
      </w:r>
      <w:r w:rsidR="00163A23">
        <w:t>, including how these opportunities build the capacity of educators in addressing the needs of special populations</w:t>
      </w:r>
      <w:r w:rsidRPr="008718E1">
        <w:t xml:space="preserve">. </w:t>
      </w:r>
    </w:p>
    <w:p w14:paraId="6F540401" w14:textId="3E70FC9D" w:rsidR="0046463F" w:rsidRPr="00423160" w:rsidRDefault="0046463F" w:rsidP="008718E1">
      <w:pPr>
        <w:rPr>
          <w:strike/>
        </w:rPr>
      </w:pPr>
      <w:r w:rsidRPr="00423160">
        <w:rPr>
          <w:strike/>
        </w:rPr>
        <w:br w:type="page"/>
      </w:r>
    </w:p>
    <w:p w14:paraId="052A9579" w14:textId="72F61121" w:rsidR="003E7E8C" w:rsidRPr="008718E1" w:rsidRDefault="002627B2" w:rsidP="008718E1">
      <w:pPr>
        <w:rPr>
          <w:b/>
        </w:rPr>
      </w:pPr>
      <w:r>
        <w:rPr>
          <w:b/>
        </w:rPr>
        <w:lastRenderedPageBreak/>
        <w:t xml:space="preserve">Preparing </w:t>
      </w:r>
      <w:r w:rsidR="003E7E8C" w:rsidRPr="008718E1">
        <w:rPr>
          <w:b/>
        </w:rPr>
        <w:t>K</w:t>
      </w:r>
      <w:r w:rsidR="008718E1">
        <w:rPr>
          <w:b/>
        </w:rPr>
        <w:t>–</w:t>
      </w:r>
      <w:r w:rsidR="003E7E8C" w:rsidRPr="008718E1">
        <w:rPr>
          <w:b/>
        </w:rPr>
        <w:t xml:space="preserve">12 </w:t>
      </w:r>
      <w:r>
        <w:rPr>
          <w:b/>
        </w:rPr>
        <w:t>Educators</w:t>
      </w:r>
    </w:p>
    <w:p w14:paraId="34E2B507" w14:textId="4590EC8A" w:rsidR="003E7E8C" w:rsidRPr="008718E1" w:rsidRDefault="003E7E8C" w:rsidP="008718E1">
      <w:r w:rsidRPr="008718E1">
        <w:rPr>
          <w:b/>
        </w:rPr>
        <w:t>Credentialing a CTE Teacher:</w:t>
      </w:r>
      <w:r w:rsidRPr="001469B2">
        <w:rPr>
          <w:rStyle w:val="FootnoteReference"/>
          <w:rFonts w:cs="Arial"/>
        </w:rPr>
        <w:footnoteReference w:id="31"/>
      </w:r>
      <w:r w:rsidRPr="001469B2">
        <w:rPr>
          <w:rFonts w:cs="Arial"/>
        </w:rPr>
        <w:t xml:space="preserve"> </w:t>
      </w:r>
      <w:r w:rsidR="002627B2" w:rsidRPr="002627B2">
        <w:rPr>
          <w:rFonts w:cs="Arial"/>
        </w:rPr>
        <w:t xml:space="preserve">California has a two-tiered credential system for all teachers, wherein teachers meet minimum requirements for a </w:t>
      </w:r>
      <w:r w:rsidR="008A6DBC">
        <w:rPr>
          <w:rFonts w:cs="Arial"/>
        </w:rPr>
        <w:t>p</w:t>
      </w:r>
      <w:r w:rsidR="002627B2" w:rsidRPr="002627B2">
        <w:rPr>
          <w:rFonts w:cs="Arial"/>
        </w:rPr>
        <w:t xml:space="preserve">reliminary teaching credential, and within a specified number of years of teaching experience, they meet requirements to earn a </w:t>
      </w:r>
      <w:r w:rsidR="008A6DBC">
        <w:rPr>
          <w:rFonts w:cs="Arial"/>
        </w:rPr>
        <w:t>c</w:t>
      </w:r>
      <w:r w:rsidR="002627B2" w:rsidRPr="002627B2">
        <w:rPr>
          <w:rFonts w:cs="Arial"/>
        </w:rPr>
        <w:t xml:space="preserve">lear teaching credential. </w:t>
      </w:r>
      <w:r w:rsidRPr="008718E1">
        <w:t xml:space="preserve">Currently, </w:t>
      </w:r>
      <w:r w:rsidR="002627B2">
        <w:t xml:space="preserve">K–12 </w:t>
      </w:r>
      <w:r w:rsidRPr="008718E1">
        <w:t>teachers in California may teach CTE courses if they hold a single subject</w:t>
      </w:r>
      <w:r w:rsidR="002627B2">
        <w:t xml:space="preserve"> (SS)</w:t>
      </w:r>
      <w:r w:rsidRPr="008718E1">
        <w:t xml:space="preserve"> teaching credential in Home Economics, Industrial an</w:t>
      </w:r>
      <w:r w:rsidR="002627B2">
        <w:t>d Technology Education (ITE),</w:t>
      </w:r>
      <w:r w:rsidRPr="008718E1">
        <w:t xml:space="preserve"> </w:t>
      </w:r>
      <w:r w:rsidR="002627B2">
        <w:t xml:space="preserve">Business, or </w:t>
      </w:r>
      <w:r w:rsidRPr="008718E1">
        <w:t>Agriculture, or if they hold a Designated Subjects Career Technical Education (DS CTE) Teaching Credential in one of fifteen industry sectors</w:t>
      </w:r>
      <w:r w:rsidR="00E107FE">
        <w:t>.</w:t>
      </w:r>
      <w:r w:rsidRPr="00E107FE">
        <w:rPr>
          <w:vertAlign w:val="superscript"/>
        </w:rPr>
        <w:footnoteReference w:id="32"/>
      </w:r>
      <w:r w:rsidRPr="008718E1">
        <w:t xml:space="preserve"> </w:t>
      </w:r>
      <w:r w:rsidR="002627B2" w:rsidRPr="002627B2">
        <w:t xml:space="preserve">While SS credential holders meet different credentialing requirements than DS CTE teachers, all credentials that are authorized to teach </w:t>
      </w:r>
      <w:r w:rsidRPr="008718E1">
        <w:t xml:space="preserve">CTE </w:t>
      </w:r>
      <w:r w:rsidR="002627B2">
        <w:t>aligned with one or more of</w:t>
      </w:r>
      <w:r w:rsidRPr="008718E1">
        <w:t xml:space="preserve"> the fifteen industry sectors</w:t>
      </w:r>
      <w:r w:rsidR="002627B2">
        <w:t xml:space="preserve"> that organize CTE course offerings</w:t>
      </w:r>
      <w:r w:rsidRPr="008718E1">
        <w:t xml:space="preserve">. Prospective teachers seeking a DS CTE credential </w:t>
      </w:r>
      <w:r w:rsidR="002627B2" w:rsidRPr="002627B2">
        <w:t>may earn their preliminary crede</w:t>
      </w:r>
      <w:r w:rsidR="002627B2">
        <w:t>ntial and begin teaching in a K–</w:t>
      </w:r>
      <w:r w:rsidR="002627B2" w:rsidRPr="002627B2">
        <w:t xml:space="preserve">12 classroom if they </w:t>
      </w:r>
      <w:r w:rsidRPr="008718E1">
        <w:t xml:space="preserve">hold, at </w:t>
      </w:r>
      <w:r w:rsidR="002627B2">
        <w:t xml:space="preserve">a </w:t>
      </w:r>
      <w:r w:rsidRPr="008718E1">
        <w:t>minimum, a high school diploma and have at least three years of industry experie</w:t>
      </w:r>
      <w:r w:rsidR="00E107FE">
        <w:t>nce</w:t>
      </w:r>
      <w:r w:rsidR="002627B2">
        <w:t>.</w:t>
      </w:r>
      <w:r w:rsidR="00E107FE">
        <w:t xml:space="preserve"> </w:t>
      </w:r>
      <w:r w:rsidR="008A6DBC">
        <w:t>SS</w:t>
      </w:r>
      <w:r w:rsidR="002627B2" w:rsidRPr="002627B2">
        <w:t xml:space="preserve"> credential holders complete a full year of teacher preparation with supervised student teaching and pass a teaching performance assessment in order to earn a preliminary teaching credential. Unlike the DS CTE credential, SS credentials that authorize teaching in CTE do not require industry experience as part of the preparation for the credential.</w:t>
      </w:r>
      <w:r w:rsidR="002627B2">
        <w:t xml:space="preserve"> </w:t>
      </w:r>
      <w:r w:rsidRPr="008718E1">
        <w:t>CTE credential holders are permitted to teach elementary and secondary students as well as classes organized primarily for adults.</w:t>
      </w:r>
    </w:p>
    <w:p w14:paraId="62F3EC2E" w14:textId="586BF328" w:rsidR="002627B2" w:rsidRDefault="002627B2" w:rsidP="002627B2">
      <w:r>
        <w:t>SS and DS CTE teachers also meet different requirements for their second-tier, or “clear” credential. Preliminary CTE credential holders are currently required to complete two years of successful teaching, and preparation coursework that addresses the following:</w:t>
      </w:r>
    </w:p>
    <w:p w14:paraId="42B89680" w14:textId="2166D985" w:rsidR="002627B2" w:rsidRDefault="008A6DBC" w:rsidP="0093009B">
      <w:pPr>
        <w:pStyle w:val="ListParagraph"/>
        <w:numPr>
          <w:ilvl w:val="1"/>
          <w:numId w:val="40"/>
        </w:numPr>
        <w:ind w:left="1170" w:hanging="450"/>
      </w:pPr>
      <w:r>
        <w:t>C</w:t>
      </w:r>
      <w:r w:rsidR="002627B2">
        <w:t>lassroom management</w:t>
      </w:r>
    </w:p>
    <w:p w14:paraId="3E7274A8" w14:textId="5EAA26DB" w:rsidR="002627B2" w:rsidRDefault="008A6DBC" w:rsidP="0093009B">
      <w:pPr>
        <w:pStyle w:val="ListParagraph"/>
        <w:numPr>
          <w:ilvl w:val="1"/>
          <w:numId w:val="40"/>
        </w:numPr>
        <w:ind w:left="1170" w:hanging="450"/>
      </w:pPr>
      <w:r>
        <w:lastRenderedPageBreak/>
        <w:t>S</w:t>
      </w:r>
      <w:r w:rsidR="002627B2">
        <w:t>trategies for teaching ELs</w:t>
      </w:r>
    </w:p>
    <w:p w14:paraId="47F227CC" w14:textId="59703E1D" w:rsidR="002627B2" w:rsidRDefault="008A6DBC" w:rsidP="0093009B">
      <w:pPr>
        <w:pStyle w:val="ListParagraph"/>
        <w:numPr>
          <w:ilvl w:val="1"/>
          <w:numId w:val="40"/>
        </w:numPr>
        <w:ind w:left="1170" w:hanging="450"/>
      </w:pPr>
      <w:r>
        <w:t>S</w:t>
      </w:r>
      <w:r w:rsidR="002627B2">
        <w:t>trategies for teaching students with disabilities</w:t>
      </w:r>
    </w:p>
    <w:p w14:paraId="2FEDA3FD" w14:textId="56A74CCE" w:rsidR="002627B2" w:rsidRDefault="008A6DBC" w:rsidP="0093009B">
      <w:pPr>
        <w:pStyle w:val="ListParagraph"/>
        <w:numPr>
          <w:ilvl w:val="1"/>
          <w:numId w:val="40"/>
        </w:numPr>
        <w:ind w:left="1170" w:hanging="450"/>
      </w:pPr>
      <w:r>
        <w:t>G</w:t>
      </w:r>
      <w:r w:rsidR="002627B2">
        <w:t>eneral pedagogy</w:t>
      </w:r>
    </w:p>
    <w:p w14:paraId="4AB8E372" w14:textId="38FA3512" w:rsidR="002627B2" w:rsidRDefault="008A6DBC" w:rsidP="0093009B">
      <w:pPr>
        <w:pStyle w:val="ListParagraph"/>
        <w:numPr>
          <w:ilvl w:val="1"/>
          <w:numId w:val="40"/>
        </w:numPr>
        <w:ind w:left="1170" w:hanging="450"/>
      </w:pPr>
      <w:r>
        <w:t>L</w:t>
      </w:r>
      <w:r w:rsidR="002627B2">
        <w:t>aboratory safety</w:t>
      </w:r>
    </w:p>
    <w:p w14:paraId="31FA71A5" w14:textId="634AF394" w:rsidR="002627B2" w:rsidRDefault="008A6DBC" w:rsidP="0093009B">
      <w:pPr>
        <w:pStyle w:val="ListParagraph"/>
        <w:numPr>
          <w:ilvl w:val="1"/>
          <w:numId w:val="40"/>
        </w:numPr>
        <w:ind w:left="1170" w:hanging="450"/>
      </w:pPr>
      <w:r>
        <w:t>S</w:t>
      </w:r>
      <w:r w:rsidR="002627B2">
        <w:t>tatutorily-mandated courses in health, computer technology and the U</w:t>
      </w:r>
      <w:r>
        <w:t>.</w:t>
      </w:r>
      <w:r w:rsidR="002627B2">
        <w:t>S</w:t>
      </w:r>
      <w:r>
        <w:t>.</w:t>
      </w:r>
      <w:r w:rsidR="002627B2">
        <w:t xml:space="preserve"> Constitution</w:t>
      </w:r>
    </w:p>
    <w:p w14:paraId="373D049C" w14:textId="77777777" w:rsidR="009222B8" w:rsidRDefault="002627B2" w:rsidP="002627B2">
      <w:r>
        <w:t xml:space="preserve">SS teachers complete this required coursework prior to earning the preliminary credential, and complete two years of mentored induction in order to earn the clear credential, as described below. </w:t>
      </w:r>
    </w:p>
    <w:p w14:paraId="7847A488" w14:textId="46E40522" w:rsidR="003E7E8C" w:rsidRDefault="009222B8" w:rsidP="002627B2">
      <w:r>
        <w:t>It should be noted that t</w:t>
      </w:r>
      <w:r w:rsidR="003E7E8C" w:rsidRPr="008718E1">
        <w:t xml:space="preserve">eachers who are certified by the National Board of Professional Teaching Standards in the area of Early Adolescence through Young Adulthood/Career and Technical Education qualify for a </w:t>
      </w:r>
      <w:r>
        <w:t>SS</w:t>
      </w:r>
      <w:r w:rsidR="003E7E8C" w:rsidRPr="008718E1">
        <w:t xml:space="preserve"> ITE credential authorizing service in CTE.</w:t>
      </w:r>
    </w:p>
    <w:p w14:paraId="060B05B6" w14:textId="4257D861" w:rsidR="009222B8" w:rsidRPr="008718E1" w:rsidRDefault="009222B8" w:rsidP="002627B2">
      <w:r w:rsidRPr="009222B8">
        <w:t xml:space="preserve">Both the SS and DS CTE credentials must be offered by a </w:t>
      </w:r>
      <w:r w:rsidR="00FC4640">
        <w:t>C</w:t>
      </w:r>
      <w:r w:rsidRPr="009222B8">
        <w:t>CTC accredited program sponsor (an educational institution), which recommends candidates for these credentials who have completed all educational requirements to the CCTC for award of a credential for teaching in a K</w:t>
      </w:r>
      <w:r w:rsidR="00CC71D1">
        <w:t>–</w:t>
      </w:r>
      <w:r w:rsidRPr="009222B8">
        <w:t>12 classroom (including adult education).</w:t>
      </w:r>
    </w:p>
    <w:p w14:paraId="288F8381" w14:textId="3A581CEE" w:rsidR="009222B8" w:rsidRDefault="009222B8" w:rsidP="009222B8">
      <w:r>
        <w:t xml:space="preserve">There are </w:t>
      </w:r>
      <w:r w:rsidR="00AC154B">
        <w:t xml:space="preserve">16 </w:t>
      </w:r>
      <w:r w:rsidR="003E7E8C" w:rsidRPr="008718E1">
        <w:t>C</w:t>
      </w:r>
      <w:r w:rsidR="00FC4640">
        <w:t>C</w:t>
      </w:r>
      <w:r w:rsidR="003E7E8C" w:rsidRPr="008718E1">
        <w:t>TC-approved institutions offering California preparation programs,</w:t>
      </w:r>
      <w:r w:rsidR="003E7E8C" w:rsidRPr="00E107FE">
        <w:rPr>
          <w:vertAlign w:val="superscript"/>
        </w:rPr>
        <w:footnoteReference w:id="33"/>
      </w:r>
      <w:r w:rsidR="003E7E8C" w:rsidRPr="008718E1">
        <w:t xml:space="preserve"> </w:t>
      </w:r>
      <w:r w:rsidR="00AC154B">
        <w:t xml:space="preserve">ten </w:t>
      </w:r>
      <w:r w:rsidR="003E7E8C" w:rsidRPr="008718E1">
        <w:t>of which are LEAs (districts a</w:t>
      </w:r>
      <w:r>
        <w:t>nd county offices of education)</w:t>
      </w:r>
      <w:r w:rsidR="003E7E8C" w:rsidRPr="008718E1">
        <w:t xml:space="preserve"> </w:t>
      </w:r>
      <w:r>
        <w:t xml:space="preserve">that prepare candidates </w:t>
      </w:r>
      <w:r w:rsidR="003E7E8C" w:rsidRPr="008718E1">
        <w:t>for CTE DS teaching. The SS CTE credential is obtained typically through an educational preparation institution, with the fifth year in a standard teacher preparation program serving as the SS CTE preparation. There is no work experience requirement</w:t>
      </w:r>
      <w:r w:rsidR="003E7E8C" w:rsidRPr="008718E1" w:rsidDel="007547FF">
        <w:t xml:space="preserve"> </w:t>
      </w:r>
      <w:r w:rsidR="003E7E8C" w:rsidRPr="008718E1">
        <w:t xml:space="preserve">for the SS CTE credential. </w:t>
      </w:r>
      <w:r>
        <w:t xml:space="preserve">Currently 25 institutions offer the SS Business credential (4 LEA, 21 </w:t>
      </w:r>
      <w:r>
        <w:lastRenderedPageBreak/>
        <w:t>IHE), 19 offer the SS ITE credential (2 LEA, 17 IHE), 18 offer the SS Home Economics credential (2 LEA, 16 IHE) and 17 offer the SS Agriculture credential (2</w:t>
      </w:r>
      <w:r w:rsidR="008A6DBC">
        <w:t xml:space="preserve"> </w:t>
      </w:r>
      <w:r>
        <w:t>LEA, 15 IHE).</w:t>
      </w:r>
    </w:p>
    <w:p w14:paraId="12B46DCB" w14:textId="21344D34" w:rsidR="009222B8" w:rsidRPr="00423160" w:rsidRDefault="009222B8" w:rsidP="009222B8">
      <w:pPr>
        <w:rPr>
          <w:strike/>
        </w:rPr>
      </w:pPr>
      <w:r w:rsidRPr="009222B8">
        <w:rPr>
          <w:b/>
        </w:rPr>
        <w:t>K–12 Teacher Induction Program:</w:t>
      </w:r>
      <w:r w:rsidRPr="009222B8">
        <w:t xml:space="preserve"> The </w:t>
      </w:r>
      <w:r w:rsidR="003E7E8C" w:rsidRPr="008718E1">
        <w:t>California Teacher Induction Program</w:t>
      </w:r>
      <w:r w:rsidR="003E7E8C" w:rsidRPr="00E107FE">
        <w:rPr>
          <w:vertAlign w:val="superscript"/>
        </w:rPr>
        <w:footnoteReference w:id="34"/>
      </w:r>
      <w:r w:rsidR="003E7E8C" w:rsidRPr="008718E1">
        <w:t xml:space="preserve"> is a two-year job-embedded individualized program that focuses on extensive support and mentoring for new </w:t>
      </w:r>
      <w:r>
        <w:t xml:space="preserve">general and special education </w:t>
      </w:r>
      <w:r w:rsidR="003E7E8C" w:rsidRPr="008718E1">
        <w:t xml:space="preserve">teachers in their first and second year of teaching. </w:t>
      </w:r>
      <w:r w:rsidRPr="009222B8">
        <w:t xml:space="preserve">DS CTE credential candidates are not currently required to complete teacher induction to earn their clear credential. The CTE TEACH program, described </w:t>
      </w:r>
      <w:r w:rsidR="00E93B0D">
        <w:t xml:space="preserve">more </w:t>
      </w:r>
      <w:r w:rsidR="009F1843">
        <w:t>on page 13</w:t>
      </w:r>
      <w:r w:rsidR="000F7C8F">
        <w:t>7</w:t>
      </w:r>
      <w:r w:rsidRPr="009222B8">
        <w:t xml:space="preserve">, provides induction and coaching for new CTE teachers, but this is not required for licensure. </w:t>
      </w:r>
    </w:p>
    <w:p w14:paraId="5DF8DC08" w14:textId="2E7E4147" w:rsidR="009F558B" w:rsidRDefault="009222B8" w:rsidP="009F558B">
      <w:r w:rsidRPr="009222B8">
        <w:rPr>
          <w:b/>
        </w:rPr>
        <w:t>Credentialing a K–12 Special Education Teacher</w:t>
      </w:r>
      <w:r w:rsidRPr="009F558B">
        <w:rPr>
          <w:b/>
        </w:rPr>
        <w:t>:</w:t>
      </w:r>
      <w:r w:rsidRPr="009F558B">
        <w:t xml:space="preserve"> </w:t>
      </w:r>
      <w:r w:rsidR="009F558B" w:rsidRPr="009F558B">
        <w:t>Special education students enrolled in CTE courses are typically on an Individualized Education Plan (IEP) overseen by a teacher with a special education credential. The CCTC issues an Education Specialist credential to teachers serving special education students who have IEPs. Special education teachers work with CTE teachers to ensure that special education students have access to instruction and learning supports. In addition</w:t>
      </w:r>
      <w:r w:rsidR="009F558B">
        <w:t xml:space="preserve"> to supporting students through their K–12 schooling in accordance with their identified needs, special education teachers are prepared to work with students and their families to develop effective transition plans for students from birth to age 22, including goals for self-advocacy, independent living, postsecondary education, and career assessment and vocational evaluation, with appropriate connections between the school curriculum and life beyond school.</w:t>
      </w:r>
    </w:p>
    <w:p w14:paraId="15E9C67D" w14:textId="13692492" w:rsidR="009222B8" w:rsidRDefault="009222B8" w:rsidP="009222B8">
      <w:r w:rsidRPr="009222B8">
        <w:rPr>
          <w:b/>
        </w:rPr>
        <w:t>Pupil Personnel Services (PPS) Credentialing for School Counseling, School Psychology, School Social Work, and Child Welfare and Attendance:</w:t>
      </w:r>
      <w:r>
        <w:t xml:space="preserve"> </w:t>
      </w:r>
      <w:r w:rsidR="009F558B" w:rsidRPr="009F558B">
        <w:t>School counselors also play a role in supporting student access to CTE coursework.</w:t>
      </w:r>
      <w:r w:rsidR="009F558B">
        <w:t xml:space="preserve"> </w:t>
      </w:r>
      <w:r>
        <w:t>The C</w:t>
      </w:r>
      <w:r w:rsidR="00FC4640">
        <w:t>C</w:t>
      </w:r>
      <w:r>
        <w:t xml:space="preserve">TC issues a PPS credential to individuals to work as school counselors, among other </w:t>
      </w:r>
      <w:r>
        <w:lastRenderedPageBreak/>
        <w:t>support personnel. While this credential is not specific to CTE, PPS candidates are prepared to work both individually and collectively to:</w:t>
      </w:r>
      <w:r w:rsidR="000F7C1F">
        <w:rPr>
          <w:rStyle w:val="FootnoteReference"/>
        </w:rPr>
        <w:footnoteReference w:id="35"/>
      </w:r>
      <w:r>
        <w:t xml:space="preserve"> </w:t>
      </w:r>
    </w:p>
    <w:p w14:paraId="44705DEF" w14:textId="3C2211D0" w:rsidR="009222B8" w:rsidRDefault="009222B8" w:rsidP="0093009B">
      <w:pPr>
        <w:pStyle w:val="ListParagraph"/>
        <w:numPr>
          <w:ilvl w:val="0"/>
          <w:numId w:val="41"/>
        </w:numPr>
        <w:ind w:left="1170" w:hanging="450"/>
      </w:pPr>
      <w:r>
        <w:t>Develop and support successful learning and promote the healthy development and resilience of all students.</w:t>
      </w:r>
    </w:p>
    <w:p w14:paraId="25D08054" w14:textId="60BC1D5F" w:rsidR="009222B8" w:rsidRDefault="009222B8" w:rsidP="0093009B">
      <w:pPr>
        <w:pStyle w:val="ListParagraph"/>
        <w:numPr>
          <w:ilvl w:val="0"/>
          <w:numId w:val="41"/>
        </w:numPr>
        <w:ind w:left="1170" w:hanging="450"/>
      </w:pPr>
      <w:r>
        <w:t xml:space="preserve">Advance the academic, social/emotional, and career/transitional learning of students in the pre-K–12 school system. </w:t>
      </w:r>
    </w:p>
    <w:p w14:paraId="4AD7DC93" w14:textId="379A956C" w:rsidR="009222B8" w:rsidRDefault="009222B8" w:rsidP="0093009B">
      <w:pPr>
        <w:pStyle w:val="ListParagraph"/>
        <w:numPr>
          <w:ilvl w:val="0"/>
          <w:numId w:val="41"/>
        </w:numPr>
        <w:ind w:left="1170" w:hanging="450"/>
      </w:pPr>
      <w:r>
        <w:t>Identify factors associated with prevention and intervention strategies to support academic achievement and ensure equitable access to resources promoting academic achievement, college and career development, and social/emotional development for every student, such as: motivation, student efficacy, time management, study skills, constructive problem solving, and teacher-student rapport.</w:t>
      </w:r>
    </w:p>
    <w:p w14:paraId="5635C6DF" w14:textId="5FD7EEEA" w:rsidR="009222B8" w:rsidRDefault="009222B8" w:rsidP="0093009B">
      <w:pPr>
        <w:pStyle w:val="ListParagraph"/>
        <w:numPr>
          <w:ilvl w:val="0"/>
          <w:numId w:val="41"/>
        </w:numPr>
        <w:ind w:left="1170" w:hanging="450"/>
      </w:pPr>
      <w:r>
        <w:t>Establish a school-wide career and college culture throughout pre-K–12 schools.</w:t>
      </w:r>
    </w:p>
    <w:p w14:paraId="1A549AFA" w14:textId="6D84CDA5" w:rsidR="003E7E8C" w:rsidRDefault="009222B8" w:rsidP="0093009B">
      <w:pPr>
        <w:pStyle w:val="ListParagraph"/>
        <w:numPr>
          <w:ilvl w:val="0"/>
          <w:numId w:val="41"/>
        </w:numPr>
        <w:ind w:left="1170" w:hanging="450"/>
      </w:pPr>
      <w:r>
        <w:t>Understand and advise students about local and national career and job market trends as well as various post-graduate options, including CTE pathways and certifications.</w:t>
      </w:r>
    </w:p>
    <w:p w14:paraId="655AF508" w14:textId="50ACE001" w:rsidR="009222B8" w:rsidRDefault="009222B8" w:rsidP="009222B8">
      <w:r w:rsidRPr="009222B8">
        <w:rPr>
          <w:b/>
        </w:rPr>
        <w:t>Credentialing a K</w:t>
      </w:r>
      <w:r w:rsidR="009F558B">
        <w:rPr>
          <w:b/>
        </w:rPr>
        <w:t>–</w:t>
      </w:r>
      <w:r w:rsidRPr="009222B8">
        <w:rPr>
          <w:b/>
        </w:rPr>
        <w:t>12 School Administrator:</w:t>
      </w:r>
      <w:r>
        <w:t xml:space="preserve"> </w:t>
      </w:r>
      <w:r w:rsidR="00A7197B" w:rsidRPr="00A7197B">
        <w:t>School principals and other site and district administrators also play a role in the successful implementation of CTE programs in schools.</w:t>
      </w:r>
      <w:r w:rsidR="00A7197B">
        <w:t xml:space="preserve"> </w:t>
      </w:r>
      <w:r>
        <w:t>The C</w:t>
      </w:r>
      <w:r w:rsidR="00FC4640">
        <w:t>C</w:t>
      </w:r>
      <w:r>
        <w:t xml:space="preserve">TC issues an administrative services credential to individuals to work as school leaders (both principals and district administrators) who are prepared to work both individually and collectively to develop school-based structures, policies and processes that support students to graduate ready for college and career. They </w:t>
      </w:r>
      <w:r w:rsidR="00A7197B">
        <w:t xml:space="preserve">are expected to </w:t>
      </w:r>
      <w:r>
        <w:t xml:space="preserve">learn during their preparation and induction programs </w:t>
      </w:r>
      <w:r>
        <w:lastRenderedPageBreak/>
        <w:t>to work collaboratively with families and the community to promote a sense of shared responsibility and accountability for achieving the goal of graduating every student ready for college and careers, and to establish community, business, institutional and civic partnerships to support this vision and goal.</w:t>
      </w:r>
      <w:r w:rsidR="000F7C1F">
        <w:rPr>
          <w:rStyle w:val="FootnoteReference"/>
        </w:rPr>
        <w:footnoteReference w:id="36"/>
      </w:r>
      <w:r>
        <w:t xml:space="preserve"> </w:t>
      </w:r>
      <w:r w:rsidR="00423160">
        <w:t>T</w:t>
      </w:r>
      <w:r w:rsidR="00423160" w:rsidRPr="00A7197B">
        <w:t xml:space="preserve">he </w:t>
      </w:r>
      <w:r w:rsidR="00A7197B" w:rsidRPr="00A7197B">
        <w:t>early training and professional preparation of school administrators sets the expectation that new administrators know and understand the state adopted content standards, frameworks, and performance expectations for Transitional K–12 students and how to align instructional and support practices focused on providing equitable learning opportunities so that all students graduate ready for college and careers. Opportunities for more focused training are available through the Leadership Development Institute (LDI) and the CTE TEACH program, as described on page 13</w:t>
      </w:r>
      <w:r w:rsidR="000F7C8F">
        <w:t>7</w:t>
      </w:r>
      <w:r w:rsidR="00A7197B" w:rsidRPr="00A7197B">
        <w:t>.</w:t>
      </w:r>
    </w:p>
    <w:p w14:paraId="40D0BF66" w14:textId="2BE56E39" w:rsidR="009F1843" w:rsidRDefault="009F1843" w:rsidP="009222B8">
      <w:r w:rsidRPr="009F1843">
        <w:t>Besides the credentialing of CTE teachers, brief descriptions of special education teachers, support service personnel, and school administrators have been provided above. Preparing CTE educators is new in the Perkins V legislation. Therefore, it requires the collective action, full involvement, and maximum support of all school personnel to ensure high quality college and career pathways.</w:t>
      </w:r>
    </w:p>
    <w:p w14:paraId="6D77244C" w14:textId="37E74924" w:rsidR="009222B8" w:rsidRPr="009222B8" w:rsidRDefault="009222B8" w:rsidP="009222B8">
      <w:pPr>
        <w:rPr>
          <w:b/>
        </w:rPr>
      </w:pPr>
      <w:r w:rsidRPr="009222B8">
        <w:rPr>
          <w:b/>
        </w:rPr>
        <w:t>Recruitment of K–12 CTE Educators</w:t>
      </w:r>
    </w:p>
    <w:p w14:paraId="5DD2D564" w14:textId="15A89F98" w:rsidR="009F1843" w:rsidRPr="00423160" w:rsidRDefault="00423160" w:rsidP="009F1843">
      <w:pPr>
        <w:rPr>
          <w:strike/>
        </w:rPr>
      </w:pPr>
      <w:r>
        <w:t xml:space="preserve">Recruitment </w:t>
      </w:r>
      <w:r w:rsidR="009F1843">
        <w:t xml:space="preserve">of educators is largely addressed by </w:t>
      </w:r>
      <w:r w:rsidR="008A6DBC">
        <w:t>LEAs’</w:t>
      </w:r>
      <w:r w:rsidR="009F1843">
        <w:t xml:space="preserve"> personnel staff to ensure adequate and appropriate staffing for providing instruction and support services to all students, </w:t>
      </w:r>
    </w:p>
    <w:p w14:paraId="7C513B5C" w14:textId="5EF0D92A" w:rsidR="009F1843" w:rsidRPr="00423160" w:rsidRDefault="009F1843" w:rsidP="009F1843">
      <w:pPr>
        <w:rPr>
          <w:strike/>
        </w:rPr>
      </w:pPr>
      <w:r>
        <w:t xml:space="preserve">One possible avenue for recruiting more CTE educators is to incentivize seasoned professionals from industry or those who are recent retirees to teach in K–12 classrooms. </w:t>
      </w:r>
    </w:p>
    <w:p w14:paraId="4A54D902" w14:textId="28E694CB" w:rsidR="009222B8" w:rsidRPr="00423160" w:rsidRDefault="009F1843" w:rsidP="009F1843">
      <w:pPr>
        <w:rPr>
          <w:strike/>
        </w:rPr>
      </w:pPr>
      <w:r>
        <w:t xml:space="preserve">Another option would be to allow SS teachers in fields, other than those authorized for CTE, to demonstrate their competence in a CTE field and add CTE coursework to their </w:t>
      </w:r>
      <w:r>
        <w:lastRenderedPageBreak/>
        <w:t xml:space="preserve">teaching portfolio. It is critical for CTE programming to retain its deep ties with industry; and it is also necessary to find reasonable, equivalent pathways to teaching that allow the State to staff CTE programs with appropriately prepared teachers. </w:t>
      </w:r>
    </w:p>
    <w:p w14:paraId="3ACA28E2" w14:textId="752F966D" w:rsidR="003E7E8C" w:rsidRPr="008718E1" w:rsidRDefault="00FF6550" w:rsidP="008718E1">
      <w:pPr>
        <w:rPr>
          <w:b/>
        </w:rPr>
      </w:pPr>
      <w:r>
        <w:rPr>
          <w:b/>
        </w:rPr>
        <w:t xml:space="preserve">Preparing </w:t>
      </w:r>
      <w:r w:rsidR="003E7E8C" w:rsidRPr="008718E1">
        <w:rPr>
          <w:b/>
        </w:rPr>
        <w:t xml:space="preserve">Community College </w:t>
      </w:r>
      <w:r>
        <w:rPr>
          <w:b/>
        </w:rPr>
        <w:t>Educators</w:t>
      </w:r>
    </w:p>
    <w:p w14:paraId="788F4B8D" w14:textId="74EE5996" w:rsidR="003E7E8C" w:rsidRPr="008718E1" w:rsidRDefault="00FF6550" w:rsidP="008718E1">
      <w:r>
        <w:rPr>
          <w:b/>
        </w:rPr>
        <w:t>Qualifying</w:t>
      </w:r>
      <w:r w:rsidR="003E7E8C" w:rsidRPr="008718E1">
        <w:rPr>
          <w:b/>
        </w:rPr>
        <w:t xml:space="preserve"> CCC CTE Faculty:</w:t>
      </w:r>
      <w:r w:rsidR="003E7E8C">
        <w:t xml:space="preserve"> </w:t>
      </w:r>
      <w:r w:rsidR="003E7E8C" w:rsidRPr="008718E1">
        <w:t xml:space="preserve">The 13th edition of the </w:t>
      </w:r>
      <w:r>
        <w:t xml:space="preserve">MQs </w:t>
      </w:r>
      <w:r w:rsidR="003E7E8C" w:rsidRPr="008718E1">
        <w:t xml:space="preserve">for Faculty and Administrators in the CCCs provides an updated list of disciplines, including CTE programs, and those adopted by the </w:t>
      </w:r>
      <w:r>
        <w:t xml:space="preserve">CCC </w:t>
      </w:r>
      <w:r w:rsidR="003E7E8C" w:rsidRPr="008718E1">
        <w:t>BOG</w:t>
      </w:r>
      <w:r>
        <w:t xml:space="preserve"> in March 2018.</w:t>
      </w:r>
      <w:r>
        <w:rPr>
          <w:rStyle w:val="FootnoteReference"/>
        </w:rPr>
        <w:footnoteReference w:id="37"/>
      </w:r>
      <w:r w:rsidR="003E7E8C" w:rsidRPr="008718E1">
        <w:t xml:space="preserve"> This </w:t>
      </w:r>
      <w:r>
        <w:t xml:space="preserve">handbook </w:t>
      </w:r>
      <w:r w:rsidR="003E7E8C" w:rsidRPr="008718E1">
        <w:t>is a comprehensive alphabetical list of all disciplines taught at the 115 CCCs.</w:t>
      </w:r>
    </w:p>
    <w:p w14:paraId="2C525E2E" w14:textId="3F2CA8AB" w:rsidR="003E7E8C" w:rsidRPr="008718E1" w:rsidRDefault="00FF6550" w:rsidP="008718E1">
      <w:r>
        <w:t>MQs</w:t>
      </w:r>
      <w:r w:rsidR="003E7E8C" w:rsidRPr="008718E1">
        <w:t xml:space="preserve"> for faculty are essential for promoting professionalism, integrity of instruction, and rigor within each discipline. Locally developed processes that provide a mechanism for an individual to meet </w:t>
      </w:r>
      <w:r>
        <w:t xml:space="preserve">MQs </w:t>
      </w:r>
      <w:r w:rsidR="003E7E8C" w:rsidRPr="008718E1">
        <w:t xml:space="preserve">through equivalency ensure the opportunity to hire industry experts who meet the needs of the ever-changing </w:t>
      </w:r>
      <w:r w:rsidR="008A6DBC">
        <w:t>CTE</w:t>
      </w:r>
      <w:r w:rsidR="003E7E8C" w:rsidRPr="008718E1">
        <w:t xml:space="preserve"> programs and emerging disciplines. </w:t>
      </w:r>
    </w:p>
    <w:p w14:paraId="6EF3CB39" w14:textId="045CD16A" w:rsidR="003E7E8C" w:rsidRPr="00423160" w:rsidRDefault="003E7E8C" w:rsidP="008718E1">
      <w:pPr>
        <w:rPr>
          <w:strike/>
        </w:rPr>
      </w:pPr>
      <w:r w:rsidRPr="008718E1">
        <w:t>MQ</w:t>
      </w:r>
      <w:r w:rsidR="00FF6550">
        <w:t>s</w:t>
      </w:r>
      <w:r w:rsidRPr="008718E1">
        <w:t xml:space="preserve"> are educational requirements posted in the job description of position announcements in the CCC system. </w:t>
      </w:r>
    </w:p>
    <w:p w14:paraId="4E6ECC9F" w14:textId="2E1CE542" w:rsidR="00FF6550" w:rsidRPr="00423160" w:rsidRDefault="00FF6550" w:rsidP="008718E1">
      <w:pPr>
        <w:rPr>
          <w:strike/>
        </w:rPr>
      </w:pPr>
      <w:r w:rsidRPr="00FF6550">
        <w:t>At many colleges, faculty function as dedicated career counselors, in which case faculty MQs apply. Paraprofessionals are instructional aides primarily filled as classified staff positions at colleges, and a few colleges utilizes education advisors that are hired as classified staff. CCC do not have special education faculty.</w:t>
      </w:r>
      <w:r w:rsidR="000A7252">
        <w:rPr>
          <w:rStyle w:val="FootnoteReference"/>
        </w:rPr>
        <w:footnoteReference w:id="38"/>
      </w:r>
      <w:r w:rsidRPr="00FF6550">
        <w:t xml:space="preserve"> </w:t>
      </w:r>
    </w:p>
    <w:p w14:paraId="19C8329C" w14:textId="764F71D2" w:rsidR="003E7E8C" w:rsidRPr="008718E1" w:rsidRDefault="000F7C1F" w:rsidP="008718E1">
      <w:r>
        <w:rPr>
          <w:b/>
        </w:rPr>
        <w:lastRenderedPageBreak/>
        <w:t xml:space="preserve">Establishing </w:t>
      </w:r>
      <w:r w:rsidR="003E7E8C" w:rsidRPr="008718E1">
        <w:rPr>
          <w:b/>
        </w:rPr>
        <w:t>Qualifications for Faculty in Community College CTE Disciplines:</w:t>
      </w:r>
      <w:r w:rsidR="003E7E8C">
        <w:t xml:space="preserve"> </w:t>
      </w:r>
      <w:r w:rsidR="00240DB2" w:rsidRPr="00240DB2">
        <w:t>CTE disciplines do not require a master’s degree. In most CTE disciplines, an associate’s degree suffices; but in some cases, a bachelor’s degree is needed</w:t>
      </w:r>
      <w:r w:rsidR="003E7E8C" w:rsidRPr="008718E1">
        <w:t xml:space="preserve">. With a few exceptions, any major will qualify. An example of an exception would be “Nursing Science/Clinical Practice,” which would tend to preclude those with a non-Nursing Bachelor of Arts degree because of licensing and liability issues. </w:t>
      </w:r>
      <w:r w:rsidR="00CE1BD9" w:rsidRPr="00CE1BD9">
        <w:t>The authorization of licensure varies by issuer; in some cases, it is the State of California (i.e. Nursing, Real Estate, Electrician) and in other</w:t>
      </w:r>
      <w:r w:rsidR="00CE1BD9">
        <w:t xml:space="preserve"> cases</w:t>
      </w:r>
      <w:r w:rsidR="00CE1BD9" w:rsidRPr="00CE1BD9">
        <w:t xml:space="preserve"> trade organization</w:t>
      </w:r>
      <w:r w:rsidR="00CE1BD9">
        <w:t>s</w:t>
      </w:r>
      <w:r w:rsidR="00CE1BD9" w:rsidRPr="00CE1BD9">
        <w:t xml:space="preserve"> and licensure boards provide oversight.</w:t>
      </w:r>
    </w:p>
    <w:p w14:paraId="304A498A" w14:textId="1B75E962" w:rsidR="003E7E8C" w:rsidRPr="008718E1" w:rsidRDefault="000F7C1F" w:rsidP="008718E1">
      <w:r>
        <w:t>While</w:t>
      </w:r>
      <w:r w:rsidR="003E7E8C" w:rsidRPr="008718E1">
        <w:t xml:space="preserve"> the degree is a </w:t>
      </w:r>
      <w:r>
        <w:t>basic requirement, an important consideration</w:t>
      </w:r>
      <w:r w:rsidR="003E7E8C" w:rsidRPr="008718E1">
        <w:t xml:space="preserve"> for </w:t>
      </w:r>
      <w:r>
        <w:t xml:space="preserve">hiring </w:t>
      </w:r>
      <w:r w:rsidR="003E7E8C" w:rsidRPr="008718E1">
        <w:t xml:space="preserve">CTE faculty positions is </w:t>
      </w:r>
      <w:r>
        <w:t xml:space="preserve">their </w:t>
      </w:r>
      <w:r w:rsidR="003E7E8C" w:rsidRPr="008718E1">
        <w:t>experience or expertise in the</w:t>
      </w:r>
      <w:r>
        <w:t xml:space="preserve"> specified</w:t>
      </w:r>
      <w:r w:rsidR="003E7E8C" w:rsidRPr="008718E1">
        <w:t xml:space="preserve"> field. With a bachelor’s degree</w:t>
      </w:r>
      <w:r>
        <w:t>, a faculty candidate</w:t>
      </w:r>
      <w:r w:rsidR="003E7E8C" w:rsidRPr="008718E1">
        <w:t xml:space="preserve"> must have two years of experience in the field, </w:t>
      </w:r>
      <w:r>
        <w:t xml:space="preserve">whereas </w:t>
      </w:r>
      <w:r w:rsidR="003E7E8C" w:rsidRPr="008718E1">
        <w:t xml:space="preserve">with an associate’s degree </w:t>
      </w:r>
      <w:r>
        <w:t>a faculty candidate</w:t>
      </w:r>
      <w:r w:rsidR="003E7E8C" w:rsidRPr="008718E1">
        <w:t xml:space="preserve"> mus</w:t>
      </w:r>
      <w:r>
        <w:t>t have six years of experience.</w:t>
      </w:r>
    </w:p>
    <w:p w14:paraId="09EDFD98" w14:textId="174816E8" w:rsidR="000F7C1F" w:rsidRDefault="000F7C1F" w:rsidP="008718E1">
      <w:r w:rsidRPr="000F7C1F">
        <w:t xml:space="preserve">California </w:t>
      </w:r>
      <w:r w:rsidRPr="000F7C1F">
        <w:rPr>
          <w:i/>
        </w:rPr>
        <w:t>EC</w:t>
      </w:r>
      <w:r w:rsidRPr="000F7C1F">
        <w:t xml:space="preserve"> Section 87360 explicitly specifies hiring criteria for CCC faculty and administrators. District governing boards, in consultation with their academic senates, must consider criteria that include a sensitivity to and understanding of the diverse academic, socioeconomic, cultural, disability</w:t>
      </w:r>
      <w:r w:rsidR="008A6DBC">
        <w:t>,</w:t>
      </w:r>
      <w:r w:rsidRPr="000F7C1F">
        <w:t xml:space="preserve"> and ethnic backgrounds of community college students. A number of CTE disciplines have encountered highly experienced industry professionals who possesses knowledge and experience related to the subject matter to teach in CTE programs, but may not meet the MQ</w:t>
      </w:r>
      <w:r>
        <w:t>s</w:t>
      </w:r>
      <w:r w:rsidRPr="000F7C1F">
        <w:t xml:space="preserve"> for education.</w:t>
      </w:r>
    </w:p>
    <w:p w14:paraId="54F3C41C" w14:textId="1988F922" w:rsidR="00791A2D" w:rsidRDefault="00791A2D" w:rsidP="008718E1">
      <w:r w:rsidRPr="00791A2D">
        <w:t xml:space="preserve">In late 2014, the </w:t>
      </w:r>
      <w:r>
        <w:t>BOG</w:t>
      </w:r>
      <w:r w:rsidRPr="00791A2D">
        <w:t xml:space="preserve"> establish</w:t>
      </w:r>
      <w:r>
        <w:t>ed the Strong Workforce Task Force</w:t>
      </w:r>
      <w:r w:rsidRPr="00791A2D">
        <w:t xml:space="preserve"> to address the projected shortfall in middle-skilled workers. The Strong Workforce Task Force, recommended a range of activities to increase the pool of CTE faculty including developing pipelines for industry professionals to teach in community colleges, enhancing </w:t>
      </w:r>
      <w:r w:rsidR="005D7E26">
        <w:t>PD</w:t>
      </w:r>
      <w:r w:rsidRPr="00791A2D">
        <w:t xml:space="preserve"> opportunities for current faculty to maintain currency in industry standards, and exploring solutions for attracting industry experts to community college teaching. The CTE </w:t>
      </w:r>
      <w:r>
        <w:t>MQs</w:t>
      </w:r>
      <w:r w:rsidRPr="00791A2D">
        <w:t xml:space="preserve"> Tool Kit</w:t>
      </w:r>
      <w:r>
        <w:t>,</w:t>
      </w:r>
      <w:r w:rsidRPr="00791A2D">
        <w:t xml:space="preserve"> developed in 2019</w:t>
      </w:r>
      <w:r>
        <w:t>,</w:t>
      </w:r>
      <w:r w:rsidRPr="00791A2D">
        <w:t xml:space="preserve"> was in response to t</w:t>
      </w:r>
      <w:r>
        <w:t>he Strong Workforce Task Force r</w:t>
      </w:r>
      <w:r w:rsidRPr="00791A2D">
        <w:t xml:space="preserve">ecommendations related to increasing the pool for CTE faculty. The Tool Kit was designed to help academic senates, discipline faculty, and colleges screen for </w:t>
      </w:r>
      <w:r w:rsidR="005D7E26">
        <w:t xml:space="preserve">MQs </w:t>
      </w:r>
      <w:r>
        <w:t>of potential CTE</w:t>
      </w:r>
      <w:r w:rsidRPr="00791A2D">
        <w:t xml:space="preserve"> faculty, as well as help them in the use of equivalency </w:t>
      </w:r>
      <w:r w:rsidRPr="00791A2D">
        <w:lastRenderedPageBreak/>
        <w:t xml:space="preserve">to determine suitability for employment at community colleges. The intent of this </w:t>
      </w:r>
      <w:r w:rsidR="005D7E26">
        <w:t>T</w:t>
      </w:r>
      <w:r w:rsidRPr="00791A2D">
        <w:t>ool</w:t>
      </w:r>
      <w:r w:rsidR="005D7E26">
        <w:t xml:space="preserve"> K</w:t>
      </w:r>
      <w:r w:rsidRPr="00791A2D">
        <w:t xml:space="preserve">it is to maximize the flexibility currently allowed in the use of equivalency, thus creating a deep, diverse, and qualified pool of industry-expert candidates for CCC CTE programs. The </w:t>
      </w:r>
      <w:r w:rsidR="005D7E26">
        <w:t>T</w:t>
      </w:r>
      <w:r w:rsidRPr="00791A2D">
        <w:t>ool</w:t>
      </w:r>
      <w:r w:rsidR="005D7E26">
        <w:t xml:space="preserve"> K</w:t>
      </w:r>
      <w:r w:rsidRPr="00791A2D">
        <w:t>it also offers information beyond equivalency to help colleges hire industry experts.</w:t>
      </w:r>
    </w:p>
    <w:p w14:paraId="3ECFC12A" w14:textId="0DF64ED6" w:rsidR="003E7E8C" w:rsidRPr="008718E1" w:rsidRDefault="00791A2D" w:rsidP="008718E1">
      <w:r>
        <w:t>The Tool Kit includes the following</w:t>
      </w:r>
      <w:r w:rsidR="003E7E8C" w:rsidRPr="008718E1">
        <w:t xml:space="preserve"> CTE faculty recruitment and hiring practices</w:t>
      </w:r>
      <w:r>
        <w:t>:</w:t>
      </w:r>
      <w:r w:rsidR="003E7E8C" w:rsidRPr="008718E1">
        <w:t xml:space="preserve"> </w:t>
      </w:r>
    </w:p>
    <w:p w14:paraId="433235CF" w14:textId="77777777" w:rsidR="003E7E8C" w:rsidRPr="008718E1" w:rsidRDefault="003E7E8C" w:rsidP="00C82B9D">
      <w:pPr>
        <w:pStyle w:val="ListParagraph"/>
        <w:numPr>
          <w:ilvl w:val="0"/>
          <w:numId w:val="34"/>
        </w:numPr>
      </w:pPr>
      <w:r w:rsidRPr="008718E1">
        <w:t xml:space="preserve">Clarify legislative and regulatory barriers to hiring CTE instructors who may not meet existing college hiring standards but possess significant industry experience. </w:t>
      </w:r>
    </w:p>
    <w:p w14:paraId="78471FF6" w14:textId="4F9569ED" w:rsidR="003E7E8C" w:rsidRPr="008718E1" w:rsidRDefault="003E7E8C" w:rsidP="00C82B9D">
      <w:pPr>
        <w:pStyle w:val="ListParagraph"/>
        <w:numPr>
          <w:ilvl w:val="0"/>
          <w:numId w:val="34"/>
        </w:numPr>
      </w:pPr>
      <w:r w:rsidRPr="008718E1">
        <w:t xml:space="preserve">Disseminate effective practices in the recruitment and hiring of diverse faculty and the application of </w:t>
      </w:r>
      <w:r w:rsidR="00FF6550">
        <w:t xml:space="preserve">MQs </w:t>
      </w:r>
      <w:r w:rsidRPr="008718E1">
        <w:t xml:space="preserve">and equivalencies. </w:t>
      </w:r>
    </w:p>
    <w:p w14:paraId="5BA2116F" w14:textId="77777777" w:rsidR="003E7E8C" w:rsidRPr="008718E1" w:rsidRDefault="003E7E8C" w:rsidP="00C82B9D">
      <w:pPr>
        <w:pStyle w:val="ListParagraph"/>
        <w:numPr>
          <w:ilvl w:val="0"/>
          <w:numId w:val="34"/>
        </w:numPr>
      </w:pPr>
      <w:r w:rsidRPr="008718E1">
        <w:t xml:space="preserve">Develop pipelines to recruit community college faculty with industry expertise through collaborations with higher education, business, and industry professional organizations. </w:t>
      </w:r>
    </w:p>
    <w:p w14:paraId="7383ACE8" w14:textId="77777777" w:rsidR="003E7E8C" w:rsidRPr="008718E1" w:rsidRDefault="003E7E8C" w:rsidP="00C82B9D">
      <w:pPr>
        <w:pStyle w:val="ListParagraph"/>
        <w:numPr>
          <w:ilvl w:val="0"/>
          <w:numId w:val="34"/>
        </w:numPr>
      </w:pPr>
      <w:r w:rsidRPr="008718E1">
        <w:t>Establish a mentorship model that delineates pathways for industry professionals to intern at colleges to gain teaching skills, knowledge, and experience while pursuing an associate degree or the equivalent.</w:t>
      </w:r>
    </w:p>
    <w:p w14:paraId="1D8D3B77" w14:textId="441787E3" w:rsidR="003E7E8C" w:rsidRPr="008718E1" w:rsidRDefault="003E7E8C" w:rsidP="008718E1">
      <w:r w:rsidRPr="008718E1">
        <w:t xml:space="preserve">As CCC continue to work to meet future workforce needs, it is important that all colleges </w:t>
      </w:r>
      <w:r w:rsidR="00791A2D">
        <w:t>use</w:t>
      </w:r>
      <w:r w:rsidRPr="008718E1">
        <w:t xml:space="preserve"> a consistent equivalency process for </w:t>
      </w:r>
      <w:r w:rsidR="00791A2D">
        <w:t xml:space="preserve">determining </w:t>
      </w:r>
      <w:r w:rsidRPr="008718E1">
        <w:t>MQ</w:t>
      </w:r>
      <w:r w:rsidR="00791A2D">
        <w:t>s</w:t>
      </w:r>
      <w:r w:rsidRPr="008718E1">
        <w:t xml:space="preserve"> for CTE faculty. The intent of the equivalency process has been to be flexible and open, and to screen appropriate industry credentials and certifications.</w:t>
      </w:r>
    </w:p>
    <w:p w14:paraId="72918B0F" w14:textId="77777777" w:rsidR="0072107C" w:rsidRDefault="003E7E8C" w:rsidP="0072107C">
      <w:r w:rsidRPr="008718E1">
        <w:rPr>
          <w:b/>
        </w:rPr>
        <w:t xml:space="preserve">CCC </w:t>
      </w:r>
      <w:r w:rsidR="00791A2D">
        <w:rPr>
          <w:b/>
        </w:rPr>
        <w:t>as Provider of</w:t>
      </w:r>
      <w:r w:rsidRPr="008718E1">
        <w:rPr>
          <w:b/>
        </w:rPr>
        <w:t xml:space="preserve"> Preparation Programs</w:t>
      </w:r>
      <w:r w:rsidR="00791A2D">
        <w:rPr>
          <w:b/>
        </w:rPr>
        <w:t xml:space="preserve"> for K–12 Teachers and CCC Faculty</w:t>
      </w:r>
      <w:r w:rsidRPr="008718E1">
        <w:rPr>
          <w:b/>
        </w:rPr>
        <w:t>:</w:t>
      </w:r>
      <w:r w:rsidRPr="008E5B34">
        <w:t xml:space="preserve"> </w:t>
      </w:r>
    </w:p>
    <w:p w14:paraId="346F23F3" w14:textId="1FA046EC" w:rsidR="0072107C" w:rsidRDefault="0072107C" w:rsidP="0072107C">
      <w:r>
        <w:t xml:space="preserve">The Teacher Preparation Pipeline (TPP) was established in 2006 by the CCCCO to address the statewide shortage and expand the diversity of teacher candidates. Now </w:t>
      </w:r>
      <w:r>
        <w:lastRenderedPageBreak/>
        <w:t>known as CCC Teacher Preparation Programs,</w:t>
      </w:r>
      <w:r>
        <w:rPr>
          <w:rStyle w:val="FootnoteReference"/>
        </w:rPr>
        <w:footnoteReference w:id="39"/>
      </w:r>
      <w:r>
        <w:t xml:space="preserve"> the CCC TPPs support community college students and industry professionals to obtain the education, experience, and credentials needed to become a K</w:t>
      </w:r>
      <w:r w:rsidR="006C6B67">
        <w:t>–</w:t>
      </w:r>
      <w:r>
        <w:t xml:space="preserve">12 teacher. </w:t>
      </w:r>
    </w:p>
    <w:p w14:paraId="26C2E53D" w14:textId="73FCEB58" w:rsidR="0072107C" w:rsidRDefault="0072107C" w:rsidP="0072107C">
      <w:r>
        <w:t xml:space="preserve">The CSU system prepares the majority of teachers in California and the </w:t>
      </w:r>
      <w:r w:rsidR="006C6B67">
        <w:t>CCC</w:t>
      </w:r>
      <w:r>
        <w:t xml:space="preserve"> are an important partner in this work. Across the CSU system, half of the undergraduate students are community college transfers. Of the 23 CSU campuses in California, 22 campuses have teacher education programs that collaborate with CCC to prepare future teachers. Community college transfers system wide in teacher education programs have averaged 65</w:t>
      </w:r>
      <w:r w:rsidR="006C6B67">
        <w:t xml:space="preserve"> percent</w:t>
      </w:r>
      <w:r>
        <w:t xml:space="preserve"> over the past decade.</w:t>
      </w:r>
    </w:p>
    <w:p w14:paraId="1DE12556" w14:textId="21E99A09" w:rsidR="0072107C" w:rsidRDefault="0072107C" w:rsidP="0072107C">
      <w:r>
        <w:t>Since 2017</w:t>
      </w:r>
      <w:r w:rsidR="006C6B67">
        <w:t>,</w:t>
      </w:r>
      <w:r>
        <w:t xml:space="preserve"> and under the Education Futures grant program, TPP collaborate through the Strong Workforce Initiative to design, develop and enhance teacher preparation partnership with CSU and P</w:t>
      </w:r>
      <w:r w:rsidR="006C6B67">
        <w:t>re-K–</w:t>
      </w:r>
      <w:r>
        <w:t>12 partners.</w:t>
      </w:r>
    </w:p>
    <w:p w14:paraId="6162155A" w14:textId="77777777" w:rsidR="0072107C" w:rsidRDefault="0072107C" w:rsidP="0072107C">
      <w:r>
        <w:t>This collaborative work is in support of major student success initiatives in the two systems such as Graduation Initiative 2025, in the CSU and Vision for Success and Guided Pathways in the CCC.</w:t>
      </w:r>
    </w:p>
    <w:p w14:paraId="0ADA17FB" w14:textId="77777777" w:rsidR="0072107C" w:rsidRDefault="0072107C" w:rsidP="0072107C">
      <w:r>
        <w:t xml:space="preserve">Through the CCC and CSU Collaboration in Teacher Preparation, and the framework defined by both institutions, the goal is to increase the numbers and diversity of students who transfer efficiently and the numbers and diversity of candidates prepared for careers in teaching across fields, particularly in high shortage areas. </w:t>
      </w:r>
    </w:p>
    <w:p w14:paraId="4F1A27FC" w14:textId="77777777" w:rsidR="0072107C" w:rsidRDefault="0072107C" w:rsidP="0072107C">
      <w:r>
        <w:t xml:space="preserve">The activities supported included providing students with fieldwork in classroom practice, internships, service learning, work-based learning, and mentorship. The grant program also assists in updating the skills of elementary, middle, high school, or community college faculty, teachers and/or counselors, in development of CSU/UC Articulation Agreements with CCCs, curriculum development, academic collaborations, </w:t>
      </w:r>
      <w:r>
        <w:lastRenderedPageBreak/>
        <w:t>employment and transfer success, instructional strategies and techniques, CTE and STEM program Collaborations among all tiers, and Leadership Development.</w:t>
      </w:r>
    </w:p>
    <w:p w14:paraId="520314F1" w14:textId="47CCC952" w:rsidR="003E7E8C" w:rsidRPr="00423160" w:rsidRDefault="003E7E8C" w:rsidP="008718E1">
      <w:pPr>
        <w:rPr>
          <w:strike/>
        </w:rPr>
      </w:pPr>
      <w:r w:rsidRPr="008718E1">
        <w:t>It is apparent from the description provided above that there are differences</w:t>
      </w:r>
      <w:r w:rsidRPr="00E107FE">
        <w:rPr>
          <w:vertAlign w:val="superscript"/>
        </w:rPr>
        <w:footnoteReference w:id="40"/>
      </w:r>
      <w:r w:rsidR="00C82B9D">
        <w:t xml:space="preserve"> between the K–</w:t>
      </w:r>
      <w:r w:rsidRPr="008718E1">
        <w:t xml:space="preserve">12 CTE teacher credentialing and CCC faculty MQs. Some of these are expected because </w:t>
      </w:r>
      <w:r w:rsidR="006C6B67">
        <w:t xml:space="preserve">of </w:t>
      </w:r>
      <w:r w:rsidRPr="008718E1">
        <w:t>being two sepa</w:t>
      </w:r>
      <w:r w:rsidR="00C82B9D">
        <w:t xml:space="preserve">rate systems, </w:t>
      </w:r>
      <w:r w:rsidR="006C6B67">
        <w:t xml:space="preserve">and therefore, </w:t>
      </w:r>
      <w:r w:rsidR="00C82B9D">
        <w:t>the approach to K–</w:t>
      </w:r>
      <w:r w:rsidRPr="008718E1">
        <w:t xml:space="preserve">12 CTE credentialing will naturally be different from community college faculty MQs. </w:t>
      </w:r>
    </w:p>
    <w:p w14:paraId="4909E66C" w14:textId="77777777" w:rsidR="00791A2D" w:rsidRDefault="00791A2D" w:rsidP="008718E1">
      <w:pPr>
        <w:rPr>
          <w:b/>
        </w:rPr>
      </w:pPr>
      <w:r w:rsidRPr="00791A2D">
        <w:rPr>
          <w:b/>
        </w:rPr>
        <w:t>Support and PD Opportunities for CTE Educators</w:t>
      </w:r>
    </w:p>
    <w:p w14:paraId="0C857F54" w14:textId="05359F82" w:rsidR="00944F95" w:rsidRDefault="00944F95" w:rsidP="00944F95">
      <w:r>
        <w:t xml:space="preserve">Discussed below are the different PD activities provided in the State, as recruitment and retention </w:t>
      </w:r>
      <w:r w:rsidR="009D031A">
        <w:t xml:space="preserve">are </w:t>
      </w:r>
      <w:r>
        <w:t xml:space="preserve">typically left to the individual LEAs and CCC personnel hiring practices. </w:t>
      </w:r>
    </w:p>
    <w:p w14:paraId="5CB01FED" w14:textId="5B23FACF" w:rsidR="00944F95" w:rsidRDefault="00944F95" w:rsidP="00944F95">
      <w:r>
        <w:t>California oversees a variety of support and PD opportunities for the CTE field, as described in the following examples, including those that help build the knowledge and skills needed to work with and improve instruction for special populations:</w:t>
      </w:r>
    </w:p>
    <w:p w14:paraId="27F13DF1" w14:textId="7B078DB9" w:rsidR="003E7E8C" w:rsidRPr="008718E1" w:rsidRDefault="003E7E8C" w:rsidP="00944F95">
      <w:pPr>
        <w:pStyle w:val="ListParagraph"/>
        <w:numPr>
          <w:ilvl w:val="0"/>
          <w:numId w:val="35"/>
        </w:numPr>
      </w:pPr>
      <w:r w:rsidRPr="008718E1">
        <w:t>CTE TEACH is a K–12 instructional program for individuals desiring to earn a teaching credential in a specific a CTE industry sector. The program supports the unique needs of new CTE teachers transitioning from</w:t>
      </w:r>
      <w:r w:rsidR="00944F95">
        <w:t xml:space="preserve"> an industry into the classroom</w:t>
      </w:r>
      <w:r w:rsidR="00BA0590">
        <w:t>,</w:t>
      </w:r>
      <w:r w:rsidRPr="008718E1">
        <w:t xml:space="preserve"> as well as supporting veteran CTE teachers. CTE TEACH provides training and PD through an online early orientation program, an online PD program, and a two-year teacher induction program with in-person mentorship. The training and PD provide instruction in strategies for planning instruction, which are relevant to the diverse needs of students and various occupations. The curriculum includes understanding instructional strategies that provide all students with access to CTE curriculum, as well as methods for making content comprehensible to English language learners and strategies for teaching special </w:t>
      </w:r>
      <w:r w:rsidRPr="008718E1">
        <w:lastRenderedPageBreak/>
        <w:t xml:space="preserve">populations in CTE classrooms. CTE TEACH works with multiple </w:t>
      </w:r>
      <w:r w:rsidR="00485BF7">
        <w:t xml:space="preserve">preparation </w:t>
      </w:r>
      <w:r w:rsidRPr="008718E1">
        <w:t xml:space="preserve">agencies throughout the State, </w:t>
      </w:r>
      <w:r w:rsidR="00944F95">
        <w:t>and</w:t>
      </w:r>
      <w:r w:rsidRPr="008718E1">
        <w:t xml:space="preserve"> provid</w:t>
      </w:r>
      <w:r w:rsidR="00944F95">
        <w:t>es</w:t>
      </w:r>
      <w:r w:rsidRPr="008718E1">
        <w:t xml:space="preserve"> </w:t>
      </w:r>
      <w:r w:rsidR="00944F95">
        <w:t xml:space="preserve">(1) </w:t>
      </w:r>
      <w:r w:rsidRPr="008718E1">
        <w:t xml:space="preserve">resources for all districts in the State that need to develop their own mentoring programs for new CTE teachers and </w:t>
      </w:r>
      <w:r w:rsidR="00944F95">
        <w:t>(2)</w:t>
      </w:r>
      <w:r w:rsidRPr="008718E1">
        <w:t xml:space="preserve"> ongoing CTE teacher PD. To view the training and PD resources, please visit the CTE TEACH website at </w:t>
      </w:r>
      <w:hyperlink r:id="rId38" w:tooltip="CTE Teach" w:history="1">
        <w:r w:rsidRPr="008718E1">
          <w:rPr>
            <w:rStyle w:val="Hyperlink"/>
          </w:rPr>
          <w:t>https://cryrop.org/Educators/CTE-Teach/index.html</w:t>
        </w:r>
      </w:hyperlink>
      <w:r w:rsidRPr="008718E1">
        <w:t>. (Recruitment, retention, and PD)</w:t>
      </w:r>
    </w:p>
    <w:p w14:paraId="6CE20590" w14:textId="41093D9F" w:rsidR="003E7E8C" w:rsidRPr="008718E1" w:rsidRDefault="003E7E8C" w:rsidP="00C82B9D">
      <w:pPr>
        <w:pStyle w:val="ListParagraph"/>
        <w:numPr>
          <w:ilvl w:val="0"/>
          <w:numId w:val="35"/>
        </w:numPr>
      </w:pPr>
      <w:r w:rsidRPr="008718E1">
        <w:t xml:space="preserve">The LDI prepares individuals to develop their competencies as CTE leaders and managers. The overarching LDI theme is quality leadership utilizing proven individual and team performance strategy. Individuals selected to participate in this PD series actively prepare for and practice various management roles, apply learned concepts to present-day challenges, and develop specific knowledge and skills related to management of CTE and integrated instructional programs. The LDI is a multi-day, multi-module training workshop that includes the following modules: Leadership, Curriculum and Instruction, Content Standards, Course Development and Approval, State and Local Curriculum </w:t>
      </w:r>
      <w:r w:rsidR="00351C18">
        <w:t>G</w:t>
      </w:r>
      <w:r w:rsidRPr="008718E1">
        <w:t xml:space="preserve">uidelines and </w:t>
      </w:r>
      <w:r w:rsidR="00351C18">
        <w:t>R</w:t>
      </w:r>
      <w:r w:rsidRPr="008718E1">
        <w:t xml:space="preserve">equirements, Local Board </w:t>
      </w:r>
      <w:r w:rsidR="00351C18">
        <w:t>A</w:t>
      </w:r>
      <w:r w:rsidRPr="008718E1">
        <w:t xml:space="preserve">ctions, Supervision of Human Resources, and Instructional Improvement. Other content areas include Effective Meetings, Fiscal Resource Management, CTEIG, K–12 SWP, Legislative Activities, Community and Public Relations, STEM, CPAs, Organizational Governance Structures, Articulation, UC “A–G” </w:t>
      </w:r>
      <w:r w:rsidR="00351C18">
        <w:t>C</w:t>
      </w:r>
      <w:r w:rsidRPr="008718E1">
        <w:t xml:space="preserve">ourse </w:t>
      </w:r>
      <w:r w:rsidR="00351C18">
        <w:t>A</w:t>
      </w:r>
      <w:r w:rsidRPr="008718E1">
        <w:t>pproval, Secondary-Postsecondary Partnerships, Program Marketing, and Professional Organizations. Upon completion of the LDI training, participants are prepared to provide positive leadership for an array of educational organizations</w:t>
      </w:r>
      <w:r w:rsidR="00351C18">
        <w:t>.</w:t>
      </w:r>
      <w:r w:rsidRPr="008718E1">
        <w:t xml:space="preserve"> (Retention</w:t>
      </w:r>
      <w:r w:rsidR="00484042">
        <w:t xml:space="preserve"> and</w:t>
      </w:r>
      <w:r w:rsidRPr="008718E1">
        <w:t xml:space="preserve"> PD)</w:t>
      </w:r>
    </w:p>
    <w:p w14:paraId="35FC5C4D" w14:textId="6033357D" w:rsidR="003E7E8C" w:rsidRPr="008718E1" w:rsidRDefault="003E7E8C" w:rsidP="00C82B9D">
      <w:pPr>
        <w:pStyle w:val="ListParagraph"/>
        <w:numPr>
          <w:ilvl w:val="0"/>
          <w:numId w:val="35"/>
        </w:numPr>
      </w:pPr>
      <w:r w:rsidRPr="008718E1">
        <w:t>As previously described</w:t>
      </w:r>
      <w:r w:rsidR="00944F95">
        <w:t xml:space="preserve"> in the response for 2c(i)</w:t>
      </w:r>
      <w:r w:rsidRPr="008718E1">
        <w:t xml:space="preserve">, CTE Online is a free online resource devoted to connecting CTE and academic educators to the CTEMCS, shared communities of practice, and PD tools. The site includes thousands of lesson plans aligned to CTE, the Common Core State Standards, and the Next Generation Science Standards, as well as STEAM/STEM projects, model course outlines, and sample POS. CTE Online also provides tools for users to create their own curriculum and collaborate in groups. To view the resources, please visit the CTE Online website at </w:t>
      </w:r>
      <w:hyperlink r:id="rId39" w:tooltip="CTE Online" w:history="1">
        <w:r w:rsidRPr="008718E1">
          <w:rPr>
            <w:rStyle w:val="Hyperlink"/>
          </w:rPr>
          <w:t>https://www.cteonline.org</w:t>
        </w:r>
      </w:hyperlink>
      <w:r w:rsidR="00351C18">
        <w:t xml:space="preserve">. </w:t>
      </w:r>
      <w:r w:rsidRPr="008718E1">
        <w:t>(PD)</w:t>
      </w:r>
    </w:p>
    <w:p w14:paraId="2D6DBA89" w14:textId="3941F3D5" w:rsidR="003E7E8C" w:rsidRPr="008718E1" w:rsidRDefault="003E7E8C" w:rsidP="00C82B9D">
      <w:pPr>
        <w:pStyle w:val="ListParagraph"/>
        <w:numPr>
          <w:ilvl w:val="0"/>
          <w:numId w:val="35"/>
        </w:numPr>
      </w:pPr>
      <w:r w:rsidRPr="008718E1">
        <w:lastRenderedPageBreak/>
        <w:t xml:space="preserve">During each academic year, the Agricultural Education &amp; Family and Consumer Sciences Office within the CCTD develops comprehensive professional development opportunities for individuals teaching agriculture courses at both the secondary and postsecondary levels. These opportunities are part of an extensive </w:t>
      </w:r>
      <w:r w:rsidR="00351C18">
        <w:t>PD</w:t>
      </w:r>
      <w:r w:rsidRPr="008718E1">
        <w:t xml:space="preserve"> plan to provide agriculture teachers with the latest in technology, curriculum, teaching strategies, and leadership. Through the </w:t>
      </w:r>
      <w:r w:rsidR="00351C18">
        <w:t>PD</w:t>
      </w:r>
      <w:r w:rsidRPr="008718E1">
        <w:t xml:space="preserve"> series organized jointly by </w:t>
      </w:r>
      <w:r w:rsidR="00351C18">
        <w:t xml:space="preserve">the </w:t>
      </w:r>
      <w:r w:rsidRPr="008718E1">
        <w:t xml:space="preserve">CDE and local </w:t>
      </w:r>
      <w:r w:rsidR="00351C18">
        <w:t>a</w:t>
      </w:r>
      <w:r w:rsidRPr="008718E1">
        <w:t xml:space="preserve">gricultural </w:t>
      </w:r>
      <w:r w:rsidR="00351C18">
        <w:t>e</w:t>
      </w:r>
      <w:r w:rsidRPr="008718E1">
        <w:t>ducation leadership, teachers find mentors to develop a system that supports agriculture teachers remaining in the classroom rather than changing professions. CDE staff also works with the credentialing programs to design and deliver a series of integrated activities to retain teachers</w:t>
      </w:r>
      <w:r w:rsidR="00351C18">
        <w:t>.</w:t>
      </w:r>
      <w:r w:rsidRPr="008718E1">
        <w:t xml:space="preserve"> (PD)</w:t>
      </w:r>
    </w:p>
    <w:p w14:paraId="6D28BAB7" w14:textId="3233FD4F" w:rsidR="003E7E8C" w:rsidRPr="008718E1" w:rsidRDefault="003E7E8C" w:rsidP="00C82B9D">
      <w:pPr>
        <w:pStyle w:val="ListParagraph"/>
        <w:numPr>
          <w:ilvl w:val="0"/>
          <w:numId w:val="36"/>
        </w:numPr>
      </w:pPr>
      <w:r w:rsidRPr="008718E1">
        <w:t xml:space="preserve">At the community college level, </w:t>
      </w:r>
      <w:r w:rsidR="00944F95">
        <w:t xml:space="preserve">faculty </w:t>
      </w:r>
      <w:r w:rsidRPr="008718E1">
        <w:t xml:space="preserve">PD is </w:t>
      </w:r>
      <w:r w:rsidR="00944F95">
        <w:t>managed at the local level by the Academic Senate and supported by the college administration. Other faculty PD opportunities are often available via</w:t>
      </w:r>
      <w:r w:rsidRPr="008718E1">
        <w:t xml:space="preserve"> community college advisory committees</w:t>
      </w:r>
      <w:r w:rsidR="00944F95">
        <w:t>,</w:t>
      </w:r>
      <w:r w:rsidRPr="008718E1">
        <w:t xml:space="preserve"> collaboratives, regional consortia, content-area conferences, and sabbaticals. </w:t>
      </w:r>
      <w:r w:rsidR="00944F95">
        <w:t>Local</w:t>
      </w:r>
      <w:r w:rsidRPr="008718E1">
        <w:t xml:space="preserve"> “flexible PD,” called “flex</w:t>
      </w:r>
      <w:r w:rsidR="00944F95">
        <w:t xml:space="preserve"> days,</w:t>
      </w:r>
      <w:r w:rsidRPr="008718E1">
        <w:t xml:space="preserve">” </w:t>
      </w:r>
      <w:r w:rsidR="00944F95">
        <w:t>are organized locally by the Academic Senate at each C</w:t>
      </w:r>
      <w:r w:rsidR="00351C18">
        <w:t>C</w:t>
      </w:r>
      <w:r w:rsidR="00944F95">
        <w:t>C District. The frequency of such offerings are determined by local contractual arrangements.</w:t>
      </w:r>
      <w:r w:rsidRPr="008718E1">
        <w:t xml:space="preserve"> </w:t>
      </w:r>
    </w:p>
    <w:p w14:paraId="06EAA1FE" w14:textId="0AF84F8B" w:rsidR="00577E58" w:rsidRDefault="007E6FBC" w:rsidP="00CD3C0A">
      <w:pPr>
        <w:pStyle w:val="ListParagraph"/>
        <w:numPr>
          <w:ilvl w:val="0"/>
          <w:numId w:val="36"/>
        </w:numPr>
      </w:pPr>
      <w:r w:rsidRPr="007E6FBC">
        <w:t>Many community colleges utilize Perkins</w:t>
      </w:r>
      <w:r>
        <w:t xml:space="preserve"> V</w:t>
      </w:r>
      <w:r w:rsidRPr="007E6FBC">
        <w:t xml:space="preserve"> funds to support local CTE faculty </w:t>
      </w:r>
      <w:r>
        <w:t>PD</w:t>
      </w:r>
      <w:r w:rsidRPr="007E6FBC">
        <w:t xml:space="preserve">. The CCCCO has used Perkins V funds to train large faculty groups on their campuses. Finally, both State and federal funds have been used to provide faculty PD through teacher externships, a strategy demonstrated to be highly effective in </w:t>
      </w:r>
      <w:r w:rsidR="00240DB2" w:rsidRPr="00240DB2">
        <w:t>updating or modernizing</w:t>
      </w:r>
      <w:r w:rsidRPr="007E6FBC">
        <w:t xml:space="preserve"> educators about the needs of the workplace. </w:t>
      </w:r>
    </w:p>
    <w:p w14:paraId="031776A8" w14:textId="29449D70" w:rsidR="007E6FBC" w:rsidRDefault="007E6FBC" w:rsidP="00CD3C0A">
      <w:pPr>
        <w:pStyle w:val="ListParagraph"/>
        <w:numPr>
          <w:ilvl w:val="0"/>
          <w:numId w:val="36"/>
        </w:numPr>
      </w:pPr>
      <w:r w:rsidRPr="007E6FBC">
        <w:t>Through the use of Perkins funding, California’s JSPAC is committed to empowering educators with equity and access resources to address barriers to opportunities for CTE students related to special populations. JSPAC’s mantra is to “Empower with Equity and Access” to enhance the CTE field, encourage girls, women, boys</w:t>
      </w:r>
      <w:r w:rsidR="00351C18">
        <w:t>,</w:t>
      </w:r>
      <w:r w:rsidRPr="007E6FBC">
        <w:t xml:space="preserve"> and men to explore and enter into training programs and careers that are non-traditional by gender as well as high-wage and high-demand. While </w:t>
      </w:r>
      <w:r w:rsidRPr="007E6FBC">
        <w:lastRenderedPageBreak/>
        <w:t xml:space="preserve">jointly administered by </w:t>
      </w:r>
      <w:r w:rsidR="00351C18">
        <w:t xml:space="preserve">the </w:t>
      </w:r>
      <w:r w:rsidRPr="007E6FBC">
        <w:t>CDE and CCCCO, the committee is comprised of educators from the K</w:t>
      </w:r>
      <w:r w:rsidR="00CC71D1">
        <w:t>–</w:t>
      </w:r>
      <w:r w:rsidRPr="007E6FBC">
        <w:t>12, adult education, CCC, and public and private sectors.</w:t>
      </w:r>
    </w:p>
    <w:p w14:paraId="2B80C544" w14:textId="34DEC2C6" w:rsidR="003E7E8C" w:rsidRPr="008718E1" w:rsidRDefault="007E6FBC" w:rsidP="008718E1">
      <w:r>
        <w:t>In addition, a</w:t>
      </w:r>
      <w:r w:rsidR="00C82B9D">
        <w:t>t the K–</w:t>
      </w:r>
      <w:r w:rsidR="003E7E8C" w:rsidRPr="008718E1">
        <w:t xml:space="preserve">12 level, there are two key initiatives that are of note for instructing special populations. The first is the </w:t>
      </w:r>
      <w:r w:rsidR="00C56145">
        <w:t xml:space="preserve">Educator Workforce Investment Grant </w:t>
      </w:r>
      <w:r w:rsidR="003E7E8C" w:rsidRPr="008718E1">
        <w:t xml:space="preserve">and the other is the </w:t>
      </w:r>
      <w:r w:rsidR="00C56145">
        <w:t>21st Century School Leadership Academy</w:t>
      </w:r>
      <w:r w:rsidR="003E7E8C" w:rsidRPr="008718E1">
        <w:t xml:space="preserve"> EWIG is a program that supports professional learning opportunities for teachers and paraprofessionals across California, with a focus on several priority areas, including special education. The 21CSLA is a statewide professional learning initiative for administr</w:t>
      </w:r>
      <w:r>
        <w:t>ators and other school leaders.</w:t>
      </w:r>
    </w:p>
    <w:p w14:paraId="061C8B5D" w14:textId="6806AA30" w:rsidR="003E7E8C" w:rsidRPr="008718E1" w:rsidRDefault="003E7E8C" w:rsidP="008718E1">
      <w:r w:rsidRPr="008718E1">
        <w:t xml:space="preserve">The CCC </w:t>
      </w:r>
      <w:r w:rsidR="007E6FBC">
        <w:t>support</w:t>
      </w:r>
      <w:r w:rsidRPr="008718E1">
        <w:t xml:space="preserve"> a range of initiatives that focus on improving equity and access for special populations. These </w:t>
      </w:r>
      <w:r w:rsidR="00351C18">
        <w:t>PD</w:t>
      </w:r>
      <w:r w:rsidRPr="008718E1">
        <w:t xml:space="preserve"> efforts are inclusive of staff and faculty, including:</w:t>
      </w:r>
    </w:p>
    <w:p w14:paraId="796BF3A0" w14:textId="62BBE926" w:rsidR="003E7E8C" w:rsidRPr="008718E1" w:rsidRDefault="003E7E8C" w:rsidP="00C82B9D">
      <w:pPr>
        <w:pStyle w:val="ListParagraph"/>
        <w:numPr>
          <w:ilvl w:val="0"/>
          <w:numId w:val="37"/>
        </w:numPr>
      </w:pPr>
      <w:r w:rsidRPr="008718E1">
        <w:t>SEA</w:t>
      </w:r>
      <w:r w:rsidR="006D63D4">
        <w:t>P</w:t>
      </w:r>
      <w:r w:rsidR="00484042">
        <w:t xml:space="preserve"> –</w:t>
      </w:r>
      <w:r w:rsidRPr="008718E1">
        <w:t xml:space="preserve"> </w:t>
      </w:r>
      <w:r w:rsidR="007E6FBC">
        <w:t xml:space="preserve">is a statewide categorical program </w:t>
      </w:r>
      <w:r w:rsidRPr="008718E1">
        <w:t>focused on closing equity gaps for all students</w:t>
      </w:r>
      <w:r w:rsidR="00351C18">
        <w:t>.</w:t>
      </w:r>
      <w:r w:rsidR="007E6FBC">
        <w:rPr>
          <w:rStyle w:val="FootnoteReference"/>
        </w:rPr>
        <w:footnoteReference w:id="41"/>
      </w:r>
    </w:p>
    <w:p w14:paraId="3D6E3185" w14:textId="36FE28C3" w:rsidR="003E7E8C" w:rsidRPr="008718E1" w:rsidRDefault="003E7E8C" w:rsidP="00C82B9D">
      <w:pPr>
        <w:pStyle w:val="ListParagraph"/>
        <w:numPr>
          <w:ilvl w:val="0"/>
          <w:numId w:val="37"/>
        </w:numPr>
      </w:pPr>
      <w:r w:rsidRPr="008718E1">
        <w:t>Categorical programs</w:t>
      </w:r>
      <w:r w:rsidR="00351C18">
        <w:t>,</w:t>
      </w:r>
      <w:r w:rsidRPr="008718E1">
        <w:t xml:space="preserve"> which</w:t>
      </w:r>
      <w:r w:rsidR="009D6C90">
        <w:t xml:space="preserve"> </w:t>
      </w:r>
      <w:r w:rsidR="00D03D08">
        <w:t>exist</w:t>
      </w:r>
      <w:r w:rsidR="009D6C90">
        <w:t xml:space="preserve"> at </w:t>
      </w:r>
      <w:r w:rsidR="00D03D08">
        <w:t>every campus,</w:t>
      </w:r>
      <w:r w:rsidRPr="008718E1">
        <w:t xml:space="preserve"> are targeted investments designated to serve special populations including </w:t>
      </w:r>
      <w:r w:rsidR="00D03D08">
        <w:t>V</w:t>
      </w:r>
      <w:r w:rsidRPr="008718E1">
        <w:t>eterans, economically disadvantage students, disabled students</w:t>
      </w:r>
      <w:r w:rsidR="00D03D08">
        <w:t>,</w:t>
      </w:r>
      <w:r w:rsidRPr="008718E1">
        <w:t xml:space="preserve"> and many others</w:t>
      </w:r>
      <w:r w:rsidR="00D03D08">
        <w:t>.</w:t>
      </w:r>
    </w:p>
    <w:p w14:paraId="476E807A" w14:textId="66F07B5D" w:rsidR="003E7E8C" w:rsidRPr="008718E1" w:rsidRDefault="003E7E8C" w:rsidP="00C82B9D">
      <w:pPr>
        <w:pStyle w:val="ListParagraph"/>
        <w:numPr>
          <w:ilvl w:val="0"/>
          <w:numId w:val="37"/>
        </w:numPr>
      </w:pPr>
      <w:r w:rsidRPr="008718E1">
        <w:t xml:space="preserve">At the state level, the community colleges </w:t>
      </w:r>
      <w:r w:rsidR="007E6FBC">
        <w:t>are supported by</w:t>
      </w:r>
      <w:r w:rsidRPr="008718E1">
        <w:t xml:space="preserve"> the Institutional Effectiveness Partnership Initiative that provides a range of </w:t>
      </w:r>
      <w:r w:rsidR="00D03D08">
        <w:t>PD</w:t>
      </w:r>
      <w:r w:rsidRPr="008718E1">
        <w:t xml:space="preserve"> opportunities for faculty and staff including: implicit bias training, equity and data training, </w:t>
      </w:r>
      <w:r w:rsidR="007E6FBC">
        <w:t xml:space="preserve">and </w:t>
      </w:r>
      <w:r w:rsidRPr="008718E1">
        <w:t>enrollment management training to support the diversification of enrollments.</w:t>
      </w:r>
    </w:p>
    <w:p w14:paraId="754394E5" w14:textId="26E9441A" w:rsidR="00E107FE" w:rsidRDefault="003E7E8C" w:rsidP="008718E1">
      <w:bookmarkStart w:id="69" w:name="_Hlk32556305"/>
      <w:r w:rsidRPr="00E00663">
        <w:lastRenderedPageBreak/>
        <w:t xml:space="preserve">A key source for what changes </w:t>
      </w:r>
      <w:r w:rsidR="009D031A" w:rsidRPr="00E00663">
        <w:t>is</w:t>
      </w:r>
      <w:r w:rsidRPr="00E00663">
        <w:t xml:space="preserve"> needed with regard to teacher preparation, recruitment and retention, and PD were the stakeholders who provided input into the Draft Perkins V State Plan, and is described next.</w:t>
      </w:r>
    </w:p>
    <w:p w14:paraId="3CB40775" w14:textId="521845A2" w:rsidR="003E7E8C" w:rsidRPr="008718E1" w:rsidRDefault="00577E58" w:rsidP="008718E1">
      <w:pPr>
        <w:rPr>
          <w:b/>
        </w:rPr>
      </w:pPr>
      <w:r>
        <w:rPr>
          <w:b/>
        </w:rPr>
        <w:t>Stakeholder Suggestions</w:t>
      </w:r>
    </w:p>
    <w:bookmarkEnd w:id="69"/>
    <w:p w14:paraId="618EED7E" w14:textId="5FC03F59" w:rsidR="003E7E8C" w:rsidRPr="008718E1" w:rsidRDefault="003E7E8C" w:rsidP="008718E1">
      <w:r w:rsidRPr="008718E1">
        <w:t xml:space="preserve">During the stakeholder meetings for developing the Draft Federal Perkins V State Plan, suggestions were received for </w:t>
      </w:r>
      <w:r w:rsidR="00971C2E">
        <w:t>improving</w:t>
      </w:r>
      <w:r w:rsidR="00971C2E" w:rsidRPr="008718E1">
        <w:t xml:space="preserve"> </w:t>
      </w:r>
      <w:r w:rsidRPr="008718E1">
        <w:t>the CTE teacher and faculty preparation and recruitment.</w:t>
      </w:r>
      <w:r w:rsidRPr="00E107FE">
        <w:rPr>
          <w:vertAlign w:val="superscript"/>
        </w:rPr>
        <w:footnoteReference w:id="42"/>
      </w:r>
      <w:r w:rsidRPr="008718E1">
        <w:t xml:space="preserve"> While some applied exclusively to one </w:t>
      </w:r>
      <w:r w:rsidR="007E6FBC">
        <w:t>educational segment</w:t>
      </w:r>
      <w:r w:rsidRPr="008718E1">
        <w:t xml:space="preserve"> (K–12 or community college), many of them were applicab</w:t>
      </w:r>
      <w:r w:rsidR="007E6FBC">
        <w:t>le to both</w:t>
      </w:r>
      <w:r w:rsidRPr="008718E1">
        <w:t>. The stakeholder suggestions include:</w:t>
      </w:r>
    </w:p>
    <w:p w14:paraId="4339DA62" w14:textId="77777777" w:rsidR="003E7E8C" w:rsidRPr="008718E1" w:rsidRDefault="003E7E8C" w:rsidP="00C82B9D">
      <w:pPr>
        <w:pStyle w:val="ListParagraph"/>
        <w:numPr>
          <w:ilvl w:val="0"/>
          <w:numId w:val="38"/>
        </w:numPr>
      </w:pPr>
      <w:r w:rsidRPr="008718E1">
        <w:t>Expanding the “Grow Your Own” teacher programs</w:t>
      </w:r>
      <w:r w:rsidRPr="00E107FE">
        <w:rPr>
          <w:vertAlign w:val="superscript"/>
        </w:rPr>
        <w:footnoteReference w:id="43"/>
      </w:r>
      <w:r w:rsidRPr="008718E1">
        <w:t xml:space="preserve"> and student engagement strategies, such as working with CTSOs; inviting paraprofessionals, guest speakers, and industry volunteers into classrooms to experience a classroom environment; engaging CTE advisory board members and retirees; and assisting candidates with the credential process and fees, to make the credentialing process more “user friendly.” Additionally, the “Grow Your Own” teacher programs highlight the importance of diversifying the teacher workforce in </w:t>
      </w:r>
      <w:r w:rsidRPr="008718E1">
        <w:lastRenderedPageBreak/>
        <w:t>addressing the needs of English language learners and other underserved student populations.</w:t>
      </w:r>
    </w:p>
    <w:p w14:paraId="1D7BB2C0" w14:textId="2FB2ED4F" w:rsidR="003E7E8C" w:rsidRPr="008718E1" w:rsidRDefault="003E7E8C" w:rsidP="00C82B9D">
      <w:pPr>
        <w:pStyle w:val="ListParagraph"/>
        <w:numPr>
          <w:ilvl w:val="0"/>
          <w:numId w:val="38"/>
        </w:numPr>
      </w:pPr>
      <w:r w:rsidRPr="008718E1">
        <w:t xml:space="preserve">Tapping industry for </w:t>
      </w:r>
      <w:r w:rsidR="007E6FBC">
        <w:t xml:space="preserve">CTE teachers and </w:t>
      </w:r>
      <w:r w:rsidRPr="008718E1">
        <w:t xml:space="preserve">adjunct faculty, apprenticeships, and paraprofessionals; increasing awareness through chambers of commerce; reaching out to </w:t>
      </w:r>
      <w:r w:rsidR="008D2170">
        <w:t>potential resources</w:t>
      </w:r>
      <w:r w:rsidRPr="008718E1">
        <w:t xml:space="preserve"> such as retirees and former military personnel; conducting regional and statewide marketing; and using online postings.</w:t>
      </w:r>
    </w:p>
    <w:p w14:paraId="5F96D549" w14:textId="23FA352D" w:rsidR="003E7E8C" w:rsidRPr="008718E1" w:rsidRDefault="003E7E8C" w:rsidP="00C82B9D">
      <w:pPr>
        <w:pStyle w:val="ListParagraph"/>
        <w:numPr>
          <w:ilvl w:val="0"/>
          <w:numId w:val="38"/>
        </w:numPr>
      </w:pPr>
      <w:r w:rsidRPr="008718E1">
        <w:t xml:space="preserve">Providing credit for prior learning and industry experience, as well as allowing for online certifications and </w:t>
      </w:r>
      <w:r w:rsidR="008D2170">
        <w:t>“industry-sponsored credentials.</w:t>
      </w:r>
      <w:r w:rsidRPr="008718E1">
        <w:t xml:space="preserve">” </w:t>
      </w:r>
    </w:p>
    <w:p w14:paraId="50072778" w14:textId="34276838" w:rsidR="003E7E8C" w:rsidRPr="008718E1" w:rsidRDefault="003E7E8C" w:rsidP="00C82B9D">
      <w:pPr>
        <w:pStyle w:val="ListParagraph"/>
        <w:numPr>
          <w:ilvl w:val="0"/>
          <w:numId w:val="38"/>
        </w:numPr>
      </w:pPr>
      <w:r w:rsidRPr="008718E1">
        <w:t>Supporting teacher capacity and skill</w:t>
      </w:r>
      <w:r w:rsidR="008D2170">
        <w:t xml:space="preserve"> development </w:t>
      </w:r>
      <w:r w:rsidRPr="008718E1">
        <w:t>through industry partnerships to provide guest speakers, coaches, and mentors</w:t>
      </w:r>
      <w:r w:rsidR="008D2170">
        <w:t xml:space="preserve"> to support classroom instruction</w:t>
      </w:r>
      <w:r w:rsidRPr="008718E1">
        <w:t xml:space="preserve">; teacher externships; and other teacher professional learning opportunities. Stakeholders suggested that industry partners could help teachers “upskill and re-skill.” These </w:t>
      </w:r>
      <w:r w:rsidR="008D2170">
        <w:t>partnerships</w:t>
      </w:r>
      <w:r w:rsidRPr="008718E1">
        <w:t xml:space="preserve"> could also support recruitment of industry representatives into teaching.</w:t>
      </w:r>
    </w:p>
    <w:p w14:paraId="3D82145D" w14:textId="694E5835" w:rsidR="003E7E8C" w:rsidRPr="008718E1" w:rsidRDefault="00AF3723" w:rsidP="00C82B9D">
      <w:pPr>
        <w:pStyle w:val="ListParagraph"/>
        <w:numPr>
          <w:ilvl w:val="0"/>
          <w:numId w:val="38"/>
        </w:numPr>
      </w:pPr>
      <w:r>
        <w:t>I</w:t>
      </w:r>
      <w:r w:rsidRPr="008718E1">
        <w:t xml:space="preserve">ndustry </w:t>
      </w:r>
      <w:r w:rsidR="003E7E8C" w:rsidRPr="008718E1">
        <w:t xml:space="preserve">encouraging employee involvement in CTE through release time to teach classes, offering teacher externships, student job-shadowing, and online classes to support teacher retention. </w:t>
      </w:r>
    </w:p>
    <w:p w14:paraId="2E33DDF2" w14:textId="77777777" w:rsidR="003E7E8C" w:rsidRDefault="003E7E8C" w:rsidP="00C82B9D">
      <w:pPr>
        <w:pStyle w:val="ListParagraph"/>
        <w:numPr>
          <w:ilvl w:val="0"/>
          <w:numId w:val="38"/>
        </w:numPr>
      </w:pPr>
      <w:r w:rsidRPr="008718E1">
        <w:t>Including cultural competency in teacher preparation; encouraging multi-language teachers, including Tribal-language teachers; and creating inclusive school communities for teachers as well as for students.</w:t>
      </w:r>
    </w:p>
    <w:p w14:paraId="110FFA80" w14:textId="782A7CFD" w:rsidR="00577E58" w:rsidRDefault="00577E58" w:rsidP="00577E58">
      <w:r>
        <w:t>Stakeholders had a variety of additional suggestions to improve the recruitment as related to preparing more CTE teachers in California, including:</w:t>
      </w:r>
    </w:p>
    <w:p w14:paraId="3D496BE0" w14:textId="07ACDDC8" w:rsidR="00577E58" w:rsidRDefault="00577E58" w:rsidP="00577E58">
      <w:pPr>
        <w:pStyle w:val="ListParagraph"/>
        <w:numPr>
          <w:ilvl w:val="0"/>
          <w:numId w:val="38"/>
        </w:numPr>
      </w:pPr>
      <w:r>
        <w:t>Develop a pipeline of teachers through K–12 and CC</w:t>
      </w:r>
      <w:r w:rsidR="00D03D08">
        <w:t>C</w:t>
      </w:r>
      <w:r>
        <w:t>.</w:t>
      </w:r>
    </w:p>
    <w:p w14:paraId="44BC4EA3" w14:textId="303C71C2" w:rsidR="00577E58" w:rsidRDefault="00577E58" w:rsidP="00577E58">
      <w:pPr>
        <w:pStyle w:val="ListParagraph"/>
        <w:numPr>
          <w:ilvl w:val="0"/>
          <w:numId w:val="38"/>
        </w:numPr>
      </w:pPr>
      <w:r>
        <w:t>Better job marketing job openings as well as inviting individuals into field.</w:t>
      </w:r>
    </w:p>
    <w:p w14:paraId="2CB8D49C" w14:textId="19E4FE90" w:rsidR="00577E58" w:rsidRDefault="00577E58" w:rsidP="00577E58">
      <w:pPr>
        <w:pStyle w:val="ListParagraph"/>
        <w:numPr>
          <w:ilvl w:val="0"/>
          <w:numId w:val="38"/>
        </w:numPr>
      </w:pPr>
      <w:r>
        <w:t xml:space="preserve">Additional marketing in underrepresented communities. </w:t>
      </w:r>
    </w:p>
    <w:p w14:paraId="49C122A3" w14:textId="0106A10D" w:rsidR="00577E58" w:rsidRDefault="00577E58" w:rsidP="00577E58">
      <w:pPr>
        <w:pStyle w:val="ListParagraph"/>
        <w:numPr>
          <w:ilvl w:val="0"/>
          <w:numId w:val="38"/>
        </w:numPr>
      </w:pPr>
      <w:r>
        <w:lastRenderedPageBreak/>
        <w:t xml:space="preserve">Encourage paraprofessionals to enter the field. </w:t>
      </w:r>
    </w:p>
    <w:p w14:paraId="115AA960" w14:textId="765D0ED1" w:rsidR="00577E58" w:rsidRDefault="00577E58" w:rsidP="00577E58">
      <w:pPr>
        <w:pStyle w:val="ListParagraph"/>
        <w:numPr>
          <w:ilvl w:val="0"/>
          <w:numId w:val="38"/>
        </w:numPr>
      </w:pPr>
      <w:r>
        <w:t>Recruitment in local industries of need.</w:t>
      </w:r>
    </w:p>
    <w:p w14:paraId="5E207967" w14:textId="6B0E5060" w:rsidR="00577E58" w:rsidRDefault="00577E58" w:rsidP="00577E58">
      <w:pPr>
        <w:pStyle w:val="ListParagraph"/>
        <w:numPr>
          <w:ilvl w:val="0"/>
          <w:numId w:val="38"/>
        </w:numPr>
      </w:pPr>
      <w:r>
        <w:t>Development of intern/externships with industry to recruit teachers.</w:t>
      </w:r>
    </w:p>
    <w:p w14:paraId="1A9BCF17" w14:textId="13208474" w:rsidR="00577E58" w:rsidRDefault="00577E58" w:rsidP="00577E58">
      <w:r>
        <w:t>Stakeholders provided additional opportunities for PD such as:</w:t>
      </w:r>
    </w:p>
    <w:p w14:paraId="66645994" w14:textId="1EC8545D" w:rsidR="00577E58" w:rsidRDefault="00577E58" w:rsidP="00577E58">
      <w:pPr>
        <w:pStyle w:val="ListParagraph"/>
        <w:numPr>
          <w:ilvl w:val="0"/>
          <w:numId w:val="38"/>
        </w:numPr>
      </w:pPr>
      <w:r>
        <w:t>Summer intern/externships for teachers and/or industry professionals.</w:t>
      </w:r>
    </w:p>
    <w:p w14:paraId="36231A79" w14:textId="7DD54899" w:rsidR="003E7E8C" w:rsidRPr="008718E1" w:rsidRDefault="008B313B" w:rsidP="008718E1">
      <w:pPr>
        <w:rPr>
          <w:b/>
        </w:rPr>
      </w:pPr>
      <w:r>
        <w:rPr>
          <w:b/>
        </w:rPr>
        <w:t>Next Steps in Preparing</w:t>
      </w:r>
      <w:r w:rsidR="003E7E8C" w:rsidRPr="008718E1">
        <w:rPr>
          <w:b/>
        </w:rPr>
        <w:t xml:space="preserve"> K–12 CTE Teacher</w:t>
      </w:r>
      <w:r>
        <w:rPr>
          <w:b/>
        </w:rPr>
        <w:t>s</w:t>
      </w:r>
      <w:r w:rsidR="003E7E8C" w:rsidRPr="008718E1">
        <w:rPr>
          <w:b/>
        </w:rPr>
        <w:t xml:space="preserve"> and Faculty </w:t>
      </w:r>
    </w:p>
    <w:p w14:paraId="2B1DFD6B" w14:textId="755A9D2B" w:rsidR="003E7E8C" w:rsidRPr="00AF3723" w:rsidRDefault="008F1F6F" w:rsidP="0093009B">
      <w:pPr>
        <w:pStyle w:val="ListParagraph"/>
        <w:numPr>
          <w:ilvl w:val="0"/>
          <w:numId w:val="39"/>
        </w:numPr>
        <w:rPr>
          <w:strike/>
        </w:rPr>
      </w:pPr>
      <w:r w:rsidRPr="008F1F6F">
        <w:t xml:space="preserve">Preparing CTE teachers and faculty is new within Perkins V. Besides the credentialing for CTE teachers and meeting MQs for CTE faculty, Perkins V requires addressing recruitment, as well as PD. Therefore, collaboration needs to take place among the SBE, the CDE, the CCCCO, and the CCTC in order to collectively address CTE teachers and faculty preparation. More importantly, it requires the involvement of all K–12 and CCC personnel to ensure that the CTE teacher and faculty pipeline is wide and deep. </w:t>
      </w:r>
    </w:p>
    <w:p w14:paraId="739A9E9F" w14:textId="587AE6DD" w:rsidR="008D2170" w:rsidRPr="008D2170" w:rsidRDefault="00C869C5" w:rsidP="008D2170">
      <w:r>
        <w:t xml:space="preserve">In summary, </w:t>
      </w:r>
      <w:r w:rsidR="008D2170" w:rsidRPr="008D2170">
        <w:t xml:space="preserve">those that are now working within the CTE educator pipeline, providing different forms of instructional support and PD is critical for them to remain current and forward thinking in their field as they prepare students for their careers. In short, the long-term viability of CTE in California rests foremost on California’s continued determination to collaboratively address these challenges to ensure all students have qualified teachers and faculty in the classroom. The State will continue working to unpack the critical issues identified </w:t>
      </w:r>
      <w:r w:rsidR="008D2170" w:rsidRPr="00E911FC">
        <w:t>h</w:t>
      </w:r>
      <w:r w:rsidR="008D2170" w:rsidRPr="008D2170">
        <w:t xml:space="preserve">erein to provide guidance to the field in </w:t>
      </w:r>
      <w:r w:rsidR="00E00663">
        <w:t>developing</w:t>
      </w:r>
      <w:r w:rsidR="003A29AE">
        <w:t xml:space="preserve"> </w:t>
      </w:r>
      <w:r w:rsidR="00C56145">
        <w:t xml:space="preserve"> </w:t>
      </w:r>
      <w:r w:rsidR="008D2170" w:rsidRPr="008D2170">
        <w:t xml:space="preserve"> the comprehensive California State Plan for CTE.</w:t>
      </w:r>
    </w:p>
    <w:p w14:paraId="749AA95E" w14:textId="0DC4355C" w:rsidR="00C33240" w:rsidRPr="002F2687" w:rsidRDefault="004960BE" w:rsidP="00C74AB8">
      <w:pPr>
        <w:pStyle w:val="Heading3"/>
      </w:pPr>
      <w:bookmarkStart w:id="70" w:name="_Toc33620403"/>
      <w:r w:rsidRPr="002F2687">
        <w:lastRenderedPageBreak/>
        <w:t xml:space="preserve">C. </w:t>
      </w:r>
      <w:r w:rsidR="00C33240" w:rsidRPr="002F2687">
        <w:t>Fiscal Responsibility</w:t>
      </w:r>
      <w:bookmarkEnd w:id="66"/>
      <w:bookmarkEnd w:id="67"/>
      <w:bookmarkEnd w:id="68"/>
      <w:bookmarkEnd w:id="70"/>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r w:rsidRPr="002F2687">
        <w:t xml:space="preserve">a.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246DDDAD" w:rsidR="00C33240" w:rsidRPr="002F2687" w:rsidRDefault="00C33240" w:rsidP="00696259">
      <w:r w:rsidRPr="002F2687">
        <w:t xml:space="preserve">As stated in the response to </w:t>
      </w:r>
      <w:r w:rsidR="00154006">
        <w:t xml:space="preserve">prompt </w:t>
      </w:r>
      <w:r w:rsidRPr="002F2687">
        <w:t xml:space="preserve">B(2)(h), each eligible recipient must integrate the six </w:t>
      </w:r>
      <w:r w:rsidR="008C0BFD">
        <w:t xml:space="preserve">CLNA </w:t>
      </w:r>
      <w:r w:rsidRPr="002F2687">
        <w:t xml:space="preserve">requirements established in Section 135(b) of Perkins V, as well as </w:t>
      </w:r>
      <w:r w:rsidR="00D857D4">
        <w:t>S</w:t>
      </w:r>
      <w:r w:rsidRPr="002F2687">
        <w:t xml:space="preserve">tate criteria determined to be critical for the delivery of high-quality CTE programs. California will continue </w:t>
      </w:r>
      <w:r w:rsidR="009F29ED">
        <w:t>to advance</w:t>
      </w:r>
      <w:r w:rsidRPr="002F2687">
        <w:t xml:space="preserve"> efforts to integrate rigorous academics with robust technical knowledge and skills in all career pathways. With the vision of high-quality </w:t>
      </w:r>
      <w:r w:rsidR="00EF045B">
        <w:t xml:space="preserve">college and </w:t>
      </w:r>
      <w:r w:rsidRPr="002F2687">
        <w:t>career pathways</w:t>
      </w:r>
      <w:r w:rsidR="00063FBB">
        <w:t>,</w:t>
      </w:r>
      <w:r w:rsidRPr="002F2687">
        <w:t xml:space="preserve"> and reinforced by the </w:t>
      </w:r>
      <w:r w:rsidR="00063FBB">
        <w:t>E</w:t>
      </w:r>
      <w:r w:rsidRPr="002F2687">
        <w:t xml:space="preserve">ssential </w:t>
      </w:r>
      <w:r w:rsidR="00063FBB">
        <w:t>E</w:t>
      </w:r>
      <w:r w:rsidRPr="002F2687">
        <w:t>lements</w:t>
      </w:r>
      <w:r w:rsidR="00063FBB">
        <w:t xml:space="preserve"> of a High-Quality College and Career Pathway</w:t>
      </w:r>
      <w:r w:rsidRPr="002F2687">
        <w:t xml:space="preserve">, California will </w:t>
      </w:r>
      <w:r w:rsidR="002176A0" w:rsidRPr="002F2687">
        <w:t xml:space="preserve">continue </w:t>
      </w:r>
      <w:r w:rsidRPr="002F2687">
        <w:t xml:space="preserve">to conduct extensive consultation with stakeholders to further refine </w:t>
      </w:r>
      <w:r w:rsidR="00063FBB">
        <w:t>its</w:t>
      </w:r>
      <w:r w:rsidR="00063FBB" w:rsidRPr="002F2687">
        <w:t xml:space="preserve"> </w:t>
      </w:r>
      <w:r w:rsidRPr="002F2687">
        <w:t>delivery of career pathway programs that promote academic achievement.</w:t>
      </w:r>
    </w:p>
    <w:p w14:paraId="207F3703" w14:textId="77777777" w:rsidR="00C33240" w:rsidRPr="002F2687" w:rsidRDefault="00E67BCE" w:rsidP="00C74AB8">
      <w:pPr>
        <w:pStyle w:val="Heading5"/>
      </w:pPr>
      <w:r w:rsidRPr="002F2687">
        <w:t xml:space="preserve">b.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20A46C37"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107195">
        <w:t>I</w:t>
      </w:r>
      <w:r w:rsidRPr="002F2687">
        <w:t xml:space="preserve">ndustry </w:t>
      </w:r>
      <w:r w:rsidR="00107195">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w:t>
      </w:r>
      <w:r w:rsidR="00063FBB">
        <w:t xml:space="preserve">to </w:t>
      </w:r>
      <w:r w:rsidRPr="002F2687">
        <w:t>earn early college credits and advanced standing in community college CTE programs.</w:t>
      </w:r>
    </w:p>
    <w:p w14:paraId="117705C3" w14:textId="56090ABE" w:rsidR="00EE5472" w:rsidRPr="002F2687" w:rsidRDefault="00EE5472" w:rsidP="00696259">
      <w:r>
        <w:lastRenderedPageBreak/>
        <w:t xml:space="preserve">Similarly, the </w:t>
      </w:r>
      <w:r w:rsidR="00ED49A2">
        <w:t>EWDAC</w:t>
      </w:r>
      <w:r w:rsidR="00D661BB">
        <w:t>s</w:t>
      </w:r>
      <w:r>
        <w:t xml:space="preserve"> </w:t>
      </w:r>
      <w:r w:rsidRPr="00EE5472">
        <w:t xml:space="preserve">convene advisory groups in each of </w:t>
      </w:r>
      <w:r w:rsidR="009F29ED">
        <w:t>California’s economic region</w:t>
      </w:r>
      <w:r w:rsidR="00CA710E">
        <w:t>s</w:t>
      </w:r>
      <w:r w:rsidR="009F29ED">
        <w:t>’</w:t>
      </w:r>
      <w:r w:rsidRPr="00EE5472">
        <w:t xml:space="preserve"> primary </w:t>
      </w:r>
      <w:r w:rsidR="00107195">
        <w:t>I</w:t>
      </w:r>
      <w:r w:rsidRPr="00EE5472">
        <w:t xml:space="preserve">ndustry </w:t>
      </w:r>
      <w:r w:rsidR="00107195">
        <w:t>S</w:t>
      </w:r>
      <w:r w:rsidRPr="00EE5472">
        <w:t xml:space="preserve">ectors; connect local colleges and businesses in </w:t>
      </w:r>
      <w:r w:rsidR="00CA710E">
        <w:t>each</w:t>
      </w:r>
      <w:r w:rsidR="00CA710E" w:rsidRPr="00EE5472">
        <w:t xml:space="preserve"> </w:t>
      </w:r>
      <w:r w:rsidRPr="00EE5472">
        <w:t xml:space="preserve">region; facilitate the endorsement of new community college credit CTE programs; </w:t>
      </w:r>
      <w:r w:rsidR="009F29ED">
        <w:t xml:space="preserve">and </w:t>
      </w:r>
      <w:r w:rsidRPr="00EE5472">
        <w:t>conduct outreach to key stakeholders that support the work of the community colleges</w:t>
      </w:r>
      <w:r>
        <w:t>.</w:t>
      </w:r>
      <w:r w:rsidR="006F5399">
        <w:t xml:space="preserve"> </w:t>
      </w:r>
      <w:r>
        <w:t>T</w:t>
      </w:r>
      <w:r w:rsidR="00FC109C">
        <w:t>he</w:t>
      </w:r>
      <w:r w:rsidR="009F29ED">
        <w:t>ir</w:t>
      </w:r>
      <w:r w:rsidR="00FC109C">
        <w:t xml:space="preserve"> primary purpose</w:t>
      </w:r>
      <w:r w:rsidR="00CA710E">
        <w:t>s</w:t>
      </w:r>
      <w:r w:rsidR="00FC109C">
        <w:t xml:space="preserve"> </w:t>
      </w:r>
      <w:r w:rsidR="00CA710E">
        <w:t xml:space="preserve">are </w:t>
      </w:r>
      <w:r w:rsidR="00FC109C">
        <w:t>to</w:t>
      </w:r>
      <w:r w:rsidR="00FC109C" w:rsidRPr="00FC109C">
        <w:t xml:space="preserve"> supply in-demand skills for employers, create relevant career pathways and stackable credentials, promote student success, and get Californians into open jobs</w:t>
      </w:r>
      <w:r w:rsidR="00FC109C">
        <w:t>, thereby closing skills gap</w:t>
      </w:r>
      <w:r w:rsidR="00CA710E">
        <w:t>s</w:t>
      </w:r>
      <w:r w:rsidR="00FC109C">
        <w:t>.</w:t>
      </w:r>
    </w:p>
    <w:p w14:paraId="1E413950" w14:textId="19E9FCD6" w:rsidR="00C33240" w:rsidRPr="002F2687" w:rsidRDefault="00E67BCE" w:rsidP="00C74AB8">
      <w:pPr>
        <w:pStyle w:val="Heading5"/>
      </w:pPr>
      <w:r w:rsidRPr="002F2687">
        <w:t xml:space="preserve">c. </w:t>
      </w:r>
      <w:r w:rsidR="00CC0296" w:rsidRPr="00CC0296">
        <w:t>each eligible recipient will ensure the local needs assessment under section 134 takes into consideration local economic and education needs, including, where appropriate, in-demand industry sectors and occupations. (Section 122(d)(5) of Perkins V)</w:t>
      </w:r>
    </w:p>
    <w:p w14:paraId="474071FA" w14:textId="77777777" w:rsidR="00C33240" w:rsidRPr="002F2687" w:rsidRDefault="00C33240" w:rsidP="00B32A75">
      <w:r w:rsidRPr="002F2687">
        <w:rPr>
          <w:b/>
        </w:rPr>
        <w:t>Response:</w:t>
      </w:r>
    </w:p>
    <w:p w14:paraId="0E615B57" w14:textId="4995A271" w:rsidR="00C33240" w:rsidRPr="002F2687" w:rsidRDefault="00C33240" w:rsidP="00696259">
      <w:r w:rsidRPr="002F2687">
        <w:t xml:space="preserve">As stated previously, California has recently implemented several </w:t>
      </w:r>
      <w:r w:rsidR="00D857D4">
        <w:t>S</w:t>
      </w:r>
      <w:r w:rsidRPr="002F2687">
        <w:t>tate initiatives to encourage LEAs and community colleges to increase the</w:t>
      </w:r>
      <w:r w:rsidR="00CA710E">
        <w:t>ir</w:t>
      </w:r>
      <w:r w:rsidRPr="002F2687">
        <w:t xml:space="preserve"> use of data as a basis for aligning their CTE programs with regional economies and </w:t>
      </w:r>
      <w:r w:rsidR="00CA710E">
        <w:t xml:space="preserve">with </w:t>
      </w:r>
      <w:r w:rsidRPr="002F2687">
        <w:t>education</w:t>
      </w:r>
      <w:r w:rsidR="009F29ED">
        <w:t>al</w:t>
      </w:r>
      <w:r w:rsidRPr="002F2687">
        <w:t xml:space="preserve"> needs. The State has made significant progress with developing education and industry partnerships to ensure a match between the skills needed in local and regional markets and those possessed by students who complete CTE programs.</w:t>
      </w:r>
    </w:p>
    <w:p w14:paraId="47F9D213" w14:textId="6042D99F" w:rsidR="00C33240" w:rsidRPr="002F2687" w:rsidRDefault="00C33240" w:rsidP="00696259">
      <w:r w:rsidRPr="002F2687">
        <w:t xml:space="preserve">In collaboration with the </w:t>
      </w:r>
      <w:r w:rsidR="00952D10">
        <w:t>CWDB</w:t>
      </w:r>
      <w:r w:rsidRPr="002F2687">
        <w:t>, current and emerging occupational opportunities are identified through the analysis of statewide and regional data provided by the U</w:t>
      </w:r>
      <w:r w:rsidR="00D03D08">
        <w:t>.</w:t>
      </w:r>
      <w:r w:rsidRPr="002F2687">
        <w:t>S</w:t>
      </w:r>
      <w:r w:rsidR="00D03D08">
        <w:t>.</w:t>
      </w:r>
      <w:r w:rsidRPr="002F2687">
        <w:t xml:space="preserve">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w:t>
      </w:r>
      <w:r w:rsidR="00CA710E">
        <w:t xml:space="preserve">through </w:t>
      </w:r>
      <w:r w:rsidRPr="002F2687">
        <w:t xml:space="preserve">other websites. Eligible recipients will be expected to access regional labor market projections, </w:t>
      </w:r>
      <w:r w:rsidR="009F29ED">
        <w:t xml:space="preserve">identify </w:t>
      </w:r>
      <w:r w:rsidRPr="002F2687">
        <w:t xml:space="preserve">workforce development </w:t>
      </w:r>
      <w:r w:rsidR="009F29ED">
        <w:t xml:space="preserve">needs </w:t>
      </w:r>
      <w:r w:rsidRPr="002F2687">
        <w:t xml:space="preserve">in targeted occupations, and </w:t>
      </w:r>
      <w:r w:rsidR="009F29ED">
        <w:t xml:space="preserve">apply </w:t>
      </w:r>
      <w:r w:rsidRPr="002F2687">
        <w:t>real</w:t>
      </w:r>
      <w:r w:rsidR="00CA710E">
        <w:t>-</w:t>
      </w:r>
      <w:r w:rsidRPr="002F2687">
        <w:t xml:space="preserve">time labor data to drive the alignment of the regional and local needs assessment with </w:t>
      </w:r>
      <w:r w:rsidR="003D1FA4">
        <w:t>LMI</w:t>
      </w:r>
      <w:r w:rsidRPr="002F2687">
        <w:t>.</w:t>
      </w:r>
    </w:p>
    <w:p w14:paraId="55FD08F4" w14:textId="0EF2AC29"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w:t>
      </w:r>
      <w:r w:rsidR="00B13434">
        <w:lastRenderedPageBreak/>
        <w:t xml:space="preserve">these revisions get finalized, </w:t>
      </w:r>
      <w:r w:rsidR="00ED49A2">
        <w:t xml:space="preserve">the </w:t>
      </w:r>
      <w:r w:rsidR="00B13434">
        <w:t xml:space="preserve">CDE and </w:t>
      </w:r>
      <w:r w:rsidR="00ED49A2">
        <w:t xml:space="preserve">the </w:t>
      </w:r>
      <w:r w:rsidR="00B13434">
        <w:t xml:space="preserve">CCCCO will </w:t>
      </w:r>
      <w:r w:rsidR="00F6550F">
        <w:t>consult with the CWPJAC to seek final approval.</w:t>
      </w:r>
      <w:r w:rsidR="006F5399">
        <w:t xml:space="preserve"> </w:t>
      </w:r>
      <w:r w:rsidR="00F6550F">
        <w:t xml:space="preserve">It is likely </w:t>
      </w:r>
      <w:r w:rsidR="00CA710E">
        <w:t xml:space="preserve">that </w:t>
      </w:r>
      <w:r w:rsidR="00F6550F">
        <w:t xml:space="preserve">this would happen when the </w:t>
      </w:r>
      <w:r w:rsidR="00D857D4">
        <w:t>S</w:t>
      </w:r>
      <w:r w:rsidR="00F6550F">
        <w:t xml:space="preserve">tate moves toward a common application process for all </w:t>
      </w:r>
      <w:r w:rsidR="00D857D4">
        <w:t>S</w:t>
      </w:r>
      <w:r w:rsidR="00F6550F">
        <w:t>tate and federal programs.</w:t>
      </w:r>
    </w:p>
    <w:p w14:paraId="674D619D" w14:textId="08D1D2B4" w:rsidR="00C33240" w:rsidRPr="002F2687" w:rsidRDefault="00CA710E" w:rsidP="00696259">
      <w:r>
        <w:t xml:space="preserve">During the fall of 2019, </w:t>
      </w:r>
      <w:r w:rsidR="00C33240" w:rsidRPr="002F2687">
        <w:t xml:space="preserve">California provided informational workshops to update local eligible recipients on the required </w:t>
      </w:r>
      <w:r>
        <w:t>CLNA and</w:t>
      </w:r>
      <w:r w:rsidR="00C33240" w:rsidRPr="002F2687">
        <w:t xml:space="preserve"> consultation requirements, review the timeline </w:t>
      </w:r>
      <w:r>
        <w:t>for</w:t>
      </w:r>
      <w:r w:rsidR="00C33240" w:rsidRPr="002F2687">
        <w:t xml:space="preserve"> completion, provide guidance, and answer any questions </w:t>
      </w:r>
      <w:r w:rsidR="00EF457A">
        <w:t xml:space="preserve">from </w:t>
      </w:r>
      <w:r w:rsidR="00C33240" w:rsidRPr="002F2687">
        <w:t xml:space="preserve">recipients </w:t>
      </w:r>
      <w:r w:rsidR="00EF457A">
        <w:t>of funding</w:t>
      </w:r>
      <w:r w:rsidR="00C33240" w:rsidRPr="002F2687">
        <w:t xml:space="preserve">. In the spring of 2020, California </w:t>
      </w:r>
      <w:r w:rsidR="00EF457A">
        <w:t xml:space="preserve">will </w:t>
      </w:r>
      <w:r w:rsidR="00C33240" w:rsidRPr="002F2687">
        <w:t xml:space="preserve">conduct application workshops to train eligible recipients on the revised local application for funding, including the required needs assessment, and </w:t>
      </w:r>
      <w:r>
        <w:t xml:space="preserve">to </w:t>
      </w:r>
      <w:r w:rsidR="00C33240" w:rsidRPr="002F2687">
        <w:t xml:space="preserve">ensure </w:t>
      </w:r>
      <w:r>
        <w:t xml:space="preserve">that </w:t>
      </w:r>
      <w:r w:rsidR="00C33240" w:rsidRPr="002F2687">
        <w:t>local recipients are meeting the consultation requirements.</w:t>
      </w:r>
    </w:p>
    <w:p w14:paraId="1EA6B03C" w14:textId="0359C32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 xml:space="preserve">Section 131 or 132 funds. Applications are reviewed by staff at the CDE and the CCCCO to ensure </w:t>
      </w:r>
      <w:r w:rsidR="00CA710E">
        <w:t xml:space="preserve">that </w:t>
      </w:r>
      <w:r w:rsidRPr="002F2687">
        <w:t>local applicants meet all the required elements of Perkins V.</w:t>
      </w:r>
    </w:p>
    <w:p w14:paraId="7BC3AC5C" w14:textId="77777777" w:rsidR="00C33240" w:rsidRPr="002F2687" w:rsidRDefault="00E67BCE" w:rsidP="00C74AB8">
      <w:pPr>
        <w:pStyle w:val="Heading4"/>
      </w:pPr>
      <w:r w:rsidRPr="002F2687">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710ADD0B" w:rsidR="00C33240" w:rsidRPr="002F2687" w:rsidRDefault="00C33240" w:rsidP="00B676AE">
      <w:r w:rsidRPr="002F2687">
        <w:t>California currently divides Part C funds between secondary and postsecondary programs</w:t>
      </w:r>
      <w:r w:rsidR="00CA710E">
        <w:t>,</w:t>
      </w:r>
      <w:r w:rsidRPr="002F2687">
        <w:t xml:space="preserve">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w:t>
      </w:r>
      <w:r w:rsidR="009F29ED">
        <w:t>participating LEAs</w:t>
      </w:r>
      <w:r w:rsidR="00CA710E">
        <w:t>,</w:t>
      </w:r>
      <w:r w:rsidRPr="002F2687">
        <w:t xml:space="preserve"> </w:t>
      </w:r>
      <w:r w:rsidR="00CA710E">
        <w:t xml:space="preserve">in </w:t>
      </w:r>
      <w:r w:rsidRPr="002F2687">
        <w:t>postsecondary CTE courses conducted by the community college districts</w:t>
      </w:r>
      <w:r w:rsidR="00CA710E">
        <w:t>,</w:t>
      </w:r>
      <w:r w:rsidRPr="002F2687">
        <w:t xml:space="preserve"> and </w:t>
      </w:r>
      <w:r w:rsidR="00CA710E">
        <w:t xml:space="preserve">in </w:t>
      </w:r>
      <w:r w:rsidRPr="002F2687">
        <w:t xml:space="preserve">adult school agencies. Joint </w:t>
      </w:r>
      <w:r w:rsidR="009C6B04">
        <w:t>p</w:t>
      </w:r>
      <w:r w:rsidRPr="002F2687">
        <w:t xml:space="preserve">owers </w:t>
      </w:r>
      <w:r w:rsidR="009C6B04">
        <w:t>a</w:t>
      </w:r>
      <w:r w:rsidRPr="002F2687">
        <w:t>uthority ROCPs under local</w:t>
      </w:r>
      <w:r w:rsidR="009C6B04">
        <w:t>-</w:t>
      </w:r>
      <w:r w:rsidRPr="002F2687">
        <w:t>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w:t>
      </w:r>
      <w:r w:rsidRPr="002F2687">
        <w:lastRenderedPageBreak/>
        <w:t xml:space="preserve">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w:t>
      </w:r>
      <w:r w:rsidR="009C6B04">
        <w:t>,</w:t>
      </w:r>
      <w:r w:rsidRPr="002F2687">
        <w:t xml:space="preserve"> funds were directed to secondary programs</w:t>
      </w:r>
      <w:r w:rsidR="009C6B04">
        <w:t>,</w:t>
      </w:r>
      <w:r w:rsidRPr="002F2687">
        <w:t xml:space="preserve"> and </w:t>
      </w:r>
      <w:r w:rsidR="00027F83" w:rsidRPr="002F2687">
        <w:t>52.67</w:t>
      </w:r>
      <w:r w:rsidRPr="002F2687">
        <w:t xml:space="preserve"> percent ($</w:t>
      </w:r>
      <w:r w:rsidR="00027F83" w:rsidRPr="002F2687">
        <w:t>56,882,280</w:t>
      </w:r>
      <w:r w:rsidRPr="002F2687">
        <w:t>) of the funds were directed to postsecondary programs. From the total Title I, Part C</w:t>
      </w:r>
      <w:r w:rsidR="009C6B04">
        <w:t>,</w:t>
      </w:r>
      <w:r w:rsidRPr="002F2687">
        <w:t xml:space="preserve"> funds directed to postsecondary programs, the CCCCO received </w:t>
      </w:r>
      <w:r w:rsidR="00C3571F" w:rsidRPr="002F2687">
        <w:t>93.32</w:t>
      </w:r>
      <w:r w:rsidRPr="002F2687">
        <w:t xml:space="preserve"> percent ($</w:t>
      </w:r>
      <w:r w:rsidR="00C3571F" w:rsidRPr="002F2687">
        <w:t>53,080,473</w:t>
      </w:r>
      <w:r w:rsidRPr="002F2687">
        <w:t>)</w:t>
      </w:r>
      <w:r w:rsidR="009C6B04">
        <w:t>,</w:t>
      </w:r>
      <w:r w:rsidRPr="002F2687">
        <w:t xml:space="preserve"> and the CDE received </w:t>
      </w:r>
      <w:r w:rsidR="00C3571F" w:rsidRPr="002F2687">
        <w:t>6.68</w:t>
      </w:r>
      <w:r w:rsidRPr="002F2687">
        <w:t xml:space="preserve"> percent ($</w:t>
      </w:r>
      <w:r w:rsidR="00C3571F" w:rsidRPr="002F2687">
        <w:t>3,801,807</w:t>
      </w:r>
      <w:r w:rsidRPr="002F2687">
        <w:t>)</w:t>
      </w:r>
      <w:r w:rsidR="009C6B04">
        <w:t>,</w:t>
      </w:r>
      <w:r w:rsidRPr="002F2687">
        <w:t xml:space="preserve"> to operate adult education CTE programs.</w:t>
      </w:r>
      <w:r w:rsidR="009F29ED">
        <w:t xml:space="preserve"> For additional information</w:t>
      </w:r>
      <w:r w:rsidR="00821FB0">
        <w:t xml:space="preserve"> about the budget</w:t>
      </w:r>
      <w:r w:rsidR="009F29ED">
        <w:t xml:space="preserve">, please </w:t>
      </w:r>
      <w:r w:rsidR="00AA4C03">
        <w:t>see</w:t>
      </w:r>
      <w:r w:rsidR="009F29ED">
        <w:t xml:space="preserve"> Section IV</w:t>
      </w:r>
      <w:r w:rsidR="00AA4C03">
        <w:t>:</w:t>
      </w:r>
      <w:r w:rsidR="009F29ED">
        <w:t xml:space="preserve"> Budget.</w:t>
      </w:r>
    </w:p>
    <w:p w14:paraId="6E37793D" w14:textId="3825D42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w:t>
      </w:r>
      <w:r w:rsidR="009F29ED">
        <w:t>ology</w:t>
      </w:r>
      <w:r w:rsidRPr="002F2687">
        <w:t xml:space="preserve"> is still appropriate for promoting achievement for all K–14+ students enrolled in CTE programs.</w:t>
      </w:r>
    </w:p>
    <w:p w14:paraId="6132F95E" w14:textId="4A7232C6" w:rsidR="00C33240" w:rsidRPr="002F2687" w:rsidRDefault="00E67BCE" w:rsidP="00C74AB8">
      <w:pPr>
        <w:pStyle w:val="Heading5"/>
      </w:pPr>
      <w:r w:rsidRPr="002F2687">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7B956DAD" w14:textId="77777777" w:rsidR="00C33240" w:rsidRPr="002F2687" w:rsidRDefault="00C33240" w:rsidP="00B32A75">
      <w:r w:rsidRPr="002F2687">
        <w:rPr>
          <w:b/>
        </w:rPr>
        <w:t>Response:</w:t>
      </w:r>
    </w:p>
    <w:p w14:paraId="2E9D8095" w14:textId="2F192D2E" w:rsidR="00C33240" w:rsidRPr="002F2687" w:rsidRDefault="00C33240" w:rsidP="00B676AE">
      <w:r w:rsidRPr="002F2687">
        <w:t xml:space="preserve">The minimum grant award for </w:t>
      </w:r>
      <w:r w:rsidR="00B65B43" w:rsidRPr="002F2687">
        <w:t xml:space="preserve">Perkins V </w:t>
      </w:r>
      <w:r w:rsidR="00416F30">
        <w:t>Section 131 funds is $15,00</w:t>
      </w:r>
      <w:r w:rsidR="00870ADD">
        <w:t>0</w:t>
      </w:r>
      <w:r w:rsidR="00416F30">
        <w:t>, and t</w:t>
      </w:r>
      <w:r w:rsidRPr="002F2687">
        <w:t>he minimum grant award for the Section 132 funds is $50,000</w:t>
      </w:r>
      <w:r w:rsidR="002A02B1">
        <w:t>,</w:t>
      </w:r>
      <w:r w:rsidR="00416F30">
        <w:t xml:space="preserve"> as explained in </w:t>
      </w:r>
      <w:r w:rsidR="002A02B1">
        <w:t xml:space="preserve">the response to prompt </w:t>
      </w:r>
      <w:r w:rsidR="00416F30">
        <w:t>B(2)(</w:t>
      </w:r>
      <w:r w:rsidR="002A02B1">
        <w:t>h</w:t>
      </w:r>
      <w:r w:rsidR="00416F30">
        <w:t>)</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r w:rsidR="009F29ED">
        <w:t xml:space="preserve"> it</w:t>
      </w:r>
      <w:r w:rsidRPr="002F2687">
        <w:t>:</w:t>
      </w:r>
    </w:p>
    <w:p w14:paraId="6B5A9BFC" w14:textId="00CB4AA5" w:rsidR="00C33240" w:rsidRPr="002F2687" w:rsidRDefault="009F29ED" w:rsidP="00042002">
      <w:pPr>
        <w:pStyle w:val="ListParagraph"/>
        <w:ind w:left="1170" w:hanging="450"/>
      </w:pPr>
      <w:r>
        <w:t xml:space="preserve">Is </w:t>
      </w:r>
      <w:r w:rsidR="00C33240" w:rsidRPr="002F2687">
        <w:t>located in a rural, sparsely populated area, or is a public charter school operating secondary CTE programs; and</w:t>
      </w:r>
    </w:p>
    <w:p w14:paraId="0E1EF3CF" w14:textId="1F7A0ADC" w:rsidR="00C33240" w:rsidRPr="002F2687" w:rsidRDefault="009F29ED" w:rsidP="00042002">
      <w:pPr>
        <w:pStyle w:val="ListParagraph"/>
        <w:ind w:left="1170" w:hanging="450"/>
      </w:pPr>
      <w:r>
        <w:t>C</w:t>
      </w:r>
      <w:r w:rsidR="00C33240" w:rsidRPr="002F2687">
        <w:t>an demonstrate its inability to enter into a consortium.</w:t>
      </w:r>
    </w:p>
    <w:p w14:paraId="547BF6FB" w14:textId="2D1653A5" w:rsidR="00C33240" w:rsidRPr="002F2687" w:rsidRDefault="00C33240" w:rsidP="00B676AE">
      <w:r w:rsidRPr="002F2687">
        <w:t xml:space="preserve">As authorized by Perkins V Section 132(a)(3)(A)(i), in order to meet the minimum grant requirement for Section 132 funds, a postsecondary recipient may join in a consortium with other postsecondary partner(s) to meet or exceed the minimum grant award of $50,000. Each consortium must submit a memorandum of understanding </w:t>
      </w:r>
      <w:r w:rsidR="003B5B3B">
        <w:t>that</w:t>
      </w:r>
      <w:r w:rsidR="003B5B3B" w:rsidRPr="002F2687">
        <w:t xml:space="preserve"> </w:t>
      </w:r>
      <w:r w:rsidRPr="002F2687">
        <w:t xml:space="preserve">identifies </w:t>
      </w:r>
      <w:r w:rsidRPr="002F2687">
        <w:lastRenderedPageBreak/>
        <w:t xml:space="preserve">its member agencies, the fiscal agent, and guidelines for developing and determining the CTE program(s) </w:t>
      </w:r>
      <w:r w:rsidR="00EF457A">
        <w:t>affected by the funding</w:t>
      </w:r>
      <w:r w:rsidR="00B65B43" w:rsidRPr="002F2687">
        <w:t xml:space="preserve">. </w:t>
      </w:r>
      <w:r w:rsidR="009F29ED">
        <w:t>Each consortium</w:t>
      </w:r>
      <w:r w:rsidR="00B65B43" w:rsidRPr="002F2687">
        <w:t xml:space="preserve"> must also prepare an</w:t>
      </w:r>
      <w:r w:rsidRPr="002F2687">
        <w:t xml:space="preserve"> annual application, required fiscal claims, and </w:t>
      </w:r>
      <w:r w:rsidR="00EF457A">
        <w:t xml:space="preserve">an </w:t>
      </w:r>
      <w:r w:rsidRPr="002F2687">
        <w:t>annual accountability report</w:t>
      </w:r>
      <w:r w:rsidR="00416F30">
        <w:t xml:space="preserve">, which specifies how </w:t>
      </w:r>
      <w:r w:rsidR="003B5B3B">
        <w:t>the</w:t>
      </w:r>
      <w:r w:rsidR="00416F30">
        <w:t xml:space="preserve"> consortium most effectively provides students with the skills needed to succeed in the workplace</w:t>
      </w:r>
      <w:r w:rsidRPr="002F2687">
        <w:t>.</w:t>
      </w:r>
    </w:p>
    <w:p w14:paraId="621E0963" w14:textId="60540B40" w:rsidR="00C3571F" w:rsidRPr="002F2687" w:rsidRDefault="00C33240" w:rsidP="009F29ED">
      <w:r w:rsidRPr="002F2687">
        <w:t xml:space="preserve">The funds calculated for each consortium member agency will be </w:t>
      </w:r>
      <w:r w:rsidR="00EF457A">
        <w:t>aggregated</w:t>
      </w:r>
      <w:r w:rsidR="00EF457A" w:rsidRPr="002F2687">
        <w:t xml:space="preserve"> </w:t>
      </w:r>
      <w:r w:rsidRPr="002F2687">
        <w:t xml:space="preserve">to calculate the funds </w:t>
      </w:r>
      <w:r w:rsidR="00A83B58">
        <w:t xml:space="preserve">to be </w:t>
      </w:r>
      <w:r w:rsidRPr="002F2687">
        <w:t xml:space="preserve">allocated to each consortium. </w:t>
      </w:r>
    </w:p>
    <w:p w14:paraId="355B0A76" w14:textId="77777777" w:rsidR="00C33240" w:rsidRPr="002F2687" w:rsidRDefault="00174960" w:rsidP="00C74AB8">
      <w:pPr>
        <w:pStyle w:val="Heading4"/>
      </w:pPr>
      <w:r w:rsidRPr="002F2687">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28CA0DEE" w:rsidR="00C33240" w:rsidRPr="002F2687" w:rsidRDefault="00B65B43" w:rsidP="00B676AE">
      <w:pPr>
        <w:rPr>
          <w:b/>
        </w:rPr>
      </w:pPr>
      <w:r w:rsidRPr="002F2687">
        <w:t xml:space="preserve">Perkins V </w:t>
      </w:r>
      <w:r w:rsidR="00C33240" w:rsidRPr="002F2687">
        <w:t>Section 131 funds will be distributed among the State</w:t>
      </w:r>
      <w:r w:rsidR="009F29ED">
        <w:t>’s</w:t>
      </w:r>
      <w:r w:rsidR="00C33240" w:rsidRPr="002F2687">
        <w:t xml:space="preserv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w:t>
      </w:r>
      <w:r w:rsidR="009F29ED">
        <w:t>, as</w:t>
      </w:r>
      <w:r w:rsidR="00C33240" w:rsidRPr="002F2687">
        <w:t xml:space="preserve"> established by the</w:t>
      </w:r>
      <w:r w:rsidR="009F29ED">
        <w:t xml:space="preserve"> </w:t>
      </w:r>
      <w:r w:rsidR="00D03D08">
        <w:t>F</w:t>
      </w:r>
      <w:r w:rsidR="009F29ED">
        <w:t>ederal</w:t>
      </w:r>
      <w:r w:rsidR="00C33240" w:rsidRPr="002F2687">
        <w:t xml:space="preserv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w:t>
      </w:r>
      <w:r w:rsidR="00EF457A">
        <w:t>on</w:t>
      </w:r>
      <w:r w:rsidR="00EF457A" w:rsidRPr="002F2687">
        <w:t xml:space="preserve"> </w:t>
      </w:r>
      <w:r w:rsidRPr="002F2687">
        <w:t xml:space="preserve">the </w:t>
      </w:r>
      <w:r w:rsidR="00C33240" w:rsidRPr="002F2687">
        <w:t xml:space="preserve">CDE web page at </w:t>
      </w:r>
      <w:hyperlink r:id="rId40"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 xml:space="preserve">Section 131 allocations will be posted on the </w:t>
      </w:r>
      <w:r w:rsidR="003B5B3B">
        <w:t xml:space="preserve">CDE </w:t>
      </w:r>
      <w:r w:rsidR="00C33240" w:rsidRPr="002F2687">
        <w:t>website when available.</w:t>
      </w:r>
    </w:p>
    <w:p w14:paraId="17257E3A" w14:textId="77777777" w:rsidR="00C33240" w:rsidRPr="002F2687" w:rsidRDefault="00174960" w:rsidP="00C74AB8">
      <w:pPr>
        <w:pStyle w:val="Heading4"/>
      </w:pPr>
      <w:r w:rsidRPr="002F2687">
        <w:lastRenderedPageBreak/>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41CB1863" w:rsidR="00C33240" w:rsidRPr="002F2687" w:rsidRDefault="00C33240" w:rsidP="00B676AE">
      <w:r w:rsidRPr="002F2687">
        <w:t xml:space="preserve">The State will use an alternative formula for </w:t>
      </w:r>
      <w:r w:rsidR="00EF457A">
        <w:t xml:space="preserve">the </w:t>
      </w:r>
      <w:r w:rsidRPr="002F2687">
        <w:t>Section</w:t>
      </w:r>
      <w:r w:rsidR="00C569B3" w:rsidRPr="002F2687">
        <w:t xml:space="preserve"> </w:t>
      </w:r>
      <w:r w:rsidRPr="002F2687">
        <w:t>132 funds distribution formula</w:t>
      </w:r>
      <w:r w:rsidR="001A6418">
        <w:t>,</w:t>
      </w:r>
      <w:r w:rsidRPr="002F2687">
        <w:t xml:space="preserve"> as defined in </w:t>
      </w:r>
      <w:r w:rsidR="009F29ED">
        <w:t>California’s</w:t>
      </w:r>
      <w:r w:rsidRPr="002F2687">
        <w:t xml:space="preserve"> waiver approved for the Perkins IV funds. The alternative formula significantly increases the number of economically disadvantaged students and CTE programs </w:t>
      </w:r>
      <w:r w:rsidR="001A6418">
        <w:t xml:space="preserve">that </w:t>
      </w:r>
      <w:r w:rsidRPr="002F2687">
        <w:t>the State is able to assist with the funds.</w:t>
      </w:r>
    </w:p>
    <w:p w14:paraId="3147BB38" w14:textId="3BDBB498"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2) calculating each eligible recipient’s allocation by multiplying the determined per-student allocation amount by the number of economically disadvantaged adult CTE students rep</w:t>
      </w:r>
      <w:r w:rsidR="009F29ED">
        <w:t>orted by each</w:t>
      </w:r>
      <w:r w:rsidRPr="002F2687">
        <w:t xml:space="preserve"> recipient. A list of the 2019–20 Section 132 eligible recipients and allocations for ROCPs and adult schools is available at the CDE web page at </w:t>
      </w:r>
      <w:hyperlink r:id="rId41" w:tooltip="Perkins Allocations Webpage" w:history="1">
        <w:r w:rsidRPr="002F2687">
          <w:rPr>
            <w:rStyle w:val="Hyperlink"/>
          </w:rPr>
          <w:t>https://www.cde.ca.gov/ci/ct/pk</w:t>
        </w:r>
      </w:hyperlink>
      <w:r w:rsidRPr="002F2687">
        <w:t>.</w:t>
      </w:r>
    </w:p>
    <w:p w14:paraId="55D255BD" w14:textId="202E88A8" w:rsidR="00C33240" w:rsidRPr="002F2687" w:rsidRDefault="00174960" w:rsidP="00C74AB8">
      <w:pPr>
        <w:pStyle w:val="Heading4"/>
      </w:pPr>
      <w:r w:rsidRPr="002F2687">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013017EB" w14:textId="77777777" w:rsidR="00C33240" w:rsidRPr="002F2687" w:rsidRDefault="00C33240" w:rsidP="00B32A75">
      <w:r w:rsidRPr="002F2687">
        <w:rPr>
          <w:b/>
        </w:rPr>
        <w:t>Response:</w:t>
      </w:r>
    </w:p>
    <w:p w14:paraId="2D124732" w14:textId="2F505842" w:rsidR="00C33240" w:rsidRPr="002F2687" w:rsidRDefault="00C33240" w:rsidP="00B676AE">
      <w:r w:rsidRPr="002F2687">
        <w:lastRenderedPageBreak/>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009F29ED">
        <w:t>,</w:t>
      </w:r>
      <w:r w:rsidRPr="002F2687">
        <w:t xml:space="preserve"> based on updated enrollment information collected and reported by the CDE Financial Accountability and Information Office.</w:t>
      </w:r>
    </w:p>
    <w:p w14:paraId="3142252E" w14:textId="7D2E320C" w:rsidR="00793F7D" w:rsidRPr="002F2687" w:rsidRDefault="00793F7D" w:rsidP="00B676AE">
      <w:r w:rsidRPr="002F2687">
        <w:t>Section 132 allocations reflect changes in adult schools, ROCPs serving adult students, and community college</w:t>
      </w:r>
      <w:r w:rsidR="00B10C3C" w:rsidRPr="002F2687">
        <w:t xml:space="preserve"> reorganizations. </w:t>
      </w:r>
    </w:p>
    <w:p w14:paraId="519916C9" w14:textId="77777777" w:rsidR="00C33240" w:rsidRPr="002F2687" w:rsidRDefault="005B750D" w:rsidP="00C74AB8">
      <w:pPr>
        <w:pStyle w:val="Heading4"/>
      </w:pPr>
      <w:r w:rsidRPr="002F2687">
        <w:t xml:space="preserve">6. </w:t>
      </w:r>
      <w:r w:rsidR="004D6E9E" w:rsidRPr="004D6E9E">
        <w:t>If the eligible agency will submit an application for a waiver to the secondary allocation formula described in section 131(a)—</w:t>
      </w:r>
    </w:p>
    <w:p w14:paraId="790C00A2" w14:textId="77777777" w:rsidR="00C33240" w:rsidRPr="002F2687" w:rsidRDefault="005B750D" w:rsidP="00C74AB8">
      <w:pPr>
        <w:pStyle w:val="Heading5"/>
      </w:pPr>
      <w:r w:rsidRPr="002F2687">
        <w:t xml:space="preserve">a. </w:t>
      </w:r>
      <w:r w:rsidR="004D6E9E" w:rsidRPr="004D6E9E">
        <w:t>include a proposal for such an alternative formula; and</w:t>
      </w:r>
    </w:p>
    <w:p w14:paraId="5C8146AE" w14:textId="7C0718A1" w:rsidR="00C33240" w:rsidRPr="002F2687" w:rsidRDefault="005B750D" w:rsidP="00C74AB8">
      <w:pPr>
        <w:pStyle w:val="Heading5"/>
      </w:pPr>
      <w:r w:rsidRPr="002F2687">
        <w:t xml:space="preserve">b. </w:t>
      </w:r>
      <w:r w:rsidR="004D6E9E" w:rsidRPr="004D6E9E">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7042E434" w:rsidR="00C33240" w:rsidRPr="002F2687" w:rsidRDefault="00C33240" w:rsidP="00B676AE">
      <w:r w:rsidRPr="002F2687">
        <w:t>California will not submit</w:t>
      </w:r>
      <w:r w:rsidR="009E432D">
        <w:t xml:space="preserve"> </w:t>
      </w:r>
      <w:r w:rsidRPr="002F2687">
        <w:t xml:space="preserve">an application </w:t>
      </w:r>
      <w:r w:rsidR="00D555E0">
        <w:t>to</w:t>
      </w:r>
      <w:r w:rsidRPr="002F2687">
        <w:t xml:space="preserve"> waive the secondary allocation formula for distribution of Section 131 funds</w:t>
      </w:r>
      <w:r w:rsidR="009F29ED">
        <w:t>,</w:t>
      </w:r>
      <w:r w:rsidRPr="002F2687">
        <w:t xml:space="preserve"> as described in </w:t>
      </w:r>
      <w:r w:rsidR="00B62067">
        <w:t>S</w:t>
      </w:r>
      <w:r w:rsidRPr="002F2687">
        <w:t>ection 131(a) of Perkins V.</w:t>
      </w:r>
    </w:p>
    <w:p w14:paraId="47AA5EB0" w14:textId="77777777" w:rsidR="00C33240" w:rsidRPr="002F2687" w:rsidRDefault="005B750D" w:rsidP="00C74AB8">
      <w:pPr>
        <w:pStyle w:val="Heading4"/>
      </w:pPr>
      <w:r w:rsidRPr="002F2687">
        <w:lastRenderedPageBreak/>
        <w:t xml:space="preserve">7. </w:t>
      </w:r>
      <w:r w:rsidR="004D6E9E" w:rsidRPr="004D6E9E">
        <w:t>If the eligible agency will submit an application for a waiver to the postsecondary allocation formula described in section 132(a)—</w:t>
      </w:r>
    </w:p>
    <w:p w14:paraId="6DFF652B" w14:textId="77777777" w:rsidR="00C33240" w:rsidRPr="002F2687" w:rsidRDefault="005B750D" w:rsidP="00C74AB8">
      <w:pPr>
        <w:pStyle w:val="Heading5"/>
      </w:pPr>
      <w:r w:rsidRPr="002F2687">
        <w:t xml:space="preserve">a. </w:t>
      </w:r>
      <w:r w:rsidR="004D6E9E" w:rsidRPr="004D6E9E">
        <w:t>include a proposal for such an alternative formula; and</w:t>
      </w:r>
    </w:p>
    <w:p w14:paraId="79D91DA6" w14:textId="05D19742" w:rsidR="00C33240" w:rsidRPr="002F2687" w:rsidRDefault="005B750D" w:rsidP="00C74AB8">
      <w:pPr>
        <w:pStyle w:val="Heading5"/>
      </w:pPr>
      <w:r w:rsidRPr="002F2687">
        <w:t xml:space="preserve">b. </w:t>
      </w:r>
      <w:r w:rsidR="004D6E9E" w:rsidRPr="004D6E9E">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18AFD49C"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in courses conducted by adult schools and ROCPs, as well as those enrolled in the </w:t>
      </w:r>
      <w:r w:rsidR="009E432D">
        <w:t>CCC</w:t>
      </w:r>
      <w:r w:rsidRPr="002F2687">
        <w:t>. In so doing, it complies with the “more equitable distribution of funds” waiver requirement established in Section 132(b)(1) of Perkins V.</w:t>
      </w:r>
    </w:p>
    <w:p w14:paraId="2F019FCC" w14:textId="6F247726" w:rsidR="00C33240" w:rsidRPr="002F2687" w:rsidRDefault="00C33240" w:rsidP="00B676AE">
      <w:r w:rsidRPr="002F2687">
        <w:t xml:space="preserve">The alternative formula generates an unduplicated </w:t>
      </w:r>
      <w:r w:rsidR="00B62067" w:rsidRPr="002F2687">
        <w:t>(by period of enrollment, by enrollment in more than one CTE course/program, and by eligibility in more than one economically disadvantaged category)</w:t>
      </w:r>
      <w:r w:rsidR="00B62067">
        <w:t xml:space="preserve"> </w:t>
      </w:r>
      <w:r w:rsidRPr="002F2687">
        <w:t xml:space="preserve">count of adults </w:t>
      </w:r>
      <w:r w:rsidR="00B62067" w:rsidRPr="002F2687">
        <w:t>who are economically disadvantaged</w:t>
      </w:r>
      <w:r w:rsidRPr="002F2687">
        <w:t xml:space="preserve">; in attendance at an adult school, ROCP, or </w:t>
      </w:r>
      <w:r w:rsidR="009E432D">
        <w:t>CCC</w:t>
      </w:r>
      <w:r w:rsidRPr="002F2687">
        <w:t>; and enrolled in a CTE course/program. The economically disadvantaged status of the adult CTE student is determined by the</w:t>
      </w:r>
      <w:r w:rsidR="00B62067">
        <w:t xml:space="preserve"> student’s</w:t>
      </w:r>
      <w:r w:rsidRPr="002F2687">
        <w:t xml:space="preserve"> participation in one of the following public assistance programs or evidences of a personal or family income below the poverty level:</w:t>
      </w:r>
    </w:p>
    <w:p w14:paraId="6C5C1CD0" w14:textId="77777777" w:rsidR="00C33240" w:rsidRPr="002F2687" w:rsidRDefault="00C33240" w:rsidP="00842091">
      <w:pPr>
        <w:pStyle w:val="ListParagraph"/>
        <w:ind w:left="1170" w:hanging="450"/>
      </w:pPr>
      <w:r w:rsidRPr="002F2687">
        <w:t>Promise Grant;</w:t>
      </w:r>
    </w:p>
    <w:p w14:paraId="24CA513F" w14:textId="77777777" w:rsidR="00C33240" w:rsidRPr="002F2687" w:rsidRDefault="00C33240" w:rsidP="00842091">
      <w:pPr>
        <w:pStyle w:val="ListParagraph"/>
        <w:ind w:left="1170" w:hanging="450"/>
      </w:pPr>
      <w:r w:rsidRPr="002F2687">
        <w:t>Pell Grant;</w:t>
      </w:r>
    </w:p>
    <w:p w14:paraId="009BB721" w14:textId="77777777" w:rsidR="00C33240" w:rsidRPr="002F2687" w:rsidRDefault="00EB4E3C" w:rsidP="00842091">
      <w:pPr>
        <w:pStyle w:val="ListParagraph"/>
        <w:ind w:left="1170" w:hanging="450"/>
      </w:pPr>
      <w:r w:rsidRPr="002F2687">
        <w:t>CalWORKs</w:t>
      </w:r>
      <w:r w:rsidR="00C33240" w:rsidRPr="002F2687">
        <w:t>;</w:t>
      </w:r>
    </w:p>
    <w:p w14:paraId="70CD2D46" w14:textId="77777777" w:rsidR="00C33240" w:rsidRPr="002F2687" w:rsidRDefault="00EB4E3C" w:rsidP="00842091">
      <w:pPr>
        <w:pStyle w:val="ListParagraph"/>
        <w:ind w:left="1170" w:hanging="450"/>
      </w:pPr>
      <w:r w:rsidRPr="002F2687">
        <w:lastRenderedPageBreak/>
        <w:t>WIOA</w:t>
      </w:r>
      <w:r w:rsidR="00C33240" w:rsidRPr="002F2687">
        <w:t>;</w:t>
      </w:r>
    </w:p>
    <w:p w14:paraId="0A4ED0CB" w14:textId="77777777" w:rsidR="00C33240" w:rsidRPr="002F2687" w:rsidRDefault="00C33240" w:rsidP="00842091">
      <w:pPr>
        <w:pStyle w:val="ListParagraph"/>
        <w:ind w:left="1170" w:hanging="450"/>
      </w:pPr>
      <w:r w:rsidRPr="002F2687">
        <w:t>Supplementary Security Income;</w:t>
      </w:r>
    </w:p>
    <w:p w14:paraId="0CACAC3A" w14:textId="77777777" w:rsidR="00C33240" w:rsidRPr="002F2687" w:rsidRDefault="00C33240" w:rsidP="00842091">
      <w:pPr>
        <w:pStyle w:val="ListParagraph"/>
        <w:ind w:left="1170" w:hanging="450"/>
      </w:pPr>
      <w:r w:rsidRPr="002F2687">
        <w:t>General/Public Assistance;</w:t>
      </w:r>
    </w:p>
    <w:p w14:paraId="5757F48D" w14:textId="4A3B9096" w:rsidR="00C33240" w:rsidRPr="002F2687" w:rsidRDefault="00A75E0A" w:rsidP="00842091">
      <w:pPr>
        <w:pStyle w:val="ListParagraph"/>
        <w:ind w:left="1170" w:hanging="450"/>
      </w:pPr>
      <w:r w:rsidRPr="002F2687">
        <w:t>Bureau of Indian Affairs</w:t>
      </w:r>
      <w:r w:rsidR="00C33240" w:rsidRPr="002F2687">
        <w:t>;</w:t>
      </w:r>
    </w:p>
    <w:p w14:paraId="644DAA00" w14:textId="64FBEF2E" w:rsidR="00C33240" w:rsidRPr="002F2687" w:rsidRDefault="00C33240" w:rsidP="00842091">
      <w:pPr>
        <w:pStyle w:val="ListParagraph"/>
        <w:ind w:left="1170" w:hanging="450"/>
      </w:pPr>
      <w:r w:rsidRPr="002F2687">
        <w:t>Eligibility for economic public assistance or student aid;</w:t>
      </w:r>
    </w:p>
    <w:p w14:paraId="3A5B93ED" w14:textId="77777777" w:rsidR="00B9418C" w:rsidRDefault="00C33240" w:rsidP="00842091">
      <w:pPr>
        <w:pStyle w:val="ListParagraph"/>
        <w:ind w:left="1170" w:hanging="450"/>
      </w:pPr>
      <w:r w:rsidRPr="002F2687">
        <w:t xml:space="preserve">Annual income level below poverty level as determined by county of residence; or </w:t>
      </w:r>
    </w:p>
    <w:p w14:paraId="127FA79B" w14:textId="301393A6" w:rsidR="00C33240" w:rsidRPr="002F2687" w:rsidRDefault="00B9418C" w:rsidP="00842091">
      <w:pPr>
        <w:pStyle w:val="ListParagraph"/>
        <w:ind w:left="1170" w:hanging="450"/>
      </w:pPr>
      <w:r>
        <w:t>S</w:t>
      </w:r>
      <w:r w:rsidR="00C33240" w:rsidRPr="002F2687">
        <w:t>elf-declaration by adult.</w:t>
      </w:r>
    </w:p>
    <w:p w14:paraId="464DA479" w14:textId="7FD5011A" w:rsidR="00C33240" w:rsidRPr="002F2687" w:rsidRDefault="00C33240" w:rsidP="00B676AE">
      <w:r w:rsidRPr="002F2687">
        <w:t xml:space="preserve">The 2020–21 </w:t>
      </w:r>
      <w:r w:rsidR="00EB4E3C" w:rsidRPr="002F2687">
        <w:t xml:space="preserve">Perkins V </w:t>
      </w:r>
      <w:r w:rsidRPr="002F2687">
        <w:t xml:space="preserve">Section 132 allocations will be based on an unduplicated count of the economically disadvantaged adults enrolled in CTE programs during </w:t>
      </w:r>
      <w:r w:rsidR="0088186C">
        <w:t>PY</w:t>
      </w:r>
      <w:r w:rsidRPr="002F2687">
        <w:t xml:space="preserve"> 2018–19</w:t>
      </w:r>
      <w:r w:rsidR="00B9418C">
        <w:t>,</w:t>
      </w:r>
      <w:r w:rsidRPr="002F2687">
        <w:t xml:space="preserve"> which began on July 1, 2018, and ended on June 30, 2019. Similar data collection periods will be used for subsequent </w:t>
      </w:r>
      <w:r w:rsidR="0088186C">
        <w:t>PY</w:t>
      </w:r>
      <w:r w:rsidRPr="002F2687">
        <w:t xml:space="preserve">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29984C17" w:rsidR="00C33240" w:rsidRPr="002F2687" w:rsidRDefault="00C33240" w:rsidP="00842091">
      <w:pPr>
        <w:pStyle w:val="ListParagraph"/>
        <w:numPr>
          <w:ilvl w:val="0"/>
          <w:numId w:val="30"/>
        </w:numPr>
        <w:ind w:left="1170" w:hanging="450"/>
      </w:pPr>
      <w:r w:rsidRPr="002F2687">
        <w:t>The CDE collects and validates the eligibility reports and data submitted by the adult school agencies and ROCPs. The CCCCO collects and validates the eligibility data submitted by the community college districts</w:t>
      </w:r>
      <w:r w:rsidR="00A30DAB">
        <w:t>.</w:t>
      </w:r>
    </w:p>
    <w:p w14:paraId="313A1F29" w14:textId="52ABDBC1" w:rsidR="00C33240" w:rsidRPr="002F2687" w:rsidRDefault="00C33240" w:rsidP="00842091">
      <w:pPr>
        <w:pStyle w:val="ListParagraph"/>
        <w:numPr>
          <w:ilvl w:val="0"/>
          <w:numId w:val="30"/>
        </w:numPr>
        <w:ind w:left="1170" w:hanging="450"/>
      </w:pPr>
      <w:r w:rsidRPr="002F2687">
        <w:t>The CDE determines the total number of economically disadvantaged adult CTE students by aggregating the validated economically disadvantaged enrollments reported by the adult school agencies, ROCPs, and community college districts</w:t>
      </w:r>
      <w:r w:rsidR="00A30DAB">
        <w:t>.</w:t>
      </w:r>
    </w:p>
    <w:p w14:paraId="1DCA275C" w14:textId="56A9D2EB" w:rsidR="00C33240" w:rsidRPr="002F2687" w:rsidRDefault="00C33240" w:rsidP="00842091">
      <w:pPr>
        <w:pStyle w:val="ListParagraph"/>
        <w:numPr>
          <w:ilvl w:val="0"/>
          <w:numId w:val="30"/>
        </w:numPr>
        <w:ind w:left="1170" w:hanging="450"/>
      </w:pPr>
      <w:r w:rsidRPr="002F2687">
        <w:lastRenderedPageBreak/>
        <w:t xml:space="preserve">The CDE computes a per-student allocation amount by dividing the funding available for distribution under Section 132 by the total number of economically disadvantaged adult CTE students determined in </w:t>
      </w:r>
      <w:r w:rsidR="00A30DAB">
        <w:t>step</w:t>
      </w:r>
      <w:r w:rsidR="00A30DAB" w:rsidRPr="002F2687">
        <w:t xml:space="preserve"> </w:t>
      </w:r>
      <w:r w:rsidRPr="002F2687">
        <w:t>2</w:t>
      </w:r>
      <w:r w:rsidR="00A30DAB">
        <w:t>.</w:t>
      </w:r>
    </w:p>
    <w:p w14:paraId="6F54C87D" w14:textId="3248127F" w:rsidR="00C33240" w:rsidRPr="002F2687" w:rsidRDefault="00C33240" w:rsidP="00842091">
      <w:pPr>
        <w:pStyle w:val="ListParagraph"/>
        <w:numPr>
          <w:ilvl w:val="0"/>
          <w:numId w:val="30"/>
        </w:numPr>
        <w:ind w:left="1170" w:hanging="450"/>
      </w:pPr>
      <w:r w:rsidRPr="002F2687">
        <w:t>The CDE determines each eligible recipient</w:t>
      </w:r>
      <w:r w:rsidR="00D03D08">
        <w:t>’s</w:t>
      </w:r>
      <w:r w:rsidRPr="002F2687">
        <w:t xml:space="preserve"> (adult school agency, ROCP, and community college district) allocation by multiplying its validated number of economically disadvantaged adult enrollees by the per-student allocation amount computed in </w:t>
      </w:r>
      <w:r w:rsidR="00A30DAB">
        <w:t>step</w:t>
      </w:r>
      <w:r w:rsidR="00EB4E3C" w:rsidRPr="002F2687">
        <w:t xml:space="preserve"> </w:t>
      </w:r>
      <w:r w:rsidRPr="002F2687">
        <w:t>3</w:t>
      </w:r>
      <w:r w:rsidR="00A30DAB">
        <w:t>.</w:t>
      </w:r>
    </w:p>
    <w:p w14:paraId="229C5BF9" w14:textId="7336F96D" w:rsidR="00C33240" w:rsidRPr="002F2687" w:rsidRDefault="00C33240" w:rsidP="00842091">
      <w:pPr>
        <w:pStyle w:val="ListParagraph"/>
        <w:numPr>
          <w:ilvl w:val="0"/>
          <w:numId w:val="30"/>
        </w:numPr>
        <w:ind w:left="1170" w:hanging="450"/>
      </w:pPr>
      <w:r w:rsidRPr="002F2687">
        <w:t>The CDE transfers to the CCCCO, by interagency agreement, the total amount of the Section 132 funds to be awarded to community college districts</w:t>
      </w:r>
      <w:r w:rsidR="00A30DAB">
        <w:t>.</w:t>
      </w:r>
    </w:p>
    <w:p w14:paraId="63811CF9" w14:textId="14128B0B" w:rsidR="00C33240" w:rsidRPr="002F2687" w:rsidRDefault="00C33240" w:rsidP="00842091">
      <w:pPr>
        <w:pStyle w:val="ListParagraph"/>
        <w:numPr>
          <w:ilvl w:val="0"/>
          <w:numId w:val="30"/>
        </w:numPr>
        <w:ind w:left="1170" w:hanging="450"/>
      </w:pPr>
      <w:r w:rsidRPr="002F2687">
        <w:t>Both the CDE and</w:t>
      </w:r>
      <w:r w:rsidR="00FF0597" w:rsidRPr="002F2687">
        <w:t xml:space="preserve"> the</w:t>
      </w:r>
      <w:r w:rsidRPr="002F2687">
        <w:t xml:space="preserve"> CCCCO distribute the funds for which they are responsible</w:t>
      </w:r>
      <w:r w:rsidR="00A30DAB">
        <w:t>,</w:t>
      </w:r>
      <w:r w:rsidRPr="002F2687">
        <w:t xml:space="preserve"> in accordance with the Section 132 guidelines.</w:t>
      </w:r>
    </w:p>
    <w:p w14:paraId="6B415B2A" w14:textId="1F0BCE2D" w:rsidR="00C33240" w:rsidRDefault="00C33240" w:rsidP="00B676AE">
      <w:r w:rsidRPr="002F2687">
        <w:t xml:space="preserve">This is the same distribution formula </w:t>
      </w:r>
      <w:r w:rsidR="00A30DAB">
        <w:t xml:space="preserve">that </w:t>
      </w:r>
      <w:r w:rsidRPr="002F2687">
        <w:t xml:space="preserve">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 xml:space="preserve">(1)(A) of Perkins V, will use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5EB8F005"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67B3E293" w14:textId="77777777" w:rsidR="00C33240" w:rsidRPr="002F2687" w:rsidRDefault="00C33240" w:rsidP="000C7F0D">
      <w:pPr>
        <w:spacing w:after="120"/>
      </w:pPr>
      <w:r w:rsidRPr="002F2687">
        <w:rPr>
          <w:b/>
        </w:rPr>
        <w:t>Response:</w:t>
      </w:r>
    </w:p>
    <w:p w14:paraId="7B081CCE" w14:textId="57BF367C" w:rsidR="00D555E0" w:rsidRDefault="00C33240" w:rsidP="000C7F0D">
      <w:pPr>
        <w:spacing w:after="0"/>
      </w:pPr>
      <w:r w:rsidRPr="002F2687">
        <w:lastRenderedPageBreak/>
        <w:t xml:space="preserve">The total investment in </w:t>
      </w:r>
      <w:r w:rsidR="00D857D4">
        <w:t>S</w:t>
      </w:r>
      <w:r w:rsidRPr="002F2687">
        <w:t>tate dollars for CTE programs in California</w:t>
      </w:r>
      <w:r w:rsidR="00487795">
        <w:t>,</w:t>
      </w:r>
      <w:r w:rsidRPr="002F2687">
        <w:t xml:space="preserve"> used to calculate the </w:t>
      </w:r>
      <w:r w:rsidR="006C6B67">
        <w:t>s</w:t>
      </w:r>
      <w:r w:rsidR="006C6B67" w:rsidRPr="002F2687">
        <w:t>tate</w:t>
      </w:r>
      <w:r w:rsidRPr="002F2687">
        <w:t>-level maintenance of effort for receipt of the federal Perkins V funds</w:t>
      </w:r>
      <w:r w:rsidR="00487795">
        <w:t>,</w:t>
      </w:r>
      <w:r w:rsidRPr="002F2687">
        <w:t xml:space="preserve"> is shown </w:t>
      </w:r>
      <w:r w:rsidR="00487795">
        <w:t>in the following table</w:t>
      </w:r>
      <w:r w:rsidRPr="002F2687">
        <w:t xml:space="preserve">. This calculation is made annually, in the month of February, by the CDE Fiscal Services Division and the </w:t>
      </w:r>
      <w:r w:rsidR="00EB4E3C" w:rsidRPr="002F2687">
        <w:t>CCCCO</w:t>
      </w:r>
      <w:r w:rsidRPr="002F2687">
        <w:t xml:space="preserve"> Finance and Facilities Planning Division. </w:t>
      </w:r>
      <w:r w:rsidR="005B752D">
        <w:t>California will use a</w:t>
      </w:r>
      <w:r w:rsidR="005B752D" w:rsidRPr="002F2687">
        <w:t xml:space="preserve">ggregated </w:t>
      </w:r>
      <w:r w:rsidRPr="002F2687">
        <w:t xml:space="preserve">expenditures </w:t>
      </w:r>
      <w:r w:rsidR="005B752D">
        <w:t>to calculate its state-level maintenance of effort,</w:t>
      </w:r>
      <w:r w:rsidRPr="002F2687">
        <w:t xml:space="preserve"> shown in </w:t>
      </w:r>
      <w:r w:rsidR="00487795">
        <w:t>Table 1</w:t>
      </w:r>
      <w:r w:rsidR="00D555E0">
        <w:t>.</w:t>
      </w:r>
    </w:p>
    <w:p w14:paraId="3279D509" w14:textId="77777777" w:rsidR="00DE277B" w:rsidRDefault="00DE277B" w:rsidP="00DE277B">
      <w:pPr>
        <w:pStyle w:val="TableTitle"/>
      </w:pPr>
      <w:bookmarkStart w:id="71" w:name="_Toc36640993"/>
      <w:bookmarkStart w:id="72" w:name="_Toc18935413"/>
      <w:bookmarkStart w:id="73" w:name="_Toc21683333"/>
      <w:bookmarkStart w:id="74" w:name="_Toc21944237"/>
      <w:bookmarkStart w:id="75" w:name="_Toc33620404"/>
      <w:bookmarkStart w:id="76" w:name="_Hlk29976461"/>
      <w:r>
        <w:t>Table 1. California Maintenance of Effort Calculations</w:t>
      </w:r>
      <w:bookmarkEnd w:id="71"/>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Table 1 California Maintenance of Effort Calculations: Column 1 is the funding source, Column 2 is for Fiscal Year 2017 to 2018, Column 3 is for Fiscal Year 2018 to 2019"/>
      </w:tblPr>
      <w:tblGrid>
        <w:gridCol w:w="5140"/>
        <w:gridCol w:w="2070"/>
        <w:gridCol w:w="2070"/>
      </w:tblGrid>
      <w:tr w:rsidR="00DE277B" w14:paraId="03A9B1CA" w14:textId="77777777" w:rsidTr="00DE277B">
        <w:trPr>
          <w:cantSplit/>
          <w:tblHeader/>
          <w:jc w:val="center"/>
        </w:trPr>
        <w:tc>
          <w:tcPr>
            <w:tcW w:w="5140" w:type="dxa"/>
            <w:tcBorders>
              <w:top w:val="single" w:sz="4" w:space="0" w:color="auto"/>
              <w:left w:val="single" w:sz="4" w:space="0" w:color="auto"/>
              <w:bottom w:val="single" w:sz="4" w:space="0" w:color="auto"/>
              <w:right w:val="single" w:sz="4" w:space="0" w:color="auto"/>
            </w:tcBorders>
            <w:vAlign w:val="center"/>
            <w:hideMark/>
          </w:tcPr>
          <w:p w14:paraId="06EE8F8B" w14:textId="77777777" w:rsidR="00DE277B" w:rsidRDefault="00DE277B">
            <w:pPr>
              <w:pStyle w:val="TableHeaderRow"/>
              <w:jc w:val="center"/>
            </w:pPr>
            <w:r>
              <w:t>Funding Source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9056FBC" w14:textId="77777777" w:rsidR="00DE277B" w:rsidRDefault="00DE277B">
            <w:pPr>
              <w:pStyle w:val="TableHeaderRow"/>
              <w:jc w:val="center"/>
            </w:pPr>
            <w:r>
              <w:t xml:space="preserve">FY </w:t>
            </w:r>
          </w:p>
          <w:p w14:paraId="309C4787" w14:textId="77777777" w:rsidR="00DE277B" w:rsidRDefault="00DE277B">
            <w:pPr>
              <w:pStyle w:val="TableHeaderRow"/>
              <w:jc w:val="center"/>
            </w:pPr>
            <w:r>
              <w:t>2017–18</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670E3C6" w14:textId="77777777" w:rsidR="00DE277B" w:rsidRDefault="00DE277B">
            <w:pPr>
              <w:pStyle w:val="TableHeaderRow"/>
              <w:jc w:val="center"/>
            </w:pPr>
            <w:r>
              <w:t>FY</w:t>
            </w:r>
          </w:p>
          <w:p w14:paraId="63DF2C0C" w14:textId="77777777" w:rsidR="00DE277B" w:rsidRDefault="00DE277B">
            <w:pPr>
              <w:pStyle w:val="TableHeaderRow"/>
              <w:jc w:val="center"/>
            </w:pPr>
            <w:r>
              <w:t xml:space="preserve"> 2018–19</w:t>
            </w:r>
          </w:p>
        </w:tc>
      </w:tr>
      <w:tr w:rsidR="00DE277B" w14:paraId="68A33C15" w14:textId="77777777" w:rsidTr="00DE277B">
        <w:trPr>
          <w:cantSplit/>
          <w:tblHeader/>
          <w:jc w:val="center"/>
        </w:trPr>
        <w:tc>
          <w:tcPr>
            <w:tcW w:w="51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016354D" w14:textId="77777777" w:rsidR="00DE277B" w:rsidRDefault="00DE277B">
            <w:pPr>
              <w:pStyle w:val="TableCategoryText"/>
            </w:pPr>
            <w:r>
              <w:t xml:space="preserve">Non-Federal Expenditures from the Administrative Match </w:t>
            </w:r>
            <w:r>
              <w:br/>
              <w:t>(CCCCO/CDE Combined)</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F07972E" w14:textId="77777777" w:rsidR="00DE277B" w:rsidRDefault="00DE277B">
            <w:pPr>
              <w:pStyle w:val="TableBodyText"/>
              <w:jc w:val="right"/>
            </w:pPr>
            <w:r>
              <w:t>$6,009,186</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13F68C6" w14:textId="77777777" w:rsidR="00DE277B" w:rsidRDefault="00DE277B">
            <w:pPr>
              <w:pStyle w:val="TableBodyText"/>
              <w:jc w:val="right"/>
            </w:pPr>
            <w:r>
              <w:t>$6,095,106</w:t>
            </w:r>
          </w:p>
        </w:tc>
      </w:tr>
      <w:tr w:rsidR="00DE277B" w14:paraId="38CA8473" w14:textId="77777777" w:rsidTr="00DE277B">
        <w:trPr>
          <w:cantSplit/>
          <w:tblHeader/>
          <w:jc w:val="center"/>
        </w:trPr>
        <w:tc>
          <w:tcPr>
            <w:tcW w:w="51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944EEC2" w14:textId="77777777" w:rsidR="00DE277B" w:rsidRDefault="00DE277B">
            <w:pPr>
              <w:pStyle w:val="TableCategoryText"/>
            </w:pPr>
            <w:r>
              <w:t>CCCCO – Non-Federal Expenditures*</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4886F5A" w14:textId="77777777" w:rsidR="00DE277B" w:rsidRDefault="00DE277B">
            <w:pPr>
              <w:pStyle w:val="TableBodyText"/>
              <w:spacing w:after="0"/>
              <w:jc w:val="right"/>
            </w:pPr>
            <w:r>
              <w:t>$259,706,239</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124B898" w14:textId="77777777" w:rsidR="00DE277B" w:rsidRDefault="00DE277B">
            <w:pPr>
              <w:pStyle w:val="TableBodyText"/>
              <w:spacing w:after="0"/>
              <w:jc w:val="right"/>
            </w:pPr>
            <w:r>
              <w:t>$268,124,281</w:t>
            </w:r>
          </w:p>
        </w:tc>
      </w:tr>
      <w:tr w:rsidR="00DE277B" w14:paraId="75360D07" w14:textId="77777777" w:rsidTr="00DE277B">
        <w:trPr>
          <w:cantSplit/>
          <w:tblHeader/>
          <w:jc w:val="center"/>
        </w:trPr>
        <w:tc>
          <w:tcPr>
            <w:tcW w:w="51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C47F277" w14:textId="77777777" w:rsidR="00DE277B" w:rsidRDefault="00DE277B">
            <w:pPr>
              <w:pStyle w:val="TableCategoryText"/>
            </w:pPr>
            <w:r>
              <w:t>CDE – Non-Federal Expenditures</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F2D8C07" w14:textId="77777777" w:rsidR="00DE277B" w:rsidRDefault="00DE277B">
            <w:pPr>
              <w:pStyle w:val="TableBodyText"/>
              <w:spacing w:after="0"/>
              <w:jc w:val="right"/>
            </w:pPr>
            <w:r>
              <w:t>$28,999,030</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161EFB7" w14:textId="77777777" w:rsidR="00DE277B" w:rsidRDefault="00DE277B">
            <w:pPr>
              <w:pStyle w:val="TableBodyText"/>
              <w:spacing w:after="0"/>
              <w:jc w:val="right"/>
            </w:pPr>
            <w:r>
              <w:t>$28,854,146</w:t>
            </w:r>
          </w:p>
        </w:tc>
      </w:tr>
      <w:tr w:rsidR="00DE277B" w14:paraId="3671D3E9" w14:textId="77777777" w:rsidTr="00DE277B">
        <w:trPr>
          <w:cantSplit/>
          <w:tblHeader/>
          <w:jc w:val="center"/>
        </w:trPr>
        <w:tc>
          <w:tcPr>
            <w:tcW w:w="51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59EC5AC" w14:textId="77777777" w:rsidR="00DE277B" w:rsidRDefault="00DE277B">
            <w:pPr>
              <w:pStyle w:val="TableCategoryText"/>
            </w:pPr>
            <w:r>
              <w:t>Total</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7122257" w14:textId="77777777" w:rsidR="00DE277B" w:rsidRDefault="00DE277B">
            <w:pPr>
              <w:pStyle w:val="TableBodyText"/>
              <w:spacing w:after="0"/>
              <w:jc w:val="right"/>
            </w:pPr>
            <w:r>
              <w:t xml:space="preserve">$294,714,455 </w:t>
            </w:r>
          </w:p>
        </w:tc>
        <w:tc>
          <w:tcPr>
            <w:tcW w:w="20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DBC28B0" w14:textId="77777777" w:rsidR="00DE277B" w:rsidRDefault="00DE277B">
            <w:pPr>
              <w:pStyle w:val="TableBodyText"/>
              <w:spacing w:after="0"/>
              <w:jc w:val="right"/>
            </w:pPr>
            <w:r>
              <w:t>$303,073,533</w:t>
            </w:r>
          </w:p>
        </w:tc>
      </w:tr>
    </w:tbl>
    <w:p w14:paraId="028894F8" w14:textId="714F6459" w:rsidR="00DE277B" w:rsidRDefault="00DE277B" w:rsidP="00DE277B">
      <w:pPr>
        <w:rPr>
          <w:bCs/>
        </w:rPr>
      </w:pPr>
      <w:r>
        <w:rPr>
          <w:bCs/>
        </w:rPr>
        <w:t>*A portion of these funds are supporting K</w:t>
      </w:r>
      <w:r>
        <w:t>–</w:t>
      </w:r>
      <w:r>
        <w:rPr>
          <w:bCs/>
        </w:rPr>
        <w:t>12 programs that target apprenticeships.</w:t>
      </w:r>
    </w:p>
    <w:p w14:paraId="6B757AA7" w14:textId="5B736CB7" w:rsidR="00D57B15" w:rsidRDefault="00D57B15" w:rsidP="00DE277B">
      <w:pPr>
        <w:rPr>
          <w:bCs/>
        </w:rPr>
      </w:pPr>
      <w:r w:rsidRPr="00D57B15">
        <w:rPr>
          <w:bCs/>
        </w:rPr>
        <w:t>California plans to maintain the baseline level of $303,073,533 for fiscal year 2020 (7/1/2019 to 6/30/2020).</w:t>
      </w:r>
    </w:p>
    <w:p w14:paraId="1E77B348" w14:textId="77777777" w:rsidR="00DE277B" w:rsidRDefault="00DE277B">
      <w:pPr>
        <w:spacing w:after="160" w:line="259" w:lineRule="auto"/>
        <w:rPr>
          <w:bCs/>
        </w:rPr>
      </w:pPr>
      <w:r>
        <w:rPr>
          <w:bCs/>
        </w:rPr>
        <w:br w:type="page"/>
      </w:r>
    </w:p>
    <w:p w14:paraId="1CCB4877" w14:textId="084E80A1" w:rsidR="00C33240" w:rsidRPr="002F2687" w:rsidRDefault="006E76AA" w:rsidP="00C74AB8">
      <w:pPr>
        <w:pStyle w:val="Heading3"/>
      </w:pPr>
      <w:r w:rsidRPr="002F2687">
        <w:rPr>
          <w:iCs/>
        </w:rPr>
        <w:lastRenderedPageBreak/>
        <w:t>D.</w:t>
      </w:r>
      <w:r w:rsidRPr="002F2687">
        <w:t xml:space="preserve"> </w:t>
      </w:r>
      <w:r w:rsidR="00C33240" w:rsidRPr="002F2687">
        <w:t>Accountability for Results</w:t>
      </w:r>
      <w:bookmarkEnd w:id="72"/>
      <w:bookmarkEnd w:id="73"/>
      <w:bookmarkEnd w:id="74"/>
      <w:bookmarkEnd w:id="75"/>
    </w:p>
    <w:p w14:paraId="77F2AB7F" w14:textId="2BD72BF0" w:rsidR="000C7627" w:rsidRPr="000C7627" w:rsidRDefault="000C7627" w:rsidP="00922377">
      <w:pPr>
        <w:rPr>
          <w:b/>
        </w:rPr>
      </w:pPr>
      <w:r w:rsidRPr="000C7627">
        <w:rPr>
          <w:b/>
        </w:rPr>
        <w:t xml:space="preserve">Response for </w:t>
      </w:r>
      <w:r w:rsidR="00D03D08">
        <w:rPr>
          <w:b/>
        </w:rPr>
        <w:t>S</w:t>
      </w:r>
      <w:r w:rsidRPr="000C7627">
        <w:rPr>
          <w:b/>
        </w:rPr>
        <w:t>econdary</w:t>
      </w:r>
      <w:r>
        <w:rPr>
          <w:b/>
        </w:rPr>
        <w:t xml:space="preserve"> </w:t>
      </w:r>
      <w:r w:rsidR="00D03D08">
        <w:rPr>
          <w:b/>
        </w:rPr>
        <w:t>R</w:t>
      </w:r>
      <w:r>
        <w:rPr>
          <w:b/>
        </w:rPr>
        <w:t>ecipients</w:t>
      </w:r>
      <w:r w:rsidRPr="000C7627">
        <w:rPr>
          <w:b/>
        </w:rPr>
        <w:t>:</w:t>
      </w:r>
    </w:p>
    <w:p w14:paraId="50D4F9A2" w14:textId="6EC4F18C" w:rsidR="00922377" w:rsidRDefault="00922377" w:rsidP="00922377">
      <w:r>
        <w:t>California’s educational system is founded on the belief that the LEA is the primary unit of change and plays a central role in supporting schools to implement and sustain improvement efforts. California’s diversity requires more than a “one size fits all</w:t>
      </w:r>
      <w:r w:rsidR="001B3461">
        <w:t>”</w:t>
      </w:r>
      <w:r>
        <w:t xml:space="preserve"> solution to help LEAs and schools successfully implement continuous improvement efforts and meet the needs of all learners, particularly those students most in need. Long-term goals, and the ability </w:t>
      </w:r>
      <w:r w:rsidR="00A83B58">
        <w:t>of</w:t>
      </w:r>
      <w:r>
        <w:t xml:space="preserve"> LEAs or schools to determine interim progress goals, are built into the California Model, as required by the </w:t>
      </w:r>
      <w:r w:rsidR="000D6ABF">
        <w:t>S</w:t>
      </w:r>
      <w:r w:rsidR="00D80835">
        <w:t xml:space="preserve">tate’s </w:t>
      </w:r>
      <w:r>
        <w:t>ESSA State Plan. The LCFF places great importance on access to and completion of a broad course of study</w:t>
      </w:r>
      <w:r w:rsidR="00D80835">
        <w:t>,</w:t>
      </w:r>
      <w:r>
        <w:t xml:space="preserve"> included among the statutorily defined </w:t>
      </w:r>
      <w:r w:rsidR="000D6ABF">
        <w:t>S</w:t>
      </w:r>
      <w:r>
        <w:t xml:space="preserve">tate priority areas. Completion of a Broad Course of Study (LCFF Priority 8) is addressed through the CCI, and emphasizes the outcomes in a broad course of study. More broadly, the CCI is designed to include multiple measures in order to value the many pathways, including CTE, </w:t>
      </w:r>
      <w:r w:rsidR="006070AF">
        <w:t>which</w:t>
      </w:r>
      <w:r w:rsidR="00D80835">
        <w:t xml:space="preserve"> </w:t>
      </w:r>
      <w:r>
        <w:t>students may take to prepare for their post</w:t>
      </w:r>
      <w:r w:rsidR="00D80835">
        <w:t>–</w:t>
      </w:r>
      <w:r>
        <w:t>high school experience.</w:t>
      </w:r>
    </w:p>
    <w:p w14:paraId="1579A26E" w14:textId="07EF5336" w:rsidR="00922377" w:rsidRDefault="00922377" w:rsidP="00922377">
      <w:r>
        <w:t xml:space="preserve">California is fortunate to have </w:t>
      </w:r>
      <w:r w:rsidR="00D80835">
        <w:t xml:space="preserve">a </w:t>
      </w:r>
      <w:r w:rsidR="00A83B58">
        <w:t>well-established</w:t>
      </w:r>
      <w:r>
        <w:t xml:space="preserve"> CCI with sound definitions, collection procedures, and </w:t>
      </w:r>
      <w:r w:rsidR="00A83B58">
        <w:t>streamlined</w:t>
      </w:r>
      <w:r>
        <w:t xml:space="preserve"> reporting mechanism</w:t>
      </w:r>
      <w:r w:rsidR="00D80835">
        <w:t>s</w:t>
      </w:r>
      <w:r>
        <w:t xml:space="preserve">. The CCI is one of the </w:t>
      </w:r>
      <w:r w:rsidR="000D6ABF">
        <w:t>S</w:t>
      </w:r>
      <w:r>
        <w:t xml:space="preserve">tate indicators on the California </w:t>
      </w:r>
      <w:r w:rsidR="0024304B">
        <w:t xml:space="preserve">School </w:t>
      </w:r>
      <w:r>
        <w:t xml:space="preserve">Dashboard and is an additional </w:t>
      </w:r>
      <w:r w:rsidR="000D6ABF">
        <w:t>S</w:t>
      </w:r>
      <w:r>
        <w:t xml:space="preserve">tate indicator of student success for high schools. </w:t>
      </w:r>
      <w:r w:rsidR="00035C02">
        <w:t>In 2018, t</w:t>
      </w:r>
      <w:r>
        <w:t>he SBE adopt</w:t>
      </w:r>
      <w:r w:rsidR="00035C02">
        <w:t>ed</w:t>
      </w:r>
      <w:r>
        <w:t xml:space="preserve"> performance standards (e.</w:t>
      </w:r>
      <w:r w:rsidR="00785BE2">
        <w:t>g.</w:t>
      </w:r>
      <w:r>
        <w:t xml:space="preserve">, </w:t>
      </w:r>
      <w:r w:rsidR="00D80835">
        <w:t xml:space="preserve">a </w:t>
      </w:r>
      <w:r>
        <w:t>five-by-five grid) for the CCI. In addition, the CCI is designed to include multiple measures in order to value the multiple pathways that students may take to prepare for postsecondary learning.</w:t>
      </w:r>
      <w:r w:rsidR="00A83B58">
        <w:t xml:space="preserve"> T</w:t>
      </w:r>
      <w:r>
        <w:t>he CCI becomes a potential source from which California can choose, determine, and establish the Perkins V secondary quality indicator.</w:t>
      </w:r>
    </w:p>
    <w:p w14:paraId="1AD8CFBC" w14:textId="77777777" w:rsidR="00D57B15" w:rsidRDefault="00D57B15" w:rsidP="00D57B15">
      <w:r>
        <w:t xml:space="preserve">CTE data, which until recently was collected through a separate system (see the response to prompt D[3][c]), are now being collected and included within the California Longitudinal Pupil Achievement Data System (CALPADS). The overarching aim is to collect and report data for all CTE students, regardless of which State and federal programs are being used to fund CTE. Isolating the impact of any one particular State or federal funding source on student performance using CALPADS is not currently </w:t>
      </w:r>
      <w:r>
        <w:lastRenderedPageBreak/>
        <w:t>possible. To make this possible, the State would need to expend considerable State and federal resources to reconfigure CALPADS to first tie funding sources to districts, and then link individual funding sources the districts are using to individual CTE students. How this gets done will be a matter of discussion during the implementation of the Federal Perkins V State Plan.</w:t>
      </w:r>
    </w:p>
    <w:p w14:paraId="0AA621FD" w14:textId="77777777" w:rsidR="00D57B15" w:rsidRDefault="00D57B15" w:rsidP="00D57B15">
      <w:r>
        <w:t>Other than the indicators for program placement, the remaining secondary indicators will be calculated directly from the CALPADS. For the program placement indicator, the CDE is working internally to collect the information by providing specific codes that indicate the different options that graduates select once they leave high school. The nontraditional completion indicator is already available within the CALPADS, and it is the same indicator that was being collected under Perkins IV.</w:t>
      </w:r>
    </w:p>
    <w:p w14:paraId="22728D5A" w14:textId="77777777" w:rsidR="00D57B15" w:rsidRDefault="00D57B15" w:rsidP="00D57B15">
      <w:r>
        <w:t>California has many options with regard to the secondary CTE quality indicator. The State considered several factors, such as whether the data could be collected at the student-level, if there was districtwide coverage, if it could be collected within the CALPADS, and whether district reporting, not just for CTE, but for a broader purpose and relative ease of calculating the numerator and denominator.</w:t>
      </w:r>
    </w:p>
    <w:p w14:paraId="1FA57024" w14:textId="77777777" w:rsidR="00D57B15" w:rsidRDefault="00D57B15" w:rsidP="00D57B15">
      <w:r>
        <w:t>The Perkins V legislation defines the secondary quality indicator 5S2: Program Quality – Attained Postsecondary Credits as the following:</w:t>
      </w:r>
    </w:p>
    <w:p w14:paraId="28CBE2A1" w14:textId="77777777" w:rsidR="00D57B15" w:rsidRDefault="00D57B15" w:rsidP="00D57B15">
      <w:r>
        <w:t>(bb) The percentage of CTE concentrators graduating from high school having attained postsecondary credits in the relevant career and technical education program or program of study earned through a dual or concurrent enrollment program or another credit transfer agreement.</w:t>
      </w:r>
    </w:p>
    <w:p w14:paraId="30C21441" w14:textId="77777777" w:rsidR="00D57B15" w:rsidRDefault="00D57B15" w:rsidP="00D57B15">
      <w:r>
        <w:t>The state is operationalizing the above Perkins V legislatively defined quality indicator using the California Accountability Model.  One of the components within the State’s College/Career Readiness Indicator (CCI) is college credit courses. It is defined as follows:</w:t>
      </w:r>
    </w:p>
    <w:p w14:paraId="208FCC52" w14:textId="77777777" w:rsidR="00D57B15" w:rsidRDefault="00D57B15" w:rsidP="00D57B15">
      <w:r>
        <w:t>Completion of two semesters, three quarters, or three trimesters of college coursework with a grade of C- or better in Academic/CTE subjects where college credit is awarded.</w:t>
      </w:r>
    </w:p>
    <w:p w14:paraId="479E1CF0" w14:textId="77777777" w:rsidR="00D57B15" w:rsidRDefault="00D57B15" w:rsidP="00D57B15">
      <w:r>
        <w:lastRenderedPageBreak/>
        <w:t>The State has used the above definition to determine the Perkins V definition of the quality indicator as stated below:</w:t>
      </w:r>
    </w:p>
    <w:p w14:paraId="17C8F10A" w14:textId="77777777" w:rsidR="00D57B15" w:rsidRPr="003B6106" w:rsidRDefault="00D57B15" w:rsidP="003B6106">
      <w:pPr>
        <w:ind w:left="720"/>
        <w:rPr>
          <w:i/>
        </w:rPr>
      </w:pPr>
      <w:r w:rsidRPr="003B6106">
        <w:rPr>
          <w:i/>
        </w:rPr>
        <w:t>One semester/two quarters of college credit courses with a grade of C- or better in an industry pathway.</w:t>
      </w:r>
    </w:p>
    <w:p w14:paraId="12D3DBE9" w14:textId="77777777" w:rsidR="00D57B15" w:rsidRDefault="00D57B15" w:rsidP="00D57B15">
      <w:r>
        <w:t xml:space="preserve">The above will define the numerator for the secondary quality indicator 5S2: Program Quality – Attained Postsecondary Credits </w:t>
      </w:r>
    </w:p>
    <w:p w14:paraId="64A833DD" w14:textId="77777777" w:rsidR="00D57B15" w:rsidRDefault="00D57B15" w:rsidP="00D57B15">
      <w:r>
        <w:t xml:space="preserve">The statutory language of a Perkins V concentrator is as follows: </w:t>
      </w:r>
    </w:p>
    <w:p w14:paraId="23DA844C" w14:textId="77777777" w:rsidR="00D57B15" w:rsidRDefault="00D57B15" w:rsidP="003B6106">
      <w:pPr>
        <w:ind w:left="720"/>
      </w:pPr>
      <w:r>
        <w:t>(12) CTE CONCENTRATOR—The term ‘CTE concentrator’ means—</w:t>
      </w:r>
    </w:p>
    <w:p w14:paraId="11121760" w14:textId="77777777" w:rsidR="00D57B15" w:rsidRDefault="00D57B15" w:rsidP="003B6106">
      <w:pPr>
        <w:ind w:left="1440"/>
      </w:pPr>
      <w:r>
        <w:t>(A) at the secondary school level, a student served by an eligible recipient who has completed at least 2 courses in a single career and technical education program or program of study; and</w:t>
      </w:r>
    </w:p>
    <w:p w14:paraId="7E178773" w14:textId="77777777" w:rsidR="00D57B15" w:rsidRDefault="00D57B15" w:rsidP="003B6106">
      <w:pPr>
        <w:ind w:left="1440"/>
      </w:pPr>
      <w:r>
        <w:t>(B) at the postsecondary level, a student enrolled in an eligible recipient who has—</w:t>
      </w:r>
    </w:p>
    <w:p w14:paraId="67B45537" w14:textId="77777777" w:rsidR="00D57B15" w:rsidRDefault="00D57B15" w:rsidP="003B6106">
      <w:pPr>
        <w:ind w:left="2160"/>
      </w:pPr>
      <w:r>
        <w:t>(</w:t>
      </w:r>
      <w:proofErr w:type="spellStart"/>
      <w:r>
        <w:t>i</w:t>
      </w:r>
      <w:proofErr w:type="spellEnd"/>
      <w:r>
        <w:t>) earned at least 12 credits within a career and technical education program or program of study; or</w:t>
      </w:r>
    </w:p>
    <w:p w14:paraId="0C36045D" w14:textId="77777777" w:rsidR="00D57B15" w:rsidRDefault="00D57B15" w:rsidP="003B6106">
      <w:pPr>
        <w:ind w:left="2160"/>
      </w:pPr>
      <w:r>
        <w:t>(ii) completed such a program if the program encompasses fewer than 12 credits or the equivalent in total.</w:t>
      </w:r>
    </w:p>
    <w:p w14:paraId="0F520E0C" w14:textId="77777777" w:rsidR="00D57B15" w:rsidRDefault="00D57B15" w:rsidP="00D57B15">
      <w:r>
        <w:t xml:space="preserve">The State is operationalizing the above definition of a concentrator in the Perkins V legislation using the California Accountability Model, and the State’s CCI. The CCI collects data on students who have graduated from high school and meets the following: </w:t>
      </w:r>
    </w:p>
    <w:p w14:paraId="59F1A6EB" w14:textId="77777777" w:rsidR="00D57B15" w:rsidRPr="00D57B15" w:rsidRDefault="00D57B15" w:rsidP="00D57B15">
      <w:pPr>
        <w:ind w:left="720"/>
        <w:rPr>
          <w:i/>
        </w:rPr>
      </w:pPr>
      <w:r w:rsidRPr="00D57B15">
        <w:rPr>
          <w:i/>
        </w:rPr>
        <w:t>CTE Pathway Completion with a C- or better in the Capstone Course.</w:t>
      </w:r>
    </w:p>
    <w:p w14:paraId="269D66EE" w14:textId="77777777" w:rsidR="00D57B15" w:rsidRDefault="00D57B15" w:rsidP="00D57B15">
      <w:r>
        <w:t xml:space="preserve">CTE pathway completion requires that a student finishes at least a two-course sequence in an industry pathway, with a C- or better in the industry pathway capstone course. A two-course sequence is a minimum of 300 hours in one industry pathway. </w:t>
      </w:r>
      <w:r>
        <w:lastRenderedPageBreak/>
        <w:t>Using this CCI definition of a CTE completer, the Perkins V concentrator definition is described as follows:</w:t>
      </w:r>
    </w:p>
    <w:p w14:paraId="7F827EF7" w14:textId="77777777" w:rsidR="00D57B15" w:rsidRPr="00D57B15" w:rsidRDefault="00D57B15" w:rsidP="00D57B15">
      <w:pPr>
        <w:ind w:left="720"/>
        <w:rPr>
          <w:i/>
        </w:rPr>
      </w:pPr>
      <w:r w:rsidRPr="00D57B15">
        <w:rPr>
          <w:i/>
        </w:rPr>
        <w:t>A CTE student who completes at least 300 hours of course sequence in an industry pathway, and the sequence includes the capstone course; and the CTE student receives a grade of C- or better in the capstone course.</w:t>
      </w:r>
    </w:p>
    <w:p w14:paraId="4C4DC703" w14:textId="77777777" w:rsidR="00D57B15" w:rsidRDefault="00D57B15" w:rsidP="00D57B15">
      <w:r>
        <w:t>Given that Perkins V now requires states to define a concentrator as a course sequence of at least two courses in a program, POS, or career pathway, the above definition meets the Perkins V statutory definition of a CTE concentrator, and will become the denominator for Perkins V secondary accountability indicators.</w:t>
      </w:r>
    </w:p>
    <w:p w14:paraId="0357FE3C" w14:textId="4C17782B" w:rsidR="00D57B15" w:rsidRDefault="00D57B15" w:rsidP="00D57B15">
      <w:r>
        <w:t>The definition was chosen because (1) it aligns with one of the career measures within the CCI: a student who completes a CTE pathway with a grade C- or better; and (2) the analysis described in the response to prompt D(3)(c) to determine the SDPLs shows why the choice is appropriate. The other two quality indicators (work-based learning and postsecondary credentials) are partially included within the CCI. Including these as optional measures in later years for the quality indicator is a definite possibility. This State-created definition of a concentrator, now common to all indicators, can also be extracted from the CALPADS.</w:t>
      </w:r>
    </w:p>
    <w:p w14:paraId="2BE4657E" w14:textId="1B435FF1" w:rsidR="000C7627" w:rsidRPr="000C7627" w:rsidRDefault="000C7627" w:rsidP="000C7627">
      <w:pPr>
        <w:rPr>
          <w:b/>
        </w:rPr>
      </w:pPr>
      <w:r w:rsidRPr="000C7627">
        <w:rPr>
          <w:b/>
        </w:rPr>
        <w:t>Response</w:t>
      </w:r>
      <w:r>
        <w:rPr>
          <w:b/>
        </w:rPr>
        <w:t xml:space="preserve"> for </w:t>
      </w:r>
      <w:r w:rsidR="00D03D08">
        <w:rPr>
          <w:b/>
        </w:rPr>
        <w:t>P</w:t>
      </w:r>
      <w:r>
        <w:rPr>
          <w:b/>
        </w:rPr>
        <w:t>osts</w:t>
      </w:r>
      <w:r w:rsidRPr="000C7627">
        <w:rPr>
          <w:b/>
        </w:rPr>
        <w:t>econdary</w:t>
      </w:r>
      <w:r>
        <w:rPr>
          <w:b/>
        </w:rPr>
        <w:t xml:space="preserve"> </w:t>
      </w:r>
      <w:r w:rsidR="00D03D08">
        <w:rPr>
          <w:b/>
        </w:rPr>
        <w:t>R</w:t>
      </w:r>
      <w:r>
        <w:rPr>
          <w:b/>
        </w:rPr>
        <w:t>ecipients:</w:t>
      </w:r>
    </w:p>
    <w:p w14:paraId="765922FC" w14:textId="7A71956E" w:rsidR="00922377" w:rsidRDefault="00922377" w:rsidP="00922377">
      <w:r>
        <w:t>The CCC have a mission to provide more than 2.1 million students</w:t>
      </w:r>
      <w:r w:rsidR="00E22AAE">
        <w:t>,</w:t>
      </w:r>
      <w:r>
        <w:t xml:space="preserve"> attending 115 community colleges</w:t>
      </w:r>
      <w:r w:rsidR="00E22AAE">
        <w:t>,</w:t>
      </w:r>
      <w:r>
        <w:t xml:space="preserve"> with the knowledge and background necessary to compete in today’s economy. In order to accomplish its mission, the CCCCO has defined </w:t>
      </w:r>
      <w:r w:rsidR="00E22AAE">
        <w:t xml:space="preserve">the following </w:t>
      </w:r>
      <w:r>
        <w:t>six main goals</w:t>
      </w:r>
      <w:r w:rsidR="00E22AAE">
        <w:t>,</w:t>
      </w:r>
      <w:r>
        <w:t xml:space="preserve"> as part of its Vision for Success initiative</w:t>
      </w:r>
      <w:r w:rsidR="00E22AAE">
        <w:t>.</w:t>
      </w:r>
      <w:r>
        <w:t xml:space="preserve"> </w:t>
      </w:r>
      <w:r w:rsidR="00785BE2">
        <w:t>More information about these</w:t>
      </w:r>
      <w:r w:rsidR="00E22AAE">
        <w:t xml:space="preserve"> goals </w:t>
      </w:r>
      <w:r>
        <w:t>can</w:t>
      </w:r>
      <w:r w:rsidR="00E22AAE">
        <w:t xml:space="preserve"> </w:t>
      </w:r>
      <w:r>
        <w:t xml:space="preserve">be found on the CCC’s website at </w:t>
      </w:r>
      <w:hyperlink r:id="rId42" w:tooltip="The CCC Foundation" w:history="1">
        <w:r w:rsidR="001B3461" w:rsidRPr="00F77EE3">
          <w:rPr>
            <w:rStyle w:val="Hyperlink"/>
          </w:rPr>
          <w:t>https://vision.foundationccc.org/looking-ahead</w:t>
        </w:r>
      </w:hyperlink>
      <w:r>
        <w:t>.</w:t>
      </w:r>
    </w:p>
    <w:p w14:paraId="54A01342" w14:textId="6086FD6B" w:rsidR="00922377" w:rsidRDefault="00922377" w:rsidP="00C82B9D">
      <w:pPr>
        <w:pStyle w:val="ListParagraph"/>
        <w:numPr>
          <w:ilvl w:val="0"/>
          <w:numId w:val="32"/>
        </w:numPr>
        <w:ind w:left="1170" w:hanging="450"/>
      </w:pPr>
      <w:r>
        <w:t xml:space="preserve">Over five years, increase by at least 20 percent the number of CCC students annually who acquire </w:t>
      </w:r>
      <w:r w:rsidR="006575BC">
        <w:t>a</w:t>
      </w:r>
      <w:r>
        <w:t xml:space="preserve">ssociate </w:t>
      </w:r>
      <w:r w:rsidR="006575BC">
        <w:t>d</w:t>
      </w:r>
      <w:r>
        <w:t>egrees, credentials, certificates, or specific skill sets that prepare them for an in-demand job.</w:t>
      </w:r>
    </w:p>
    <w:p w14:paraId="1C0FB29B" w14:textId="459E1A0C" w:rsidR="00922377" w:rsidRDefault="00922377" w:rsidP="00C82B9D">
      <w:pPr>
        <w:pStyle w:val="ListParagraph"/>
        <w:numPr>
          <w:ilvl w:val="0"/>
          <w:numId w:val="32"/>
        </w:numPr>
        <w:ind w:left="1170" w:hanging="450"/>
      </w:pPr>
      <w:r>
        <w:lastRenderedPageBreak/>
        <w:t>Over five years, increase by 35 percent the number of CCC students transferring annually to a UC or CSU.</w:t>
      </w:r>
    </w:p>
    <w:p w14:paraId="21439FCE" w14:textId="1A1FFE83" w:rsidR="00922377" w:rsidRDefault="00922377" w:rsidP="00C82B9D">
      <w:pPr>
        <w:pStyle w:val="ListParagraph"/>
        <w:numPr>
          <w:ilvl w:val="0"/>
          <w:numId w:val="32"/>
        </w:numPr>
        <w:ind w:left="1170" w:hanging="450"/>
      </w:pPr>
      <w:r>
        <w:t xml:space="preserve">Over five years, decrease the average number of units accumulated by CCC students earning </w:t>
      </w:r>
      <w:r w:rsidR="006575BC">
        <w:t>a</w:t>
      </w:r>
      <w:r>
        <w:t xml:space="preserve">ssociate </w:t>
      </w:r>
      <w:r w:rsidR="006575BC">
        <w:t>d</w:t>
      </w:r>
      <w:r>
        <w:t>egrees, from approximately 87 total units (the most recent system</w:t>
      </w:r>
      <w:r w:rsidR="0016591E">
        <w:t>-</w:t>
      </w:r>
      <w:r>
        <w:t>wide average) to 79 total units.</w:t>
      </w:r>
    </w:p>
    <w:p w14:paraId="3A565DDB" w14:textId="422AE0AF" w:rsidR="00922377" w:rsidRDefault="00922377" w:rsidP="00C82B9D">
      <w:pPr>
        <w:pStyle w:val="ListParagraph"/>
        <w:numPr>
          <w:ilvl w:val="0"/>
          <w:numId w:val="32"/>
        </w:numPr>
        <w:ind w:left="1170" w:hanging="450"/>
      </w:pPr>
      <w:r>
        <w:t>Over five years, increase the percent of exiting CTE students who report being employed in their field of study, from the most recent statewide average of 60 percent to an improved rate of 76 percent.</w:t>
      </w:r>
    </w:p>
    <w:p w14:paraId="1E5B60FE" w14:textId="356ED333" w:rsidR="00922377" w:rsidRDefault="00922377" w:rsidP="00C82B9D">
      <w:pPr>
        <w:pStyle w:val="ListParagraph"/>
        <w:numPr>
          <w:ilvl w:val="0"/>
          <w:numId w:val="32"/>
        </w:numPr>
        <w:ind w:left="1170" w:hanging="450"/>
      </w:pPr>
      <w:r>
        <w:t>Reduce equity gaps across all of the above measures through faster improvements among traditionally underrepresented student groups, with the goal of cutting achievement gaps by 40 percent within five years and fully closing those achievement gaps within ten years.</w:t>
      </w:r>
    </w:p>
    <w:p w14:paraId="32A4C039" w14:textId="35D5263C" w:rsidR="00922377" w:rsidRDefault="00922377" w:rsidP="00C82B9D">
      <w:pPr>
        <w:pStyle w:val="ListParagraph"/>
        <w:numPr>
          <w:ilvl w:val="0"/>
          <w:numId w:val="32"/>
        </w:numPr>
        <w:ind w:left="1170" w:hanging="450"/>
      </w:pPr>
      <w:r>
        <w:t>Over five years, reduce regional achievement gaps across all of the above measures through faster improvements among colleges located in regions with the lowest educational attainment of adults, with the ultimate goal of fully closing regional achievement gaps within ten years.</w:t>
      </w:r>
    </w:p>
    <w:p w14:paraId="756F1D46" w14:textId="53928987" w:rsidR="00922377" w:rsidRDefault="00922377" w:rsidP="00922377">
      <w:r>
        <w:t>The Perkins V postsecondary core indicators not only align with the</w:t>
      </w:r>
      <w:r w:rsidR="006575BC">
        <w:t>se</w:t>
      </w:r>
      <w:r>
        <w:t xml:space="preserve"> goals, but also recognize the need to consider local and regional needs. </w:t>
      </w:r>
      <w:r w:rsidR="000C7627">
        <w:t>T</w:t>
      </w:r>
      <w:r>
        <w:t>he CCCCO invites every college to ensure that federal, State, and local goals are aligned with system</w:t>
      </w:r>
      <w:r w:rsidR="0016591E">
        <w:t>-</w:t>
      </w:r>
      <w:r>
        <w:t xml:space="preserve">wide priorities and goals so that the entire State moves together in a consistent direction. </w:t>
      </w:r>
    </w:p>
    <w:p w14:paraId="42C30D13" w14:textId="299A5A4B" w:rsidR="00922377" w:rsidRDefault="00922377" w:rsidP="00922377">
      <w:r>
        <w:t xml:space="preserve">Both the </w:t>
      </w:r>
      <w:r w:rsidR="006070AF">
        <w:t>K–12</w:t>
      </w:r>
      <w:r>
        <w:t xml:space="preserve"> California Model and the CCC’s Vision for Success </w:t>
      </w:r>
      <w:r w:rsidR="006575BC">
        <w:t>m</w:t>
      </w:r>
      <w:r>
        <w:t xml:space="preserve">odel are based on collecting and reporting data on all students. In addition, the California Model uses the district as the primary unit of analysis. </w:t>
      </w:r>
      <w:r w:rsidR="00BF0799">
        <w:t>The Pe</w:t>
      </w:r>
      <w:r w:rsidR="0016591E">
        <w:t>r</w:t>
      </w:r>
      <w:r w:rsidR="00BF0799">
        <w:t>kins Accountability framework</w:t>
      </w:r>
      <w:r>
        <w:t xml:space="preserve"> is based on a subset of students known as concentrators (defined </w:t>
      </w:r>
      <w:r w:rsidR="006575BC">
        <w:t>in the following section</w:t>
      </w:r>
      <w:r>
        <w:t xml:space="preserve">) and becomes the primary unit of analysis on which all performance indicators are based. This distinction is important to keep in mind as the </w:t>
      </w:r>
      <w:r w:rsidR="006575BC">
        <w:t xml:space="preserve">following </w:t>
      </w:r>
      <w:r>
        <w:t>information is reviewed.</w:t>
      </w:r>
    </w:p>
    <w:p w14:paraId="4FD97B7A" w14:textId="77777777" w:rsidR="00922377" w:rsidRDefault="00922377" w:rsidP="00856FF0">
      <w:pPr>
        <w:pStyle w:val="Heading4"/>
      </w:pPr>
      <w:r>
        <w:lastRenderedPageBreak/>
        <w:t>1. Identify and include at least one (1) of the following indicators of career and technical education program quality—</w:t>
      </w:r>
    </w:p>
    <w:p w14:paraId="6562CE89" w14:textId="77777777" w:rsidR="00922377" w:rsidRDefault="00922377" w:rsidP="001B3461">
      <w:pPr>
        <w:pStyle w:val="Heading5"/>
      </w:pPr>
      <w:r>
        <w:t>a. the percentage of CTE concentrators (see Text Box 6 for the statutory definition of a CTE concentrator under section 3(12) of Perkins V) graduating from high school having attained a recognized postsecondary credential;</w:t>
      </w:r>
    </w:p>
    <w:p w14:paraId="1A9A4818" w14:textId="77777777" w:rsidR="00922377" w:rsidRDefault="00922377" w:rsidP="001B3461">
      <w:pPr>
        <w:pStyle w:val="Heading5"/>
      </w:pPr>
      <w: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BCC90E5" w14:textId="77777777" w:rsidR="00922377" w:rsidRDefault="00922377" w:rsidP="001B3461">
      <w:pPr>
        <w:pStyle w:val="Heading5"/>
      </w:pPr>
      <w:r>
        <w:t>c. the percentage of CTE concentrators graduating from high school having participated in work-based learning. (Section 113(b)(2)(A)(iv)(I) of Perkins V)</w:t>
      </w:r>
    </w:p>
    <w:p w14:paraId="61DF624D" w14:textId="77777777" w:rsidR="00922377" w:rsidRPr="001B3461" w:rsidRDefault="00922377" w:rsidP="001B3461">
      <w:pPr>
        <w:rPr>
          <w:b/>
        </w:rPr>
      </w:pPr>
      <w:r w:rsidRPr="001B3461">
        <w:rPr>
          <w:b/>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14:paraId="51CB1E41" w14:textId="77777777" w:rsidR="00922377" w:rsidRPr="001B3461" w:rsidRDefault="00922377" w:rsidP="001B3461">
      <w:pPr>
        <w:rPr>
          <w:b/>
        </w:rPr>
      </w:pPr>
      <w:r w:rsidRPr="001B3461">
        <w:rPr>
          <w:b/>
        </w:rPr>
        <w:t>Provide the eligible agency’s measurement definition with a numerator and denominator for each of the quality indicator(s) the eligible agency selects to use.</w:t>
      </w:r>
    </w:p>
    <w:p w14:paraId="78548E3C" w14:textId="31025B5A" w:rsidR="00922377" w:rsidRPr="001B3461" w:rsidRDefault="00922377" w:rsidP="00922377">
      <w:pPr>
        <w:rPr>
          <w:b/>
        </w:rPr>
      </w:pPr>
      <w:r w:rsidRPr="001B3461">
        <w:rPr>
          <w:b/>
        </w:rPr>
        <w:t xml:space="preserve">Response for </w:t>
      </w:r>
      <w:r w:rsidR="00D03D08">
        <w:rPr>
          <w:b/>
        </w:rPr>
        <w:t>S</w:t>
      </w:r>
      <w:r w:rsidRPr="001B3461">
        <w:rPr>
          <w:b/>
        </w:rPr>
        <w:t xml:space="preserve">econdary </w:t>
      </w:r>
      <w:r w:rsidR="00D03D08">
        <w:rPr>
          <w:b/>
        </w:rPr>
        <w:t>P</w:t>
      </w:r>
      <w:r w:rsidRPr="001B3461">
        <w:rPr>
          <w:b/>
        </w:rPr>
        <w:t>rograms:</w:t>
      </w:r>
    </w:p>
    <w:p w14:paraId="5EE17FD8" w14:textId="74E75F55" w:rsidR="00922377" w:rsidRDefault="00922377" w:rsidP="00922377">
      <w:r>
        <w:t xml:space="preserve">CTE data, which </w:t>
      </w:r>
      <w:r w:rsidR="006575BC">
        <w:t xml:space="preserve">until </w:t>
      </w:r>
      <w:r>
        <w:t xml:space="preserve">recently was collected through a separate system (see </w:t>
      </w:r>
      <w:r w:rsidR="00CB6DC7">
        <w:t>the response to prompt D[3][c]</w:t>
      </w:r>
      <w:r w:rsidR="0024304B">
        <w:t>), are</w:t>
      </w:r>
      <w:r>
        <w:t xml:space="preserve"> now being collected and included within the California Longitudinal Pupil Achievement Data System (CALPADS). The overarching aim is to collect and report data for all CTE students</w:t>
      </w:r>
      <w:r w:rsidR="00C95AD5">
        <w:t>,</w:t>
      </w:r>
      <w:r>
        <w:t xml:space="preserve"> regardless </w:t>
      </w:r>
      <w:r w:rsidR="00C95AD5">
        <w:t xml:space="preserve">of </w:t>
      </w:r>
      <w:r>
        <w:t xml:space="preserve">which </w:t>
      </w:r>
      <w:r w:rsidR="000D6ABF">
        <w:t>S</w:t>
      </w:r>
      <w:r>
        <w:t xml:space="preserve">tate and federal programs are being used to fund CTE. </w:t>
      </w:r>
      <w:r w:rsidR="0051456F">
        <w:t xml:space="preserve">Isolating the impact of any one particular </w:t>
      </w:r>
      <w:r w:rsidR="006070AF">
        <w:t>S</w:t>
      </w:r>
      <w:r w:rsidR="009F6B66">
        <w:t xml:space="preserve">tate or federal funding source on student performance using CALPADS is not currently possible. To make this possible, the </w:t>
      </w:r>
      <w:r w:rsidR="006070AF">
        <w:t>S</w:t>
      </w:r>
      <w:r w:rsidR="009F6B66">
        <w:t xml:space="preserve">tate would </w:t>
      </w:r>
      <w:r w:rsidR="000E26C4">
        <w:t>need</w:t>
      </w:r>
      <w:r w:rsidR="009F6B66">
        <w:t xml:space="preserve"> to expend considerable </w:t>
      </w:r>
      <w:r w:rsidR="006070AF">
        <w:t>S</w:t>
      </w:r>
      <w:r w:rsidR="009F6B66">
        <w:t>tate and federal resources to reconfigure CALPADS to fi</w:t>
      </w:r>
      <w:r w:rsidR="000E26C4">
        <w:t>r</w:t>
      </w:r>
      <w:r w:rsidR="009F6B66">
        <w:t xml:space="preserve">st tie funding sources to districts, and then </w:t>
      </w:r>
      <w:r w:rsidR="000E26C4">
        <w:t xml:space="preserve">link individual </w:t>
      </w:r>
      <w:r w:rsidR="009F6B66">
        <w:t xml:space="preserve">funding sources </w:t>
      </w:r>
      <w:r w:rsidR="000E26C4">
        <w:t xml:space="preserve">the </w:t>
      </w:r>
      <w:r w:rsidR="009F6B66">
        <w:t xml:space="preserve">districts </w:t>
      </w:r>
      <w:r w:rsidR="000E26C4">
        <w:t xml:space="preserve">are using </w:t>
      </w:r>
      <w:r w:rsidR="009F6B66">
        <w:t xml:space="preserve">to individual </w:t>
      </w:r>
      <w:r w:rsidR="000E26C4">
        <w:t xml:space="preserve">CTE </w:t>
      </w:r>
      <w:r w:rsidR="009F6B66">
        <w:lastRenderedPageBreak/>
        <w:t xml:space="preserve">students. </w:t>
      </w:r>
      <w:r w:rsidR="000E26C4">
        <w:t xml:space="preserve">How this gets done will be </w:t>
      </w:r>
      <w:r w:rsidR="00D03D08">
        <w:t xml:space="preserve">a </w:t>
      </w:r>
      <w:r w:rsidR="000E26C4">
        <w:t xml:space="preserve">matter of discussion during the implementation of the </w:t>
      </w:r>
      <w:r w:rsidR="006070AF">
        <w:t xml:space="preserve">Federal </w:t>
      </w:r>
      <w:r w:rsidR="000E26C4">
        <w:t>Perkins V State Plan.</w:t>
      </w:r>
    </w:p>
    <w:p w14:paraId="0BF2589D" w14:textId="40D41C58" w:rsidR="00922377" w:rsidRDefault="00922377" w:rsidP="00922377">
      <w:r>
        <w:t>Other than the indicators for program placement, the remaining secondary indicators will be calcula</w:t>
      </w:r>
      <w:r w:rsidR="0024304B">
        <w:t>ted</w:t>
      </w:r>
      <w:r>
        <w:t xml:space="preserve"> directly from the CALPADS. For the program placement indicator, </w:t>
      </w:r>
      <w:r w:rsidR="001B3461">
        <w:t xml:space="preserve">the </w:t>
      </w:r>
      <w:r>
        <w:t xml:space="preserve">CDE is working internally to collect the information by providing specific codes that indicate the different options </w:t>
      </w:r>
      <w:r w:rsidR="001E28B2">
        <w:t xml:space="preserve">that </w:t>
      </w:r>
      <w:r>
        <w:t xml:space="preserve">graduates </w:t>
      </w:r>
      <w:r w:rsidR="0024304B">
        <w:t>select</w:t>
      </w:r>
      <w:r>
        <w:t xml:space="preserve"> once they leave high school. The nontraditional completion indicator is already available within </w:t>
      </w:r>
      <w:r w:rsidR="001B3461">
        <w:t xml:space="preserve">the </w:t>
      </w:r>
      <w:r>
        <w:t>CALPADS</w:t>
      </w:r>
      <w:r w:rsidR="001E28B2">
        <w:t>,</w:t>
      </w:r>
      <w:r>
        <w:t xml:space="preserve"> </w:t>
      </w:r>
      <w:r w:rsidR="000E26C4">
        <w:t>and it is</w:t>
      </w:r>
      <w:r>
        <w:t xml:space="preserve"> the same indicator </w:t>
      </w:r>
      <w:r w:rsidR="000E26C4">
        <w:t xml:space="preserve">that </w:t>
      </w:r>
      <w:r>
        <w:t xml:space="preserve">was being collected under Perkins IV. California has many options with regard to the secondary CTE quality indicator. The </w:t>
      </w:r>
      <w:r w:rsidR="000D6ABF">
        <w:t>S</w:t>
      </w:r>
      <w:r>
        <w:t xml:space="preserve">tate considered several factors, </w:t>
      </w:r>
      <w:r w:rsidR="0024304B">
        <w:t xml:space="preserve">such as whether the data could be collected at the </w:t>
      </w:r>
      <w:r>
        <w:t>student-level</w:t>
      </w:r>
      <w:r w:rsidR="0024304B">
        <w:t>, if there was</w:t>
      </w:r>
      <w:r>
        <w:t xml:space="preserve"> districtwide coverage</w:t>
      </w:r>
      <w:r w:rsidR="004559ED">
        <w:t>, if it could be collected</w:t>
      </w:r>
      <w:r>
        <w:t xml:space="preserve"> within the CALPADS</w:t>
      </w:r>
      <w:r w:rsidR="004559ED">
        <w:t>, and whether</w:t>
      </w:r>
      <w:r>
        <w:t xml:space="preserve"> district reporting</w:t>
      </w:r>
      <w:r w:rsidR="00D03D08">
        <w:t>,</w:t>
      </w:r>
      <w:r>
        <w:t xml:space="preserve"> not just for CTE</w:t>
      </w:r>
      <w:r w:rsidR="00D03D08">
        <w:t>,</w:t>
      </w:r>
      <w:r>
        <w:t xml:space="preserve"> but for a broader purpose</w:t>
      </w:r>
      <w:r w:rsidR="006070AF">
        <w:t xml:space="preserve"> </w:t>
      </w:r>
      <w:r w:rsidR="000C7627">
        <w:t>and</w:t>
      </w:r>
      <w:r>
        <w:t xml:space="preserve"> relative ease of calculating the numerator and denominator. Based on these and other factors, the </w:t>
      </w:r>
      <w:r w:rsidR="000D6ABF">
        <w:t>S</w:t>
      </w:r>
      <w:r>
        <w:t xml:space="preserve">tate has determined to use </w:t>
      </w:r>
      <w:r w:rsidR="000C7627">
        <w:t xml:space="preserve">the following </w:t>
      </w:r>
      <w:r>
        <w:t>as the quality indicator:</w:t>
      </w:r>
    </w:p>
    <w:p w14:paraId="6B3E3C06" w14:textId="730DDC7E" w:rsidR="00922377" w:rsidRPr="006070AF" w:rsidRDefault="00922377" w:rsidP="007F57B0">
      <w:pPr>
        <w:ind w:left="720"/>
        <w:rPr>
          <w:i/>
        </w:rPr>
      </w:pPr>
      <w:r w:rsidRPr="006070AF">
        <w:rPr>
          <w:i/>
        </w:rPr>
        <w:t>One semester/two quarters of college credit courses with a grade of C- or better in an industry pathway</w:t>
      </w:r>
      <w:r w:rsidR="00B008E5" w:rsidRPr="006070AF">
        <w:rPr>
          <w:i/>
        </w:rPr>
        <w:t>.</w:t>
      </w:r>
    </w:p>
    <w:p w14:paraId="4D91ACD6" w14:textId="462AA735" w:rsidR="00922377" w:rsidRDefault="00922377" w:rsidP="00922377">
      <w:r>
        <w:t>The above will define the numerator</w:t>
      </w:r>
      <w:r w:rsidR="00BF0799">
        <w:t xml:space="preserve"> for the secondary quality indicator</w:t>
      </w:r>
      <w:r>
        <w:t xml:space="preserve">. The denominator will be the </w:t>
      </w:r>
      <w:r w:rsidR="001E28B2">
        <w:t xml:space="preserve">following </w:t>
      </w:r>
      <w:r w:rsidR="000D6ABF">
        <w:t>S</w:t>
      </w:r>
      <w:r>
        <w:t>tate definition of a concentrator.</w:t>
      </w:r>
    </w:p>
    <w:p w14:paraId="68A074EB" w14:textId="54A497D2" w:rsidR="00922377" w:rsidRDefault="00922377" w:rsidP="00922377">
      <w:r>
        <w:t>Given that Perkins V now require</w:t>
      </w:r>
      <w:r w:rsidR="000C7627">
        <w:t>s</w:t>
      </w:r>
      <w:r>
        <w:t xml:space="preserve"> states to define a concentrator as a course sequence of at least two courses in a program, POS, or career pathway, a concentrator</w:t>
      </w:r>
      <w:r w:rsidR="000C7627">
        <w:t xml:space="preserve"> is defined as</w:t>
      </w:r>
      <w:r>
        <w:t>:</w:t>
      </w:r>
    </w:p>
    <w:p w14:paraId="6EB239C7" w14:textId="77777777" w:rsidR="00922377" w:rsidRPr="006070AF" w:rsidRDefault="00922377" w:rsidP="007F57B0">
      <w:pPr>
        <w:ind w:left="720"/>
        <w:rPr>
          <w:i/>
        </w:rPr>
      </w:pPr>
      <w:r w:rsidRPr="006070AF">
        <w:rPr>
          <w:i/>
        </w:rPr>
        <w:t>A CTE student who completes at least 300 hours of course sequence in an industry pathway, and the sequence includes the capstone course; and the CTE student receives a grade of C- or better in the capstone course.</w:t>
      </w:r>
    </w:p>
    <w:p w14:paraId="465F8266" w14:textId="17B35A13" w:rsidR="00922377" w:rsidRDefault="00922377" w:rsidP="00922377">
      <w:r>
        <w:t xml:space="preserve">The definition was chosen because (1) it aligns with the one of the career measures within the CCI: a student who completes a CTE pathway with a grade C- or better; and (2) the analysis described </w:t>
      </w:r>
      <w:r w:rsidR="00E20A59">
        <w:t xml:space="preserve">in the response to prompt D(3)(c) </w:t>
      </w:r>
      <w:r>
        <w:t xml:space="preserve">to determine the SDPLs shows why the choice is appropriate. </w:t>
      </w:r>
      <w:r w:rsidR="000C7627">
        <w:t>T</w:t>
      </w:r>
      <w:r>
        <w:t>he other two quality indicators (WBL</w:t>
      </w:r>
      <w:r w:rsidR="001B3461">
        <w:t xml:space="preserve"> and </w:t>
      </w:r>
      <w:r>
        <w:lastRenderedPageBreak/>
        <w:t xml:space="preserve">postsecondary credentials) are partially included within the CCI. Including these as optional measures in later years for the quality indicator is a definite possibility. This </w:t>
      </w:r>
      <w:r w:rsidR="000D6ABF">
        <w:t>S</w:t>
      </w:r>
      <w:r>
        <w:t>tate-</w:t>
      </w:r>
      <w:r w:rsidR="000C7627">
        <w:t>created</w:t>
      </w:r>
      <w:r>
        <w:t xml:space="preserve"> definition of a concentrator</w:t>
      </w:r>
      <w:r w:rsidR="000C7627">
        <w:t xml:space="preserve">, </w:t>
      </w:r>
      <w:r>
        <w:t xml:space="preserve">now common to all indicators, can also be extracted from CALPADS. </w:t>
      </w:r>
    </w:p>
    <w:p w14:paraId="591A6DAD" w14:textId="72D1D34B" w:rsidR="00922377" w:rsidRPr="001B3461" w:rsidRDefault="00922377" w:rsidP="00922377">
      <w:pPr>
        <w:rPr>
          <w:b/>
        </w:rPr>
      </w:pPr>
      <w:r w:rsidRPr="001B3461">
        <w:rPr>
          <w:b/>
        </w:rPr>
        <w:t xml:space="preserve">Response for </w:t>
      </w:r>
      <w:r w:rsidR="00D03D08">
        <w:rPr>
          <w:b/>
        </w:rPr>
        <w:t>P</w:t>
      </w:r>
      <w:r w:rsidRPr="001B3461">
        <w:rPr>
          <w:b/>
        </w:rPr>
        <w:t xml:space="preserve">ostsecondary </w:t>
      </w:r>
      <w:r w:rsidR="00D03D08">
        <w:rPr>
          <w:b/>
        </w:rPr>
        <w:t>P</w:t>
      </w:r>
      <w:r w:rsidRPr="001B3461">
        <w:rPr>
          <w:b/>
        </w:rPr>
        <w:t>rograms:</w:t>
      </w:r>
    </w:p>
    <w:p w14:paraId="65EE71E4" w14:textId="03D91FBF" w:rsidR="00922377" w:rsidRDefault="00922377" w:rsidP="00922377">
      <w:r>
        <w:t xml:space="preserve">California postsecondary performance levels are expressed in percentages, as presented in the table </w:t>
      </w:r>
      <w:r w:rsidR="00AA4C03">
        <w:t>in</w:t>
      </w:r>
      <w:r>
        <w:t xml:space="preserve"> Section V</w:t>
      </w:r>
      <w:r w:rsidR="00595326">
        <w:t xml:space="preserve"> of this document</w:t>
      </w:r>
      <w:r>
        <w:t xml:space="preserve">. The baseline for each postsecondary performance indicator was established using data from the last three years, and taking the average as the reference level for the next four years. </w:t>
      </w:r>
    </w:p>
    <w:p w14:paraId="07943530" w14:textId="5F210919" w:rsidR="00922377" w:rsidRDefault="00922377" w:rsidP="00922377">
      <w:r>
        <w:t xml:space="preserve">In addition, </w:t>
      </w:r>
      <w:r w:rsidR="00785BE2">
        <w:t>SDPLs</w:t>
      </w:r>
      <w:r>
        <w:t xml:space="preserve"> align with </w:t>
      </w:r>
      <w:r w:rsidR="001B0EA9">
        <w:t xml:space="preserve">the </w:t>
      </w:r>
      <w:r w:rsidR="000D6ABF">
        <w:t>S</w:t>
      </w:r>
      <w:r>
        <w:t>tate</w:t>
      </w:r>
      <w:r w:rsidR="001B0EA9">
        <w:t>’s</w:t>
      </w:r>
      <w:r w:rsidR="006070AF">
        <w:t xml:space="preserve"> V</w:t>
      </w:r>
      <w:r>
        <w:t xml:space="preserve">ision and </w:t>
      </w:r>
      <w:r w:rsidR="002A1C06">
        <w:t>goals,</w:t>
      </w:r>
      <w:r>
        <w:t xml:space="preserve"> and encourage </w:t>
      </w:r>
      <w:r w:rsidR="000D6ABF">
        <w:t>S</w:t>
      </w:r>
      <w:r>
        <w:t>tate and local agencies to continu</w:t>
      </w:r>
      <w:r w:rsidR="002A1C06">
        <w:t>ally improve their program</w:t>
      </w:r>
      <w:r>
        <w:t xml:space="preserve"> over the course of the four-year </w:t>
      </w:r>
      <w:r w:rsidR="00785BE2">
        <w:t xml:space="preserve">Federal </w:t>
      </w:r>
      <w:r>
        <w:t xml:space="preserve">Perkins </w:t>
      </w:r>
      <w:r w:rsidR="00785BE2">
        <w:t xml:space="preserve">V State </w:t>
      </w:r>
      <w:r>
        <w:t>Plan.</w:t>
      </w:r>
    </w:p>
    <w:p w14:paraId="5BC9217E" w14:textId="77777777" w:rsidR="00922377" w:rsidRDefault="00922377" w:rsidP="001B3461">
      <w:pPr>
        <w:pStyle w:val="Heading4"/>
      </w:pPr>
      <w:r>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w:t>
      </w:r>
    </w:p>
    <w:p w14:paraId="4E16BB4F" w14:textId="77777777" w:rsidR="00922377" w:rsidRPr="001B3461" w:rsidRDefault="00922377" w:rsidP="00922377">
      <w:pPr>
        <w:rPr>
          <w:b/>
        </w:rPr>
      </w:pPr>
      <w:r w:rsidRPr="001B3461">
        <w:rPr>
          <w:b/>
        </w:rPr>
        <w:t>Response:</w:t>
      </w:r>
    </w:p>
    <w:p w14:paraId="591CAC0D" w14:textId="451C1E14" w:rsidR="00922377" w:rsidRDefault="00922377" w:rsidP="00922377">
      <w:r>
        <w:t xml:space="preserve">Please see the table on pages </w:t>
      </w:r>
      <w:r w:rsidR="000F7C8F">
        <w:t xml:space="preserve">180–181 </w:t>
      </w:r>
      <w:r>
        <w:t xml:space="preserve">(Section V) for the completed form and a further explanation </w:t>
      </w:r>
      <w:r w:rsidR="00321DD4">
        <w:t>of how the state completed the SDPL form</w:t>
      </w:r>
      <w:r>
        <w:t>.</w:t>
      </w:r>
    </w:p>
    <w:p w14:paraId="3C014D35" w14:textId="77777777" w:rsidR="00922377" w:rsidRDefault="00922377" w:rsidP="001B3461">
      <w:pPr>
        <w:pStyle w:val="Heading4"/>
      </w:pPr>
      <w:r>
        <w:lastRenderedPageBreak/>
        <w:t>3. Describe the procedure the eligible agency adopted for determining State determined levels of performance described in section 113 of Perkins V, which at a minimum shall include—</w:t>
      </w:r>
    </w:p>
    <w:p w14:paraId="18FBC5F8" w14:textId="77777777" w:rsidR="00922377" w:rsidRDefault="00922377" w:rsidP="001B3461">
      <w:pPr>
        <w:pStyle w:val="Heading5"/>
      </w:pPr>
      <w: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0DE67B29" w14:textId="77777777" w:rsidR="00922377" w:rsidRPr="001B3461" w:rsidRDefault="00922377" w:rsidP="00922377">
      <w:pPr>
        <w:rPr>
          <w:b/>
        </w:rPr>
      </w:pPr>
      <w:r w:rsidRPr="001B3461">
        <w:rPr>
          <w:b/>
        </w:rPr>
        <w:t>Response:</w:t>
      </w:r>
    </w:p>
    <w:p w14:paraId="5E0F92FC" w14:textId="13EC4CC2" w:rsidR="00922377" w:rsidRDefault="00922377" w:rsidP="00922377">
      <w:r>
        <w:t xml:space="preserve">California’s process for seeking public comment </w:t>
      </w:r>
      <w:r w:rsidR="002A1C06">
        <w:t>for</w:t>
      </w:r>
      <w:r w:rsidR="00D037C1">
        <w:t xml:space="preserve"> </w:t>
      </w:r>
      <w:r>
        <w:t xml:space="preserve">the SDPLs </w:t>
      </w:r>
      <w:r w:rsidR="00D037C1">
        <w:t>wa</w:t>
      </w:r>
      <w:r>
        <w:t xml:space="preserve">s as follows. The completed SDPL form underwent several iterations after input from the CWPJAC, the stakeholder groups, </w:t>
      </w:r>
      <w:r w:rsidR="00D037C1">
        <w:t>and</w:t>
      </w:r>
      <w:r w:rsidR="002021C7">
        <w:t xml:space="preserve"> the</w:t>
      </w:r>
      <w:r>
        <w:t xml:space="preserve"> SBE, CDE, and CCCCO staff on the JMT. The completed SDPL form was first presented to the CWPJAC at </w:t>
      </w:r>
      <w:r w:rsidR="00D037C1">
        <w:t>its</w:t>
      </w:r>
      <w:r>
        <w:t xml:space="preserve"> November 25, 2019</w:t>
      </w:r>
      <w:r w:rsidR="00D037C1">
        <w:t>,</w:t>
      </w:r>
      <w:r>
        <w:t xml:space="preserve"> meeting. After much discussion at the meeting, the CWPJAC members gave staff </w:t>
      </w:r>
      <w:r w:rsidR="00D037C1">
        <w:t>explicit direction</w:t>
      </w:r>
      <w:r>
        <w:t xml:space="preserve"> to align the baseline and projected SDPLs for all secondary Perkins accountability indicators to the California </w:t>
      </w:r>
      <w:r w:rsidR="00D037C1">
        <w:t>M</w:t>
      </w:r>
      <w:r>
        <w:t xml:space="preserve">odel. Additionally, </w:t>
      </w:r>
      <w:r w:rsidR="002A1C06">
        <w:t>an updated</w:t>
      </w:r>
      <w:r>
        <w:t xml:space="preserve"> SDPL form </w:t>
      </w:r>
      <w:r w:rsidR="002A1C06">
        <w:t xml:space="preserve">with proposed indicators </w:t>
      </w:r>
      <w:r>
        <w:t xml:space="preserve">was included within the Draft Federal Perkins V State Plan for the public to </w:t>
      </w:r>
      <w:r w:rsidR="002A1C06">
        <w:t xml:space="preserve">consider and </w:t>
      </w:r>
      <w:r>
        <w:t>provide comment</w:t>
      </w:r>
      <w:r w:rsidR="002A1C06">
        <w:t xml:space="preserve"> on</w:t>
      </w:r>
      <w:r>
        <w:t xml:space="preserve">. </w:t>
      </w:r>
    </w:p>
    <w:p w14:paraId="1686A524" w14:textId="2FC3F1AF" w:rsidR="00922377" w:rsidRDefault="002021C7" w:rsidP="00922377">
      <w:r>
        <w:t xml:space="preserve">The </w:t>
      </w:r>
      <w:r w:rsidR="00922377">
        <w:t>CCTD staff continued to update the baseline and projected SDPLs</w:t>
      </w:r>
      <w:r w:rsidR="000D453A">
        <w:t xml:space="preserve"> (see pages </w:t>
      </w:r>
      <w:r w:rsidR="000F7C8F">
        <w:t>180–181</w:t>
      </w:r>
      <w:r w:rsidR="000D453A">
        <w:t>)</w:t>
      </w:r>
      <w:r w:rsidR="00D037C1">
        <w:t>,</w:t>
      </w:r>
      <w:r w:rsidR="00922377">
        <w:t xml:space="preserve"> working with staff from the </w:t>
      </w:r>
      <w:r w:rsidR="00D037C1">
        <w:t xml:space="preserve">CDE’s </w:t>
      </w:r>
      <w:r w:rsidR="00922377">
        <w:t xml:space="preserve">Analysis, Measurement, and Accountability Reporting </w:t>
      </w:r>
      <w:r w:rsidR="00D037C1">
        <w:t xml:space="preserve">Division </w:t>
      </w:r>
      <w:r w:rsidR="00922377">
        <w:t xml:space="preserve">(AMARD); Assessment Development and Administration </w:t>
      </w:r>
      <w:r w:rsidR="00D037C1">
        <w:t xml:space="preserve">Division </w:t>
      </w:r>
      <w:r w:rsidR="00922377">
        <w:t xml:space="preserve">(ADAD); and Educational Data Management </w:t>
      </w:r>
      <w:r w:rsidR="00D037C1">
        <w:t xml:space="preserve">Division </w:t>
      </w:r>
      <w:r w:rsidR="00922377">
        <w:t>(EDMD) to update the SDPL form</w:t>
      </w:r>
      <w:r w:rsidR="000D453A">
        <w:t>.</w:t>
      </w:r>
      <w:r w:rsidR="00922377">
        <w:t xml:space="preserve"> The updat</w:t>
      </w:r>
      <w:r w:rsidR="000C7627">
        <w:t>ed SDPL form was presented to a</w:t>
      </w:r>
      <w:r w:rsidR="00922377">
        <w:t xml:space="preserve"> </w:t>
      </w:r>
      <w:r w:rsidR="000C7627">
        <w:t xml:space="preserve">group of </w:t>
      </w:r>
      <w:r w:rsidR="00922377">
        <w:t>stakeholders</w:t>
      </w:r>
      <w:r w:rsidR="000C7627">
        <w:t xml:space="preserve"> interested in accountability</w:t>
      </w:r>
      <w:r w:rsidR="00D037C1">
        <w:t>,</w:t>
      </w:r>
      <w:r w:rsidR="00922377">
        <w:t xml:space="preserve"> and comments were received from this group. The updated SDPL form was also </w:t>
      </w:r>
      <w:r w:rsidR="000D453A">
        <w:t>shared with</w:t>
      </w:r>
      <w:r w:rsidR="00922377">
        <w:t xml:space="preserve"> the SBE a</w:t>
      </w:r>
      <w:r>
        <w:t xml:space="preserve">t </w:t>
      </w:r>
      <w:r w:rsidR="00D037C1">
        <w:t xml:space="preserve">its </w:t>
      </w:r>
      <w:r w:rsidR="00922377">
        <w:t xml:space="preserve">January 2020 meeting. While there was more alignment to the California </w:t>
      </w:r>
      <w:r w:rsidR="00D037C1">
        <w:t>M</w:t>
      </w:r>
      <w:r w:rsidR="00922377">
        <w:t>odel</w:t>
      </w:r>
      <w:r w:rsidR="000C7627">
        <w:t>,</w:t>
      </w:r>
      <w:r w:rsidR="00922377">
        <w:t xml:space="preserve"> </w:t>
      </w:r>
      <w:r w:rsidR="000C7627">
        <w:t>t</w:t>
      </w:r>
      <w:r w:rsidR="00922377">
        <w:t xml:space="preserve">he SBE requested </w:t>
      </w:r>
      <w:r w:rsidR="00D037C1">
        <w:t xml:space="preserve">that </w:t>
      </w:r>
      <w:r w:rsidR="00922377">
        <w:t xml:space="preserve">CDE staff continue work on the SDPLs. </w:t>
      </w:r>
    </w:p>
    <w:p w14:paraId="467A1684" w14:textId="0993D51D" w:rsidR="00922377" w:rsidRDefault="00922377" w:rsidP="00922377">
      <w:r>
        <w:t xml:space="preserve">The accountability stakeholder </w:t>
      </w:r>
      <w:r w:rsidR="000D453A">
        <w:t xml:space="preserve">virtual </w:t>
      </w:r>
      <w:r>
        <w:t>meeting was held in early January 2020. Seventy-four individuals, equally divided between</w:t>
      </w:r>
      <w:r w:rsidR="00D037C1">
        <w:t xml:space="preserve"> the</w:t>
      </w:r>
      <w:r>
        <w:t xml:space="preserve"> secondary and postsecondary</w:t>
      </w:r>
      <w:r w:rsidR="00D037C1">
        <w:t xml:space="preserve"> levels</w:t>
      </w:r>
      <w:r>
        <w:t xml:space="preserve">, participated in the </w:t>
      </w:r>
      <w:r w:rsidR="000D453A">
        <w:t xml:space="preserve">virtual </w:t>
      </w:r>
      <w:r>
        <w:t>meeting</w:t>
      </w:r>
      <w:r w:rsidR="00D037C1">
        <w:t>,</w:t>
      </w:r>
      <w:r>
        <w:t xml:space="preserve"> and a significant number </w:t>
      </w:r>
      <w:r w:rsidR="00D037C1">
        <w:t xml:space="preserve">of them </w:t>
      </w:r>
      <w:r>
        <w:t xml:space="preserve">had attended the </w:t>
      </w:r>
      <w:r w:rsidR="000D453A">
        <w:lastRenderedPageBreak/>
        <w:t>SSA</w:t>
      </w:r>
      <w:r w:rsidR="006070AF">
        <w:t>C</w:t>
      </w:r>
      <w:r>
        <w:t xml:space="preserve"> stakeholder meetings. The meeting was divided into two parts</w:t>
      </w:r>
      <w:r w:rsidR="00D037C1">
        <w:t>.</w:t>
      </w:r>
      <w:r>
        <w:t xml:space="preserve"> </w:t>
      </w:r>
      <w:r w:rsidR="00D037C1">
        <w:t>T</w:t>
      </w:r>
      <w:r>
        <w:t xml:space="preserve">he first part </w:t>
      </w:r>
      <w:r w:rsidR="00D037C1">
        <w:t>included</w:t>
      </w:r>
      <w:r>
        <w:t xml:space="preserve"> information on the requirements under Perkins V accountability. The second part focused on discussing the </w:t>
      </w:r>
      <w:r w:rsidR="000D453A">
        <w:t xml:space="preserve">proposed indicators on the </w:t>
      </w:r>
      <w:r>
        <w:t xml:space="preserve">updated SDPL form, with </w:t>
      </w:r>
      <w:r w:rsidR="000D453A">
        <w:t xml:space="preserve">an </w:t>
      </w:r>
      <w:r>
        <w:t>emphasis on the quality indicator</w:t>
      </w:r>
      <w:r w:rsidR="000D453A">
        <w:t>,</w:t>
      </w:r>
      <w:r>
        <w:t xml:space="preserve"> </w:t>
      </w:r>
      <w:r w:rsidR="00D037C1">
        <w:t xml:space="preserve">at the </w:t>
      </w:r>
      <w:r>
        <w:t>collection of subpopulation data</w:t>
      </w:r>
      <w:r w:rsidR="000C7627">
        <w:t xml:space="preserve"> at the postsecondary level</w:t>
      </w:r>
      <w:r>
        <w:t>.</w:t>
      </w:r>
    </w:p>
    <w:p w14:paraId="014D31D7" w14:textId="13A76D75" w:rsidR="00922377" w:rsidRDefault="00922377" w:rsidP="00A10C82">
      <w:pPr>
        <w:pStyle w:val="Heading5"/>
      </w:pPr>
      <w:r>
        <w:t>b. an explanation for the State determined levels of performance that meet each of the statutory requirements in Text Box 8; and</w:t>
      </w:r>
    </w:p>
    <w:p w14:paraId="097DA3C1" w14:textId="77777777" w:rsidR="00922377" w:rsidRDefault="00922377" w:rsidP="001B3461">
      <w:pPr>
        <w:pStyle w:val="Heading5"/>
      </w:pPr>
      <w:r>
        <w:t>c. a description of how the State determined levels of performance set by the eligible agency align with the levels, goals and objectives other Federal and State laws, (Section 122(d)(10) of Perkins V).</w:t>
      </w:r>
    </w:p>
    <w:p w14:paraId="7A8488C2" w14:textId="77777777" w:rsidR="00922377" w:rsidRPr="001B3461" w:rsidRDefault="00922377" w:rsidP="001B3461">
      <w:pPr>
        <w:rPr>
          <w:b/>
        </w:rPr>
      </w:pPr>
      <w:r w:rsidRPr="001B3461">
        <w:rPr>
          <w:b/>
        </w:rPr>
        <w:t xml:space="preserve">As part of the procedures for determining State determined levels of performance, describe the process that will be used to establish a baseline for those levels. </w:t>
      </w:r>
    </w:p>
    <w:p w14:paraId="497F624A" w14:textId="0B8AE714" w:rsidR="00922377" w:rsidRPr="001B3461" w:rsidRDefault="00922377" w:rsidP="00922377">
      <w:pPr>
        <w:rPr>
          <w:b/>
        </w:rPr>
      </w:pPr>
      <w:r w:rsidRPr="001B3461">
        <w:rPr>
          <w:b/>
        </w:rPr>
        <w:t>Response</w:t>
      </w:r>
      <w:r w:rsidR="000D453A">
        <w:rPr>
          <w:b/>
        </w:rPr>
        <w:t xml:space="preserve"> for </w:t>
      </w:r>
      <w:r w:rsidR="00D03D08">
        <w:rPr>
          <w:b/>
        </w:rPr>
        <w:t>S</w:t>
      </w:r>
      <w:r w:rsidR="000D453A">
        <w:rPr>
          <w:b/>
        </w:rPr>
        <w:t>econdary</w:t>
      </w:r>
      <w:r w:rsidRPr="001B3461">
        <w:rPr>
          <w:b/>
        </w:rPr>
        <w:t>:</w:t>
      </w:r>
    </w:p>
    <w:p w14:paraId="36EA9104" w14:textId="4F416EAA" w:rsidR="00922377" w:rsidRDefault="00922377" w:rsidP="00922377">
      <w:r>
        <w:t>The California Model is based on a five-by-five colored grid that produces 25 results. Each of these 25 results represent</w:t>
      </w:r>
      <w:r w:rsidR="00D62E6A">
        <w:t>s</w:t>
      </w:r>
      <w:r>
        <w:t xml:space="preserve"> a combination of current performance (known as “Status”) and how current performance compares to past performance (known as “Change”). Overall performance within the California Model</w:t>
      </w:r>
      <w:r w:rsidR="00D62E6A">
        <w:t>,</w:t>
      </w:r>
      <w:r>
        <w:t xml:space="preserve"> therefore</w:t>
      </w:r>
      <w:r w:rsidR="00D62E6A">
        <w:t>,</w:t>
      </w:r>
      <w:r>
        <w:t xml:space="preserve"> includes whether there has been improvement, and a school</w:t>
      </w:r>
      <w:r w:rsidR="00F66E54">
        <w:t>’s</w:t>
      </w:r>
      <w:r>
        <w:t xml:space="preserve"> and student group’s placement on the grid determines the improvement that is required to maintain the current performance level (color) on the grid</w:t>
      </w:r>
      <w:r w:rsidR="006070AF">
        <w:t>,</w:t>
      </w:r>
      <w:r>
        <w:t xml:space="preserve"> or to move to the next performance level. Goals can be established relative to overall performance within the Status and/or Change components of the five-by-five colored grids. </w:t>
      </w:r>
    </w:p>
    <w:p w14:paraId="070F4E03" w14:textId="0919AA77" w:rsidR="00240DB2" w:rsidRDefault="00240DB2" w:rsidP="00240DB2">
      <w:r>
        <w:t>The completed SDPL form on page 1</w:t>
      </w:r>
      <w:r w:rsidR="000F7C8F">
        <w:t>80</w:t>
      </w:r>
      <w:r>
        <w:t xml:space="preserve"> can be distinguished from the five-by-five grid </w:t>
      </w:r>
      <w:r w:rsidR="007033C8">
        <w:t>i</w:t>
      </w:r>
      <w:r>
        <w:t>n the following manner. The five-by-five grid is based on all students, whereas the values shown in the completed SDPL form is based on CTE completers in an industry pathway (California’s definition of a concentrator). Moreover, CTE is not identified on the California Data Dashboard as a sub</w:t>
      </w:r>
      <w:r w:rsidR="007033C8">
        <w:t>group</w:t>
      </w:r>
      <w:r>
        <w:t xml:space="preserve">. As a result, the values shown on the completed SDPL form will necessarily be different from what is shown on the California </w:t>
      </w:r>
      <w:r>
        <w:lastRenderedPageBreak/>
        <w:t xml:space="preserve">Data Dashboard. As will be explained below, because of the lack of data for CTE completers, </w:t>
      </w:r>
      <w:r w:rsidR="007033C8">
        <w:t xml:space="preserve">estimating targets for </w:t>
      </w:r>
      <w:r>
        <w:t xml:space="preserve">some of the indicators (the academic proficiency in science and the quality indicators) were based on all students. </w:t>
      </w:r>
    </w:p>
    <w:p w14:paraId="709E6177" w14:textId="677C7F02" w:rsidR="00F27BBD" w:rsidRDefault="00240DB2" w:rsidP="00240DB2">
      <w:r>
        <w:t xml:space="preserve">It should be noted that the five-by-five color grid within the California Model is based on district-level information, and is based on </w:t>
      </w:r>
      <w:r w:rsidR="00B65859">
        <w:t>achievement</w:t>
      </w:r>
      <w:r>
        <w:t xml:space="preserve"> scale scores</w:t>
      </w:r>
      <w:r w:rsidR="00B65859">
        <w:t>,</w:t>
      </w:r>
      <w:r>
        <w:t xml:space="preserve"> and measures deviation of student performance from a standard. That information is then aggregated to the district to determine where it falls on the five-by-five color grid. On the other hand, the federal Perkins Accountability Framework measures student-level performance on an indicator and directly compares it against a proposed target (the SDPLs), keeping in mind that if performance is at least 90 percent of the target, the district is meeting the student performance standard for that indicator</w:t>
      </w:r>
      <w:r w:rsidR="00F27BBD">
        <w:t>.</w:t>
      </w:r>
    </w:p>
    <w:p w14:paraId="6887CBF1" w14:textId="4ACB3433" w:rsidR="00922377" w:rsidRDefault="00922377" w:rsidP="00240DB2">
      <w:r>
        <w:t xml:space="preserve">Also, the California Model produces the </w:t>
      </w:r>
      <w:r w:rsidR="00E26566">
        <w:t xml:space="preserve">five-by-five </w:t>
      </w:r>
      <w:r>
        <w:t>grid for different sub</w:t>
      </w:r>
      <w:r w:rsidR="006070AF">
        <w:t>groups</w:t>
      </w:r>
      <w:r>
        <w:t xml:space="preserve">, </w:t>
      </w:r>
      <w:r w:rsidR="00F66E54">
        <w:t>where</w:t>
      </w:r>
      <w:r>
        <w:t xml:space="preserve"> </w:t>
      </w:r>
      <w:r w:rsidR="006070AF">
        <w:t>each</w:t>
      </w:r>
      <w:r>
        <w:t xml:space="preserve"> district is accordingly placed on the </w:t>
      </w:r>
      <w:r w:rsidR="00E26566">
        <w:t xml:space="preserve">five-by-five </w:t>
      </w:r>
      <w:r w:rsidR="000C7627">
        <w:t>grid and is a potential</w:t>
      </w:r>
      <w:r>
        <w:t xml:space="preserve"> candidate for comprehensive or targeted assistance</w:t>
      </w:r>
      <w:r w:rsidR="00F66E54">
        <w:t xml:space="preserve"> if </w:t>
      </w:r>
      <w:r w:rsidR="006070AF">
        <w:t>its</w:t>
      </w:r>
      <w:r w:rsidR="00F66E54">
        <w:t xml:space="preserve"> subgroups underperform in relationship to the established standard</w:t>
      </w:r>
      <w:r>
        <w:t xml:space="preserve">. </w:t>
      </w:r>
      <w:r w:rsidR="000C7627">
        <w:t>U</w:t>
      </w:r>
      <w:r>
        <w:t>nder the Perkins Accountability framework</w:t>
      </w:r>
      <w:r w:rsidR="000C7627">
        <w:t>,</w:t>
      </w:r>
      <w:r>
        <w:t xml:space="preserve"> there are no SDPLs for individual subpopulations</w:t>
      </w:r>
      <w:r w:rsidR="006E4564">
        <w:t xml:space="preserve">; however, </w:t>
      </w:r>
      <w:r>
        <w:t xml:space="preserve">performance gaps among </w:t>
      </w:r>
      <w:r w:rsidR="006070AF" w:rsidRPr="006070AF">
        <w:t>special populations, as defined by Perkins V,</w:t>
      </w:r>
      <w:r>
        <w:t xml:space="preserve"> need to be addressed when</w:t>
      </w:r>
      <w:r w:rsidR="006E4564">
        <w:t xml:space="preserve"> local eligible agencies or institutions</w:t>
      </w:r>
      <w:r>
        <w:t xml:space="preserve"> comple</w:t>
      </w:r>
      <w:r w:rsidR="006E4564">
        <w:t>te</w:t>
      </w:r>
      <w:r>
        <w:t xml:space="preserve"> the</w:t>
      </w:r>
      <w:r w:rsidR="006070AF">
        <w:t>ir</w:t>
      </w:r>
      <w:r>
        <w:t xml:space="preserve"> CLNA</w:t>
      </w:r>
      <w:r w:rsidR="004977C6">
        <w:t>,</w:t>
      </w:r>
      <w:r>
        <w:t xml:space="preserve"> and funding </w:t>
      </w:r>
      <w:r w:rsidR="004977C6">
        <w:t xml:space="preserve">targeted </w:t>
      </w:r>
      <w:r>
        <w:t xml:space="preserve">to those </w:t>
      </w:r>
      <w:r w:rsidR="006070AF">
        <w:t xml:space="preserve">special </w:t>
      </w:r>
      <w:r>
        <w:t xml:space="preserve">populations </w:t>
      </w:r>
      <w:r w:rsidR="006070AF">
        <w:t>who</w:t>
      </w:r>
      <w:r>
        <w:t xml:space="preserve"> are </w:t>
      </w:r>
      <w:r w:rsidR="006E4564">
        <w:t>under</w:t>
      </w:r>
      <w:r>
        <w:t xml:space="preserve"> performing and where </w:t>
      </w:r>
      <w:r w:rsidR="006E4564">
        <w:t xml:space="preserve">achievement </w:t>
      </w:r>
      <w:r>
        <w:t>gaps are largest.</w:t>
      </w:r>
    </w:p>
    <w:p w14:paraId="0C06A9BB" w14:textId="7BA18360" w:rsidR="00922377" w:rsidRDefault="00922377" w:rsidP="00922377">
      <w:r>
        <w:t xml:space="preserve">It is the intent of California to have </w:t>
      </w:r>
      <w:r w:rsidR="00B55160">
        <w:t xml:space="preserve">CTE </w:t>
      </w:r>
      <w:r>
        <w:t xml:space="preserve">outcome data that </w:t>
      </w:r>
      <w:r w:rsidR="006E4564">
        <w:t>are</w:t>
      </w:r>
      <w:r>
        <w:t xml:space="preserve"> collected within either federal</w:t>
      </w:r>
      <w:r w:rsidR="0034129E">
        <w:t>ly</w:t>
      </w:r>
      <w:r w:rsidR="006070AF">
        <w:t>-</w:t>
      </w:r>
      <w:r w:rsidR="0034129E">
        <w:t xml:space="preserve">funded </w:t>
      </w:r>
      <w:r>
        <w:t xml:space="preserve">or </w:t>
      </w:r>
      <w:r w:rsidR="000D6ABF">
        <w:t>S</w:t>
      </w:r>
      <w:r>
        <w:t>tate</w:t>
      </w:r>
      <w:r w:rsidR="0034129E">
        <w:t>-</w:t>
      </w:r>
      <w:r>
        <w:t>funded CTE programs (for example</w:t>
      </w:r>
      <w:r w:rsidR="004977C6">
        <w:t>,</w:t>
      </w:r>
      <w:r>
        <w:t xml:space="preserve"> </w:t>
      </w:r>
      <w:r w:rsidR="00EC3184">
        <w:t xml:space="preserve">the </w:t>
      </w:r>
      <w:r>
        <w:t xml:space="preserve">CTEIG and </w:t>
      </w:r>
      <w:r w:rsidR="00EC3184">
        <w:t xml:space="preserve">the </w:t>
      </w:r>
      <w:r>
        <w:t>K</w:t>
      </w:r>
      <w:r w:rsidR="0052753F" w:rsidRPr="0052753F">
        <w:t>–</w:t>
      </w:r>
      <w:r>
        <w:t>12</w:t>
      </w:r>
      <w:r w:rsidR="00EC3184">
        <w:t xml:space="preserve"> </w:t>
      </w:r>
      <w:r>
        <w:t>SWP) be aligned</w:t>
      </w:r>
      <w:r w:rsidR="0064554D">
        <w:t xml:space="preserve"> with regard to data, </w:t>
      </w:r>
      <w:r w:rsidR="00B55160">
        <w:t xml:space="preserve">reporting, and </w:t>
      </w:r>
      <w:r w:rsidR="0064554D">
        <w:t>accountability</w:t>
      </w:r>
      <w:r>
        <w:t xml:space="preserve">. Federal </w:t>
      </w:r>
      <w:r w:rsidR="006E4564">
        <w:t xml:space="preserve">Perkins V law explicitly defines </w:t>
      </w:r>
      <w:r>
        <w:t xml:space="preserve">CTE measurement indicators </w:t>
      </w:r>
      <w:r w:rsidR="006E4564">
        <w:t>for</w:t>
      </w:r>
      <w:r>
        <w:t xml:space="preserve"> the denominator and the numerator for each indicator. The </w:t>
      </w:r>
      <w:r w:rsidR="000D6ABF">
        <w:t>S</w:t>
      </w:r>
      <w:r>
        <w:t>tate CTE measurement indicators are less prescriptive</w:t>
      </w:r>
      <w:r w:rsidR="0098344B">
        <w:t>,</w:t>
      </w:r>
      <w:r>
        <w:t xml:space="preserve"> giving more latitude as to how the measurement indicators are actually defined and collected. Given that the Perkins V performance data </w:t>
      </w:r>
      <w:r w:rsidR="006E4564">
        <w:t>is not required to</w:t>
      </w:r>
      <w:r>
        <w:t xml:space="preserve"> be submitted </w:t>
      </w:r>
      <w:r w:rsidR="006E4564">
        <w:t xml:space="preserve">until </w:t>
      </w:r>
      <w:r>
        <w:t xml:space="preserve">December 2021, the </w:t>
      </w:r>
      <w:r w:rsidR="000D6ABF">
        <w:t>S</w:t>
      </w:r>
      <w:r>
        <w:t xml:space="preserve">tate has the opportunity to </w:t>
      </w:r>
      <w:r w:rsidR="00DC5EC5">
        <w:t xml:space="preserve">ensure that </w:t>
      </w:r>
      <w:r w:rsidR="00B55160">
        <w:t xml:space="preserve">CTE </w:t>
      </w:r>
      <w:r w:rsidR="00DC5EC5">
        <w:t>data collected and reported will be aligned</w:t>
      </w:r>
      <w:r w:rsidR="00B55160">
        <w:t xml:space="preserve"> across state</w:t>
      </w:r>
      <w:r w:rsidR="006070AF">
        <w:t>-</w:t>
      </w:r>
      <w:r w:rsidR="00B55160">
        <w:t xml:space="preserve"> and federally</w:t>
      </w:r>
      <w:r w:rsidR="006070AF">
        <w:t>-</w:t>
      </w:r>
      <w:r w:rsidR="00B55160">
        <w:t>funded CTE programs.</w:t>
      </w:r>
    </w:p>
    <w:p w14:paraId="7A5CF148" w14:textId="6694CD56" w:rsidR="00922377" w:rsidRDefault="00922377" w:rsidP="00922377">
      <w:r>
        <w:lastRenderedPageBreak/>
        <w:t>Each state applying for federal Perkins funds is expected to complete the SDPL form</w:t>
      </w:r>
      <w:r w:rsidR="0098344B">
        <w:t xml:space="preserve"> (see pages </w:t>
      </w:r>
      <w:r w:rsidR="000F7C8F">
        <w:t>180–181</w:t>
      </w:r>
      <w:r w:rsidR="0098344B">
        <w:t>)</w:t>
      </w:r>
      <w:r>
        <w:t xml:space="preserve">, which includes information on the following </w:t>
      </w:r>
      <w:r w:rsidR="006070AF">
        <w:t>seven secondary</w:t>
      </w:r>
      <w:r>
        <w:t xml:space="preserve"> indicators:</w:t>
      </w:r>
    </w:p>
    <w:p w14:paraId="5AA16332" w14:textId="70FC7060" w:rsidR="00922377" w:rsidRDefault="00922377" w:rsidP="00922377">
      <w:r>
        <w:t>Secondary Indicators</w:t>
      </w:r>
      <w:r w:rsidR="0098344B">
        <w:t>:</w:t>
      </w:r>
      <w:r>
        <w:t xml:space="preserve"> </w:t>
      </w:r>
    </w:p>
    <w:p w14:paraId="7C6761BB" w14:textId="41EC9D45" w:rsidR="00922377" w:rsidRDefault="00922377" w:rsidP="00842091">
      <w:pPr>
        <w:pStyle w:val="ListParagraph"/>
        <w:numPr>
          <w:ilvl w:val="1"/>
          <w:numId w:val="2"/>
        </w:numPr>
        <w:ind w:left="1170" w:hanging="450"/>
      </w:pPr>
      <w:r>
        <w:t>1S1: Four Year Graduation Rate</w:t>
      </w:r>
    </w:p>
    <w:p w14:paraId="251D4AB5" w14:textId="5941A205" w:rsidR="00922377" w:rsidRDefault="00922377" w:rsidP="00842091">
      <w:pPr>
        <w:pStyle w:val="ListParagraph"/>
        <w:numPr>
          <w:ilvl w:val="1"/>
          <w:numId w:val="2"/>
        </w:numPr>
        <w:ind w:left="1170" w:hanging="450"/>
      </w:pPr>
      <w:r>
        <w:t>1S2: Extended Graduation Rate (Optional)</w:t>
      </w:r>
    </w:p>
    <w:p w14:paraId="6FC7BA52" w14:textId="6B590737" w:rsidR="00922377" w:rsidRDefault="00922377" w:rsidP="00842091">
      <w:pPr>
        <w:pStyle w:val="ListParagraph"/>
        <w:numPr>
          <w:ilvl w:val="1"/>
          <w:numId w:val="2"/>
        </w:numPr>
        <w:ind w:left="1170" w:hanging="450"/>
      </w:pPr>
      <w:r>
        <w:t>2S1: Academic Proficiency in Reading Language Arts</w:t>
      </w:r>
    </w:p>
    <w:p w14:paraId="5C43E14F" w14:textId="3C86E0C3" w:rsidR="00922377" w:rsidRDefault="00922377" w:rsidP="00842091">
      <w:pPr>
        <w:pStyle w:val="ListParagraph"/>
        <w:numPr>
          <w:ilvl w:val="1"/>
          <w:numId w:val="2"/>
        </w:numPr>
        <w:ind w:left="1170" w:hanging="450"/>
      </w:pPr>
      <w:r>
        <w:t>2S2: Academic Proficiency in Mathematics</w:t>
      </w:r>
    </w:p>
    <w:p w14:paraId="332787EA" w14:textId="66A131A0" w:rsidR="00922377" w:rsidRDefault="00922377" w:rsidP="00842091">
      <w:pPr>
        <w:pStyle w:val="ListParagraph"/>
        <w:numPr>
          <w:ilvl w:val="1"/>
          <w:numId w:val="2"/>
        </w:numPr>
        <w:ind w:left="1170" w:hanging="450"/>
      </w:pPr>
      <w:r>
        <w:t xml:space="preserve">2S3: Academic Proficiency in Science </w:t>
      </w:r>
    </w:p>
    <w:p w14:paraId="0E95EB49" w14:textId="69124EBB" w:rsidR="00922377" w:rsidRDefault="00922377" w:rsidP="00842091">
      <w:pPr>
        <w:pStyle w:val="ListParagraph"/>
        <w:numPr>
          <w:ilvl w:val="1"/>
          <w:numId w:val="2"/>
        </w:numPr>
        <w:ind w:left="1170" w:hanging="450"/>
      </w:pPr>
      <w:r>
        <w:t>3S1: Post-Program Placement</w:t>
      </w:r>
    </w:p>
    <w:p w14:paraId="287009BE" w14:textId="0671E09B" w:rsidR="00922377" w:rsidRDefault="00922377" w:rsidP="00842091">
      <w:pPr>
        <w:pStyle w:val="ListParagraph"/>
        <w:numPr>
          <w:ilvl w:val="1"/>
          <w:numId w:val="2"/>
        </w:numPr>
        <w:ind w:left="1170" w:hanging="450"/>
      </w:pPr>
      <w:r>
        <w:t>4S1: Non-traditional Program Concentration</w:t>
      </w:r>
    </w:p>
    <w:p w14:paraId="6D3276AB" w14:textId="57B6C352" w:rsidR="00922377" w:rsidRDefault="006070AF" w:rsidP="00922377">
      <w:r>
        <w:t xml:space="preserve">The </w:t>
      </w:r>
      <w:r w:rsidR="00922377">
        <w:t xml:space="preserve">State has to choose one of the following: </w:t>
      </w:r>
    </w:p>
    <w:p w14:paraId="43FF6440" w14:textId="2294D508" w:rsidR="00922377" w:rsidRDefault="00922377" w:rsidP="00842091">
      <w:pPr>
        <w:pStyle w:val="ListParagraph"/>
        <w:numPr>
          <w:ilvl w:val="1"/>
          <w:numId w:val="2"/>
        </w:numPr>
        <w:ind w:left="1170" w:hanging="450"/>
      </w:pPr>
      <w:r>
        <w:t>5S1: Program Quality – Attained Recognized Postsecondary Credential</w:t>
      </w:r>
    </w:p>
    <w:p w14:paraId="37B5B4E8" w14:textId="16EDEBCF" w:rsidR="00922377" w:rsidRDefault="00922377" w:rsidP="00842091">
      <w:pPr>
        <w:pStyle w:val="ListParagraph"/>
        <w:numPr>
          <w:ilvl w:val="1"/>
          <w:numId w:val="2"/>
        </w:numPr>
        <w:ind w:left="1170" w:hanging="450"/>
      </w:pPr>
      <w:r>
        <w:t>5S2: Program Quality – Attained Postsecondary Credits</w:t>
      </w:r>
    </w:p>
    <w:p w14:paraId="50E9F0F6" w14:textId="7DA0AFDE" w:rsidR="00922377" w:rsidRDefault="00922377" w:rsidP="00842091">
      <w:pPr>
        <w:pStyle w:val="ListParagraph"/>
        <w:numPr>
          <w:ilvl w:val="1"/>
          <w:numId w:val="2"/>
        </w:numPr>
        <w:ind w:left="1170" w:hanging="450"/>
      </w:pPr>
      <w:r>
        <w:t xml:space="preserve">5S3: Program Quality – Participated in </w:t>
      </w:r>
      <w:r w:rsidR="002264D7">
        <w:t>WBL</w:t>
      </w:r>
    </w:p>
    <w:p w14:paraId="39CDEE8D" w14:textId="0F7B675B" w:rsidR="00922377" w:rsidRDefault="00922377" w:rsidP="00922377">
      <w:r>
        <w:t>California has decided to choose 5S2: Program Quality – Attained Postsecondary Credits</w:t>
      </w:r>
      <w:r w:rsidR="000864B4">
        <w:t>.</w:t>
      </w:r>
    </w:p>
    <w:p w14:paraId="68F749A4" w14:textId="51195025" w:rsidR="00922377" w:rsidRDefault="00922377" w:rsidP="00922377">
      <w:r>
        <w:t>For each of the ten Perkins V Accountability Indicators, the ED requires states to complete a</w:t>
      </w:r>
      <w:r w:rsidR="003718EF">
        <w:t>n</w:t>
      </w:r>
      <w:r w:rsidR="005F24A9">
        <w:t xml:space="preserve"> SDPL form </w:t>
      </w:r>
      <w:r>
        <w:t>for the baseline year</w:t>
      </w:r>
      <w:r w:rsidR="000864B4">
        <w:t>,</w:t>
      </w:r>
      <w:r>
        <w:t xml:space="preserve"> FY 2019</w:t>
      </w:r>
      <w:r w:rsidR="000864B4">
        <w:t>,</w:t>
      </w:r>
      <w:r>
        <w:t xml:space="preserve"> and for each of the following four years</w:t>
      </w:r>
      <w:r w:rsidR="000864B4">
        <w:t>:</w:t>
      </w:r>
      <w:r>
        <w:t xml:space="preserve"> FY 2020</w:t>
      </w:r>
      <w:r w:rsidR="00433B41">
        <w:t>–21</w:t>
      </w:r>
      <w:r>
        <w:t>, FY 2021</w:t>
      </w:r>
      <w:r w:rsidR="00433B41">
        <w:t>–22</w:t>
      </w:r>
      <w:r>
        <w:t>, FY 2022</w:t>
      </w:r>
      <w:r w:rsidR="00433B41">
        <w:t>–23</w:t>
      </w:r>
      <w:r>
        <w:t>, and FY 2023</w:t>
      </w:r>
      <w:r w:rsidR="00433B41">
        <w:t>–24</w:t>
      </w:r>
      <w:r>
        <w:t xml:space="preserve">. </w:t>
      </w:r>
      <w:r w:rsidR="00864D58">
        <w:t>The following sections describe</w:t>
      </w:r>
      <w:r>
        <w:t xml:space="preserve"> the process for determining the SDPLs for the 10 different Perkins V indicators</w:t>
      </w:r>
      <w:r w:rsidR="00433B41">
        <w:t xml:space="preserve"> </w:t>
      </w:r>
      <w:r w:rsidR="00433B41" w:rsidRPr="00433B41">
        <w:t xml:space="preserve">(i.e., seven secondary and </w:t>
      </w:r>
      <w:r w:rsidR="00433B41">
        <w:t>three postsecondary indicators)</w:t>
      </w:r>
      <w:r>
        <w:t>.</w:t>
      </w:r>
    </w:p>
    <w:p w14:paraId="2852C321" w14:textId="3CF12AEC" w:rsidR="00ED4CA2" w:rsidRDefault="00ED4CA2" w:rsidP="00922377">
      <w:r>
        <w:lastRenderedPageBreak/>
        <w:t xml:space="preserve">Developing the SDPLs required several steps. </w:t>
      </w:r>
      <w:r w:rsidR="00E107FE">
        <w:t xml:space="preserve">The </w:t>
      </w:r>
      <w:r w:rsidRPr="00ED4CA2">
        <w:t>CCTD began with the E1-E2</w:t>
      </w:r>
      <w:r w:rsidR="00A6269B">
        <w:t xml:space="preserve"> </w:t>
      </w:r>
      <w:r w:rsidRPr="00ED4CA2">
        <w:t>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w:t>
      </w:r>
      <w:r>
        <w:t>, a requirement under Perkins V</w:t>
      </w:r>
      <w:r w:rsidRPr="00ED4CA2">
        <w:t>.</w:t>
      </w:r>
    </w:p>
    <w:p w14:paraId="30DC8BAF" w14:textId="23DB594C" w:rsidR="00922377" w:rsidRDefault="00922377" w:rsidP="00922377">
      <w:r>
        <w:t xml:space="preserve">The following approach was taken to determine the SDPL baseline as well as targets for each of the </w:t>
      </w:r>
      <w:r w:rsidR="00DC5EC5">
        <w:t>seven</w:t>
      </w:r>
      <w:r>
        <w:t xml:space="preserve"> secondary indicators. </w:t>
      </w:r>
      <w:r w:rsidR="005F24A9">
        <w:t>The SDPL form on p</w:t>
      </w:r>
      <w:r>
        <w:t xml:space="preserve">ages </w:t>
      </w:r>
      <w:r w:rsidR="000F7C8F">
        <w:t>180–181</w:t>
      </w:r>
      <w:r>
        <w:t>is a chart that shows</w:t>
      </w:r>
      <w:r w:rsidR="00195C83">
        <w:t>,</w:t>
      </w:r>
      <w:r>
        <w:t xml:space="preserve"> for each Perkins indicator</w:t>
      </w:r>
      <w:r w:rsidR="00195C83">
        <w:t>,</w:t>
      </w:r>
      <w:r>
        <w:t xml:space="preserve"> the baseline (FY</w:t>
      </w:r>
      <w:r w:rsidR="00FA280C">
        <w:t xml:space="preserve"> </w:t>
      </w:r>
      <w:r>
        <w:t>2019) and projections for four years (FY</w:t>
      </w:r>
      <w:r w:rsidR="00FA280C">
        <w:t xml:space="preserve"> </w:t>
      </w:r>
      <w:r>
        <w:t>2020 to FY</w:t>
      </w:r>
      <w:r w:rsidR="00FA280C">
        <w:t xml:space="preserve"> </w:t>
      </w:r>
      <w:r>
        <w:t>2023).</w:t>
      </w:r>
      <w:r w:rsidR="00433B41">
        <w:rPr>
          <w:rStyle w:val="FootnoteReference"/>
        </w:rPr>
        <w:footnoteReference w:id="44"/>
      </w:r>
      <w:r>
        <w:t xml:space="preserve"> </w:t>
      </w:r>
    </w:p>
    <w:p w14:paraId="26DAE15C" w14:textId="35188EC2" w:rsidR="00922377" w:rsidRDefault="00433B41" w:rsidP="00922377">
      <w:r>
        <w:t>Through the internal CDE consultation process, it became apparent that</w:t>
      </w:r>
      <w:r w:rsidR="00922377">
        <w:t xml:space="preserve"> including the capstone course in a course sequence in a specific CTE industry pathway improved performance for all indicators, over the more general definition for a concentrator used under Perkins IV</w:t>
      </w:r>
      <w:r>
        <w:t>;</w:t>
      </w:r>
      <w:r w:rsidR="00922377">
        <w:t xml:space="preserve"> namely, completing two CTE courses in an industry pathway. Given that the CCI includes the capstone course when it defines CTE course taking, </w:t>
      </w:r>
      <w:r>
        <w:t>reinforces</w:t>
      </w:r>
      <w:r w:rsidR="00922377">
        <w:t xml:space="preserve"> justification for arriving at the </w:t>
      </w:r>
      <w:r w:rsidR="007B211E">
        <w:t xml:space="preserve">previously provided </w:t>
      </w:r>
      <w:r w:rsidR="00922377">
        <w:t>definition of a concentrator.</w:t>
      </w:r>
    </w:p>
    <w:p w14:paraId="5958CC57" w14:textId="6CBD7411" w:rsidR="00433B41" w:rsidRDefault="00922377" w:rsidP="00922377">
      <w:r>
        <w:t>Upon advice from the CWPJAC, CDE staff revisit</w:t>
      </w:r>
      <w:r w:rsidR="00DC5EC5">
        <w:t>ed</w:t>
      </w:r>
      <w:r>
        <w:t xml:space="preserve"> the SDPLs for all the Perkins indicators</w:t>
      </w:r>
      <w:r w:rsidR="00507528">
        <w:t>,</w:t>
      </w:r>
      <w:r>
        <w:t xml:space="preserve"> including the ones for which data </w:t>
      </w:r>
      <w:r w:rsidR="00DC5EC5">
        <w:t>are</w:t>
      </w:r>
      <w:r>
        <w:t xml:space="preserve"> not available. A second set of SDPLs w</w:t>
      </w:r>
      <w:r w:rsidR="00507528">
        <w:t>as</w:t>
      </w:r>
      <w:r>
        <w:t xml:space="preserve"> developed for the three assessment</w:t>
      </w:r>
      <w:r w:rsidR="00507528">
        <w:t xml:space="preserve"> indicators</w:t>
      </w:r>
      <w:r>
        <w:t xml:space="preserve">, the </w:t>
      </w:r>
      <w:r w:rsidR="00736F99">
        <w:t>post-</w:t>
      </w:r>
      <w:r>
        <w:t>program placement</w:t>
      </w:r>
      <w:r w:rsidR="00507528">
        <w:t xml:space="preserve"> indicator</w:t>
      </w:r>
      <w:r>
        <w:t xml:space="preserve">, and the quality indicators. For the three assessment indicators, 2S1, 2S2, and </w:t>
      </w:r>
      <w:r>
        <w:lastRenderedPageBreak/>
        <w:t xml:space="preserve">2S3, </w:t>
      </w:r>
      <w:r w:rsidR="00433B41">
        <w:t xml:space="preserve">CDE </w:t>
      </w:r>
      <w:r>
        <w:t>ADAD</w:t>
      </w:r>
      <w:r w:rsidR="00433B41">
        <w:t xml:space="preserve"> staff</w:t>
      </w:r>
      <w:r>
        <w:t xml:space="preserve"> provided the baseline and projections</w:t>
      </w:r>
      <w:r w:rsidR="00DC5EC5">
        <w:t xml:space="preserve"> using </w:t>
      </w:r>
      <w:r>
        <w:t>data</w:t>
      </w:r>
      <w:r w:rsidR="00433B41">
        <w:t xml:space="preserve"> for all students</w:t>
      </w:r>
      <w:r>
        <w:t xml:space="preserve"> </w:t>
      </w:r>
      <w:r w:rsidR="00DC5EC5">
        <w:t>because specific data for CTE students are not available.</w:t>
      </w:r>
    </w:p>
    <w:p w14:paraId="360441D7" w14:textId="605FD25A" w:rsidR="00922377" w:rsidRDefault="00922377" w:rsidP="00922377">
      <w:r>
        <w:t xml:space="preserve">The baseline measure and the projections for 3S1: Post-Program Placement </w:t>
      </w:r>
      <w:r w:rsidR="00736F99">
        <w:t xml:space="preserve">were </w:t>
      </w:r>
      <w:r>
        <w:t>developed using an alternative methodology</w:t>
      </w:r>
      <w:r w:rsidR="00A10C82">
        <w:t>.</w:t>
      </w:r>
      <w:r w:rsidR="00852A7F">
        <w:rPr>
          <w:rStyle w:val="FootnoteReference"/>
        </w:rPr>
        <w:footnoteReference w:id="45"/>
      </w:r>
      <w:r>
        <w:t xml:space="preserve"> For 5S2: Program Quality – Attained Postsecondary Credits, the 2019 data point for prepared students within the CCI was used as the baseline</w:t>
      </w:r>
      <w:r w:rsidR="00736F99">
        <w:t>,</w:t>
      </w:r>
      <w:r>
        <w:t xml:space="preserve"> and values were projected for each of the four </w:t>
      </w:r>
      <w:r w:rsidR="00736F99">
        <w:t xml:space="preserve">following </w:t>
      </w:r>
      <w:r>
        <w:t>years. A second updated version of the SDPL form was completed and presented at an accountability webinar that was held in January 2020.</w:t>
      </w:r>
    </w:p>
    <w:p w14:paraId="5C5EB084" w14:textId="23000C48" w:rsidR="00922377" w:rsidRDefault="00922377" w:rsidP="00922377">
      <w:r>
        <w:t>After the accountability webinar</w:t>
      </w:r>
      <w:r w:rsidR="00736F99">
        <w:t>,</w:t>
      </w:r>
      <w:r>
        <w:t xml:space="preserve"> as well </w:t>
      </w:r>
      <w:r w:rsidR="00736F99">
        <w:t xml:space="preserve">as </w:t>
      </w:r>
      <w:r>
        <w:t>a presentation of the Draft Federal Perkins V State Plan to the SBE</w:t>
      </w:r>
      <w:r w:rsidR="0030273D">
        <w:t xml:space="preserve"> at its January 2020 meeting</w:t>
      </w:r>
      <w:r>
        <w:t>, the SDPL form was further revised</w:t>
      </w:r>
      <w:r w:rsidR="007B211E">
        <w:t xml:space="preserve"> for presentation at the SBE January 2020 meeting</w:t>
      </w:r>
      <w:r>
        <w:t xml:space="preserve">. The intent </w:t>
      </w:r>
      <w:r w:rsidR="00E36852">
        <w:t xml:space="preserve">of this update </w:t>
      </w:r>
      <w:r>
        <w:t xml:space="preserve">was to </w:t>
      </w:r>
      <w:r w:rsidR="00E36852">
        <w:t>include</w:t>
      </w:r>
      <w:r>
        <w:t xml:space="preserve"> </w:t>
      </w:r>
      <w:r w:rsidR="00433B41">
        <w:t xml:space="preserve">the Perkins V definition </w:t>
      </w:r>
      <w:r>
        <w:t xml:space="preserve">in the denominator </w:t>
      </w:r>
      <w:r w:rsidR="00433B41">
        <w:t xml:space="preserve">for </w:t>
      </w:r>
      <w:r>
        <w:t xml:space="preserve">CTE </w:t>
      </w:r>
      <w:r w:rsidR="00E36852">
        <w:t>c</w:t>
      </w:r>
      <w:r>
        <w:t xml:space="preserve">oncentrators, defined by California under Perkins V. </w:t>
      </w:r>
      <w:r w:rsidR="00F26715">
        <w:t>This</w:t>
      </w:r>
      <w:r>
        <w:t xml:space="preserve"> definition aligns with the </w:t>
      </w:r>
      <w:r w:rsidR="000D6ABF">
        <w:t>S</w:t>
      </w:r>
      <w:r>
        <w:t>tate’s definition of a CTE completer</w:t>
      </w:r>
      <w:r w:rsidR="00E36852">
        <w:t>,</w:t>
      </w:r>
      <w:r>
        <w:t xml:space="preserve"> </w:t>
      </w:r>
      <w:r w:rsidR="00E36852">
        <w:t xml:space="preserve">which </w:t>
      </w:r>
      <w:r>
        <w:t xml:space="preserve">is an element within the CCI. </w:t>
      </w:r>
      <w:r w:rsidR="007B211E">
        <w:t xml:space="preserve">The SDPL form </w:t>
      </w:r>
      <w:r w:rsidR="006049C4">
        <w:t xml:space="preserve">was updated only for </w:t>
      </w:r>
      <w:r>
        <w:t>the following Perkins indicators: 1S1: Four</w:t>
      </w:r>
      <w:r w:rsidR="00EF6033">
        <w:t>-</w:t>
      </w:r>
      <w:r>
        <w:t>Year Graduation Rate; 2S1: Academic</w:t>
      </w:r>
      <w:r w:rsidR="0016591E">
        <w:t xml:space="preserve"> </w:t>
      </w:r>
      <w:r>
        <w:lastRenderedPageBreak/>
        <w:t xml:space="preserve">Proficiency in Reading Language Arts; 2S2: Academic Proficiency in Mathematics; and 5S2: Program Quality – Attained Postsecondary Credits. </w:t>
      </w:r>
    </w:p>
    <w:p w14:paraId="428D6492" w14:textId="0602CFD7" w:rsidR="00D81B82" w:rsidRDefault="00922377" w:rsidP="00922377">
      <w:r>
        <w:t xml:space="preserve">Given the CWPJAC </w:t>
      </w:r>
      <w:r w:rsidR="00433B41" w:rsidRPr="00433B41">
        <w:t xml:space="preserve">’s Vision, as expressed in response to the prompt in Section B1(b), is intended to apply to all students, it is important that </w:t>
      </w:r>
      <w:r>
        <w:t>the indicator values correspond to the estimated values for all stud</w:t>
      </w:r>
      <w:r w:rsidR="005F24A9">
        <w:t>ents</w:t>
      </w:r>
      <w:r w:rsidR="00433B41">
        <w:t xml:space="preserve"> as well</w:t>
      </w:r>
      <w:r w:rsidR="005F24A9">
        <w:t xml:space="preserve">, </w:t>
      </w:r>
      <w:r w:rsidR="00433B41">
        <w:t xml:space="preserve">as reflected in </w:t>
      </w:r>
      <w:r w:rsidR="005F24A9">
        <w:t>the completed SDPL form (</w:t>
      </w:r>
      <w:r w:rsidR="00EF6033">
        <w:t xml:space="preserve">see </w:t>
      </w:r>
      <w:r w:rsidR="005F24A9">
        <w:t>p</w:t>
      </w:r>
      <w:r>
        <w:t xml:space="preserve">ages </w:t>
      </w:r>
      <w:r w:rsidR="000F7C8F">
        <w:t>180–181</w:t>
      </w:r>
      <w:r w:rsidR="00433B41">
        <w:t>)</w:t>
      </w:r>
      <w:r>
        <w:t xml:space="preserve">. </w:t>
      </w:r>
      <w:r w:rsidR="00433B41">
        <w:t>It should be noted, however</w:t>
      </w:r>
      <w:r>
        <w:t xml:space="preserve">, </w:t>
      </w:r>
      <w:r w:rsidR="002D68C4">
        <w:t xml:space="preserve">that </w:t>
      </w:r>
      <w:r>
        <w:t xml:space="preserve">performance on any Perkins </w:t>
      </w:r>
      <w:r w:rsidR="002D68C4">
        <w:t xml:space="preserve">V </w:t>
      </w:r>
      <w:r>
        <w:t>indicator can still meet expectations</w:t>
      </w:r>
      <w:r w:rsidR="002D68C4">
        <w:t xml:space="preserve"> if it meets at least 90 percent performance, as previously stated</w:t>
      </w:r>
      <w:r>
        <w:t>. Taking these two points together, 1S1: Four</w:t>
      </w:r>
      <w:r w:rsidR="00EF6033">
        <w:t>-</w:t>
      </w:r>
      <w:r>
        <w:t xml:space="preserve">Year Graduation Rate was adjusted from actual performance </w:t>
      </w:r>
      <w:r w:rsidR="006049C4">
        <w:t>(around 97</w:t>
      </w:r>
      <w:r w:rsidR="0016591E">
        <w:t xml:space="preserve"> percent</w:t>
      </w:r>
      <w:r w:rsidR="006049C4">
        <w:t xml:space="preserve"> for </w:t>
      </w:r>
      <w:r>
        <w:t>CTE concentrators</w:t>
      </w:r>
      <w:r w:rsidR="006049C4">
        <w:t>)</w:t>
      </w:r>
      <w:r>
        <w:t xml:space="preserve"> for this indicator</w:t>
      </w:r>
      <w:r w:rsidR="00A10C82">
        <w:t>.</w:t>
      </w:r>
      <w:r w:rsidR="002A60CB">
        <w:rPr>
          <w:rStyle w:val="FootnoteReference"/>
        </w:rPr>
        <w:footnoteReference w:id="46"/>
      </w:r>
      <w:r>
        <w:t xml:space="preserve"> </w:t>
      </w:r>
    </w:p>
    <w:p w14:paraId="37A6A8DF" w14:textId="290250C3" w:rsidR="00922377" w:rsidRDefault="00412EF1" w:rsidP="00922377">
      <w:r>
        <w:t>The rationale for this downward adjustment, not just for</w:t>
      </w:r>
      <w:r w:rsidR="00D81B82">
        <w:t xml:space="preserve"> </w:t>
      </w:r>
      <w:r w:rsidR="00280817">
        <w:t>the 1S1: Four-Year Graduation Rate</w:t>
      </w:r>
      <w:r>
        <w:t xml:space="preserve"> </w:t>
      </w:r>
      <w:r w:rsidR="00D81B82">
        <w:t xml:space="preserve">indicator, but other </w:t>
      </w:r>
      <w:r w:rsidR="00280817">
        <w:t xml:space="preserve">secondary Perkins accountability indicators </w:t>
      </w:r>
      <w:r w:rsidR="00D81B82">
        <w:t>as well,</w:t>
      </w:r>
      <w:r>
        <w:t xml:space="preserve"> is based on the fact that the collection of CTE data was only recently included within CALPADS and refinements in this collection process is n</w:t>
      </w:r>
      <w:r w:rsidR="00280817">
        <w:t>o</w:t>
      </w:r>
      <w:r>
        <w:t xml:space="preserve">w being undertaken. </w:t>
      </w:r>
      <w:r w:rsidR="002D68C4">
        <w:t>Because actual</w:t>
      </w:r>
      <w:r w:rsidR="00280817">
        <w:t xml:space="preserve"> Perkins </w:t>
      </w:r>
      <w:r w:rsidR="002D68C4">
        <w:t xml:space="preserve">V </w:t>
      </w:r>
      <w:r w:rsidR="00280817">
        <w:t xml:space="preserve">performance data </w:t>
      </w:r>
      <w:r w:rsidR="002D68C4">
        <w:t>must</w:t>
      </w:r>
      <w:r w:rsidR="00280817">
        <w:t xml:space="preserve"> be reported for first time in December 2021</w:t>
      </w:r>
      <w:r w:rsidR="002D68C4">
        <w:t xml:space="preserve"> to the ED</w:t>
      </w:r>
      <w:r w:rsidR="00280817">
        <w:t xml:space="preserve">, </w:t>
      </w:r>
      <w:r w:rsidR="002D68C4">
        <w:t>California</w:t>
      </w:r>
      <w:r w:rsidR="00280817">
        <w:t xml:space="preserve"> will </w:t>
      </w:r>
      <w:r w:rsidR="002D68C4">
        <w:t>continue to revise</w:t>
      </w:r>
      <w:r w:rsidR="00087700">
        <w:t xml:space="preserve"> the SDPL form as </w:t>
      </w:r>
      <w:r w:rsidR="002D68C4">
        <w:t>additional</w:t>
      </w:r>
      <w:r w:rsidR="00087700">
        <w:t xml:space="preserve"> data for analysis </w:t>
      </w:r>
      <w:r w:rsidR="002D68C4">
        <w:t>become</w:t>
      </w:r>
      <w:r w:rsidR="00087700">
        <w:t xml:space="preserve"> available.</w:t>
      </w:r>
    </w:p>
    <w:p w14:paraId="0FA94297" w14:textId="7305F26F" w:rsidR="00922377" w:rsidRPr="00FA280C" w:rsidRDefault="00922377" w:rsidP="00922377">
      <w:pPr>
        <w:rPr>
          <w:b/>
        </w:rPr>
      </w:pPr>
      <w:r w:rsidRPr="00FA280C">
        <w:rPr>
          <w:b/>
        </w:rPr>
        <w:t xml:space="preserve">Response for </w:t>
      </w:r>
      <w:r w:rsidR="00D03D08">
        <w:rPr>
          <w:b/>
        </w:rPr>
        <w:t>P</w:t>
      </w:r>
      <w:r w:rsidRPr="00FA280C">
        <w:rPr>
          <w:b/>
        </w:rPr>
        <w:t xml:space="preserve">ostsecondary </w:t>
      </w:r>
      <w:r w:rsidR="00D03D08">
        <w:rPr>
          <w:b/>
        </w:rPr>
        <w:t>R</w:t>
      </w:r>
      <w:r w:rsidRPr="00FA280C">
        <w:rPr>
          <w:b/>
        </w:rPr>
        <w:t>ecipients:</w:t>
      </w:r>
    </w:p>
    <w:p w14:paraId="412AE622" w14:textId="504CBB43" w:rsidR="00DC5EC5" w:rsidRDefault="002D68C4" w:rsidP="00DC5EC5">
      <w:r>
        <w:t xml:space="preserve">There are three </w:t>
      </w:r>
      <w:r w:rsidR="00DC5EC5">
        <w:t>Perkins V Postsecondary Indicators</w:t>
      </w:r>
      <w:r>
        <w:t>, as follows</w:t>
      </w:r>
      <w:r w:rsidR="00DC5EC5">
        <w:t>:</w:t>
      </w:r>
    </w:p>
    <w:p w14:paraId="25CB879C" w14:textId="77777777" w:rsidR="00DC5EC5" w:rsidRDefault="00DC5EC5" w:rsidP="00DC5EC5">
      <w:pPr>
        <w:pStyle w:val="ListParagraph"/>
        <w:numPr>
          <w:ilvl w:val="1"/>
          <w:numId w:val="2"/>
        </w:numPr>
        <w:ind w:left="1170" w:hanging="450"/>
      </w:pPr>
      <w:r>
        <w:t>1P1: Post-Program Placement</w:t>
      </w:r>
    </w:p>
    <w:p w14:paraId="0C1E3CAC" w14:textId="77777777" w:rsidR="00DC5EC5" w:rsidRDefault="00DC5EC5" w:rsidP="00DC5EC5">
      <w:pPr>
        <w:pStyle w:val="ListParagraph"/>
        <w:numPr>
          <w:ilvl w:val="1"/>
          <w:numId w:val="2"/>
        </w:numPr>
        <w:ind w:left="1170" w:hanging="450"/>
      </w:pPr>
      <w:r>
        <w:t>2P1: Earned Recognized Postsecondary Credential</w:t>
      </w:r>
    </w:p>
    <w:p w14:paraId="7F0A5385" w14:textId="77777777" w:rsidR="00DC5EC5" w:rsidRDefault="00DC5EC5" w:rsidP="00DC5EC5">
      <w:pPr>
        <w:pStyle w:val="ListParagraph"/>
        <w:numPr>
          <w:ilvl w:val="1"/>
          <w:numId w:val="2"/>
        </w:numPr>
        <w:ind w:left="1170" w:hanging="450"/>
      </w:pPr>
      <w:r>
        <w:t>3P1: Non-traditional Program Concentration</w:t>
      </w:r>
    </w:p>
    <w:p w14:paraId="6B6C4A95" w14:textId="5BDFA9EB" w:rsidR="00922377" w:rsidRDefault="00922377" w:rsidP="00922377">
      <w:r>
        <w:lastRenderedPageBreak/>
        <w:t>CCC</w:t>
      </w:r>
      <w:r w:rsidR="0030273D">
        <w:t>CO</w:t>
      </w:r>
      <w:r>
        <w:t xml:space="preserve"> used the following methodology to determine </w:t>
      </w:r>
      <w:r w:rsidR="00925CD8">
        <w:t>SDPLs</w:t>
      </w:r>
      <w:r>
        <w:t xml:space="preserve">, as described in </w:t>
      </w:r>
      <w:r w:rsidR="00925CD8">
        <w:t>S</w:t>
      </w:r>
      <w:r>
        <w:t>ection 113 of Perkins V</w:t>
      </w:r>
      <w:r w:rsidR="00925CD8">
        <w:t>:</w:t>
      </w:r>
    </w:p>
    <w:p w14:paraId="34762B05" w14:textId="7AAD0F70" w:rsidR="00922377" w:rsidRDefault="00922377" w:rsidP="00C82B9D">
      <w:pPr>
        <w:pStyle w:val="ListParagraph"/>
        <w:numPr>
          <w:ilvl w:val="0"/>
          <w:numId w:val="33"/>
        </w:numPr>
        <w:ind w:left="1170" w:hanging="450"/>
      </w:pPr>
      <w:r>
        <w:t xml:space="preserve">Analysis of the last four-year </w:t>
      </w:r>
      <w:r w:rsidR="000D6ABF">
        <w:t>S</w:t>
      </w:r>
      <w:r>
        <w:t>tate levels of performance o</w:t>
      </w:r>
      <w:r w:rsidR="00925CD8">
        <w:t>n</w:t>
      </w:r>
      <w:r>
        <w:t xml:space="preserve"> 1P1, 2P1</w:t>
      </w:r>
      <w:r w:rsidR="00925CD8">
        <w:t>,</w:t>
      </w:r>
      <w:r>
        <w:t xml:space="preserve"> and 3P1. This analysis allowed for an evaluation of trends of any performance levels.</w:t>
      </w:r>
    </w:p>
    <w:p w14:paraId="345D2014" w14:textId="0AEBD7BA" w:rsidR="00922377" w:rsidRDefault="00922377" w:rsidP="00C82B9D">
      <w:pPr>
        <w:pStyle w:val="ListParagraph"/>
        <w:numPr>
          <w:ilvl w:val="0"/>
          <w:numId w:val="33"/>
        </w:numPr>
        <w:ind w:left="1170" w:hanging="450"/>
      </w:pPr>
      <w:r>
        <w:t>Average</w:t>
      </w:r>
      <w:r w:rsidR="00925CD8">
        <w:t xml:space="preserve"> of</w:t>
      </w:r>
      <w:r>
        <w:t xml:space="preserve"> the last three</w:t>
      </w:r>
      <w:r w:rsidR="00925CD8">
        <w:t xml:space="preserve"> </w:t>
      </w:r>
      <w:r>
        <w:t>years to establish a baseline of PY 2020–21.</w:t>
      </w:r>
    </w:p>
    <w:p w14:paraId="73A4811F" w14:textId="11463EEB" w:rsidR="00922377" w:rsidRDefault="00922377" w:rsidP="00922377">
      <w:r>
        <w:t>As one of the new requirements of Perkins V, each eligible agency must conduct a CLNA to guide the development of activities and programs to meet Perkins V requirements as well as local, regional</w:t>
      </w:r>
      <w:r w:rsidR="00B12D6E">
        <w:t>,</w:t>
      </w:r>
      <w:r>
        <w:t xml:space="preserve"> and </w:t>
      </w:r>
      <w:r w:rsidR="000D6ABF">
        <w:t>S</w:t>
      </w:r>
      <w:r>
        <w:t>tate needs. All three</w:t>
      </w:r>
      <w:r w:rsidR="00B12D6E">
        <w:t xml:space="preserve"> </w:t>
      </w:r>
      <w:r>
        <w:t>core indicators will be re-evaluated at the end of the second year of program implementation</w:t>
      </w:r>
      <w:r w:rsidR="00B12D6E">
        <w:t>,</w:t>
      </w:r>
      <w:r>
        <w:t xml:space="preserve"> to reset any target</w:t>
      </w:r>
      <w:r w:rsidR="00B12D6E">
        <w:t>s</w:t>
      </w:r>
      <w:r>
        <w:t xml:space="preserve">, as necessary, which will serve as </w:t>
      </w:r>
      <w:r w:rsidR="00B12D6E">
        <w:t xml:space="preserve">a </w:t>
      </w:r>
      <w:r>
        <w:t>reference to guide decision</w:t>
      </w:r>
      <w:r w:rsidR="00B12D6E">
        <w:t>-</w:t>
      </w:r>
      <w:r>
        <w:t xml:space="preserve">making </w:t>
      </w:r>
      <w:r w:rsidR="0030273D">
        <w:t>for</w:t>
      </w:r>
      <w:r>
        <w:t xml:space="preserve"> the 73 community college districts in California.</w:t>
      </w:r>
    </w:p>
    <w:p w14:paraId="08FA64A5" w14:textId="605B5770" w:rsidR="00922377" w:rsidRDefault="00922377" w:rsidP="00922377">
      <w:r>
        <w:t xml:space="preserve">California postsecondary performance levels are expressed in percentages, as presented in the table </w:t>
      </w:r>
      <w:r w:rsidR="001D2448">
        <w:t xml:space="preserve">in </w:t>
      </w:r>
      <w:r>
        <w:t>Section V</w:t>
      </w:r>
      <w:r w:rsidR="001D2448">
        <w:t xml:space="preserve"> (</w:t>
      </w:r>
      <w:r>
        <w:t xml:space="preserve">page </w:t>
      </w:r>
      <w:r w:rsidR="000F7C8F">
        <w:t>180–181</w:t>
      </w:r>
      <w:r>
        <w:t>)</w:t>
      </w:r>
      <w:r w:rsidR="001D2448">
        <w:t>. The</w:t>
      </w:r>
      <w:r>
        <w:t xml:space="preserve"> baseline for each postsecondary performance indicator was established using data from the last three years, and taking the average as the reference level for the next four years. In response to stakeholder comments, the baseline and projected values for all three indicators were changed using the 90 percent rule</w:t>
      </w:r>
      <w:r w:rsidR="002373F8">
        <w:t xml:space="preserve"> (see </w:t>
      </w:r>
      <w:r w:rsidR="00B12D6E">
        <w:t>the response to prompt D[5]</w:t>
      </w:r>
      <w:r w:rsidR="002373F8">
        <w:t>)</w:t>
      </w:r>
      <w:r>
        <w:t xml:space="preserve">. </w:t>
      </w:r>
      <w:r w:rsidR="00D67B0E">
        <w:t>A</w:t>
      </w:r>
      <w:r>
        <w:t xml:space="preserve">ll public comments </w:t>
      </w:r>
      <w:r w:rsidR="003718EF">
        <w:t>were</w:t>
      </w:r>
      <w:r>
        <w:t xml:space="preserve"> taken into consideration for the final version.</w:t>
      </w:r>
    </w:p>
    <w:p w14:paraId="08F3D474" w14:textId="5EA90A43" w:rsidR="00922377" w:rsidRDefault="00922377" w:rsidP="00922377">
      <w:r>
        <w:t xml:space="preserve">A completed SDPL form is provided </w:t>
      </w:r>
      <w:r w:rsidR="001D2448">
        <w:t>in Section V</w:t>
      </w:r>
      <w:r>
        <w:t xml:space="preserve"> (</w:t>
      </w:r>
      <w:r w:rsidR="009E033B">
        <w:t>p</w:t>
      </w:r>
      <w:r w:rsidR="005F24A9">
        <w:t xml:space="preserve">ages </w:t>
      </w:r>
      <w:r w:rsidR="000F7C8F">
        <w:t>180–181</w:t>
      </w:r>
      <w:r>
        <w:t>).</w:t>
      </w:r>
    </w:p>
    <w:p w14:paraId="0D2A16B3" w14:textId="77777777" w:rsidR="00922377" w:rsidRDefault="00922377" w:rsidP="00990620">
      <w:pPr>
        <w:pStyle w:val="Heading4"/>
      </w:pPr>
      <w:r>
        <w:t>4. Provide a written response to the comments regarding State determined performance levels received during the public comment period pursuant to section 113(b)(3)(B) of Perkins V. (Section 113(b)(3)(B)(iii) of Perkins V).</w:t>
      </w:r>
    </w:p>
    <w:p w14:paraId="22B5791E" w14:textId="77777777" w:rsidR="00922377" w:rsidRPr="00990620" w:rsidRDefault="00922377" w:rsidP="00922377">
      <w:pPr>
        <w:rPr>
          <w:b/>
        </w:rPr>
      </w:pPr>
      <w:r w:rsidRPr="00990620">
        <w:rPr>
          <w:b/>
        </w:rPr>
        <w:t>As part of the written response, include a description of any the changes made to the State determined performance levels as a result of stakeholder feedback.</w:t>
      </w:r>
    </w:p>
    <w:p w14:paraId="26F42E32" w14:textId="77777777" w:rsidR="00922377" w:rsidRPr="00DE4200" w:rsidRDefault="00922377" w:rsidP="00922377">
      <w:pPr>
        <w:rPr>
          <w:b/>
        </w:rPr>
      </w:pPr>
      <w:r w:rsidRPr="00DE4200">
        <w:rPr>
          <w:b/>
        </w:rPr>
        <w:t>Response:</w:t>
      </w:r>
    </w:p>
    <w:p w14:paraId="009CF3C8" w14:textId="6CBC2B5D" w:rsidR="00922377" w:rsidRDefault="00922377" w:rsidP="00922377">
      <w:r>
        <w:lastRenderedPageBreak/>
        <w:t xml:space="preserve">The public comments on the SDPLs mirrored those that were made by the accountability stakeholder group. As a result </w:t>
      </w:r>
      <w:r w:rsidR="002D68C4">
        <w:t xml:space="preserve">of all this input, </w:t>
      </w:r>
      <w:r>
        <w:t xml:space="preserve">the SDPL form was updated as is shown </w:t>
      </w:r>
      <w:r w:rsidR="001D2448">
        <w:t xml:space="preserve">in Section V </w:t>
      </w:r>
      <w:r>
        <w:t>(</w:t>
      </w:r>
      <w:r w:rsidR="009E033B">
        <w:t>p</w:t>
      </w:r>
      <w:r>
        <w:t xml:space="preserve">ages </w:t>
      </w:r>
      <w:r w:rsidR="000F7C8F">
        <w:t>180–181</w:t>
      </w:r>
      <w:r>
        <w:t xml:space="preserve">). More detail </w:t>
      </w:r>
      <w:r w:rsidR="002D68C4">
        <w:t>about how the SDPL for</w:t>
      </w:r>
      <w:r w:rsidR="00EC3D44">
        <w:t xml:space="preserve">m was developed </w:t>
      </w:r>
      <w:r>
        <w:t xml:space="preserve">are provided in the response </w:t>
      </w:r>
      <w:r w:rsidR="001D2448">
        <w:t xml:space="preserve">to </w:t>
      </w:r>
      <w:r>
        <w:t xml:space="preserve">prompt </w:t>
      </w:r>
      <w:r w:rsidR="001D2448">
        <w:t>B(</w:t>
      </w:r>
      <w:r>
        <w:t>3</w:t>
      </w:r>
      <w:r w:rsidR="001D2448">
        <w:t>)(</w:t>
      </w:r>
      <w:r>
        <w:t>a</w:t>
      </w:r>
      <w:r w:rsidR="001D2448">
        <w:t>)</w:t>
      </w:r>
      <w:r>
        <w:t>.</w:t>
      </w:r>
    </w:p>
    <w:p w14:paraId="2040FB4D" w14:textId="292D0E01" w:rsidR="00922377" w:rsidRDefault="0030273D" w:rsidP="00922377">
      <w:r>
        <w:t>P</w:t>
      </w:r>
      <w:r w:rsidR="00922377">
        <w:t xml:space="preserve">ublic comments on the Perkins Accountability </w:t>
      </w:r>
      <w:r w:rsidR="00D02E63">
        <w:t>F</w:t>
      </w:r>
      <w:r w:rsidR="00922377">
        <w:t xml:space="preserve">ramework and the SDPL form centered </w:t>
      </w:r>
      <w:r w:rsidR="002D68C4">
        <w:t>on</w:t>
      </w:r>
      <w:r w:rsidR="00922377">
        <w:t xml:space="preserve"> ensuring a connection to the LCFF/LCAP</w:t>
      </w:r>
      <w:r>
        <w:t xml:space="preserve"> for secondary</w:t>
      </w:r>
      <w:r w:rsidR="00922377">
        <w:t xml:space="preserve">. In addition, comments </w:t>
      </w:r>
      <w:r w:rsidR="001D5D86">
        <w:t xml:space="preserve">were </w:t>
      </w:r>
      <w:r w:rsidR="002D68C4">
        <w:t>received</w:t>
      </w:r>
      <w:r w:rsidR="00922377">
        <w:t xml:space="preserve"> regarding the proposed concentrator definition</w:t>
      </w:r>
      <w:r w:rsidR="001D5D86">
        <w:t>, and</w:t>
      </w:r>
      <w:r w:rsidR="00922377">
        <w:t xml:space="preserve"> the choice of 5S2: </w:t>
      </w:r>
      <w:r w:rsidR="001D5D86">
        <w:t xml:space="preserve">Program Quality – Attained </w:t>
      </w:r>
      <w:r w:rsidR="00922377">
        <w:t xml:space="preserve">Postsecondary </w:t>
      </w:r>
      <w:r w:rsidR="001D5D86">
        <w:t>C</w:t>
      </w:r>
      <w:r w:rsidR="00922377">
        <w:t>redits as the secondary quality indicator. The concern</w:t>
      </w:r>
      <w:r w:rsidR="002D68C4">
        <w:t xml:space="preserve">s focused </w:t>
      </w:r>
      <w:r w:rsidR="00922377">
        <w:t xml:space="preserve">on the </w:t>
      </w:r>
      <w:r w:rsidR="002D68C4">
        <w:t>lack of uniformity</w:t>
      </w:r>
      <w:r w:rsidR="00922377">
        <w:t xml:space="preserve"> of collecting and reporting dual</w:t>
      </w:r>
      <w:r w:rsidR="001D5D86">
        <w:t>-</w:t>
      </w:r>
      <w:r w:rsidR="00922377">
        <w:t>enrollment data</w:t>
      </w:r>
      <w:r>
        <w:t>,</w:t>
      </w:r>
      <w:r w:rsidR="00922377">
        <w:t xml:space="preserve"> the non-inclusion of articulation credits</w:t>
      </w:r>
      <w:r>
        <w:t>,</w:t>
      </w:r>
      <w:r w:rsidR="00922377">
        <w:t xml:space="preserve"> and the burdensome requirement of meeting </w:t>
      </w:r>
      <w:r>
        <w:t>MQs</w:t>
      </w:r>
      <w:r w:rsidR="00922377">
        <w:t xml:space="preserve"> at the community college level </w:t>
      </w:r>
      <w:r>
        <w:t xml:space="preserve">while also </w:t>
      </w:r>
      <w:r w:rsidR="00922377">
        <w:t xml:space="preserve">being a secondary credentialed teacher. </w:t>
      </w:r>
      <w:r>
        <w:t>Some</w:t>
      </w:r>
      <w:r w:rsidR="00922377">
        <w:t xml:space="preserve"> suggested using </w:t>
      </w:r>
      <w:r w:rsidR="002264D7">
        <w:t>WBL</w:t>
      </w:r>
      <w:r w:rsidR="00922377">
        <w:t xml:space="preserve"> instead of dual enrollment</w:t>
      </w:r>
      <w:r w:rsidR="001D5D86">
        <w:t xml:space="preserve"> as the secondary quality indicator</w:t>
      </w:r>
      <w:r w:rsidR="00922377">
        <w:t xml:space="preserve">. </w:t>
      </w:r>
    </w:p>
    <w:p w14:paraId="77F582ED" w14:textId="0AB1F168" w:rsidR="00922377" w:rsidRDefault="001D5D86" w:rsidP="00922377">
      <w:r>
        <w:t>C</w:t>
      </w:r>
      <w:r w:rsidR="00922377">
        <w:t>onnection</w:t>
      </w:r>
      <w:r>
        <w:t>s</w:t>
      </w:r>
      <w:r w:rsidR="00922377">
        <w:t xml:space="preserve"> to LCFF/LCAP have been made</w:t>
      </w:r>
      <w:r>
        <w:t xml:space="preserve"> elsewhere in this Plan</w:t>
      </w:r>
      <w:r w:rsidR="00980291">
        <w:t xml:space="preserve"> as related to secondary only</w:t>
      </w:r>
      <w:r w:rsidR="00922377">
        <w:t xml:space="preserve">. </w:t>
      </w:r>
      <w:r w:rsidR="003718EF">
        <w:t>O</w:t>
      </w:r>
      <w:r w:rsidR="00922377">
        <w:t xml:space="preserve">nce data on </w:t>
      </w:r>
      <w:r w:rsidR="003718EF">
        <w:t>WBL</w:t>
      </w:r>
      <w:r w:rsidR="00922377">
        <w:t xml:space="preserve"> become available, it could potentially be added as a second quality indicator. </w:t>
      </w:r>
      <w:r>
        <w:t xml:space="preserve">The </w:t>
      </w:r>
      <w:r w:rsidR="00922377">
        <w:t>CALPADS collect</w:t>
      </w:r>
      <w:r w:rsidR="003718EF">
        <w:t>s</w:t>
      </w:r>
      <w:r w:rsidR="00922377">
        <w:t xml:space="preserve"> articulation credits</w:t>
      </w:r>
      <w:r>
        <w:t>,</w:t>
      </w:r>
      <w:r w:rsidR="00922377">
        <w:t xml:space="preserve"> and it is possible to </w:t>
      </w:r>
      <w:r w:rsidR="00980291">
        <w:t xml:space="preserve">also </w:t>
      </w:r>
      <w:r w:rsidR="00922377">
        <w:t>include them as part of the secondary quality indicator</w:t>
      </w:r>
      <w:r w:rsidR="003718EF">
        <w:t xml:space="preserve"> </w:t>
      </w:r>
      <w:r w:rsidR="00922377">
        <w:t>5S2</w:t>
      </w:r>
      <w:r w:rsidRPr="001D5D86">
        <w:t xml:space="preserve"> </w:t>
      </w:r>
      <w:r>
        <w:t>in the future,</w:t>
      </w:r>
      <w:r w:rsidR="00922377">
        <w:t xml:space="preserve"> </w:t>
      </w:r>
      <w:r w:rsidR="00980291">
        <w:t>contingent on</w:t>
      </w:r>
      <w:r w:rsidR="00922377">
        <w:t xml:space="preserve"> additional steps, which are still under discussion with CALPADS staff. </w:t>
      </w:r>
      <w:r w:rsidR="00980291">
        <w:t>Because</w:t>
      </w:r>
      <w:r w:rsidR="00922377">
        <w:t xml:space="preserve"> the </w:t>
      </w:r>
      <w:r w:rsidR="0030273D">
        <w:t>CTE C</w:t>
      </w:r>
      <w:r w:rsidR="00922377">
        <w:t>oncentrat</w:t>
      </w:r>
      <w:r w:rsidR="0030273D">
        <w:t>or</w:t>
      </w:r>
      <w:r w:rsidR="00922377">
        <w:t xml:space="preserve"> definition, </w:t>
      </w:r>
      <w:r w:rsidR="003718EF">
        <w:t>is aligned to the CCI</w:t>
      </w:r>
      <w:r w:rsidR="0030273D">
        <w:t xml:space="preserve">, </w:t>
      </w:r>
      <w:r w:rsidR="00980291">
        <w:t>it</w:t>
      </w:r>
      <w:r w:rsidR="00922377">
        <w:t xml:space="preserve"> </w:t>
      </w:r>
      <w:r w:rsidR="002373F8">
        <w:t>will make comparison between CTE concentrators and other students feasible.</w:t>
      </w:r>
    </w:p>
    <w:p w14:paraId="055D70A1" w14:textId="77777777" w:rsidR="00FC7E00" w:rsidRDefault="00FC7E00" w:rsidP="00FC7E00">
      <w:r>
        <w:t>Postsecondary accountability stakeholders expressed concern that their baseline and projected values for the three indicators appeared high. Further, while CCCCO has a data collection process at the state level there was concern about not having enough trained personnel to input the data at the local level. Stakeholders expressed concern regarding the collection of employment placement data. The CCCCO is putting procedures in place to make data collection more uniform through its NOVA system.</w:t>
      </w:r>
    </w:p>
    <w:p w14:paraId="1523EEBB" w14:textId="55B512DD" w:rsidR="00FC7E00" w:rsidRDefault="00FC7E00" w:rsidP="00FC7E00">
      <w:r>
        <w:t>Based on the responses received from the accountability stakeholder group, change</w:t>
      </w:r>
      <w:r w:rsidR="00980291">
        <w:t>s to the SDPL form were made. A</w:t>
      </w:r>
      <w:r>
        <w:t xml:space="preserve">n updated version of the SDPL form was presented at the CWPJAC meeting in January 2020. </w:t>
      </w:r>
    </w:p>
    <w:p w14:paraId="412B8923" w14:textId="77777777" w:rsidR="00980291" w:rsidRDefault="00980291" w:rsidP="00922377">
      <w:r w:rsidRPr="00980291">
        <w:lastRenderedPageBreak/>
        <w:t xml:space="preserve">As the State moves into FY 2020–21, both the secondary and postsecondary Perkins indicator SDPLs will be revised and updated as additional data become available. Therefore, to assist the State in reviewing updates to the SDPLs and other related issues regarding data collection and reporting, the accountability stakeholder group that reviewed the SDPLs will continue to be consulted including advising the State on future accountability-related issues — for example, providing insights into adding other secondary quality indicators, such as WBL or considering a process should performance levels on Perkins accountability indicators not be met and determining the appropriate course of action. </w:t>
      </w:r>
    </w:p>
    <w:p w14:paraId="1BA1ED8E" w14:textId="3E38E619" w:rsidR="00922377" w:rsidRDefault="00922377" w:rsidP="00922377">
      <w:r>
        <w:t>Additionally, the following questions need to be discussed in the future:</w:t>
      </w:r>
    </w:p>
    <w:p w14:paraId="2E231CD4" w14:textId="52EE4536" w:rsidR="00922377" w:rsidRDefault="00922377" w:rsidP="00842091">
      <w:pPr>
        <w:pStyle w:val="ListParagraph"/>
        <w:numPr>
          <w:ilvl w:val="1"/>
          <w:numId w:val="2"/>
        </w:numPr>
        <w:ind w:left="1170" w:hanging="450"/>
      </w:pPr>
      <w:r>
        <w:t>Are current data systems capable of extracting special population (subgroup) information</w:t>
      </w:r>
      <w:r w:rsidR="001F16DE">
        <w:t>?</w:t>
      </w:r>
    </w:p>
    <w:p w14:paraId="1415CC5B" w14:textId="4F5F4118" w:rsidR="00922377" w:rsidRDefault="00922377" w:rsidP="00842091">
      <w:pPr>
        <w:pStyle w:val="ListParagraph"/>
        <w:numPr>
          <w:ilvl w:val="1"/>
          <w:numId w:val="2"/>
        </w:numPr>
        <w:ind w:left="1170" w:hanging="450"/>
      </w:pPr>
      <w:r>
        <w:t xml:space="preserve">What is the relationship between </w:t>
      </w:r>
      <w:r w:rsidR="000D6ABF">
        <w:t>S</w:t>
      </w:r>
      <w:r>
        <w:t>tate and federal CTE accountability measures?</w:t>
      </w:r>
    </w:p>
    <w:p w14:paraId="234D82A5" w14:textId="5D13B678" w:rsidR="00922377" w:rsidRDefault="00922377" w:rsidP="00842091">
      <w:pPr>
        <w:pStyle w:val="ListParagraph"/>
        <w:numPr>
          <w:ilvl w:val="1"/>
          <w:numId w:val="2"/>
        </w:numPr>
        <w:ind w:left="1170" w:hanging="450"/>
      </w:pPr>
      <w:r>
        <w:t xml:space="preserve">Is a CTE consumer reports system in place </w:t>
      </w:r>
      <w:r w:rsidR="0030273D">
        <w:t>to</w:t>
      </w:r>
      <w:r w:rsidR="001D5D86">
        <w:t xml:space="preserve"> </w:t>
      </w:r>
      <w:r>
        <w:t>communi</w:t>
      </w:r>
      <w:r w:rsidR="0030273D">
        <w:t>cate</w:t>
      </w:r>
      <w:r>
        <w:t xml:space="preserve"> accountability</w:t>
      </w:r>
      <w:r w:rsidR="0030273D">
        <w:t xml:space="preserve"> </w:t>
      </w:r>
      <w:r>
        <w:t>results?</w:t>
      </w:r>
    </w:p>
    <w:p w14:paraId="6F99C7A2" w14:textId="7C9E8101" w:rsidR="00922377" w:rsidRDefault="00922377" w:rsidP="00842091">
      <w:pPr>
        <w:pStyle w:val="ListParagraph"/>
        <w:numPr>
          <w:ilvl w:val="1"/>
          <w:numId w:val="2"/>
        </w:numPr>
        <w:ind w:left="1170" w:hanging="450"/>
      </w:pPr>
      <w:r>
        <w:t>Can key informants apply the accountability information for obtaining meaningful results leading to appropriate planning decisions?</w:t>
      </w:r>
    </w:p>
    <w:p w14:paraId="798C8DEE" w14:textId="3F233BC2" w:rsidR="00922377" w:rsidRDefault="00922377" w:rsidP="00922377">
      <w:r>
        <w:t xml:space="preserve">In general, the accountability stakeholder group would need to consider the distinction between forward- and backward-looking planning and decision-making. Forward-looking planning and decision-making require observing performance levels to ensure </w:t>
      </w:r>
      <w:r w:rsidR="00226C0D">
        <w:t xml:space="preserve">that </w:t>
      </w:r>
      <w:r>
        <w:t xml:space="preserve">SDPLs are being met. Backward-looking planning and decision-making require revising SDPLs to ensure </w:t>
      </w:r>
      <w:r w:rsidR="00226C0D">
        <w:t xml:space="preserve">that </w:t>
      </w:r>
      <w:r>
        <w:t xml:space="preserve">performance levels in future SDPLs will be met. Here the connections </w:t>
      </w:r>
      <w:r w:rsidR="00674048">
        <w:t xml:space="preserve">between the accountability stakeholder group and </w:t>
      </w:r>
      <w:r>
        <w:t xml:space="preserve">the CLNA stakeholder group become important </w:t>
      </w:r>
      <w:r w:rsidR="0082179F">
        <w:t xml:space="preserve">for </w:t>
      </w:r>
      <w:r>
        <w:t>both planning and decision-making.</w:t>
      </w:r>
    </w:p>
    <w:p w14:paraId="202DDBDF" w14:textId="77777777" w:rsidR="00922377" w:rsidRDefault="00922377" w:rsidP="00990620">
      <w:pPr>
        <w:pStyle w:val="Heading4"/>
      </w:pPr>
      <w:r>
        <w:lastRenderedPageBreak/>
        <w:t>5. 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w:t>
      </w:r>
    </w:p>
    <w:p w14:paraId="1A58CFF5" w14:textId="77777777" w:rsidR="00922377" w:rsidRPr="00990620" w:rsidRDefault="00922377" w:rsidP="00922377">
      <w:pPr>
        <w:rPr>
          <w:b/>
        </w:rPr>
      </w:pPr>
      <w:r w:rsidRPr="00990620">
        <w:rPr>
          <w:b/>
        </w:rPr>
        <w:t>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5C2EAA97" w14:textId="77777777" w:rsidR="00922377" w:rsidRPr="00990620" w:rsidRDefault="00922377" w:rsidP="00922377">
      <w:pPr>
        <w:rPr>
          <w:b/>
        </w:rPr>
      </w:pPr>
      <w:r w:rsidRPr="00990620">
        <w:rPr>
          <w:b/>
        </w:rPr>
        <w:t>Response:</w:t>
      </w:r>
    </w:p>
    <w:p w14:paraId="055352BA" w14:textId="348F41E0" w:rsidR="00922377" w:rsidRDefault="0082179F" w:rsidP="00922377">
      <w:r>
        <w:t>As previously described, u</w:t>
      </w:r>
      <w:r w:rsidR="00922377">
        <w:t>nder California law, every LEA must adopt and annually update an LCAP</w:t>
      </w:r>
      <w:r w:rsidR="0030273D">
        <w:t xml:space="preserve"> for the K–12 system</w:t>
      </w:r>
      <w:r w:rsidR="00922377">
        <w:t xml:space="preserve">. In the LCAP, </w:t>
      </w:r>
      <w:r w:rsidR="00980291">
        <w:t>each</w:t>
      </w:r>
      <w:r w:rsidR="00922377">
        <w:t xml:space="preserve"> LEA must establish goals for all students and </w:t>
      </w:r>
      <w:r>
        <w:t xml:space="preserve">for </w:t>
      </w:r>
      <w:r w:rsidR="00922377">
        <w:t>the statutory student groups across priority areas defined in statute. The LEA must also describe actions and services, and related expenditures, to meet the goals for student performance. The LCAP</w:t>
      </w:r>
      <w:r w:rsidR="003718EF">
        <w:t xml:space="preserve"> template</w:t>
      </w:r>
      <w:r w:rsidR="00922377">
        <w:t xml:space="preserve"> includes a summary in which LEAs must address any indicator where the performance of one or more student groups is below the performance for all students. Accordingly, through the LCAP, under the California Model, an LEA</w:t>
      </w:r>
      <w:r w:rsidR="0030273D">
        <w:t xml:space="preserve"> that</w:t>
      </w:r>
      <w:r w:rsidR="00922377">
        <w:t xml:space="preserve"> is not making progress toward closing performance gaps among student groups</w:t>
      </w:r>
      <w:r w:rsidR="00842586">
        <w:t>, it</w:t>
      </w:r>
      <w:r w:rsidR="00922377">
        <w:t xml:space="preserve"> must describe the efforts </w:t>
      </w:r>
      <w:r>
        <w:t xml:space="preserve">it </w:t>
      </w:r>
      <w:r w:rsidR="00922377">
        <w:t>will undertake to make significant progress in closing performance gaps on</w:t>
      </w:r>
      <w:r w:rsidR="00E63762">
        <w:t xml:space="preserve"> any of</w:t>
      </w:r>
      <w:r w:rsidR="00922377">
        <w:t xml:space="preserve"> the relevant indicator(s). LEAs must annually review and update their overarching plans for educational programming to address areas where </w:t>
      </w:r>
      <w:r w:rsidR="00151E33">
        <w:t>they are</w:t>
      </w:r>
      <w:r w:rsidR="00922377">
        <w:t xml:space="preserve"> not making progress in addressing performance gaps among student groups. </w:t>
      </w:r>
    </w:p>
    <w:p w14:paraId="68996450" w14:textId="7418079F" w:rsidR="00922377" w:rsidRDefault="00922377" w:rsidP="00922377">
      <w:r>
        <w:lastRenderedPageBreak/>
        <w:t xml:space="preserve">This statewide system to </w:t>
      </w:r>
      <w:r w:rsidR="00842586">
        <w:t>help</w:t>
      </w:r>
      <w:r>
        <w:t xml:space="preserve"> LEAs leverage change is an important component </w:t>
      </w:r>
      <w:r w:rsidR="00151E33">
        <w:t xml:space="preserve">in </w:t>
      </w:r>
      <w:r>
        <w:t xml:space="preserve">helping </w:t>
      </w:r>
      <w:r w:rsidR="00151E33">
        <w:t xml:space="preserve">to </w:t>
      </w:r>
      <w:r>
        <w:t xml:space="preserve">narrow statewide proficiency gaps between student groups. Given that all student groups </w:t>
      </w:r>
      <w:r w:rsidR="00980291">
        <w:t>share</w:t>
      </w:r>
      <w:r>
        <w:t xml:space="preserve"> the same long-term goal, student groups with lower baseline performance will need to make greater improvement over time to reach the long-term goal. The ability for LEAs or schools to determine</w:t>
      </w:r>
      <w:r w:rsidR="0030273D">
        <w:t xml:space="preserve"> their</w:t>
      </w:r>
      <w:r>
        <w:t xml:space="preserve"> interim progress goals, including for lower</w:t>
      </w:r>
      <w:r w:rsidR="00151E33">
        <w:t>-</w:t>
      </w:r>
      <w:r>
        <w:t xml:space="preserve">performing student groups, is built into the California Model. In addition, the CDE has produced a report that </w:t>
      </w:r>
      <w:r w:rsidR="00FE1092">
        <w:t>displays</w:t>
      </w:r>
      <w:r>
        <w:t xml:space="preserve"> schools</w:t>
      </w:r>
      <w:r w:rsidR="00FE1092">
        <w:t>’</w:t>
      </w:r>
      <w:r>
        <w:t xml:space="preserve"> and student groups</w:t>
      </w:r>
      <w:r w:rsidR="00FE1092">
        <w:t>’ performance</w:t>
      </w:r>
      <w:r>
        <w:t xml:space="preserve"> on </w:t>
      </w:r>
      <w:r w:rsidR="00151E33">
        <w:t>a</w:t>
      </w:r>
      <w:r>
        <w:t xml:space="preserve"> five-by-five colored grid, allowing schools to target improvement strategies to reach the</w:t>
      </w:r>
      <w:r w:rsidR="00FE1092">
        <w:t>ir</w:t>
      </w:r>
      <w:r>
        <w:t xml:space="preserve"> goal</w:t>
      </w:r>
      <w:r w:rsidR="00FE1092">
        <w:t>s</w:t>
      </w:r>
      <w:r>
        <w:t xml:space="preserve"> for each student group. These reports are available on the CDE website at </w:t>
      </w:r>
      <w:hyperlink r:id="rId43" w:tooltip="The CDE's California model." w:history="1">
        <w:r w:rsidR="003718EF" w:rsidRPr="00212795">
          <w:rPr>
            <w:rStyle w:val="Hyperlink"/>
          </w:rPr>
          <w:t>https://www6.cde.ca.gov/californiamodel/</w:t>
        </w:r>
      </w:hyperlink>
      <w:r>
        <w:t>.</w:t>
      </w:r>
    </w:p>
    <w:p w14:paraId="599689B4" w14:textId="4C2CFD1A" w:rsidR="00822A92" w:rsidRDefault="00822A92" w:rsidP="00922377">
      <w:r>
        <w:t xml:space="preserve">Perkins V requires </w:t>
      </w:r>
      <w:r w:rsidR="00FE1092">
        <w:t>local eligible agencies or institutions</w:t>
      </w:r>
      <w:r>
        <w:t xml:space="preserve"> to conduct a CLNA in which they are required to address performance gaps</w:t>
      </w:r>
      <w:r w:rsidR="00980291">
        <w:t xml:space="preserve"> for special populations</w:t>
      </w:r>
      <w:r w:rsidR="004F09CA">
        <w:t xml:space="preserve">. </w:t>
      </w:r>
      <w:r w:rsidR="00980291" w:rsidRPr="00980291">
        <w:t>Local eligible agencies and institutions</w:t>
      </w:r>
      <w:r w:rsidR="004F09CA">
        <w:t xml:space="preserve"> are tasked with</w:t>
      </w:r>
      <w:r>
        <w:t xml:space="preserve"> </w:t>
      </w:r>
      <w:r w:rsidR="004F09CA">
        <w:t>documenting, in their local application</w:t>
      </w:r>
      <w:r w:rsidR="00980291">
        <w:t>s</w:t>
      </w:r>
      <w:r w:rsidR="004F09CA">
        <w:t xml:space="preserve">, how they plan to </w:t>
      </w:r>
      <w:r>
        <w:t>t</w:t>
      </w:r>
      <w:r w:rsidR="004F09CA">
        <w:t>arget</w:t>
      </w:r>
      <w:r>
        <w:t xml:space="preserve"> </w:t>
      </w:r>
      <w:r w:rsidR="00980291">
        <w:t>special populations</w:t>
      </w:r>
      <w:r>
        <w:t xml:space="preserve"> with th</w:t>
      </w:r>
      <w:r w:rsidR="004F09CA">
        <w:t>e greatest gaps and develop</w:t>
      </w:r>
      <w:r>
        <w:t xml:space="preserve"> strategies to raise </w:t>
      </w:r>
      <w:r w:rsidR="004F09CA">
        <w:t xml:space="preserve">their </w:t>
      </w:r>
      <w:r>
        <w:t xml:space="preserve">performance. </w:t>
      </w:r>
      <w:r w:rsidR="004F09CA">
        <w:t>The goal is to</w:t>
      </w:r>
      <w:r>
        <w:t xml:space="preserve"> raise </w:t>
      </w:r>
      <w:r w:rsidR="004F09CA">
        <w:t xml:space="preserve">the </w:t>
      </w:r>
      <w:r>
        <w:t xml:space="preserve">performance levels of </w:t>
      </w:r>
      <w:r w:rsidR="00980291">
        <w:t>lower performing special populations</w:t>
      </w:r>
      <w:r>
        <w:t xml:space="preserve"> to at least the levels set by the proposed SDPLs, thereby narrowing the gaps</w:t>
      </w:r>
      <w:r w:rsidR="004F09CA">
        <w:t xml:space="preserve">. This </w:t>
      </w:r>
      <w:r>
        <w:t>is similar to what is required under the California Model and the LCAP</w:t>
      </w:r>
      <w:r w:rsidR="00FE1092">
        <w:t xml:space="preserve"> for K–12</w:t>
      </w:r>
      <w:r w:rsidR="00980291" w:rsidRPr="00980291">
        <w:t>, specifically as it relates to English learners, students with disabilities, homeless and foster youth, economically disadvantaged students, and students of military families</w:t>
      </w:r>
      <w:r>
        <w:t>.</w:t>
      </w:r>
    </w:p>
    <w:p w14:paraId="5FAA3A7C" w14:textId="74F6B9AA" w:rsidR="00922377" w:rsidRDefault="00922377" w:rsidP="00922377">
      <w:r>
        <w:t xml:space="preserve">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w:t>
      </w:r>
      <w:r w:rsidR="00FE1092">
        <w:t>Local eligible agencies and institutions</w:t>
      </w:r>
      <w:r>
        <w:t xml:space="preserve"> that have not met the state-required levels of performance must submit an improvement plan, describing both why they have not met performance requirements and their planned actions for improving performance. State staff also provide</w:t>
      </w:r>
      <w:r w:rsidR="00980291">
        <w:t>s</w:t>
      </w:r>
      <w:r>
        <w:t xml:space="preserve"> technical assistance as needed and when requested.</w:t>
      </w:r>
    </w:p>
    <w:p w14:paraId="209296B1" w14:textId="58405FAC" w:rsidR="00922377" w:rsidRDefault="00922377" w:rsidP="00922377">
      <w:r>
        <w:t xml:space="preserve">The </w:t>
      </w:r>
      <w:r w:rsidR="00980291">
        <w:t>S</w:t>
      </w:r>
      <w:r>
        <w:t xml:space="preserve">tate continues to improve and expand its statewide data collection system to meet the Perkins V accountability requirements. It is also expanding the use of the achieved </w:t>
      </w:r>
      <w:r>
        <w:lastRenderedPageBreak/>
        <w:t>core indicator performance levels to identify and direct needed program improvements and technical assistance activities, particularly to close achievement gaps.</w:t>
      </w:r>
    </w:p>
    <w:p w14:paraId="0C93430B" w14:textId="6CB2EC63" w:rsidR="00922377" w:rsidRDefault="00922377" w:rsidP="00922377">
      <w:r>
        <w:t xml:space="preserve">The levels of performance established for postsecondary </w:t>
      </w:r>
      <w:r w:rsidR="00980291">
        <w:t xml:space="preserve">students </w:t>
      </w:r>
      <w:r>
        <w:t>are expressed in a percentage</w:t>
      </w:r>
      <w:r w:rsidR="008229A8">
        <w:t>;</w:t>
      </w:r>
      <w:r>
        <w:t xml:space="preserve"> the targets are objective, quantifiable, and measurable. In addition, the baseline level of each core indicator is established using the average of the last three years (FY 2016–19) </w:t>
      </w:r>
      <w:r w:rsidR="008229A8">
        <w:t xml:space="preserve">of </w:t>
      </w:r>
      <w:r>
        <w:t xml:space="preserve">actual </w:t>
      </w:r>
      <w:r w:rsidR="000D6ABF">
        <w:t>S</w:t>
      </w:r>
      <w:r>
        <w:t xml:space="preserve">tate performances. The federal government allows the </w:t>
      </w:r>
      <w:r w:rsidR="000D6ABF">
        <w:t>S</w:t>
      </w:r>
      <w:r>
        <w:t>tate to keep the same target for no more than two consecutive years</w:t>
      </w:r>
      <w:r w:rsidR="008229A8">
        <w:t>,</w:t>
      </w:r>
      <w:r>
        <w:t xml:space="preserve"> with an adjustment occurring in year three. In FY 2022</w:t>
      </w:r>
      <w:r w:rsidR="00980291">
        <w:t>–23</w:t>
      </w:r>
      <w:r>
        <w:t xml:space="preserve"> and FY 2023</w:t>
      </w:r>
      <w:r w:rsidR="00980291">
        <w:t>–24</w:t>
      </w:r>
      <w:r>
        <w:t xml:space="preserve">, the </w:t>
      </w:r>
      <w:r w:rsidR="000D6ABF">
        <w:t>S</w:t>
      </w:r>
      <w:r>
        <w:t>tate will have the opportunity to re-evaluate performance after two years of Perkins V report</w:t>
      </w:r>
      <w:r w:rsidR="008229A8">
        <w:t>ing</w:t>
      </w:r>
      <w:r w:rsidR="00980291">
        <w:t xml:space="preserve"> (FY 2020–23</w:t>
      </w:r>
      <w:r w:rsidR="008229A8">
        <w:t>,</w:t>
      </w:r>
      <w:r>
        <w:t xml:space="preserve"> as recommended by the </w:t>
      </w:r>
      <w:r w:rsidR="00B855BA">
        <w:t>ED’s</w:t>
      </w:r>
      <w:r>
        <w:t xml:space="preserve"> Office of Career, Technical</w:t>
      </w:r>
      <w:r w:rsidR="0049150B">
        <w:t>,</w:t>
      </w:r>
      <w:r>
        <w:t xml:space="preserve"> and Adult Education).</w:t>
      </w:r>
    </w:p>
    <w:p w14:paraId="5B0C5DA6" w14:textId="76F2F59F" w:rsidR="00922377" w:rsidRDefault="00922377" w:rsidP="00922377">
      <w:r>
        <w:t>In the previous Perkins IV, under Section 113(b)</w:t>
      </w:r>
      <w:r w:rsidR="001D2448">
        <w:t>(</w:t>
      </w:r>
      <w:r>
        <w:t>4</w:t>
      </w:r>
      <w:r w:rsidR="001D2448">
        <w:t>)</w:t>
      </w:r>
      <w:r>
        <w:t xml:space="preserve">, </w:t>
      </w:r>
      <w:r w:rsidR="00FE1092">
        <w:t>local eligible agencies or institutions</w:t>
      </w:r>
      <w:r>
        <w:t xml:space="preserve"> were allowed to either accept the </w:t>
      </w:r>
      <w:r w:rsidR="00980291">
        <w:t>S</w:t>
      </w:r>
      <w:r>
        <w:t xml:space="preserve">tate’s established performance target or negotiate a local performance target with the </w:t>
      </w:r>
      <w:r w:rsidR="00980291">
        <w:t>S</w:t>
      </w:r>
      <w:r>
        <w:t xml:space="preserve">tate for each of the core indicators. In addition, the agreed-upon performance targets were incorporated into a local application. </w:t>
      </w:r>
      <w:r w:rsidR="00FE1092">
        <w:t xml:space="preserve">Recipients </w:t>
      </w:r>
      <w:r>
        <w:t xml:space="preserve">not meeting at least </w:t>
      </w:r>
      <w:r w:rsidR="0049150B">
        <w:t xml:space="preserve">a </w:t>
      </w:r>
      <w:r>
        <w:t>90 percent threshold of any target are required to submit a Perkins application that includes</w:t>
      </w:r>
      <w:r w:rsidR="00D70AC2">
        <w:t xml:space="preserve"> a</w:t>
      </w:r>
      <w:r>
        <w:t>n additional section describing the planned strategies and activities to be employed during the upcoming year to address performance gaps.</w:t>
      </w:r>
      <w:r w:rsidR="00D70AC2">
        <w:t xml:space="preserve"> Additionally, p</w:t>
      </w:r>
      <w:r>
        <w:t>rograms funded must address individual program performance gaps</w:t>
      </w:r>
      <w:r w:rsidR="00D70AC2">
        <w:t>, and i</w:t>
      </w:r>
      <w:r>
        <w:t>mprovements must include strategies that address program performance gaps.</w:t>
      </w:r>
      <w:r w:rsidR="00D70AC2">
        <w:t xml:space="preserve"> </w:t>
      </w:r>
      <w:r>
        <w:t xml:space="preserve">Districts and consortia not meeting </w:t>
      </w:r>
      <w:r w:rsidR="00D70AC2">
        <w:t xml:space="preserve">a </w:t>
      </w:r>
      <w:r>
        <w:t>90 percent threshold of a target for two consecutive years are encouraged to complete a diagnostic study to determine root causes and proposed solutions to large performance gaps. Under Perkins V, the</w:t>
      </w:r>
      <w:r w:rsidR="00D70AC2">
        <w:t>se</w:t>
      </w:r>
      <w:r>
        <w:t xml:space="preserve"> rules will be applied starting in </w:t>
      </w:r>
      <w:r w:rsidR="00D70AC2">
        <w:t xml:space="preserve">the fourth </w:t>
      </w:r>
      <w:r w:rsidR="00980291">
        <w:t>year (FY 2022–23</w:t>
      </w:r>
      <w:r>
        <w:t>) in which data will be available.</w:t>
      </w:r>
    </w:p>
    <w:p w14:paraId="5ECC29A4" w14:textId="48872CB5" w:rsidR="00922377" w:rsidRDefault="00922377" w:rsidP="00922377">
      <w:r>
        <w:t xml:space="preserve">California has begun the process </w:t>
      </w:r>
      <w:r w:rsidR="00D70AC2">
        <w:t>of</w:t>
      </w:r>
      <w:r>
        <w:t xml:space="preserve"> solidify</w:t>
      </w:r>
      <w:r w:rsidR="00D70AC2">
        <w:t>ing</w:t>
      </w:r>
      <w:r>
        <w:t xml:space="preserve"> its CTE data, reporting, and accountability system and aligning it with the </w:t>
      </w:r>
      <w:r w:rsidR="000D6ABF">
        <w:t>S</w:t>
      </w:r>
      <w:r>
        <w:t xml:space="preserve">tate data, reporting, and accountability system. In addition, the </w:t>
      </w:r>
      <w:r w:rsidR="00EC3D44">
        <w:t xml:space="preserve">broader </w:t>
      </w:r>
      <w:r>
        <w:t xml:space="preserve">focus </w:t>
      </w:r>
      <w:r w:rsidR="00EC3D44">
        <w:t xml:space="preserve">for the state </w:t>
      </w:r>
      <w:r>
        <w:t xml:space="preserve">will be on collecting CTE data for all students and districts offering CTE, regardless of </w:t>
      </w:r>
      <w:r w:rsidR="000D6ABF">
        <w:t>S</w:t>
      </w:r>
      <w:r>
        <w:t xml:space="preserve">tate or federal funding source. In this regard, the ongoing </w:t>
      </w:r>
      <w:r w:rsidR="00980291">
        <w:t>consultation with</w:t>
      </w:r>
      <w:r>
        <w:t xml:space="preserve"> the accountability stakeholder</w:t>
      </w:r>
      <w:r w:rsidR="00980291">
        <w:t>s</w:t>
      </w:r>
      <w:r>
        <w:t xml:space="preserve"> group w</w:t>
      </w:r>
      <w:r w:rsidR="00FE1092">
        <w:t>ill</w:t>
      </w:r>
      <w:r>
        <w:t xml:space="preserve"> be </w:t>
      </w:r>
      <w:r>
        <w:lastRenderedPageBreak/>
        <w:t xml:space="preserve">critical for </w:t>
      </w:r>
      <w:r w:rsidR="00FE1092">
        <w:t>providing guidance on transitioning</w:t>
      </w:r>
      <w:r>
        <w:t xml:space="preserve"> from Perkins accountability to a continuous quality improvement </w:t>
      </w:r>
      <w:r w:rsidR="00FE1092">
        <w:t>model</w:t>
      </w:r>
      <w:r>
        <w:t xml:space="preserve">. Most importantly, the CTE accountability system will </w:t>
      </w:r>
      <w:r w:rsidR="00E86E7E">
        <w:t>support the</w:t>
      </w:r>
      <w:r>
        <w:t xml:space="preserve"> CWPJAC</w:t>
      </w:r>
      <w:r w:rsidR="006F061E">
        <w:t>’s</w:t>
      </w:r>
      <w:r>
        <w:t xml:space="preserve"> Guiding Policy Principles and the Essential Elements of a High-Quality College and Career Pathway.</w:t>
      </w:r>
    </w:p>
    <w:p w14:paraId="766C40D3" w14:textId="77777777" w:rsidR="00C33240" w:rsidRPr="002F2687" w:rsidRDefault="004960BE" w:rsidP="00986325">
      <w:pPr>
        <w:pStyle w:val="Heading2"/>
      </w:pPr>
      <w:bookmarkStart w:id="77" w:name="_Toc2938270"/>
      <w:bookmarkStart w:id="78" w:name="_Toc18935414"/>
      <w:bookmarkStart w:id="79" w:name="_Toc21683334"/>
      <w:bookmarkStart w:id="80" w:name="_Toc21942604"/>
      <w:bookmarkStart w:id="81" w:name="_Toc21944238"/>
      <w:bookmarkStart w:id="82" w:name="_Toc33620405"/>
      <w:bookmarkEnd w:id="76"/>
      <w:r w:rsidRPr="002F2687">
        <w:lastRenderedPageBreak/>
        <w:t xml:space="preserve">III. </w:t>
      </w:r>
      <w:bookmarkEnd w:id="77"/>
      <w:bookmarkEnd w:id="78"/>
      <w:bookmarkEnd w:id="79"/>
      <w:r w:rsidR="000218B7" w:rsidRPr="002F2687">
        <w:t>Assurances, Certifications, and Other Forms</w:t>
      </w:r>
      <w:bookmarkEnd w:id="80"/>
      <w:bookmarkEnd w:id="81"/>
      <w:bookmarkEnd w:id="82"/>
    </w:p>
    <w:p w14:paraId="31FFC3CF" w14:textId="77777777" w:rsidR="00C33240" w:rsidRPr="002F2687" w:rsidRDefault="004960BE" w:rsidP="00C74AB8">
      <w:pPr>
        <w:pStyle w:val="Heading3"/>
      </w:pPr>
      <w:bookmarkStart w:id="83" w:name="_Toc18935415"/>
      <w:bookmarkStart w:id="84" w:name="_Toc21683335"/>
      <w:bookmarkStart w:id="85" w:name="_Toc21944239"/>
      <w:bookmarkStart w:id="86" w:name="_Toc33620406"/>
      <w:r w:rsidRPr="002F2687">
        <w:t xml:space="preserve">A. </w:t>
      </w:r>
      <w:r w:rsidR="00C33240" w:rsidRPr="002F2687">
        <w:t>Statutory Assurances</w:t>
      </w:r>
      <w:bookmarkEnd w:id="83"/>
      <w:bookmarkEnd w:id="84"/>
      <w:bookmarkEnd w:id="85"/>
      <w:bookmarkEnd w:id="86"/>
    </w:p>
    <w:p w14:paraId="3C079811" w14:textId="09F3123E" w:rsidR="00C33240" w:rsidRPr="002F2687" w:rsidRDefault="00C33240" w:rsidP="00B676AE">
      <w:r w:rsidRPr="002F2687">
        <w:t>The eligible agency assures that:</w:t>
      </w:r>
    </w:p>
    <w:p w14:paraId="0A61A30A" w14:textId="27B0E75F" w:rsidR="00C33240" w:rsidRPr="002F2687" w:rsidRDefault="00C33240" w:rsidP="00A41984">
      <w:pPr>
        <w:pStyle w:val="ListParagraph"/>
        <w:numPr>
          <w:ilvl w:val="0"/>
          <w:numId w:val="25"/>
        </w:numPr>
      </w:pPr>
      <w:r w:rsidRPr="002F2687">
        <w:t>It made the State plan publicly available for public comment</w:t>
      </w:r>
      <w:r w:rsidRPr="002F2687">
        <w:rPr>
          <w:rStyle w:val="FootnoteReference"/>
          <w:rFonts w:cs="Arial"/>
        </w:rPr>
        <w:footnoteReference w:id="47"/>
      </w:r>
      <w:r w:rsidRPr="002F2687">
        <w:t xml:space="preserve"> for a period of not less than 30 days, by electronic means and in an easily accessible format, prior to submission to the Secretary for approval and such public comments were taken into account in the development of this State plan.</w:t>
      </w:r>
      <w:r w:rsidR="003B5FA0" w:rsidRPr="002F2687">
        <w:t xml:space="preserve"> </w:t>
      </w:r>
      <w:r w:rsidRPr="002F2687">
        <w:t>(Section 122(a)(4) of Perkins V)</w:t>
      </w:r>
    </w:p>
    <w:p w14:paraId="5EB86875" w14:textId="18CCFBF3" w:rsidR="00C33240" w:rsidRPr="002F2687" w:rsidRDefault="00C33240" w:rsidP="00A41984">
      <w:pPr>
        <w:pStyle w:val="ListParagraph"/>
        <w:numPr>
          <w:ilvl w:val="0"/>
          <w:numId w:val="25"/>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A41984">
      <w:pPr>
        <w:pStyle w:val="ListParagraph"/>
        <w:numPr>
          <w:ilvl w:val="0"/>
          <w:numId w:val="25"/>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A41984">
      <w:pPr>
        <w:pStyle w:val="ListParagraph"/>
        <w:numPr>
          <w:ilvl w:val="0"/>
          <w:numId w:val="25"/>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A41984">
      <w:pPr>
        <w:pStyle w:val="ListParagraph"/>
        <w:numPr>
          <w:ilvl w:val="0"/>
          <w:numId w:val="25"/>
        </w:numPr>
      </w:pPr>
      <w:r w:rsidRPr="002F2687">
        <w:lastRenderedPageBreak/>
        <w:t>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A41984">
      <w:pPr>
        <w:pStyle w:val="ListParagraph"/>
        <w:numPr>
          <w:ilvl w:val="0"/>
          <w:numId w:val="25"/>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87" w:name="_Toc18935416"/>
      <w:bookmarkStart w:id="88" w:name="_Toc21683336"/>
      <w:bookmarkStart w:id="89" w:name="_Toc21944240"/>
      <w:bookmarkStart w:id="90" w:name="_Toc33620407"/>
      <w:r w:rsidRPr="002F2687">
        <w:t xml:space="preserve">B. </w:t>
      </w:r>
      <w:r w:rsidR="00C33240" w:rsidRPr="002F2687">
        <w:t>EDGAR Certifications</w:t>
      </w:r>
      <w:bookmarkEnd w:id="87"/>
      <w:bookmarkEnd w:id="88"/>
      <w:bookmarkEnd w:id="89"/>
      <w:bookmarkEnd w:id="90"/>
    </w:p>
    <w:p w14:paraId="1ECFA196" w14:textId="7A9CC7D3" w:rsidR="00C33240" w:rsidRPr="002F2687" w:rsidRDefault="00C33240" w:rsidP="007553AA">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91" w:name="_Toc18935417"/>
      <w:bookmarkStart w:id="92" w:name="_Toc21683337"/>
      <w:bookmarkStart w:id="93" w:name="_Toc21944241"/>
      <w:bookmarkStart w:id="94" w:name="_Toc33620408"/>
      <w:r w:rsidRPr="002F2687">
        <w:t xml:space="preserve">C. </w:t>
      </w:r>
      <w:r w:rsidR="00C33240" w:rsidRPr="002F2687">
        <w:t>Other Forms</w:t>
      </w:r>
      <w:bookmarkEnd w:id="91"/>
      <w:bookmarkEnd w:id="92"/>
      <w:bookmarkEnd w:id="93"/>
      <w:bookmarkEnd w:id="94"/>
    </w:p>
    <w:p w14:paraId="07AFEDA2" w14:textId="33F8C29C" w:rsidR="00C33240" w:rsidRPr="002F2687" w:rsidRDefault="00C33240" w:rsidP="00B676AE">
      <w:pPr>
        <w:ind w:left="360" w:hanging="360"/>
      </w:pPr>
      <w:r w:rsidRPr="002F2687">
        <w:t>The eligible agency certifies, and assures compliance with the following enclosed forms:</w:t>
      </w:r>
    </w:p>
    <w:p w14:paraId="033C2158" w14:textId="66A79712" w:rsidR="00C33240" w:rsidRPr="002F2687" w:rsidRDefault="00C33240" w:rsidP="00A41984">
      <w:pPr>
        <w:pStyle w:val="ListParagraph"/>
        <w:numPr>
          <w:ilvl w:val="0"/>
          <w:numId w:val="26"/>
        </w:numPr>
      </w:pPr>
      <w:r w:rsidRPr="002F2687">
        <w:lastRenderedPageBreak/>
        <w:t>Assurances for Non-Construction Programs (SF 424B) Form (OMB Control No. 0348-0040) can be located on the US Department of Education web page at:</w:t>
      </w:r>
      <w:r w:rsidR="00501D5A">
        <w:t xml:space="preserve"> </w:t>
      </w:r>
      <w:hyperlink r:id="rId44" w:tooltip="The US Department of Education form page" w:history="1">
        <w:r w:rsidR="00F24EDA" w:rsidRPr="00D23898">
          <w:rPr>
            <w:rStyle w:val="Hyperlink"/>
          </w:rPr>
          <w:t>https://www2.ed.gov/fund/grant/apply/appforms/sf424b.pdf</w:t>
        </w:r>
      </w:hyperlink>
      <w:r w:rsidRPr="002F2687">
        <w:t>.</w:t>
      </w:r>
    </w:p>
    <w:p w14:paraId="34D7D701" w14:textId="26E68956" w:rsidR="00C33240" w:rsidRPr="002F2687" w:rsidRDefault="00C33240" w:rsidP="00A41984">
      <w:pPr>
        <w:pStyle w:val="ListParagraph"/>
        <w:numPr>
          <w:ilvl w:val="0"/>
          <w:numId w:val="26"/>
        </w:numPr>
      </w:pPr>
      <w:r w:rsidRPr="002F2687">
        <w:t xml:space="preserve">Disclosure of Lobbying Activities (SF LLL) (OMB Control No. 4040-0013) can be located on the US Department of Education web page at: </w:t>
      </w:r>
      <w:hyperlink r:id="rId45" w:tooltip="US Department of Education Disclosure of Lobbying Activities form" w:history="1">
        <w:r w:rsidRPr="002F2687">
          <w:rPr>
            <w:rStyle w:val="Hyperlink"/>
          </w:rPr>
          <w:t>https://apply07.grants.gov/apply/forms/sample/SFLLL_1_2-V1.2.pdf</w:t>
        </w:r>
      </w:hyperlink>
      <w:r w:rsidRPr="00F04FB3">
        <w:rPr>
          <w:rStyle w:val="Hyperlink"/>
          <w:rFonts w:eastAsia="Calibri" w:cs="Arial"/>
          <w:color w:val="auto"/>
          <w:u w:val="none"/>
        </w:rPr>
        <w:t>.</w:t>
      </w:r>
    </w:p>
    <w:p w14:paraId="57601762" w14:textId="57C3516A" w:rsidR="00C33240" w:rsidRPr="002F2687" w:rsidRDefault="00C33240" w:rsidP="00A41984">
      <w:pPr>
        <w:pStyle w:val="ListParagraph"/>
        <w:numPr>
          <w:ilvl w:val="0"/>
          <w:numId w:val="26"/>
        </w:numPr>
      </w:pPr>
      <w:r w:rsidRPr="002F2687">
        <w:t xml:space="preserve">Certification Regarding Lobbying (ED 80-0013 Form can be located on the US Department of Education website at: </w:t>
      </w:r>
      <w:hyperlink r:id="rId46" w:tooltip="US Department of Education Certification Regarding Lobbying form" w:history="1">
        <w:r w:rsidRPr="002F2687">
          <w:rPr>
            <w:rStyle w:val="Hyperlink"/>
          </w:rPr>
          <w:t>https://www2.ed.gov/fund/grant/apply/appforms/ed80-013.pdf</w:t>
        </w:r>
      </w:hyperlink>
      <w:r w:rsidRPr="002F2687">
        <w:t>.</w:t>
      </w:r>
    </w:p>
    <w:p w14:paraId="1C6DE92A" w14:textId="6E79446C" w:rsidR="009B41CB" w:rsidRDefault="00C33240" w:rsidP="00A41984">
      <w:pPr>
        <w:pStyle w:val="ListParagraph"/>
        <w:numPr>
          <w:ilvl w:val="0"/>
          <w:numId w:val="26"/>
        </w:numPr>
      </w:pPr>
      <w:r w:rsidRPr="002F2687">
        <w:t xml:space="preserve">General Education Provisions Act (GEPA) 427 Form (OMB Control No. 1894-0005) can be located on the US Department of Education website at: </w:t>
      </w:r>
      <w:hyperlink r:id="rId47" w:tooltip="US Department of Education General Education Provisions Act form" w:history="1">
        <w:r w:rsidRPr="002F2687">
          <w:rPr>
            <w:rStyle w:val="Hyperlink"/>
          </w:rPr>
          <w:t>https://www2.ed.gov/fund/grant/apply/appforms/gepa427.pdf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95" w:name="_Toc2938271"/>
      <w:bookmarkStart w:id="96" w:name="_Toc18935418"/>
      <w:bookmarkStart w:id="97" w:name="_Toc21683338"/>
      <w:bookmarkStart w:id="98" w:name="_Toc21942605"/>
      <w:bookmarkStart w:id="99" w:name="_Toc21944242"/>
      <w:bookmarkStart w:id="100" w:name="_Toc33620409"/>
      <w:r w:rsidRPr="002F2687">
        <w:lastRenderedPageBreak/>
        <w:t xml:space="preserve">IV. </w:t>
      </w:r>
      <w:bookmarkEnd w:id="95"/>
      <w:bookmarkEnd w:id="96"/>
      <w:bookmarkEnd w:id="97"/>
      <w:r w:rsidR="00070946" w:rsidRPr="002F2687">
        <w:t>Budget</w:t>
      </w:r>
      <w:bookmarkEnd w:id="98"/>
      <w:bookmarkEnd w:id="99"/>
      <w:bookmarkEnd w:id="100"/>
    </w:p>
    <w:p w14:paraId="23B5B695" w14:textId="77777777" w:rsidR="00C33240" w:rsidRPr="002F2687" w:rsidRDefault="00C33240" w:rsidP="00C74AB8">
      <w:pPr>
        <w:pStyle w:val="Heading3"/>
      </w:pPr>
      <w:bookmarkStart w:id="101" w:name="_Toc18935419"/>
      <w:bookmarkStart w:id="102" w:name="_Toc21683339"/>
      <w:bookmarkStart w:id="103" w:name="_Toc21944243"/>
      <w:bookmarkStart w:id="104" w:name="_Toc33620410"/>
      <w:r w:rsidRPr="002F2687">
        <w:t>Budget Form</w:t>
      </w:r>
      <w:bookmarkEnd w:id="101"/>
      <w:bookmarkEnd w:id="102"/>
      <w:bookmarkEnd w:id="103"/>
      <w:bookmarkEnd w:id="104"/>
    </w:p>
    <w:p w14:paraId="0D2A4634" w14:textId="3D42E65C" w:rsidR="00C33240" w:rsidRPr="007553AA" w:rsidRDefault="00C33240" w:rsidP="008317ED">
      <w:pPr>
        <w:tabs>
          <w:tab w:val="left" w:pos="4320"/>
        </w:tabs>
        <w:spacing w:line="240" w:lineRule="auto"/>
      </w:pPr>
      <w:r w:rsidRPr="002F2687">
        <w:rPr>
          <w:b/>
        </w:rPr>
        <w:t>State Name:</w:t>
      </w:r>
      <w:r w:rsidRPr="007553AA">
        <w:t xml:space="preserve"> Californi</w:t>
      </w:r>
      <w:r w:rsidR="008317ED" w:rsidRPr="007553AA">
        <w:t>a</w:t>
      </w:r>
    </w:p>
    <w:p w14:paraId="29D3E4BA" w14:textId="4A8C2C77" w:rsidR="00C33240" w:rsidRPr="007553AA" w:rsidRDefault="00C33240" w:rsidP="008317ED">
      <w:pPr>
        <w:tabs>
          <w:tab w:val="left" w:pos="4320"/>
        </w:tabs>
        <w:spacing w:line="240" w:lineRule="auto"/>
      </w:pPr>
      <w:r w:rsidRPr="007553AA">
        <w:rPr>
          <w:b/>
        </w:rPr>
        <w:t>Fiscal Year:</w:t>
      </w:r>
      <w:r w:rsidRPr="007553AA">
        <w:t xml:space="preserve"> 20</w:t>
      </w:r>
      <w:r w:rsidR="00854C55" w:rsidRPr="007553AA">
        <w:t>20</w:t>
      </w:r>
      <w:r w:rsidRPr="007553AA">
        <w:t>–</w:t>
      </w:r>
      <w:r w:rsidR="00854C55" w:rsidRPr="007553AA">
        <w:t>21</w:t>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4AC9E6C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854C55" w:rsidRPr="00AC31D6">
              <w:rPr>
                <w:rFonts w:eastAsia="Calibri" w:cs="Arial"/>
              </w:rPr>
              <w:t>12</w:t>
            </w:r>
            <w:r w:rsidR="00854C55">
              <w:rPr>
                <w:rFonts w:eastAsia="Calibri" w:cs="Arial"/>
              </w:rPr>
              <w:t>8,798,161</w:t>
            </w:r>
          </w:p>
        </w:tc>
      </w:tr>
      <w:tr w:rsidR="00B0316D" w:rsidRPr="002F2687" w14:paraId="5E82A782" w14:textId="77777777" w:rsidTr="006079A2">
        <w:trPr>
          <w:cantSplit/>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06459B3" w:rsidR="00B0316D" w:rsidRPr="00AC31D6" w:rsidRDefault="00854C55" w:rsidP="006079A2">
            <w:pPr>
              <w:spacing w:before="60" w:after="60" w:line="240" w:lineRule="auto"/>
              <w:ind w:right="342"/>
              <w:jc w:val="right"/>
              <w:rPr>
                <w:rFonts w:eastAsia="Calibri" w:cs="Arial"/>
              </w:rPr>
            </w:pPr>
            <w:r>
              <w:rPr>
                <w:rFonts w:eastAsia="Calibri" w:cs="Arial"/>
              </w:rPr>
              <w:t>5</w:t>
            </w:r>
            <w:r w:rsidR="00B0316D" w:rsidRPr="00AC31D6">
              <w:rPr>
                <w:rFonts w:eastAsia="Calibri" w:cs="Arial"/>
              </w:rPr>
              <w:t xml:space="preserve"> %</w:t>
            </w:r>
          </w:p>
        </w:tc>
        <w:tc>
          <w:tcPr>
            <w:tcW w:w="2382" w:type="dxa"/>
          </w:tcPr>
          <w:p w14:paraId="533CCC9E" w14:textId="6577676C"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r>
            <w:r w:rsidR="00854C55">
              <w:rPr>
                <w:rFonts w:eastAsia="Calibri" w:cs="Arial"/>
              </w:rPr>
              <w:t>6,439,908</w:t>
            </w:r>
          </w:p>
        </w:tc>
      </w:tr>
      <w:tr w:rsidR="00B0316D" w:rsidRPr="002F2687" w14:paraId="5B68C625" w14:textId="77777777" w:rsidTr="006079A2">
        <w:trPr>
          <w:cantSplit/>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68D2866A" w:rsidR="00B0316D" w:rsidRPr="00AC31D6" w:rsidRDefault="00B0316D" w:rsidP="006079A2">
            <w:pPr>
              <w:spacing w:before="60" w:after="60" w:line="240" w:lineRule="auto"/>
              <w:ind w:right="342"/>
              <w:jc w:val="right"/>
              <w:rPr>
                <w:rFonts w:eastAsia="Calibri" w:cs="Arial"/>
              </w:rPr>
            </w:pPr>
            <w:r w:rsidRPr="00AC31D6">
              <w:rPr>
                <w:rFonts w:eastAsia="Calibri" w:cs="Arial"/>
              </w:rPr>
              <w:t>9.</w:t>
            </w:r>
            <w:r w:rsidR="00854C55">
              <w:rPr>
                <w:rFonts w:eastAsia="Calibri" w:cs="Arial"/>
              </w:rPr>
              <w:t>48</w:t>
            </w:r>
            <w:r w:rsidRPr="00AC31D6">
              <w:rPr>
                <w:rFonts w:eastAsia="Calibri" w:cs="Arial"/>
              </w:rPr>
              <w:t xml:space="preserve"> %</w:t>
            </w:r>
          </w:p>
        </w:tc>
        <w:tc>
          <w:tcPr>
            <w:tcW w:w="2382" w:type="dxa"/>
          </w:tcPr>
          <w:p w14:paraId="10991289" w14:textId="27D0CE2F"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r>
            <w:r w:rsidR="00854C55">
              <w:t>12,204,816</w:t>
            </w:r>
          </w:p>
        </w:tc>
      </w:tr>
      <w:tr w:rsidR="00C33240" w:rsidRPr="002F2687" w14:paraId="62D1F734" w14:textId="77777777" w:rsidTr="006079A2">
        <w:trPr>
          <w:cantSplit/>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62068A68"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854C55">
              <w:rPr>
                <w:rFonts w:eastAsia="Calibri" w:cs="Arial"/>
              </w:rPr>
              <w:t>475,000</w:t>
            </w:r>
          </w:p>
        </w:tc>
      </w:tr>
      <w:tr w:rsidR="00C33240" w:rsidRPr="002F2687" w14:paraId="4AA72AC0" w14:textId="77777777" w:rsidTr="008317ED">
        <w:trPr>
          <w:cantSplit/>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8317ED">
        <w:trPr>
          <w:cantSplit/>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8317ED">
        <w:trPr>
          <w:cantSplit/>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8317ED">
        <w:trPr>
          <w:cantSplit/>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6079A2">
        <w:trPr>
          <w:cantSplit/>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6079A2">
        <w:trPr>
          <w:cantSplit/>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319876B6"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854C55">
              <w:rPr>
                <w:rFonts w:cs="Arial"/>
              </w:rPr>
              <w:t>109,478,437</w:t>
            </w:r>
          </w:p>
        </w:tc>
      </w:tr>
      <w:tr w:rsidR="00B0316D" w:rsidRPr="002F2687" w14:paraId="535A8131" w14:textId="77777777" w:rsidTr="006079A2">
        <w:trPr>
          <w:cantSplit/>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26614C20" w:rsidR="00B0316D" w:rsidRPr="00AC31D6" w:rsidRDefault="00854C55" w:rsidP="006079A2">
            <w:pPr>
              <w:spacing w:before="60" w:after="60" w:line="240" w:lineRule="auto"/>
              <w:ind w:right="342"/>
              <w:jc w:val="right"/>
              <w:rPr>
                <w:rFonts w:eastAsia="Calibri" w:cs="Arial"/>
              </w:rPr>
            </w:pPr>
            <w:r>
              <w:rPr>
                <w:rFonts w:eastAsia="Calibri" w:cs="Arial"/>
              </w:rPr>
              <w:t>5.28</w:t>
            </w:r>
            <w:r w:rsidR="00B0316D" w:rsidRPr="00AC31D6">
              <w:rPr>
                <w:rFonts w:eastAsia="Calibri" w:cs="Arial"/>
              </w:rPr>
              <w:t xml:space="preserve"> %</w:t>
            </w:r>
          </w:p>
        </w:tc>
        <w:tc>
          <w:tcPr>
            <w:tcW w:w="2382" w:type="dxa"/>
          </w:tcPr>
          <w:p w14:paraId="2028ABFB" w14:textId="1795C113"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r>
            <w:r w:rsidR="00854C55" w:rsidRPr="00AC31D6">
              <w:rPr>
                <w:rFonts w:eastAsia="Calibri" w:cs="Arial"/>
              </w:rPr>
              <w:t>5,</w:t>
            </w:r>
            <w:r w:rsidR="00854C55">
              <w:rPr>
                <w:rFonts w:eastAsia="Calibri" w:cs="Arial"/>
              </w:rPr>
              <w:t>782,703</w:t>
            </w:r>
          </w:p>
        </w:tc>
      </w:tr>
      <w:tr w:rsidR="00B0316D" w:rsidRPr="002F2687" w14:paraId="6D72584F" w14:textId="77777777" w:rsidTr="006079A2">
        <w:trPr>
          <w:cantSplit/>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2608C188" w:rsidR="00B0316D" w:rsidRPr="00AC31D6" w:rsidRDefault="00854C55"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6079A2">
        <w:trPr>
          <w:cantSplit/>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0286EBA9"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r>
            <w:r w:rsidR="00854C55" w:rsidRPr="00AC31D6">
              <w:rPr>
                <w:rFonts w:eastAsia="Calibri" w:cs="Arial"/>
              </w:rPr>
              <w:t>5,</w:t>
            </w:r>
            <w:r w:rsidR="00854C55">
              <w:rPr>
                <w:rFonts w:eastAsia="Calibri" w:cs="Arial"/>
              </w:rPr>
              <w:t>782,703</w:t>
            </w:r>
          </w:p>
        </w:tc>
      </w:tr>
      <w:tr w:rsidR="00B0316D" w:rsidRPr="002F2687" w14:paraId="5AA6CDE3" w14:textId="77777777" w:rsidTr="006079A2">
        <w:trPr>
          <w:cantSplit/>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00D6BD7C" w:rsidR="00B0316D" w:rsidRPr="00AC31D6" w:rsidRDefault="00B0316D" w:rsidP="006079A2">
            <w:pPr>
              <w:spacing w:before="60" w:after="60" w:line="240" w:lineRule="auto"/>
              <w:ind w:right="342"/>
              <w:jc w:val="right"/>
              <w:rPr>
                <w:rFonts w:eastAsia="Calibri" w:cs="Arial"/>
              </w:rPr>
            </w:pPr>
            <w:r w:rsidRPr="00AC31D6">
              <w:rPr>
                <w:rFonts w:eastAsia="Calibri" w:cs="Arial"/>
              </w:rPr>
              <w:t>9</w:t>
            </w:r>
            <w:r w:rsidR="00854C55">
              <w:rPr>
                <w:rFonts w:eastAsia="Calibri" w:cs="Arial"/>
              </w:rPr>
              <w:t>4</w:t>
            </w:r>
            <w:r w:rsidRPr="00AC31D6">
              <w:rPr>
                <w:rFonts w:eastAsia="Calibri" w:cs="Arial"/>
              </w:rPr>
              <w:t>.</w:t>
            </w:r>
            <w:r w:rsidR="00854C55">
              <w:rPr>
                <w:rFonts w:eastAsia="Calibri" w:cs="Arial"/>
              </w:rPr>
              <w:t>72</w:t>
            </w:r>
            <w:r w:rsidRPr="00AC31D6">
              <w:rPr>
                <w:rFonts w:eastAsia="Calibri" w:cs="Arial"/>
              </w:rPr>
              <w:t xml:space="preserve"> %</w:t>
            </w:r>
          </w:p>
        </w:tc>
        <w:tc>
          <w:tcPr>
            <w:tcW w:w="2382" w:type="dxa"/>
          </w:tcPr>
          <w:p w14:paraId="04F2334D" w14:textId="69EF3D10"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r>
            <w:r w:rsidR="00854C55" w:rsidRPr="00AC31D6">
              <w:rPr>
                <w:rFonts w:eastAsia="Calibri" w:cs="Arial"/>
              </w:rPr>
              <w:t>103</w:t>
            </w:r>
            <w:r w:rsidR="00854C55">
              <w:rPr>
                <w:rFonts w:eastAsia="Calibri" w:cs="Arial"/>
              </w:rPr>
              <w:t>,695,734</w:t>
            </w:r>
          </w:p>
        </w:tc>
      </w:tr>
      <w:tr w:rsidR="00B0316D" w:rsidRPr="002F2687" w14:paraId="1D8335AF" w14:textId="77777777" w:rsidTr="006079A2">
        <w:trPr>
          <w:cantSplit/>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6E898579" w:rsidR="00B0316D" w:rsidRPr="00AC31D6" w:rsidRDefault="00390A67" w:rsidP="006079A2">
            <w:pPr>
              <w:spacing w:before="60" w:after="60" w:line="240" w:lineRule="auto"/>
              <w:ind w:right="342"/>
              <w:jc w:val="right"/>
              <w:rPr>
                <w:rFonts w:eastAsia="Calibri" w:cs="Arial"/>
              </w:rPr>
            </w:pPr>
            <w:r w:rsidRPr="00AC31D6">
              <w:rPr>
                <w:rFonts w:eastAsia="Calibri" w:cs="Arial"/>
              </w:rPr>
              <w:t>4</w:t>
            </w:r>
            <w:r w:rsidR="00854C55">
              <w:rPr>
                <w:rFonts w:eastAsia="Calibri" w:cs="Arial"/>
              </w:rPr>
              <w:t>5</w:t>
            </w:r>
            <w:r w:rsidRPr="00AC31D6">
              <w:rPr>
                <w:rFonts w:eastAsia="Calibri" w:cs="Arial"/>
              </w:rPr>
              <w:t>.</w:t>
            </w:r>
            <w:r w:rsidR="00854C55">
              <w:rPr>
                <w:rFonts w:eastAsia="Calibri" w:cs="Arial"/>
              </w:rPr>
              <w:t>88</w:t>
            </w:r>
            <w:r w:rsidR="00B0316D" w:rsidRPr="00AC31D6">
              <w:rPr>
                <w:rFonts w:eastAsia="Calibri" w:cs="Arial"/>
              </w:rPr>
              <w:t xml:space="preserve"> %</w:t>
            </w:r>
          </w:p>
        </w:tc>
        <w:tc>
          <w:tcPr>
            <w:tcW w:w="2382" w:type="dxa"/>
          </w:tcPr>
          <w:p w14:paraId="0E8EF615" w14:textId="490AFAEB"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r>
            <w:r w:rsidR="00854C55">
              <w:rPr>
                <w:rFonts w:eastAsia="Calibri" w:cs="Arial"/>
              </w:rPr>
              <w:t>47,571,926</w:t>
            </w:r>
          </w:p>
        </w:tc>
      </w:tr>
      <w:tr w:rsidR="00B0316D" w:rsidRPr="002F2687" w14:paraId="7C10D5C6" w14:textId="77777777" w:rsidTr="006079A2">
        <w:trPr>
          <w:cantSplit/>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36141297" w:rsidR="00B0316D" w:rsidRPr="00AC31D6" w:rsidRDefault="00854C55" w:rsidP="006079A2">
            <w:pPr>
              <w:spacing w:before="60" w:after="60" w:line="240" w:lineRule="auto"/>
              <w:ind w:right="342"/>
              <w:jc w:val="right"/>
              <w:rPr>
                <w:rFonts w:eastAsia="Calibri" w:cs="Arial"/>
              </w:rPr>
            </w:pPr>
            <w:r>
              <w:rPr>
                <w:rFonts w:eastAsia="Calibri" w:cs="Arial"/>
              </w:rPr>
              <w:t>54</w:t>
            </w:r>
            <w:r w:rsidR="00390A67" w:rsidRPr="00AC31D6">
              <w:rPr>
                <w:rFonts w:eastAsia="Calibri" w:cs="Arial"/>
              </w:rPr>
              <w:t>.</w:t>
            </w:r>
            <w:r>
              <w:rPr>
                <w:rFonts w:eastAsia="Calibri" w:cs="Arial"/>
              </w:rPr>
              <w:t>12</w:t>
            </w:r>
            <w:r w:rsidR="00390A67" w:rsidRPr="00AC31D6">
              <w:rPr>
                <w:rFonts w:eastAsia="Calibri" w:cs="Arial"/>
              </w:rPr>
              <w:t xml:space="preserve"> </w:t>
            </w:r>
            <w:r w:rsidR="00B0316D" w:rsidRPr="00AC31D6">
              <w:rPr>
                <w:rFonts w:eastAsia="Calibri" w:cs="Arial"/>
              </w:rPr>
              <w:t>%</w:t>
            </w:r>
          </w:p>
        </w:tc>
        <w:tc>
          <w:tcPr>
            <w:tcW w:w="2382" w:type="dxa"/>
          </w:tcPr>
          <w:p w14:paraId="7E902CBA" w14:textId="270EF732"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r>
            <w:r w:rsidR="00854C55">
              <w:rPr>
                <w:rFonts w:eastAsia="Calibri" w:cs="Arial"/>
              </w:rPr>
              <w:t>56,123,808</w:t>
            </w:r>
          </w:p>
        </w:tc>
      </w:tr>
      <w:tr w:rsidR="00C33240" w:rsidRPr="002F2687" w14:paraId="2AE9125E" w14:textId="77777777" w:rsidTr="008317ED">
        <w:trPr>
          <w:cantSplit/>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22B947DD" w14:textId="77777777" w:rsidR="00C33240" w:rsidRPr="002F2687" w:rsidRDefault="004960BE" w:rsidP="004105D6">
      <w:pPr>
        <w:pStyle w:val="Heading2"/>
        <w:spacing w:after="120"/>
      </w:pPr>
      <w:bookmarkStart w:id="105" w:name="_Toc2938272"/>
      <w:bookmarkStart w:id="106" w:name="_Toc18935420"/>
      <w:bookmarkStart w:id="107" w:name="_Toc21683340"/>
      <w:bookmarkStart w:id="108" w:name="_Toc21942606"/>
      <w:bookmarkStart w:id="109" w:name="_Toc21944244"/>
      <w:bookmarkStart w:id="110" w:name="_Toc3362041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105"/>
      <w:r w:rsidR="00070946" w:rsidRPr="002F2687">
        <w:t>evels</w:t>
      </w:r>
      <w:bookmarkEnd w:id="106"/>
      <w:bookmarkEnd w:id="107"/>
      <w:bookmarkEnd w:id="108"/>
      <w:bookmarkEnd w:id="109"/>
      <w:bookmarkEnd w:id="110"/>
    </w:p>
    <w:p w14:paraId="3906A933" w14:textId="475605CC" w:rsidR="00C33240" w:rsidRPr="002F2687" w:rsidRDefault="00C33240" w:rsidP="004105D6">
      <w:pPr>
        <w:pStyle w:val="Heading3"/>
        <w:spacing w:line="240" w:lineRule="auto"/>
      </w:pPr>
      <w:bookmarkStart w:id="111" w:name="_TOC_250000"/>
      <w:bookmarkStart w:id="112" w:name="_Toc18935421"/>
      <w:bookmarkStart w:id="113" w:name="_Toc21683341"/>
      <w:bookmarkStart w:id="114" w:name="_Toc21944245"/>
      <w:bookmarkStart w:id="115" w:name="_Toc33620412"/>
      <w:bookmarkStart w:id="116" w:name="_Hlk31287245"/>
      <w:r w:rsidRPr="002F2687">
        <w:t xml:space="preserve">State Determined Performance Levels </w:t>
      </w:r>
      <w:bookmarkEnd w:id="111"/>
      <w:r w:rsidRPr="002F2687">
        <w:t>Form</w:t>
      </w:r>
      <w:bookmarkEnd w:id="112"/>
      <w:bookmarkEnd w:id="113"/>
      <w:bookmarkEnd w:id="114"/>
      <w:bookmarkEnd w:id="115"/>
    </w:p>
    <w:p w14:paraId="4F95E10B" w14:textId="4E4783A7" w:rsidR="00C33240" w:rsidRDefault="00C33240" w:rsidP="004105D6">
      <w:pPr>
        <w:tabs>
          <w:tab w:val="left" w:pos="5040"/>
        </w:tabs>
        <w:spacing w:line="240" w:lineRule="auto"/>
      </w:pPr>
      <w:r w:rsidRPr="004105D6">
        <w:rPr>
          <w:b/>
        </w:rPr>
        <w:t>State</w:t>
      </w:r>
      <w:r w:rsidRPr="004105D6">
        <w:rPr>
          <w:b/>
          <w:spacing w:val="-5"/>
        </w:rPr>
        <w:t xml:space="preserve"> </w:t>
      </w:r>
      <w:r w:rsidRPr="004105D6">
        <w:rPr>
          <w:b/>
        </w:rPr>
        <w:t>Name:</w:t>
      </w:r>
      <w:r w:rsidR="001F30AD" w:rsidRPr="004105D6">
        <w:rPr>
          <w:b/>
        </w:rPr>
        <w:t xml:space="preserve"> </w:t>
      </w:r>
      <w:r w:rsidR="004105D6" w:rsidRPr="007553AA">
        <w:t>California</w:t>
      </w:r>
    </w:p>
    <w:p w14:paraId="289273EA" w14:textId="73BD56A3" w:rsidR="007553AA" w:rsidRPr="004105D6" w:rsidRDefault="007553AA" w:rsidP="004105D6">
      <w:pPr>
        <w:tabs>
          <w:tab w:val="left" w:pos="5040"/>
        </w:tabs>
        <w:spacing w:line="240" w:lineRule="auto"/>
        <w:rPr>
          <w:b/>
          <w:u w:val="single"/>
        </w:rPr>
      </w:pPr>
      <w:r w:rsidRPr="00BA4BC7">
        <w:rPr>
          <w:b/>
        </w:rPr>
        <w:t>Secondary Indicators</w:t>
      </w:r>
      <w:r>
        <w:rPr>
          <w:b/>
        </w:rPr>
        <w:t xml:space="preserve"> – Performance Levels</w:t>
      </w:r>
    </w:p>
    <w:tbl>
      <w:tblPr>
        <w:tblStyle w:val="ListTable3"/>
        <w:tblW w:w="9504" w:type="dxa"/>
        <w:tblInd w:w="-5" w:type="dxa"/>
        <w:tblLayout w:type="fixed"/>
        <w:tblLook w:val="00A0" w:firstRow="1" w:lastRow="0" w:firstColumn="1" w:lastColumn="0"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3744"/>
        <w:gridCol w:w="1152"/>
        <w:gridCol w:w="1152"/>
        <w:gridCol w:w="1152"/>
        <w:gridCol w:w="1152"/>
        <w:gridCol w:w="1152"/>
      </w:tblGrid>
      <w:tr w:rsidR="00FC4983" w:rsidRPr="007553AA" w14:paraId="6A1D29E1" w14:textId="77777777" w:rsidTr="00FC4983">
        <w:trPr>
          <w:cnfStyle w:val="100000000000" w:firstRow="1" w:lastRow="0" w:firstColumn="0" w:lastColumn="0" w:oddVBand="0" w:evenVBand="0" w:oddHBand="0" w:evenHBand="0" w:firstRowFirstColumn="0" w:firstRowLastColumn="0" w:lastRowFirstColumn="0" w:lastRowLastColumn="0"/>
          <w:cantSplit/>
          <w:trHeight w:val="671"/>
          <w:tblHeader/>
        </w:trPr>
        <w:tc>
          <w:tcPr>
            <w:cnfStyle w:val="001000000100" w:firstRow="0" w:lastRow="0" w:firstColumn="1" w:lastColumn="0" w:oddVBand="0" w:evenVBand="0" w:oddHBand="0" w:evenHBand="0" w:firstRowFirstColumn="1" w:firstRowLastColumn="0" w:lastRowFirstColumn="0" w:lastRowLastColumn="0"/>
            <w:tcW w:w="3744" w:type="dxa"/>
            <w:tcBorders>
              <w:top w:val="single" w:sz="4" w:space="0" w:color="000000" w:themeColor="text1"/>
              <w:bottom w:val="single" w:sz="4" w:space="0" w:color="000000" w:themeColor="text1"/>
            </w:tcBorders>
            <w:shd w:val="pct15" w:color="auto" w:fill="auto"/>
            <w:vAlign w:val="center"/>
          </w:tcPr>
          <w:p w14:paraId="115F8670" w14:textId="1145C124" w:rsidR="007553AA" w:rsidRPr="007553AA" w:rsidRDefault="007553AA" w:rsidP="00FC4983">
            <w:pPr>
              <w:pStyle w:val="TableParagraph"/>
              <w:spacing w:before="60" w:after="60" w:line="240" w:lineRule="auto"/>
              <w:ind w:left="525" w:right="30" w:hanging="548"/>
              <w:jc w:val="center"/>
              <w:rPr>
                <w:color w:val="auto"/>
                <w:sz w:val="22"/>
              </w:rPr>
            </w:pPr>
            <w:r w:rsidRPr="007553AA">
              <w:rPr>
                <w:color w:val="auto"/>
                <w:sz w:val="22"/>
              </w:rPr>
              <w:t>Indicators</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000000" w:themeColor="text1"/>
              <w:bottom w:val="single" w:sz="4" w:space="0" w:color="000000" w:themeColor="text1"/>
            </w:tcBorders>
            <w:shd w:val="pct15" w:color="auto" w:fill="auto"/>
            <w:vAlign w:val="center"/>
          </w:tcPr>
          <w:p w14:paraId="18B53495" w14:textId="0B728D3D" w:rsidR="007553AA" w:rsidRPr="007553AA" w:rsidRDefault="007553AA" w:rsidP="00FC4983">
            <w:pPr>
              <w:pStyle w:val="TableParagraph"/>
              <w:spacing w:before="60" w:after="60" w:line="240" w:lineRule="auto"/>
              <w:ind w:left="-108" w:right="-30" w:firstLine="0"/>
              <w:jc w:val="center"/>
              <w:rPr>
                <w:color w:val="auto"/>
                <w:sz w:val="24"/>
                <w:szCs w:val="24"/>
              </w:rPr>
            </w:pPr>
            <w:r w:rsidRPr="007553AA">
              <w:rPr>
                <w:color w:val="auto"/>
                <w:sz w:val="24"/>
                <w:szCs w:val="24"/>
              </w:rPr>
              <w:t>Baseline Level</w:t>
            </w:r>
          </w:p>
        </w:tc>
        <w:tc>
          <w:tcPr>
            <w:tcW w:w="1152" w:type="dxa"/>
            <w:tcBorders>
              <w:top w:val="single" w:sz="4" w:space="0" w:color="000000" w:themeColor="text1"/>
              <w:bottom w:val="single" w:sz="4" w:space="0" w:color="000000" w:themeColor="text1"/>
            </w:tcBorders>
            <w:shd w:val="pct15" w:color="auto" w:fill="auto"/>
            <w:vAlign w:val="center"/>
          </w:tcPr>
          <w:p w14:paraId="7AAEECF3" w14:textId="54A69DF9" w:rsidR="007553AA" w:rsidRPr="007553AA" w:rsidRDefault="007553AA" w:rsidP="007553AA">
            <w:pPr>
              <w:pStyle w:val="TableParagraph"/>
              <w:spacing w:before="60" w:after="60" w:line="240" w:lineRule="auto"/>
              <w:ind w:left="31" w:firstLine="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553AA">
              <w:rPr>
                <w:color w:val="auto"/>
                <w:sz w:val="24"/>
                <w:szCs w:val="24"/>
              </w:rPr>
              <w:t>FY 2020</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000000" w:themeColor="text1"/>
              <w:bottom w:val="single" w:sz="4" w:space="0" w:color="000000" w:themeColor="text1"/>
            </w:tcBorders>
            <w:shd w:val="pct15" w:color="auto" w:fill="auto"/>
            <w:vAlign w:val="center"/>
          </w:tcPr>
          <w:p w14:paraId="23C528A8" w14:textId="51AF34D6" w:rsidR="007553AA" w:rsidRPr="007553AA" w:rsidRDefault="007553AA" w:rsidP="007553AA">
            <w:pPr>
              <w:pStyle w:val="TableParagraph"/>
              <w:spacing w:before="60" w:after="60" w:line="240" w:lineRule="auto"/>
              <w:ind w:left="31" w:firstLine="27"/>
              <w:jc w:val="center"/>
              <w:rPr>
                <w:color w:val="auto"/>
                <w:sz w:val="24"/>
                <w:szCs w:val="24"/>
              </w:rPr>
            </w:pPr>
            <w:r w:rsidRPr="007553AA">
              <w:rPr>
                <w:color w:val="auto"/>
                <w:sz w:val="24"/>
                <w:szCs w:val="24"/>
              </w:rPr>
              <w:t>FY 2021</w:t>
            </w:r>
          </w:p>
        </w:tc>
        <w:tc>
          <w:tcPr>
            <w:tcW w:w="1152" w:type="dxa"/>
            <w:tcBorders>
              <w:top w:val="single" w:sz="4" w:space="0" w:color="000000" w:themeColor="text1"/>
              <w:bottom w:val="single" w:sz="4" w:space="0" w:color="000000" w:themeColor="text1"/>
            </w:tcBorders>
            <w:shd w:val="pct15" w:color="auto" w:fill="auto"/>
            <w:vAlign w:val="center"/>
          </w:tcPr>
          <w:p w14:paraId="5DB56A9A" w14:textId="55236A49" w:rsidR="007553AA" w:rsidRPr="007553AA" w:rsidRDefault="007553AA" w:rsidP="007553AA">
            <w:pPr>
              <w:pStyle w:val="TableParagraph"/>
              <w:spacing w:before="60" w:after="60" w:line="240" w:lineRule="auto"/>
              <w:ind w:left="31" w:firstLine="27"/>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553AA">
              <w:rPr>
                <w:color w:val="auto"/>
                <w:sz w:val="24"/>
                <w:szCs w:val="24"/>
              </w:rPr>
              <w:t>FY 2022</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000000" w:themeColor="text1"/>
              <w:bottom w:val="single" w:sz="4" w:space="0" w:color="000000" w:themeColor="text1"/>
            </w:tcBorders>
            <w:shd w:val="pct15" w:color="auto" w:fill="auto"/>
            <w:vAlign w:val="center"/>
          </w:tcPr>
          <w:p w14:paraId="13C79148" w14:textId="584EB5C4" w:rsidR="007553AA" w:rsidRPr="007553AA" w:rsidRDefault="007553AA" w:rsidP="007553AA">
            <w:pPr>
              <w:pStyle w:val="TableParagraph"/>
              <w:spacing w:before="60" w:after="60" w:line="240" w:lineRule="auto"/>
              <w:ind w:left="31" w:firstLine="27"/>
              <w:jc w:val="center"/>
              <w:rPr>
                <w:color w:val="auto"/>
                <w:sz w:val="24"/>
                <w:szCs w:val="24"/>
              </w:rPr>
            </w:pPr>
            <w:r w:rsidRPr="007553AA">
              <w:rPr>
                <w:color w:val="auto"/>
                <w:sz w:val="24"/>
                <w:szCs w:val="24"/>
              </w:rPr>
              <w:t>FY 2023</w:t>
            </w:r>
          </w:p>
        </w:tc>
      </w:tr>
      <w:tr w:rsidR="00FC4983" w:rsidRPr="00AC31D6" w14:paraId="00EDA790" w14:textId="77777777" w:rsidTr="00FC4983">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DA32201" w14:textId="77777777" w:rsidR="0049337C" w:rsidRPr="007553AA" w:rsidRDefault="0049337C" w:rsidP="00FC4983">
            <w:pPr>
              <w:pStyle w:val="TableParagraph"/>
              <w:spacing w:before="60" w:after="60" w:line="240" w:lineRule="auto"/>
              <w:ind w:left="525" w:right="30" w:hanging="548"/>
              <w:rPr>
                <w:sz w:val="24"/>
                <w:szCs w:val="24"/>
              </w:rPr>
            </w:pPr>
            <w:r w:rsidRPr="007553AA">
              <w:rPr>
                <w:sz w:val="24"/>
                <w:szCs w:val="24"/>
              </w:rPr>
              <w:t>1S1: Four-Year Graduation Rate</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665C5ED9" w14:textId="5E1ECDC7" w:rsidR="0049337C" w:rsidRPr="007553AA" w:rsidRDefault="00BB5867" w:rsidP="00FC4983">
            <w:pPr>
              <w:pStyle w:val="TableParagraph"/>
              <w:spacing w:before="60" w:after="60" w:line="240" w:lineRule="auto"/>
              <w:ind w:left="-108" w:right="-30" w:firstLine="0"/>
              <w:jc w:val="center"/>
              <w:rPr>
                <w:sz w:val="24"/>
                <w:szCs w:val="24"/>
              </w:rPr>
            </w:pPr>
            <w:r w:rsidRPr="007553AA">
              <w:rPr>
                <w:sz w:val="24"/>
                <w:szCs w:val="24"/>
              </w:rPr>
              <w:t>88.10%</w:t>
            </w:r>
          </w:p>
        </w:tc>
        <w:tc>
          <w:tcPr>
            <w:tcW w:w="1152" w:type="dxa"/>
            <w:vAlign w:val="center"/>
          </w:tcPr>
          <w:p w14:paraId="00AF868C" w14:textId="5EC93145" w:rsidR="0049337C" w:rsidRPr="007553AA" w:rsidRDefault="00BB5867"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89.10%</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68C968EC" w14:textId="67740612"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89.10</w:t>
            </w:r>
            <w:r w:rsidR="0049337C" w:rsidRPr="007553AA">
              <w:rPr>
                <w:sz w:val="24"/>
                <w:szCs w:val="24"/>
              </w:rPr>
              <w:t>%</w:t>
            </w:r>
          </w:p>
        </w:tc>
        <w:tc>
          <w:tcPr>
            <w:tcW w:w="1152" w:type="dxa"/>
            <w:vAlign w:val="center"/>
          </w:tcPr>
          <w:p w14:paraId="11CB0B31" w14:textId="6919D0DB" w:rsidR="0049337C" w:rsidRPr="007553AA" w:rsidRDefault="00BB5867"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91.10</w:t>
            </w:r>
            <w:r w:rsidR="0049337C" w:rsidRPr="007553AA">
              <w:rPr>
                <w:sz w:val="24"/>
                <w:szCs w:val="24"/>
              </w:rPr>
              <w: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3579137E" w14:textId="1E6E461D"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91.10</w:t>
            </w:r>
            <w:r w:rsidR="0049337C" w:rsidRPr="007553AA">
              <w:rPr>
                <w:sz w:val="24"/>
                <w:szCs w:val="24"/>
              </w:rPr>
              <w:t>%</w:t>
            </w:r>
          </w:p>
        </w:tc>
      </w:tr>
      <w:tr w:rsidR="00FC4983" w:rsidRPr="00AC31D6" w14:paraId="064843AB" w14:textId="77777777" w:rsidTr="00FC4983">
        <w:trPr>
          <w:cantSplit/>
          <w:trHeight w:val="476"/>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3841EA2C" w14:textId="77777777" w:rsidR="0049337C" w:rsidRPr="007553AA" w:rsidRDefault="0049337C" w:rsidP="00FC4983">
            <w:pPr>
              <w:pStyle w:val="TableParagraph"/>
              <w:spacing w:before="60" w:after="60" w:line="240" w:lineRule="auto"/>
              <w:ind w:left="525" w:right="30" w:hanging="548"/>
              <w:rPr>
                <w:sz w:val="24"/>
                <w:szCs w:val="24"/>
              </w:rPr>
            </w:pPr>
            <w:r w:rsidRPr="007553AA">
              <w:rPr>
                <w:sz w:val="24"/>
                <w:szCs w:val="24"/>
              </w:rPr>
              <w:t>1S2: Extended Graduation Rate</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53C16FED" w14:textId="77777777" w:rsidR="0049337C" w:rsidRPr="007553AA" w:rsidRDefault="00182551" w:rsidP="00FC4983">
            <w:pPr>
              <w:pStyle w:val="TableParagraph"/>
              <w:spacing w:before="60" w:after="60" w:line="240" w:lineRule="auto"/>
              <w:ind w:left="-108" w:right="-30" w:firstLine="0"/>
              <w:jc w:val="center"/>
              <w:rPr>
                <w:sz w:val="24"/>
                <w:szCs w:val="24"/>
              </w:rPr>
            </w:pPr>
            <w:r w:rsidRPr="007553AA">
              <w:rPr>
                <w:sz w:val="24"/>
                <w:szCs w:val="24"/>
              </w:rPr>
              <w:t>Blank</w:t>
            </w:r>
          </w:p>
        </w:tc>
        <w:tc>
          <w:tcPr>
            <w:tcW w:w="1152" w:type="dxa"/>
            <w:vAlign w:val="center"/>
          </w:tcPr>
          <w:p w14:paraId="3EEFC983" w14:textId="77777777" w:rsidR="0049337C" w:rsidRPr="007553AA" w:rsidRDefault="00182551" w:rsidP="007553AA">
            <w:pPr>
              <w:pStyle w:val="TableParagraph"/>
              <w:spacing w:before="60" w:after="60" w:line="240" w:lineRule="auto"/>
              <w:ind w:left="31" w:firstLine="27"/>
              <w:jc w:val="center"/>
              <w:cnfStyle w:val="000000000000" w:firstRow="0" w:lastRow="0" w:firstColumn="0" w:lastColumn="0" w:oddVBand="0" w:evenVBand="0" w:oddHBand="0" w:evenHBand="0" w:firstRowFirstColumn="0" w:firstRowLastColumn="0" w:lastRowFirstColumn="0" w:lastRowLastColumn="0"/>
              <w:rPr>
                <w:sz w:val="24"/>
                <w:szCs w:val="24"/>
              </w:rPr>
            </w:pPr>
            <w:r w:rsidRPr="007553AA">
              <w:rPr>
                <w:sz w:val="24"/>
                <w:szCs w:val="24"/>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10128E72" w14:textId="77777777" w:rsidR="0049337C" w:rsidRPr="007553AA" w:rsidRDefault="00182551" w:rsidP="007553AA">
            <w:pPr>
              <w:pStyle w:val="TableParagraph"/>
              <w:spacing w:before="60" w:after="60" w:line="240" w:lineRule="auto"/>
              <w:ind w:left="31" w:firstLine="27"/>
              <w:jc w:val="center"/>
              <w:rPr>
                <w:sz w:val="24"/>
                <w:szCs w:val="24"/>
              </w:rPr>
            </w:pPr>
            <w:r w:rsidRPr="007553AA">
              <w:rPr>
                <w:sz w:val="24"/>
                <w:szCs w:val="24"/>
              </w:rPr>
              <w:t>Blank</w:t>
            </w:r>
          </w:p>
        </w:tc>
        <w:tc>
          <w:tcPr>
            <w:tcW w:w="1152" w:type="dxa"/>
            <w:vAlign w:val="center"/>
          </w:tcPr>
          <w:p w14:paraId="32EF5573" w14:textId="77777777" w:rsidR="0049337C" w:rsidRPr="007553AA" w:rsidRDefault="00182551" w:rsidP="007553AA">
            <w:pPr>
              <w:pStyle w:val="TableParagraph"/>
              <w:spacing w:before="60" w:after="60" w:line="240" w:lineRule="auto"/>
              <w:ind w:left="31" w:firstLine="27"/>
              <w:jc w:val="center"/>
              <w:cnfStyle w:val="000000000000" w:firstRow="0" w:lastRow="0" w:firstColumn="0" w:lastColumn="0" w:oddVBand="0" w:evenVBand="0" w:oddHBand="0" w:evenHBand="0" w:firstRowFirstColumn="0" w:firstRowLastColumn="0" w:lastRowFirstColumn="0" w:lastRowLastColumn="0"/>
              <w:rPr>
                <w:sz w:val="24"/>
                <w:szCs w:val="24"/>
              </w:rPr>
            </w:pPr>
            <w:r w:rsidRPr="007553AA">
              <w:rPr>
                <w:sz w:val="24"/>
                <w:szCs w:val="24"/>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22ADF2CC" w14:textId="77777777" w:rsidR="0049337C" w:rsidRPr="007553AA" w:rsidRDefault="00182551" w:rsidP="007553AA">
            <w:pPr>
              <w:pStyle w:val="TableParagraph"/>
              <w:spacing w:before="60" w:after="60" w:line="240" w:lineRule="auto"/>
              <w:ind w:left="31" w:firstLine="27"/>
              <w:jc w:val="center"/>
              <w:rPr>
                <w:sz w:val="24"/>
                <w:szCs w:val="24"/>
              </w:rPr>
            </w:pPr>
            <w:r w:rsidRPr="007553AA">
              <w:rPr>
                <w:sz w:val="24"/>
                <w:szCs w:val="24"/>
              </w:rPr>
              <w:t>Blank</w:t>
            </w:r>
          </w:p>
        </w:tc>
      </w:tr>
      <w:tr w:rsidR="00FC4983" w:rsidRPr="00AC31D6" w14:paraId="09F4661B" w14:textId="77777777" w:rsidTr="00FC4983">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D58BC82" w14:textId="77777777" w:rsidR="0049337C" w:rsidRPr="007553AA" w:rsidRDefault="0049337C" w:rsidP="00FC4983">
            <w:pPr>
              <w:pStyle w:val="TableParagraph"/>
              <w:spacing w:before="60" w:after="60" w:line="240" w:lineRule="auto"/>
              <w:ind w:left="525" w:right="30" w:hanging="548"/>
              <w:rPr>
                <w:sz w:val="24"/>
                <w:szCs w:val="24"/>
              </w:rPr>
            </w:pPr>
            <w:r w:rsidRPr="007553AA">
              <w:rPr>
                <w:sz w:val="24"/>
                <w:szCs w:val="24"/>
              </w:rPr>
              <w:t>2S1: Academic Proficiency in Reading Language Arts</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70448258" w14:textId="0784973D" w:rsidR="0049337C" w:rsidRPr="007553AA" w:rsidRDefault="00BB5867" w:rsidP="00FC4983">
            <w:pPr>
              <w:pStyle w:val="TableParagraph"/>
              <w:spacing w:before="60" w:after="60" w:line="240" w:lineRule="auto"/>
              <w:ind w:left="-108" w:right="-30" w:firstLine="0"/>
              <w:jc w:val="center"/>
              <w:rPr>
                <w:sz w:val="24"/>
                <w:szCs w:val="24"/>
              </w:rPr>
            </w:pPr>
            <w:r w:rsidRPr="007553AA">
              <w:rPr>
                <w:sz w:val="24"/>
                <w:szCs w:val="24"/>
              </w:rPr>
              <w:t>60.60</w:t>
            </w:r>
            <w:r w:rsidR="0049337C" w:rsidRPr="007553AA">
              <w:rPr>
                <w:sz w:val="24"/>
                <w:szCs w:val="24"/>
              </w:rPr>
              <w:t>%</w:t>
            </w:r>
          </w:p>
        </w:tc>
        <w:tc>
          <w:tcPr>
            <w:tcW w:w="1152" w:type="dxa"/>
            <w:vAlign w:val="center"/>
          </w:tcPr>
          <w:p w14:paraId="0F494FE0" w14:textId="04AAA454" w:rsidR="0049337C" w:rsidRPr="007553AA" w:rsidRDefault="00BB5867"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62.00</w:t>
            </w:r>
            <w:r w:rsidR="0049337C" w:rsidRPr="007553AA">
              <w:rPr>
                <w:sz w:val="24"/>
                <w:szCs w:val="24"/>
              </w:rPr>
              <w: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0A89F90E" w14:textId="216EE197"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62.00</w:t>
            </w:r>
            <w:r w:rsidR="0049337C" w:rsidRPr="007553AA">
              <w:rPr>
                <w:sz w:val="24"/>
                <w:szCs w:val="24"/>
              </w:rPr>
              <w:t>%</w:t>
            </w:r>
          </w:p>
        </w:tc>
        <w:tc>
          <w:tcPr>
            <w:tcW w:w="1152" w:type="dxa"/>
            <w:vAlign w:val="center"/>
          </w:tcPr>
          <w:p w14:paraId="6A2435CC" w14:textId="35D124BD" w:rsidR="0049337C" w:rsidRPr="007553AA" w:rsidRDefault="00BB5867"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63.40</w:t>
            </w:r>
            <w:r w:rsidR="0049337C" w:rsidRPr="007553AA">
              <w:rPr>
                <w:sz w:val="24"/>
                <w:szCs w:val="24"/>
              </w:rPr>
              <w: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0A30B74B" w14:textId="337B3A0E"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63.40</w:t>
            </w:r>
            <w:r w:rsidR="0049337C" w:rsidRPr="007553AA">
              <w:rPr>
                <w:sz w:val="24"/>
                <w:szCs w:val="24"/>
              </w:rPr>
              <w:t>%</w:t>
            </w:r>
          </w:p>
        </w:tc>
      </w:tr>
      <w:tr w:rsidR="00FC4983" w:rsidRPr="00AC31D6" w14:paraId="01F1F406" w14:textId="77777777" w:rsidTr="00FC4983">
        <w:trPr>
          <w:cantSplit/>
          <w:trHeight w:val="672"/>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FFDD393" w14:textId="77777777" w:rsidR="0049337C" w:rsidRPr="007553AA" w:rsidRDefault="0049337C" w:rsidP="00FC4983">
            <w:pPr>
              <w:pStyle w:val="TableParagraph"/>
              <w:spacing w:before="60" w:after="60" w:line="240" w:lineRule="auto"/>
              <w:ind w:left="525" w:right="30" w:hanging="548"/>
              <w:rPr>
                <w:sz w:val="24"/>
                <w:szCs w:val="24"/>
              </w:rPr>
            </w:pPr>
            <w:r w:rsidRPr="007553AA">
              <w:rPr>
                <w:sz w:val="24"/>
                <w:szCs w:val="24"/>
              </w:rPr>
              <w:t>2S2: Academic Proficiency in Mathematics</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47AAB054" w14:textId="196F0B4C" w:rsidR="0049337C" w:rsidRPr="007553AA" w:rsidRDefault="00BB5867" w:rsidP="00FC4983">
            <w:pPr>
              <w:pStyle w:val="TableParagraph"/>
              <w:spacing w:before="60" w:after="60" w:line="240" w:lineRule="auto"/>
              <w:ind w:left="-108" w:right="-30" w:firstLine="0"/>
              <w:jc w:val="center"/>
              <w:rPr>
                <w:sz w:val="24"/>
                <w:szCs w:val="24"/>
              </w:rPr>
            </w:pPr>
            <w:r w:rsidRPr="007553AA">
              <w:rPr>
                <w:sz w:val="24"/>
                <w:szCs w:val="24"/>
              </w:rPr>
              <w:t>33.00</w:t>
            </w:r>
            <w:r w:rsidR="0049337C" w:rsidRPr="007553AA">
              <w:rPr>
                <w:sz w:val="24"/>
                <w:szCs w:val="24"/>
              </w:rPr>
              <w:t>%</w:t>
            </w:r>
          </w:p>
        </w:tc>
        <w:tc>
          <w:tcPr>
            <w:tcW w:w="1152" w:type="dxa"/>
            <w:vAlign w:val="center"/>
          </w:tcPr>
          <w:p w14:paraId="7A3B5F27" w14:textId="54111EC7" w:rsidR="0049337C" w:rsidRPr="007553AA" w:rsidRDefault="00BB5867" w:rsidP="007553AA">
            <w:pPr>
              <w:pStyle w:val="TableParagraph"/>
              <w:spacing w:before="60" w:after="60" w:line="240" w:lineRule="auto"/>
              <w:ind w:left="31" w:firstLine="27"/>
              <w:jc w:val="center"/>
              <w:cnfStyle w:val="000000000000" w:firstRow="0" w:lastRow="0" w:firstColumn="0" w:lastColumn="0" w:oddVBand="0" w:evenVBand="0" w:oddHBand="0" w:evenHBand="0" w:firstRowFirstColumn="0" w:firstRowLastColumn="0" w:lastRowFirstColumn="0" w:lastRowLastColumn="0"/>
              <w:rPr>
                <w:sz w:val="24"/>
                <w:szCs w:val="24"/>
              </w:rPr>
            </w:pPr>
            <w:r w:rsidRPr="007553AA">
              <w:rPr>
                <w:sz w:val="24"/>
                <w:szCs w:val="24"/>
              </w:rPr>
              <w:t>34.50</w:t>
            </w:r>
            <w:r w:rsidR="0049337C" w:rsidRPr="007553AA">
              <w:rPr>
                <w:sz w:val="24"/>
                <w:szCs w:val="24"/>
              </w:rPr>
              <w: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52BE56CD" w14:textId="2FD68CAA"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34.50</w:t>
            </w:r>
            <w:r w:rsidR="0049337C" w:rsidRPr="007553AA">
              <w:rPr>
                <w:sz w:val="24"/>
                <w:szCs w:val="24"/>
              </w:rPr>
              <w:t>%</w:t>
            </w:r>
          </w:p>
        </w:tc>
        <w:tc>
          <w:tcPr>
            <w:tcW w:w="1152" w:type="dxa"/>
            <w:vAlign w:val="center"/>
          </w:tcPr>
          <w:p w14:paraId="6B14C538" w14:textId="54DF1D77" w:rsidR="0049337C" w:rsidRPr="007553AA" w:rsidRDefault="00BB5867" w:rsidP="007553AA">
            <w:pPr>
              <w:pStyle w:val="TableParagraph"/>
              <w:spacing w:before="60" w:after="60" w:line="240" w:lineRule="auto"/>
              <w:ind w:left="31" w:firstLine="27"/>
              <w:jc w:val="center"/>
              <w:cnfStyle w:val="000000000000" w:firstRow="0" w:lastRow="0" w:firstColumn="0" w:lastColumn="0" w:oddVBand="0" w:evenVBand="0" w:oddHBand="0" w:evenHBand="0" w:firstRowFirstColumn="0" w:firstRowLastColumn="0" w:lastRowFirstColumn="0" w:lastRowLastColumn="0"/>
              <w:rPr>
                <w:sz w:val="24"/>
                <w:szCs w:val="24"/>
              </w:rPr>
            </w:pPr>
            <w:r w:rsidRPr="007553AA">
              <w:rPr>
                <w:sz w:val="24"/>
                <w:szCs w:val="24"/>
              </w:rPr>
              <w:t>36.50</w:t>
            </w:r>
            <w:r w:rsidR="0049337C" w:rsidRPr="007553AA">
              <w:rPr>
                <w:sz w:val="24"/>
                <w:szCs w:val="24"/>
              </w:rPr>
              <w: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16DEF1E1" w14:textId="0E7A318E"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36.50</w:t>
            </w:r>
            <w:r w:rsidR="0049337C" w:rsidRPr="007553AA">
              <w:rPr>
                <w:sz w:val="24"/>
                <w:szCs w:val="24"/>
              </w:rPr>
              <w:t>%</w:t>
            </w:r>
          </w:p>
        </w:tc>
      </w:tr>
      <w:tr w:rsidR="00FC4983" w:rsidRPr="00AC31D6" w14:paraId="2059D574" w14:textId="77777777" w:rsidTr="00FC4983">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3A2B2EE5" w14:textId="77777777" w:rsidR="0049337C" w:rsidRPr="007553AA" w:rsidRDefault="0049337C" w:rsidP="00FC4983">
            <w:pPr>
              <w:pStyle w:val="TableParagraph"/>
              <w:spacing w:before="60" w:after="60" w:line="240" w:lineRule="auto"/>
              <w:ind w:left="525" w:right="30" w:hanging="548"/>
              <w:rPr>
                <w:sz w:val="24"/>
                <w:szCs w:val="24"/>
              </w:rPr>
            </w:pPr>
            <w:r w:rsidRPr="007553AA">
              <w:rPr>
                <w:sz w:val="24"/>
                <w:szCs w:val="24"/>
              </w:rPr>
              <w:t>2S3: Academic Proficiency in Science</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25B2E12F" w14:textId="00CBC777" w:rsidR="0049337C" w:rsidRPr="007553AA" w:rsidRDefault="00BB5867" w:rsidP="00FC4983">
            <w:pPr>
              <w:pStyle w:val="TableParagraph"/>
              <w:spacing w:before="60" w:after="60" w:line="240" w:lineRule="auto"/>
              <w:ind w:left="-108" w:right="-30" w:firstLine="0"/>
              <w:jc w:val="center"/>
              <w:rPr>
                <w:sz w:val="24"/>
                <w:szCs w:val="24"/>
              </w:rPr>
            </w:pPr>
            <w:r w:rsidRPr="007553AA">
              <w:rPr>
                <w:sz w:val="24"/>
                <w:szCs w:val="24"/>
              </w:rPr>
              <w:t>27.70%</w:t>
            </w:r>
          </w:p>
        </w:tc>
        <w:tc>
          <w:tcPr>
            <w:tcW w:w="1152" w:type="dxa"/>
            <w:vAlign w:val="center"/>
          </w:tcPr>
          <w:p w14:paraId="5A759852" w14:textId="24AFE085" w:rsidR="0049337C" w:rsidRPr="007553AA" w:rsidRDefault="00BB5867"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28.20%</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6C61703B" w14:textId="0A452251"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28.20%</w:t>
            </w:r>
          </w:p>
        </w:tc>
        <w:tc>
          <w:tcPr>
            <w:tcW w:w="1152" w:type="dxa"/>
            <w:vAlign w:val="center"/>
          </w:tcPr>
          <w:p w14:paraId="711B7D98" w14:textId="19422DCB" w:rsidR="0049337C" w:rsidRPr="007553AA" w:rsidRDefault="00BB5867"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31.20%</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46AE1B4B" w14:textId="1AE394F6"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31.20%</w:t>
            </w:r>
          </w:p>
        </w:tc>
      </w:tr>
      <w:tr w:rsidR="00FC4983" w:rsidRPr="00AC31D6" w14:paraId="38B8E248" w14:textId="77777777" w:rsidTr="00FC4983">
        <w:trPr>
          <w:cantSplit/>
          <w:trHeight w:val="397"/>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315E8860" w14:textId="77777777" w:rsidR="0049337C" w:rsidRPr="007553AA" w:rsidRDefault="0049337C" w:rsidP="00FC4983">
            <w:pPr>
              <w:pStyle w:val="TableParagraph"/>
              <w:spacing w:before="60" w:after="60" w:line="240" w:lineRule="auto"/>
              <w:ind w:left="525" w:right="30" w:hanging="548"/>
              <w:rPr>
                <w:sz w:val="24"/>
                <w:szCs w:val="24"/>
              </w:rPr>
            </w:pPr>
            <w:r w:rsidRPr="007553AA">
              <w:rPr>
                <w:sz w:val="24"/>
                <w:szCs w:val="24"/>
              </w:rPr>
              <w:t>3S1: Post-Program Placement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12A29E6C" w14:textId="27D652C9" w:rsidR="0049337C" w:rsidRPr="007553AA" w:rsidRDefault="00BB5867" w:rsidP="00FC4983">
            <w:pPr>
              <w:pStyle w:val="TableParagraph"/>
              <w:spacing w:before="60" w:after="60" w:line="240" w:lineRule="auto"/>
              <w:ind w:left="-108" w:right="-30" w:firstLine="0"/>
              <w:jc w:val="center"/>
              <w:rPr>
                <w:sz w:val="24"/>
                <w:szCs w:val="24"/>
              </w:rPr>
            </w:pPr>
            <w:r w:rsidRPr="007553AA">
              <w:rPr>
                <w:sz w:val="24"/>
                <w:szCs w:val="24"/>
              </w:rPr>
              <w:t>67.20</w:t>
            </w:r>
            <w:r w:rsidR="0049337C" w:rsidRPr="007553AA">
              <w:rPr>
                <w:sz w:val="24"/>
                <w:szCs w:val="24"/>
              </w:rPr>
              <w:t>%</w:t>
            </w:r>
          </w:p>
        </w:tc>
        <w:tc>
          <w:tcPr>
            <w:tcW w:w="1152" w:type="dxa"/>
            <w:vAlign w:val="center"/>
          </w:tcPr>
          <w:p w14:paraId="03A45D05" w14:textId="6432A7B2" w:rsidR="0049337C" w:rsidRPr="007553AA" w:rsidRDefault="00BB5867" w:rsidP="007553AA">
            <w:pPr>
              <w:pStyle w:val="TableParagraph"/>
              <w:spacing w:before="60" w:after="60" w:line="240" w:lineRule="auto"/>
              <w:ind w:left="31" w:firstLine="27"/>
              <w:jc w:val="center"/>
              <w:cnfStyle w:val="000000000000" w:firstRow="0" w:lastRow="0" w:firstColumn="0" w:lastColumn="0" w:oddVBand="0" w:evenVBand="0" w:oddHBand="0" w:evenHBand="0" w:firstRowFirstColumn="0" w:firstRowLastColumn="0" w:lastRowFirstColumn="0" w:lastRowLastColumn="0"/>
              <w:rPr>
                <w:sz w:val="24"/>
                <w:szCs w:val="24"/>
              </w:rPr>
            </w:pPr>
            <w:r w:rsidRPr="007553AA">
              <w:rPr>
                <w:sz w:val="24"/>
                <w:szCs w:val="24"/>
              </w:rPr>
              <w:t>68.00</w:t>
            </w:r>
            <w:r w:rsidR="0049337C" w:rsidRPr="007553AA">
              <w:rPr>
                <w:sz w:val="24"/>
                <w:szCs w:val="24"/>
              </w:rPr>
              <w: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53913CBE" w14:textId="0658427A"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68.00</w:t>
            </w:r>
            <w:r w:rsidR="0049337C" w:rsidRPr="007553AA">
              <w:rPr>
                <w:sz w:val="24"/>
                <w:szCs w:val="24"/>
              </w:rPr>
              <w:t>%</w:t>
            </w:r>
          </w:p>
        </w:tc>
        <w:tc>
          <w:tcPr>
            <w:tcW w:w="1152" w:type="dxa"/>
            <w:vAlign w:val="center"/>
          </w:tcPr>
          <w:p w14:paraId="05D41A25" w14:textId="02FB0636" w:rsidR="0049337C" w:rsidRPr="007553AA" w:rsidRDefault="00BB5867" w:rsidP="007553AA">
            <w:pPr>
              <w:pStyle w:val="TableParagraph"/>
              <w:spacing w:before="60" w:after="60" w:line="240" w:lineRule="auto"/>
              <w:ind w:left="31" w:firstLine="27"/>
              <w:jc w:val="center"/>
              <w:cnfStyle w:val="000000000000" w:firstRow="0" w:lastRow="0" w:firstColumn="0" w:lastColumn="0" w:oddVBand="0" w:evenVBand="0" w:oddHBand="0" w:evenHBand="0" w:firstRowFirstColumn="0" w:firstRowLastColumn="0" w:lastRowFirstColumn="0" w:lastRowLastColumn="0"/>
              <w:rPr>
                <w:sz w:val="24"/>
                <w:szCs w:val="24"/>
              </w:rPr>
            </w:pPr>
            <w:r w:rsidRPr="007553AA">
              <w:rPr>
                <w:sz w:val="24"/>
                <w:szCs w:val="24"/>
              </w:rPr>
              <w:t>69.40</w:t>
            </w:r>
            <w:r w:rsidR="0049337C" w:rsidRPr="007553AA">
              <w:rPr>
                <w:sz w:val="24"/>
                <w:szCs w:val="24"/>
              </w:rPr>
              <w:t>%</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34FBBE1B" w14:textId="7329E875" w:rsidR="0049337C" w:rsidRPr="007553AA" w:rsidRDefault="00BB5867" w:rsidP="007553AA">
            <w:pPr>
              <w:pStyle w:val="TableParagraph"/>
              <w:spacing w:before="60" w:after="60" w:line="240" w:lineRule="auto"/>
              <w:ind w:left="31" w:firstLine="27"/>
              <w:jc w:val="center"/>
              <w:rPr>
                <w:sz w:val="24"/>
                <w:szCs w:val="24"/>
              </w:rPr>
            </w:pPr>
            <w:r w:rsidRPr="007553AA">
              <w:rPr>
                <w:sz w:val="24"/>
                <w:szCs w:val="24"/>
              </w:rPr>
              <w:t>69.40</w:t>
            </w:r>
            <w:r w:rsidR="0049337C" w:rsidRPr="007553AA">
              <w:rPr>
                <w:sz w:val="24"/>
                <w:szCs w:val="24"/>
              </w:rPr>
              <w:t>%</w:t>
            </w:r>
          </w:p>
        </w:tc>
      </w:tr>
      <w:tr w:rsidR="00FC4983" w:rsidRPr="00AC31D6" w14:paraId="542F2C81" w14:textId="77777777" w:rsidTr="00FC4983">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7CDC125" w14:textId="77777777" w:rsidR="0049337C" w:rsidRPr="007553AA" w:rsidRDefault="0049337C" w:rsidP="00FC4983">
            <w:pPr>
              <w:pStyle w:val="TableParagraph"/>
              <w:spacing w:before="60" w:after="60" w:line="240" w:lineRule="auto"/>
              <w:ind w:left="525" w:right="30" w:hanging="548"/>
              <w:rPr>
                <w:sz w:val="24"/>
                <w:szCs w:val="24"/>
              </w:rPr>
            </w:pPr>
            <w:r w:rsidRPr="007553AA">
              <w:rPr>
                <w:sz w:val="24"/>
                <w:szCs w:val="24"/>
              </w:rPr>
              <w:t>4S1: Non-traditional Program Concentration</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1B776BE1" w14:textId="77777777" w:rsidR="0049337C" w:rsidRPr="007553AA" w:rsidRDefault="0049337C" w:rsidP="00FC4983">
            <w:pPr>
              <w:pStyle w:val="TableParagraph"/>
              <w:spacing w:before="60" w:after="60" w:line="240" w:lineRule="auto"/>
              <w:ind w:left="-108" w:right="-30" w:firstLine="0"/>
              <w:jc w:val="center"/>
              <w:rPr>
                <w:sz w:val="24"/>
                <w:szCs w:val="24"/>
              </w:rPr>
            </w:pPr>
            <w:r w:rsidRPr="007553AA">
              <w:rPr>
                <w:sz w:val="24"/>
                <w:szCs w:val="24"/>
              </w:rPr>
              <w:t>20.80%</w:t>
            </w:r>
          </w:p>
        </w:tc>
        <w:tc>
          <w:tcPr>
            <w:tcW w:w="1152" w:type="dxa"/>
            <w:vAlign w:val="center"/>
          </w:tcPr>
          <w:p w14:paraId="4F725C7F" w14:textId="77777777" w:rsidR="0049337C" w:rsidRPr="007553AA" w:rsidRDefault="0049337C"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20.80%</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71535218" w14:textId="77777777" w:rsidR="0049337C" w:rsidRPr="007553AA" w:rsidRDefault="0049337C" w:rsidP="007553AA">
            <w:pPr>
              <w:pStyle w:val="TableParagraph"/>
              <w:spacing w:before="60" w:after="60" w:line="240" w:lineRule="auto"/>
              <w:ind w:left="31" w:firstLine="27"/>
              <w:jc w:val="center"/>
              <w:rPr>
                <w:sz w:val="24"/>
                <w:szCs w:val="24"/>
              </w:rPr>
            </w:pPr>
            <w:r w:rsidRPr="007553AA">
              <w:rPr>
                <w:sz w:val="24"/>
                <w:szCs w:val="24"/>
              </w:rPr>
              <w:t>20.80%</w:t>
            </w:r>
          </w:p>
        </w:tc>
        <w:tc>
          <w:tcPr>
            <w:tcW w:w="1152" w:type="dxa"/>
            <w:vAlign w:val="center"/>
          </w:tcPr>
          <w:p w14:paraId="24815A62" w14:textId="77777777" w:rsidR="0049337C" w:rsidRPr="007553AA" w:rsidRDefault="0049337C" w:rsidP="007553AA">
            <w:pPr>
              <w:pStyle w:val="TableParagraph"/>
              <w:spacing w:before="60" w:after="60" w:line="240" w:lineRule="auto"/>
              <w:ind w:left="31" w:firstLine="27"/>
              <w:jc w:val="center"/>
              <w:cnfStyle w:val="000000100000" w:firstRow="0" w:lastRow="0" w:firstColumn="0" w:lastColumn="0" w:oddVBand="0" w:evenVBand="0" w:oddHBand="1" w:evenHBand="0" w:firstRowFirstColumn="0" w:firstRowLastColumn="0" w:lastRowFirstColumn="0" w:lastRowLastColumn="0"/>
              <w:rPr>
                <w:sz w:val="24"/>
                <w:szCs w:val="24"/>
              </w:rPr>
            </w:pPr>
            <w:r w:rsidRPr="007553AA">
              <w:rPr>
                <w:sz w:val="24"/>
                <w:szCs w:val="24"/>
              </w:rPr>
              <w:t>21.00%</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1175183A" w14:textId="77777777" w:rsidR="0049337C" w:rsidRPr="007553AA" w:rsidRDefault="0049337C" w:rsidP="007553AA">
            <w:pPr>
              <w:pStyle w:val="TableParagraph"/>
              <w:spacing w:before="60" w:after="60" w:line="240" w:lineRule="auto"/>
              <w:ind w:left="31" w:firstLine="27"/>
              <w:jc w:val="center"/>
              <w:rPr>
                <w:sz w:val="24"/>
                <w:szCs w:val="24"/>
              </w:rPr>
            </w:pPr>
            <w:r w:rsidRPr="007553AA">
              <w:rPr>
                <w:sz w:val="24"/>
                <w:szCs w:val="24"/>
              </w:rPr>
              <w:t>21.00%</w:t>
            </w:r>
          </w:p>
        </w:tc>
      </w:tr>
      <w:tr w:rsidR="00FC4983" w:rsidRPr="00AC31D6" w14:paraId="74F3E9B6" w14:textId="77777777" w:rsidTr="00FC4983">
        <w:trPr>
          <w:cantSplit/>
          <w:trHeight w:val="948"/>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30CB3CFC" w14:textId="77777777" w:rsidR="00182551" w:rsidRPr="007553AA" w:rsidRDefault="00182551" w:rsidP="00FC4983">
            <w:pPr>
              <w:pStyle w:val="TableParagraph"/>
              <w:spacing w:before="60" w:after="60" w:line="240" w:lineRule="auto"/>
              <w:ind w:left="525" w:right="30" w:hanging="548"/>
              <w:rPr>
                <w:sz w:val="24"/>
                <w:szCs w:val="24"/>
              </w:rPr>
            </w:pPr>
            <w:r w:rsidRPr="007553AA">
              <w:rPr>
                <w:sz w:val="24"/>
                <w:szCs w:val="24"/>
              </w:rPr>
              <w:t>5S1: Program Quality – Attained Recognized Postsecondary Credential</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7FEF6D81" w14:textId="77777777" w:rsidR="00182551" w:rsidRPr="007553AA" w:rsidRDefault="00182551" w:rsidP="00FC4983">
            <w:pPr>
              <w:spacing w:before="60" w:after="60" w:line="240" w:lineRule="auto"/>
              <w:ind w:left="-108" w:right="-30"/>
              <w:jc w:val="center"/>
              <w:rPr>
                <w:rFonts w:cs="Arial"/>
              </w:rPr>
            </w:pPr>
            <w:r w:rsidRPr="007553AA">
              <w:rPr>
                <w:rFonts w:cs="Arial"/>
              </w:rPr>
              <w:t>Blank</w:t>
            </w:r>
          </w:p>
        </w:tc>
        <w:tc>
          <w:tcPr>
            <w:tcW w:w="1152" w:type="dxa"/>
            <w:vAlign w:val="center"/>
          </w:tcPr>
          <w:p w14:paraId="1F48E587" w14:textId="77777777" w:rsidR="00182551" w:rsidRPr="007553AA" w:rsidRDefault="00182551" w:rsidP="007553AA">
            <w:pPr>
              <w:spacing w:before="60" w:after="60" w:line="240" w:lineRule="auto"/>
              <w:ind w:left="31" w:right="58" w:firstLine="27"/>
              <w:jc w:val="center"/>
              <w:cnfStyle w:val="000000000000" w:firstRow="0" w:lastRow="0" w:firstColumn="0" w:lastColumn="0" w:oddVBand="0" w:evenVBand="0" w:oddHBand="0" w:evenHBand="0" w:firstRowFirstColumn="0" w:firstRowLastColumn="0" w:lastRowFirstColumn="0" w:lastRowLastColumn="0"/>
              <w:rPr>
                <w:rFonts w:cs="Arial"/>
              </w:rPr>
            </w:pPr>
            <w:r w:rsidRPr="007553AA">
              <w:rPr>
                <w:rFonts w:cs="Arial"/>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4A9A22AA" w14:textId="77777777" w:rsidR="00182551" w:rsidRPr="007553AA" w:rsidRDefault="00182551" w:rsidP="007553AA">
            <w:pPr>
              <w:spacing w:before="60" w:after="60" w:line="240" w:lineRule="auto"/>
              <w:ind w:left="31" w:right="58" w:firstLine="27"/>
              <w:jc w:val="center"/>
              <w:rPr>
                <w:rFonts w:cs="Arial"/>
              </w:rPr>
            </w:pPr>
            <w:r w:rsidRPr="007553AA">
              <w:rPr>
                <w:rFonts w:cs="Arial"/>
              </w:rPr>
              <w:t>Blank</w:t>
            </w:r>
          </w:p>
        </w:tc>
        <w:tc>
          <w:tcPr>
            <w:tcW w:w="1152" w:type="dxa"/>
            <w:vAlign w:val="center"/>
          </w:tcPr>
          <w:p w14:paraId="1630BD8F" w14:textId="77777777" w:rsidR="00182551" w:rsidRPr="007553AA" w:rsidRDefault="00182551" w:rsidP="007553AA">
            <w:pPr>
              <w:spacing w:before="60" w:after="60" w:line="240" w:lineRule="auto"/>
              <w:ind w:left="31" w:right="58" w:firstLine="27"/>
              <w:jc w:val="center"/>
              <w:cnfStyle w:val="000000000000" w:firstRow="0" w:lastRow="0" w:firstColumn="0" w:lastColumn="0" w:oddVBand="0" w:evenVBand="0" w:oddHBand="0" w:evenHBand="0" w:firstRowFirstColumn="0" w:firstRowLastColumn="0" w:lastRowFirstColumn="0" w:lastRowLastColumn="0"/>
              <w:rPr>
                <w:rFonts w:cs="Arial"/>
              </w:rPr>
            </w:pPr>
            <w:r w:rsidRPr="007553AA">
              <w:rPr>
                <w:rFonts w:cs="Arial"/>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66E4DCB5" w14:textId="77777777" w:rsidR="00182551" w:rsidRPr="007553AA" w:rsidRDefault="00182551" w:rsidP="007553AA">
            <w:pPr>
              <w:spacing w:before="60" w:after="60" w:line="240" w:lineRule="auto"/>
              <w:ind w:left="31" w:right="58" w:firstLine="27"/>
              <w:jc w:val="center"/>
              <w:rPr>
                <w:rFonts w:cs="Arial"/>
              </w:rPr>
            </w:pPr>
            <w:r w:rsidRPr="007553AA">
              <w:rPr>
                <w:rFonts w:cs="Arial"/>
              </w:rPr>
              <w:t>Blank</w:t>
            </w:r>
          </w:p>
        </w:tc>
      </w:tr>
      <w:tr w:rsidR="00FC4983" w:rsidRPr="00AC31D6" w14:paraId="429054A0" w14:textId="77777777" w:rsidTr="00FC4983">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C59E2C7" w14:textId="77777777" w:rsidR="00182551" w:rsidRPr="007553AA" w:rsidRDefault="00182551" w:rsidP="00FC4983">
            <w:pPr>
              <w:pStyle w:val="TableParagraph"/>
              <w:spacing w:before="60" w:after="60" w:line="240" w:lineRule="auto"/>
              <w:ind w:left="525" w:right="30" w:hanging="548"/>
              <w:rPr>
                <w:sz w:val="24"/>
                <w:szCs w:val="24"/>
              </w:rPr>
            </w:pPr>
            <w:r w:rsidRPr="007553AA">
              <w:rPr>
                <w:sz w:val="24"/>
                <w:szCs w:val="24"/>
              </w:rPr>
              <w:t>5S2: Program Quality – Attained Postsecondary Credits</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2F5DC948" w14:textId="29C7BC1B" w:rsidR="00182551" w:rsidRPr="007553AA" w:rsidRDefault="00BB5867" w:rsidP="00FC4983">
            <w:pPr>
              <w:spacing w:before="60" w:after="60" w:line="240" w:lineRule="auto"/>
              <w:ind w:left="-108" w:right="-30"/>
              <w:jc w:val="center"/>
              <w:rPr>
                <w:rFonts w:cs="Arial"/>
              </w:rPr>
            </w:pPr>
            <w:r w:rsidRPr="007553AA">
              <w:rPr>
                <w:rFonts w:cs="Arial"/>
              </w:rPr>
              <w:t>21.60%</w:t>
            </w:r>
          </w:p>
        </w:tc>
        <w:tc>
          <w:tcPr>
            <w:tcW w:w="1152" w:type="dxa"/>
            <w:vAlign w:val="center"/>
          </w:tcPr>
          <w:p w14:paraId="3BFF9298" w14:textId="6E881C11" w:rsidR="00182551" w:rsidRPr="007553AA" w:rsidRDefault="00BB5867" w:rsidP="007553AA">
            <w:pPr>
              <w:spacing w:before="60" w:after="60" w:line="240" w:lineRule="auto"/>
              <w:ind w:left="31" w:right="58" w:firstLine="27"/>
              <w:jc w:val="center"/>
              <w:cnfStyle w:val="000000100000" w:firstRow="0" w:lastRow="0" w:firstColumn="0" w:lastColumn="0" w:oddVBand="0" w:evenVBand="0" w:oddHBand="1" w:evenHBand="0" w:firstRowFirstColumn="0" w:firstRowLastColumn="0" w:lastRowFirstColumn="0" w:lastRowLastColumn="0"/>
              <w:rPr>
                <w:rFonts w:cs="Arial"/>
              </w:rPr>
            </w:pPr>
            <w:r w:rsidRPr="007553AA">
              <w:rPr>
                <w:rFonts w:cs="Arial"/>
              </w:rPr>
              <w:t>23.90%</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56A796FA" w14:textId="76A9A438" w:rsidR="00182551" w:rsidRPr="007553AA" w:rsidRDefault="00BB5867" w:rsidP="007553AA">
            <w:pPr>
              <w:spacing w:before="60" w:after="60" w:line="240" w:lineRule="auto"/>
              <w:ind w:left="31" w:right="58" w:firstLine="27"/>
              <w:jc w:val="center"/>
              <w:rPr>
                <w:rFonts w:cs="Arial"/>
              </w:rPr>
            </w:pPr>
            <w:r w:rsidRPr="007553AA">
              <w:rPr>
                <w:rFonts w:cs="Arial"/>
              </w:rPr>
              <w:t>23.90%</w:t>
            </w:r>
          </w:p>
        </w:tc>
        <w:tc>
          <w:tcPr>
            <w:tcW w:w="1152" w:type="dxa"/>
            <w:vAlign w:val="center"/>
          </w:tcPr>
          <w:p w14:paraId="7657D2C7" w14:textId="650DF5D9" w:rsidR="00182551" w:rsidRPr="007553AA" w:rsidRDefault="00BB5867" w:rsidP="007553AA">
            <w:pPr>
              <w:spacing w:before="60" w:after="60" w:line="240" w:lineRule="auto"/>
              <w:ind w:left="31" w:right="58" w:firstLine="27"/>
              <w:jc w:val="center"/>
              <w:cnfStyle w:val="000000100000" w:firstRow="0" w:lastRow="0" w:firstColumn="0" w:lastColumn="0" w:oddVBand="0" w:evenVBand="0" w:oddHBand="1" w:evenHBand="0" w:firstRowFirstColumn="0" w:firstRowLastColumn="0" w:lastRowFirstColumn="0" w:lastRowLastColumn="0"/>
              <w:rPr>
                <w:rFonts w:cs="Arial"/>
              </w:rPr>
            </w:pPr>
            <w:r w:rsidRPr="007553AA">
              <w:rPr>
                <w:rFonts w:cs="Arial"/>
              </w:rPr>
              <w:t>26.20%</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223E13F5" w14:textId="639D6943" w:rsidR="00182551" w:rsidRPr="007553AA" w:rsidRDefault="00BB5867" w:rsidP="007553AA">
            <w:pPr>
              <w:spacing w:before="60" w:after="60" w:line="240" w:lineRule="auto"/>
              <w:ind w:left="31" w:right="58" w:firstLine="27"/>
              <w:jc w:val="center"/>
              <w:rPr>
                <w:rFonts w:cs="Arial"/>
              </w:rPr>
            </w:pPr>
            <w:r w:rsidRPr="007553AA">
              <w:rPr>
                <w:rFonts w:cs="Arial"/>
              </w:rPr>
              <w:t>26.20%</w:t>
            </w:r>
          </w:p>
        </w:tc>
      </w:tr>
      <w:tr w:rsidR="00FC4983" w:rsidRPr="00AC31D6" w14:paraId="2096D0C0" w14:textId="77777777" w:rsidTr="00FC4983">
        <w:trPr>
          <w:cantSplit/>
          <w:trHeight w:val="947"/>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360B67ED" w14:textId="77777777" w:rsidR="00182551" w:rsidRPr="007553AA" w:rsidRDefault="00182551" w:rsidP="00FC4983">
            <w:pPr>
              <w:pStyle w:val="TableParagraph"/>
              <w:spacing w:before="60" w:after="60" w:line="240" w:lineRule="auto"/>
              <w:ind w:left="525" w:right="30" w:hanging="548"/>
              <w:rPr>
                <w:sz w:val="24"/>
                <w:szCs w:val="24"/>
              </w:rPr>
            </w:pPr>
            <w:r w:rsidRPr="007553AA">
              <w:rPr>
                <w:sz w:val="24"/>
                <w:szCs w:val="24"/>
              </w:rPr>
              <w:t>5S3: Program Quality – Participated in Work- Based Learning</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6E9EB4DA" w14:textId="77777777" w:rsidR="00182551" w:rsidRPr="007553AA" w:rsidRDefault="00182551" w:rsidP="00FC4983">
            <w:pPr>
              <w:spacing w:before="60" w:after="60" w:line="240" w:lineRule="auto"/>
              <w:ind w:left="-108" w:right="-30"/>
              <w:jc w:val="center"/>
              <w:rPr>
                <w:rFonts w:cs="Arial"/>
              </w:rPr>
            </w:pPr>
            <w:r w:rsidRPr="007553AA">
              <w:rPr>
                <w:rFonts w:cs="Arial"/>
              </w:rPr>
              <w:t>Blank</w:t>
            </w:r>
          </w:p>
        </w:tc>
        <w:tc>
          <w:tcPr>
            <w:tcW w:w="1152" w:type="dxa"/>
            <w:vAlign w:val="center"/>
          </w:tcPr>
          <w:p w14:paraId="598D1384" w14:textId="77777777" w:rsidR="00182551" w:rsidRPr="007553AA" w:rsidRDefault="00182551" w:rsidP="007553AA">
            <w:pPr>
              <w:spacing w:before="60" w:after="60" w:line="240" w:lineRule="auto"/>
              <w:ind w:left="31" w:right="58" w:firstLine="27"/>
              <w:jc w:val="center"/>
              <w:cnfStyle w:val="000000000000" w:firstRow="0" w:lastRow="0" w:firstColumn="0" w:lastColumn="0" w:oddVBand="0" w:evenVBand="0" w:oddHBand="0" w:evenHBand="0" w:firstRowFirstColumn="0" w:firstRowLastColumn="0" w:lastRowFirstColumn="0" w:lastRowLastColumn="0"/>
              <w:rPr>
                <w:rFonts w:cs="Arial"/>
              </w:rPr>
            </w:pPr>
            <w:r w:rsidRPr="007553AA">
              <w:rPr>
                <w:rFonts w:cs="Arial"/>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1432A6C4" w14:textId="77777777" w:rsidR="00182551" w:rsidRPr="007553AA" w:rsidRDefault="00182551" w:rsidP="007553AA">
            <w:pPr>
              <w:spacing w:before="60" w:after="60" w:line="240" w:lineRule="auto"/>
              <w:ind w:left="31" w:right="58" w:firstLine="27"/>
              <w:jc w:val="center"/>
              <w:rPr>
                <w:rFonts w:cs="Arial"/>
              </w:rPr>
            </w:pPr>
            <w:r w:rsidRPr="007553AA">
              <w:rPr>
                <w:rFonts w:cs="Arial"/>
              </w:rPr>
              <w:t>Blank</w:t>
            </w:r>
          </w:p>
        </w:tc>
        <w:tc>
          <w:tcPr>
            <w:tcW w:w="1152" w:type="dxa"/>
            <w:vAlign w:val="center"/>
          </w:tcPr>
          <w:p w14:paraId="763471AF" w14:textId="77777777" w:rsidR="00182551" w:rsidRPr="007553AA" w:rsidRDefault="00182551" w:rsidP="007553AA">
            <w:pPr>
              <w:spacing w:before="60" w:after="60" w:line="240" w:lineRule="auto"/>
              <w:ind w:left="31" w:right="58" w:firstLine="27"/>
              <w:jc w:val="center"/>
              <w:cnfStyle w:val="000000000000" w:firstRow="0" w:lastRow="0" w:firstColumn="0" w:lastColumn="0" w:oddVBand="0" w:evenVBand="0" w:oddHBand="0" w:evenHBand="0" w:firstRowFirstColumn="0" w:firstRowLastColumn="0" w:lastRowFirstColumn="0" w:lastRowLastColumn="0"/>
              <w:rPr>
                <w:rFonts w:cs="Arial"/>
              </w:rPr>
            </w:pPr>
            <w:r w:rsidRPr="007553AA">
              <w:rPr>
                <w:rFonts w:cs="Arial"/>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54FA4786" w14:textId="77777777" w:rsidR="00182551" w:rsidRPr="007553AA" w:rsidRDefault="00182551" w:rsidP="007553AA">
            <w:pPr>
              <w:spacing w:before="60" w:after="60" w:line="240" w:lineRule="auto"/>
              <w:ind w:left="31" w:right="58" w:firstLine="27"/>
              <w:jc w:val="center"/>
              <w:rPr>
                <w:rFonts w:cs="Arial"/>
              </w:rPr>
            </w:pPr>
            <w:r w:rsidRPr="007553AA">
              <w:rPr>
                <w:rFonts w:cs="Arial"/>
              </w:rPr>
              <w:t>Blank</w:t>
            </w:r>
          </w:p>
        </w:tc>
      </w:tr>
      <w:tr w:rsidR="00FC4983" w:rsidRPr="00AC31D6" w14:paraId="7E08D679" w14:textId="77777777" w:rsidTr="00FC4983">
        <w:trPr>
          <w:cnfStyle w:val="000000100000" w:firstRow="0" w:lastRow="0" w:firstColumn="0" w:lastColumn="0" w:oddVBand="0" w:evenVBand="0" w:oddHBand="1" w:evenHBand="0" w:firstRowFirstColumn="0" w:firstRowLastColumn="0" w:lastRowFirstColumn="0" w:lastRowLastColumn="0"/>
          <w:cantSplit/>
          <w:trHeight w:val="575"/>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D30CE5" w14:textId="77777777" w:rsidR="00182551" w:rsidRPr="007553AA" w:rsidRDefault="00182551" w:rsidP="00FC4983">
            <w:pPr>
              <w:pStyle w:val="TableParagraph"/>
              <w:spacing w:before="60" w:after="60" w:line="240" w:lineRule="auto"/>
              <w:ind w:left="525" w:right="30" w:hanging="548"/>
              <w:rPr>
                <w:sz w:val="24"/>
                <w:szCs w:val="24"/>
              </w:rPr>
            </w:pPr>
            <w:r w:rsidRPr="007553AA">
              <w:rPr>
                <w:sz w:val="24"/>
                <w:szCs w:val="24"/>
              </w:rPr>
              <w:t>5S4: Program Quality – Other</w:t>
            </w:r>
            <w:r w:rsidRPr="007553AA">
              <w:rPr>
                <w:sz w:val="24"/>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3FA2A168" w14:textId="77777777" w:rsidR="00182551" w:rsidRPr="007553AA" w:rsidRDefault="00182551" w:rsidP="00FC4983">
            <w:pPr>
              <w:spacing w:before="60" w:after="60" w:line="240" w:lineRule="auto"/>
              <w:ind w:left="-108" w:right="-30"/>
              <w:jc w:val="center"/>
              <w:rPr>
                <w:rFonts w:cs="Arial"/>
              </w:rPr>
            </w:pPr>
            <w:r w:rsidRPr="007553AA">
              <w:rPr>
                <w:rFonts w:cs="Arial"/>
              </w:rPr>
              <w:t>Blank</w:t>
            </w:r>
          </w:p>
        </w:tc>
        <w:tc>
          <w:tcPr>
            <w:tcW w:w="1152" w:type="dxa"/>
            <w:vAlign w:val="center"/>
          </w:tcPr>
          <w:p w14:paraId="5D16E20E" w14:textId="77777777" w:rsidR="00182551" w:rsidRPr="007553AA" w:rsidRDefault="00182551" w:rsidP="007553AA">
            <w:pPr>
              <w:spacing w:before="60" w:after="60" w:line="240" w:lineRule="auto"/>
              <w:ind w:left="31" w:right="58" w:firstLine="27"/>
              <w:jc w:val="center"/>
              <w:cnfStyle w:val="000000100000" w:firstRow="0" w:lastRow="0" w:firstColumn="0" w:lastColumn="0" w:oddVBand="0" w:evenVBand="0" w:oddHBand="1" w:evenHBand="0" w:firstRowFirstColumn="0" w:firstRowLastColumn="0" w:lastRowFirstColumn="0" w:lastRowLastColumn="0"/>
              <w:rPr>
                <w:rFonts w:cs="Arial"/>
              </w:rPr>
            </w:pPr>
            <w:r w:rsidRPr="007553AA">
              <w:rPr>
                <w:rFonts w:cs="Arial"/>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51EB13AB" w14:textId="77777777" w:rsidR="00182551" w:rsidRPr="007553AA" w:rsidRDefault="00182551" w:rsidP="007553AA">
            <w:pPr>
              <w:spacing w:before="60" w:after="60" w:line="240" w:lineRule="auto"/>
              <w:ind w:left="31" w:right="58" w:firstLine="27"/>
              <w:jc w:val="center"/>
              <w:rPr>
                <w:rFonts w:cs="Arial"/>
              </w:rPr>
            </w:pPr>
            <w:r w:rsidRPr="007553AA">
              <w:rPr>
                <w:rFonts w:cs="Arial"/>
              </w:rPr>
              <w:t>Blank</w:t>
            </w:r>
          </w:p>
        </w:tc>
        <w:tc>
          <w:tcPr>
            <w:tcW w:w="1152" w:type="dxa"/>
            <w:vAlign w:val="center"/>
          </w:tcPr>
          <w:p w14:paraId="425E6621" w14:textId="77777777" w:rsidR="00182551" w:rsidRPr="007553AA" w:rsidRDefault="00182551" w:rsidP="007553AA">
            <w:pPr>
              <w:spacing w:before="60" w:after="60" w:line="240" w:lineRule="auto"/>
              <w:ind w:left="31" w:right="58" w:firstLine="27"/>
              <w:jc w:val="center"/>
              <w:cnfStyle w:val="000000100000" w:firstRow="0" w:lastRow="0" w:firstColumn="0" w:lastColumn="0" w:oddVBand="0" w:evenVBand="0" w:oddHBand="1" w:evenHBand="0" w:firstRowFirstColumn="0" w:firstRowLastColumn="0" w:lastRowFirstColumn="0" w:lastRowLastColumn="0"/>
              <w:rPr>
                <w:rFonts w:cs="Arial"/>
              </w:rPr>
            </w:pPr>
            <w:r w:rsidRPr="007553AA">
              <w:rPr>
                <w:rFonts w:cs="Arial"/>
              </w:rPr>
              <w:t>Blank</w:t>
            </w:r>
          </w:p>
        </w:tc>
        <w:tc>
          <w:tcPr>
            <w:cnfStyle w:val="000010000000" w:firstRow="0" w:lastRow="0" w:firstColumn="0" w:lastColumn="0" w:oddVBand="1" w:evenVBand="0" w:oddHBand="0" w:evenHBand="0" w:firstRowFirstColumn="0" w:firstRowLastColumn="0" w:lastRowFirstColumn="0" w:lastRowLastColumn="0"/>
            <w:tcW w:w="1152" w:type="dxa"/>
            <w:vAlign w:val="center"/>
          </w:tcPr>
          <w:p w14:paraId="3A80E61E" w14:textId="77777777" w:rsidR="00182551" w:rsidRPr="007553AA" w:rsidRDefault="00182551" w:rsidP="007553AA">
            <w:pPr>
              <w:spacing w:before="60" w:after="60" w:line="240" w:lineRule="auto"/>
              <w:ind w:left="31" w:right="58" w:firstLine="27"/>
              <w:jc w:val="center"/>
              <w:rPr>
                <w:rFonts w:cs="Arial"/>
              </w:rPr>
            </w:pPr>
            <w:r w:rsidRPr="007553AA">
              <w:rPr>
                <w:rFonts w:cs="Arial"/>
              </w:rPr>
              <w:t>Blank</w:t>
            </w:r>
          </w:p>
        </w:tc>
      </w:tr>
    </w:tbl>
    <w:p w14:paraId="17ED0194" w14:textId="77777777" w:rsidR="00FC4983" w:rsidRDefault="00FC4983" w:rsidP="00FC4983">
      <w:pPr>
        <w:tabs>
          <w:tab w:val="left" w:pos="5040"/>
        </w:tabs>
        <w:spacing w:before="240" w:line="240" w:lineRule="auto"/>
        <w:rPr>
          <w:b/>
        </w:rPr>
      </w:pPr>
      <w:r>
        <w:rPr>
          <w:b/>
        </w:rPr>
        <w:br w:type="page"/>
      </w:r>
    </w:p>
    <w:p w14:paraId="74CD7314" w14:textId="787E14B3" w:rsidR="00FC4983" w:rsidRPr="004105D6" w:rsidRDefault="00FC4983" w:rsidP="00FC4983">
      <w:pPr>
        <w:tabs>
          <w:tab w:val="left" w:pos="5040"/>
        </w:tabs>
        <w:spacing w:before="240" w:line="240" w:lineRule="auto"/>
        <w:rPr>
          <w:b/>
          <w:u w:val="single"/>
        </w:rPr>
      </w:pPr>
      <w:r>
        <w:rPr>
          <w:b/>
        </w:rPr>
        <w:lastRenderedPageBreak/>
        <w:t>Posts</w:t>
      </w:r>
      <w:r w:rsidRPr="00BA4BC7">
        <w:rPr>
          <w:b/>
        </w:rPr>
        <w:t>econdary Indicators</w:t>
      </w:r>
      <w:r>
        <w:rPr>
          <w:b/>
        </w:rPr>
        <w:t xml:space="preserve"> – Performance Levels</w:t>
      </w:r>
    </w:p>
    <w:tbl>
      <w:tblPr>
        <w:tblW w:w="9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ls."/>
      </w:tblPr>
      <w:tblGrid>
        <w:gridCol w:w="3744"/>
        <w:gridCol w:w="1152"/>
        <w:gridCol w:w="1152"/>
        <w:gridCol w:w="1152"/>
        <w:gridCol w:w="1152"/>
        <w:gridCol w:w="1152"/>
      </w:tblGrid>
      <w:tr w:rsidR="00FC4983" w:rsidRPr="00D519AA" w14:paraId="12352415" w14:textId="77777777" w:rsidTr="00FC4983">
        <w:trPr>
          <w:cantSplit/>
          <w:trHeight w:val="395"/>
          <w:tblHeader/>
        </w:trPr>
        <w:tc>
          <w:tcPr>
            <w:tcW w:w="374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1FA58D0" w14:textId="3DABA5E3" w:rsidR="00FC4983" w:rsidRPr="00FC4983" w:rsidRDefault="00FC4983" w:rsidP="00784BB3">
            <w:pPr>
              <w:pStyle w:val="TableParagraph"/>
              <w:spacing w:before="60" w:after="60" w:line="240" w:lineRule="auto"/>
              <w:ind w:left="630" w:right="135" w:hanging="540"/>
              <w:jc w:val="center"/>
              <w:rPr>
                <w:b/>
                <w:sz w:val="24"/>
                <w:szCs w:val="24"/>
              </w:rPr>
            </w:pPr>
            <w:r w:rsidRPr="00FC4983">
              <w:rPr>
                <w:b/>
                <w:sz w:val="24"/>
                <w:szCs w:val="24"/>
              </w:rPr>
              <w:t>Indicators</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C2DE51F" w14:textId="7D07D153" w:rsidR="00FC4983" w:rsidRPr="00FC4983" w:rsidRDefault="00FC4983" w:rsidP="00FC4983">
            <w:pPr>
              <w:pStyle w:val="TableParagraph"/>
              <w:spacing w:before="60" w:after="60" w:line="240" w:lineRule="auto"/>
              <w:ind w:left="45" w:firstLine="13"/>
              <w:jc w:val="center"/>
              <w:rPr>
                <w:b/>
                <w:sz w:val="24"/>
                <w:szCs w:val="24"/>
              </w:rPr>
            </w:pPr>
            <w:r w:rsidRPr="00FC4983">
              <w:rPr>
                <w:b/>
                <w:sz w:val="24"/>
                <w:szCs w:val="24"/>
              </w:rPr>
              <w:t>Baseline Level</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7BBD3FE" w14:textId="2FF65184" w:rsidR="00FC4983" w:rsidRPr="00FC4983" w:rsidRDefault="00FC4983" w:rsidP="00FC4983">
            <w:pPr>
              <w:pStyle w:val="TableParagraph"/>
              <w:spacing w:before="60" w:after="60" w:line="240" w:lineRule="auto"/>
              <w:ind w:left="45" w:firstLine="13"/>
              <w:jc w:val="center"/>
              <w:rPr>
                <w:b/>
                <w:sz w:val="24"/>
                <w:szCs w:val="24"/>
              </w:rPr>
            </w:pPr>
            <w:r w:rsidRPr="00FC4983">
              <w:rPr>
                <w:b/>
                <w:sz w:val="24"/>
                <w:szCs w:val="24"/>
              </w:rPr>
              <w:t>FY 2020</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BC08952" w14:textId="17A2123E" w:rsidR="00FC4983" w:rsidRPr="00FC4983" w:rsidRDefault="00FC4983" w:rsidP="00FC4983">
            <w:pPr>
              <w:pStyle w:val="TableParagraph"/>
              <w:spacing w:before="60" w:after="60" w:line="240" w:lineRule="auto"/>
              <w:ind w:left="45" w:firstLine="13"/>
              <w:jc w:val="center"/>
              <w:rPr>
                <w:b/>
                <w:sz w:val="24"/>
                <w:szCs w:val="24"/>
              </w:rPr>
            </w:pPr>
            <w:r w:rsidRPr="00FC4983">
              <w:rPr>
                <w:b/>
                <w:sz w:val="24"/>
                <w:szCs w:val="24"/>
              </w:rPr>
              <w:t>FY 2021</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460E4A8" w14:textId="3FA28D78" w:rsidR="00FC4983" w:rsidRPr="00FC4983" w:rsidRDefault="00FC4983" w:rsidP="00FC4983">
            <w:pPr>
              <w:pStyle w:val="TableParagraph"/>
              <w:spacing w:before="60" w:after="60" w:line="240" w:lineRule="auto"/>
              <w:ind w:left="135" w:firstLine="0"/>
              <w:jc w:val="center"/>
              <w:rPr>
                <w:b/>
                <w:sz w:val="24"/>
                <w:szCs w:val="24"/>
              </w:rPr>
            </w:pPr>
            <w:r w:rsidRPr="00FC4983">
              <w:rPr>
                <w:b/>
                <w:sz w:val="24"/>
                <w:szCs w:val="24"/>
              </w:rPr>
              <w:t>FY 2022</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430E103" w14:textId="5A1A103B" w:rsidR="00FC4983" w:rsidRPr="00FC4983" w:rsidRDefault="00FC4983" w:rsidP="00FC4983">
            <w:pPr>
              <w:pStyle w:val="TableParagraph"/>
              <w:spacing w:before="60" w:after="60" w:line="240" w:lineRule="auto"/>
              <w:ind w:left="135" w:hanging="77"/>
              <w:jc w:val="center"/>
              <w:rPr>
                <w:b/>
                <w:sz w:val="24"/>
                <w:szCs w:val="24"/>
              </w:rPr>
            </w:pPr>
            <w:r w:rsidRPr="00FC4983">
              <w:rPr>
                <w:b/>
                <w:sz w:val="24"/>
                <w:szCs w:val="24"/>
              </w:rPr>
              <w:t>FY 2023</w:t>
            </w:r>
          </w:p>
        </w:tc>
      </w:tr>
      <w:tr w:rsidR="005B235B" w:rsidRPr="00D519AA" w14:paraId="67BFF275" w14:textId="77777777" w:rsidTr="001C0CAE">
        <w:trPr>
          <w:cantSplit/>
          <w:trHeight w:val="395"/>
          <w:tblHeader/>
        </w:trPr>
        <w:tc>
          <w:tcPr>
            <w:tcW w:w="3744" w:type="dxa"/>
            <w:tcBorders>
              <w:top w:val="single" w:sz="4" w:space="0" w:color="000000"/>
              <w:left w:val="single" w:sz="4" w:space="0" w:color="000000"/>
              <w:bottom w:val="single" w:sz="4" w:space="0" w:color="000000"/>
              <w:right w:val="single" w:sz="4" w:space="0" w:color="000000"/>
            </w:tcBorders>
            <w:vAlign w:val="center"/>
          </w:tcPr>
          <w:p w14:paraId="5C25F61C" w14:textId="77777777" w:rsidR="005B235B" w:rsidRPr="00FC4983" w:rsidRDefault="005B235B" w:rsidP="005B235B">
            <w:pPr>
              <w:pStyle w:val="TableParagraph"/>
              <w:spacing w:before="60" w:after="60" w:line="240" w:lineRule="auto"/>
              <w:ind w:left="630" w:right="135" w:hanging="540"/>
              <w:rPr>
                <w:b/>
                <w:sz w:val="24"/>
                <w:szCs w:val="24"/>
              </w:rPr>
            </w:pPr>
            <w:r w:rsidRPr="00FC4983">
              <w:rPr>
                <w:b/>
                <w:sz w:val="24"/>
                <w:szCs w:val="24"/>
              </w:rPr>
              <w:t>1P1: Post-Program Placement</w:t>
            </w:r>
          </w:p>
        </w:tc>
        <w:tc>
          <w:tcPr>
            <w:tcW w:w="1152" w:type="dxa"/>
            <w:tcBorders>
              <w:top w:val="single" w:sz="4" w:space="0" w:color="000000"/>
              <w:left w:val="single" w:sz="4" w:space="0" w:color="000000"/>
              <w:bottom w:val="single" w:sz="4" w:space="0" w:color="000000"/>
              <w:right w:val="single" w:sz="4" w:space="0" w:color="000000"/>
            </w:tcBorders>
            <w:vAlign w:val="center"/>
          </w:tcPr>
          <w:p w14:paraId="375F8A4E" w14:textId="0F7B7D21"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73.00 %</w:t>
            </w:r>
          </w:p>
        </w:tc>
        <w:tc>
          <w:tcPr>
            <w:tcW w:w="1152" w:type="dxa"/>
            <w:tcBorders>
              <w:top w:val="single" w:sz="4" w:space="0" w:color="000000"/>
              <w:left w:val="single" w:sz="4" w:space="0" w:color="000000"/>
              <w:bottom w:val="single" w:sz="4" w:space="0" w:color="000000"/>
              <w:right w:val="single" w:sz="4" w:space="0" w:color="000000"/>
            </w:tcBorders>
            <w:vAlign w:val="center"/>
          </w:tcPr>
          <w:p w14:paraId="6749AF05" w14:textId="0886AC6A"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73.00 %</w:t>
            </w:r>
          </w:p>
        </w:tc>
        <w:tc>
          <w:tcPr>
            <w:tcW w:w="1152" w:type="dxa"/>
            <w:tcBorders>
              <w:top w:val="single" w:sz="4" w:space="0" w:color="000000"/>
              <w:left w:val="single" w:sz="4" w:space="0" w:color="000000"/>
              <w:bottom w:val="single" w:sz="4" w:space="0" w:color="000000"/>
              <w:right w:val="single" w:sz="4" w:space="0" w:color="000000"/>
            </w:tcBorders>
            <w:vAlign w:val="center"/>
          </w:tcPr>
          <w:p w14:paraId="10CC471C" w14:textId="2888B5D5"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73.00 %</w:t>
            </w:r>
          </w:p>
        </w:tc>
        <w:tc>
          <w:tcPr>
            <w:tcW w:w="1152" w:type="dxa"/>
            <w:tcBorders>
              <w:top w:val="single" w:sz="4" w:space="0" w:color="000000"/>
              <w:left w:val="single" w:sz="4" w:space="0" w:color="000000"/>
              <w:bottom w:val="single" w:sz="4" w:space="0" w:color="000000"/>
              <w:right w:val="single" w:sz="4" w:space="0" w:color="000000"/>
            </w:tcBorders>
          </w:tcPr>
          <w:p w14:paraId="07D0AD0E" w14:textId="6EFCB8FA" w:rsidR="005B235B" w:rsidRPr="00FC4983" w:rsidRDefault="005B235B" w:rsidP="005B235B">
            <w:pPr>
              <w:pStyle w:val="TableParagraph"/>
              <w:spacing w:before="60" w:after="60" w:line="240" w:lineRule="auto"/>
              <w:ind w:left="135" w:firstLine="0"/>
              <w:jc w:val="center"/>
              <w:rPr>
                <w:sz w:val="24"/>
                <w:szCs w:val="24"/>
              </w:rPr>
            </w:pPr>
            <w:r w:rsidRPr="00483E0F">
              <w:rPr>
                <w:sz w:val="24"/>
                <w:szCs w:val="24"/>
              </w:rPr>
              <w:t>7</w:t>
            </w:r>
            <w:r>
              <w:rPr>
                <w:sz w:val="24"/>
                <w:szCs w:val="24"/>
              </w:rPr>
              <w:t>6</w:t>
            </w:r>
            <w:r w:rsidRPr="00483E0F">
              <w:rPr>
                <w:sz w:val="24"/>
                <w:szCs w:val="24"/>
              </w:rPr>
              <w:t>.00 %</w:t>
            </w:r>
          </w:p>
        </w:tc>
        <w:tc>
          <w:tcPr>
            <w:tcW w:w="1152" w:type="dxa"/>
            <w:tcBorders>
              <w:top w:val="single" w:sz="4" w:space="0" w:color="000000"/>
              <w:left w:val="single" w:sz="4" w:space="0" w:color="000000"/>
              <w:bottom w:val="single" w:sz="4" w:space="0" w:color="000000"/>
              <w:right w:val="single" w:sz="4" w:space="0" w:color="000000"/>
            </w:tcBorders>
          </w:tcPr>
          <w:p w14:paraId="6B8BA82F" w14:textId="79B631E8" w:rsidR="005B235B" w:rsidRPr="00FC4983" w:rsidRDefault="005B235B" w:rsidP="005B235B">
            <w:pPr>
              <w:pStyle w:val="TableParagraph"/>
              <w:spacing w:before="60" w:after="60" w:line="240" w:lineRule="auto"/>
              <w:ind w:left="135" w:hanging="77"/>
              <w:jc w:val="center"/>
              <w:rPr>
                <w:sz w:val="24"/>
                <w:szCs w:val="24"/>
              </w:rPr>
            </w:pPr>
            <w:r w:rsidRPr="00483E0F">
              <w:rPr>
                <w:sz w:val="24"/>
                <w:szCs w:val="24"/>
              </w:rPr>
              <w:t>7</w:t>
            </w:r>
            <w:r>
              <w:rPr>
                <w:sz w:val="24"/>
                <w:szCs w:val="24"/>
              </w:rPr>
              <w:t>6</w:t>
            </w:r>
            <w:r w:rsidRPr="00483E0F">
              <w:rPr>
                <w:sz w:val="24"/>
                <w:szCs w:val="24"/>
              </w:rPr>
              <w:t>.00 %</w:t>
            </w:r>
          </w:p>
        </w:tc>
      </w:tr>
      <w:tr w:rsidR="005B235B" w:rsidRPr="00D519AA" w14:paraId="0FF742B8" w14:textId="77777777" w:rsidTr="005B235B">
        <w:trPr>
          <w:cantSplit/>
          <w:trHeight w:val="672"/>
          <w:tblHeader/>
        </w:trPr>
        <w:tc>
          <w:tcPr>
            <w:tcW w:w="3744" w:type="dxa"/>
            <w:tcBorders>
              <w:top w:val="single" w:sz="4" w:space="0" w:color="000000"/>
              <w:left w:val="single" w:sz="4" w:space="0" w:color="000000"/>
              <w:bottom w:val="single" w:sz="4" w:space="0" w:color="000000"/>
              <w:right w:val="single" w:sz="4" w:space="0" w:color="000000"/>
            </w:tcBorders>
            <w:vAlign w:val="center"/>
          </w:tcPr>
          <w:p w14:paraId="49C5552F" w14:textId="77777777" w:rsidR="005B235B" w:rsidRPr="00FC4983" w:rsidRDefault="005B235B" w:rsidP="005B235B">
            <w:pPr>
              <w:pStyle w:val="TableParagraph"/>
              <w:spacing w:before="60" w:after="60" w:line="240" w:lineRule="auto"/>
              <w:ind w:left="630" w:right="135" w:hanging="540"/>
              <w:rPr>
                <w:b/>
                <w:sz w:val="24"/>
                <w:szCs w:val="24"/>
              </w:rPr>
            </w:pPr>
            <w:r w:rsidRPr="00FC4983">
              <w:rPr>
                <w:b/>
                <w:sz w:val="24"/>
                <w:szCs w:val="24"/>
              </w:rPr>
              <w:t>2P1: Earned Recognized Postsecondary Credential</w:t>
            </w:r>
          </w:p>
        </w:tc>
        <w:tc>
          <w:tcPr>
            <w:tcW w:w="1152" w:type="dxa"/>
            <w:tcBorders>
              <w:top w:val="single" w:sz="4" w:space="0" w:color="000000"/>
              <w:left w:val="single" w:sz="4" w:space="0" w:color="000000"/>
              <w:bottom w:val="single" w:sz="4" w:space="0" w:color="000000"/>
              <w:right w:val="single" w:sz="4" w:space="0" w:color="000000"/>
            </w:tcBorders>
            <w:vAlign w:val="center"/>
          </w:tcPr>
          <w:p w14:paraId="3261CE62" w14:textId="0924737D"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79.65%</w:t>
            </w:r>
          </w:p>
        </w:tc>
        <w:tc>
          <w:tcPr>
            <w:tcW w:w="1152" w:type="dxa"/>
            <w:tcBorders>
              <w:top w:val="single" w:sz="4" w:space="0" w:color="000000"/>
              <w:left w:val="single" w:sz="4" w:space="0" w:color="000000"/>
              <w:bottom w:val="single" w:sz="4" w:space="0" w:color="000000"/>
              <w:right w:val="single" w:sz="4" w:space="0" w:color="000000"/>
            </w:tcBorders>
            <w:vAlign w:val="center"/>
          </w:tcPr>
          <w:p w14:paraId="6D374510" w14:textId="04CC079F"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79.65%</w:t>
            </w:r>
          </w:p>
        </w:tc>
        <w:tc>
          <w:tcPr>
            <w:tcW w:w="1152" w:type="dxa"/>
            <w:tcBorders>
              <w:top w:val="single" w:sz="4" w:space="0" w:color="000000"/>
              <w:left w:val="single" w:sz="4" w:space="0" w:color="000000"/>
              <w:bottom w:val="single" w:sz="4" w:space="0" w:color="000000"/>
              <w:right w:val="single" w:sz="4" w:space="0" w:color="000000"/>
            </w:tcBorders>
            <w:vAlign w:val="center"/>
          </w:tcPr>
          <w:p w14:paraId="7C61713E" w14:textId="744DE60A"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79.65%</w:t>
            </w:r>
          </w:p>
        </w:tc>
        <w:tc>
          <w:tcPr>
            <w:tcW w:w="1152" w:type="dxa"/>
            <w:tcBorders>
              <w:top w:val="single" w:sz="4" w:space="0" w:color="000000"/>
              <w:left w:val="single" w:sz="4" w:space="0" w:color="000000"/>
              <w:bottom w:val="single" w:sz="4" w:space="0" w:color="000000"/>
              <w:right w:val="single" w:sz="4" w:space="0" w:color="000000"/>
            </w:tcBorders>
            <w:vAlign w:val="center"/>
          </w:tcPr>
          <w:p w14:paraId="4142503C" w14:textId="25E00CFD" w:rsidR="005B235B" w:rsidRPr="00FC4983" w:rsidRDefault="005B235B" w:rsidP="005B235B">
            <w:pPr>
              <w:pStyle w:val="TableParagraph"/>
              <w:spacing w:before="60" w:after="60" w:line="240" w:lineRule="auto"/>
              <w:ind w:left="135" w:firstLine="0"/>
              <w:jc w:val="center"/>
              <w:rPr>
                <w:sz w:val="24"/>
                <w:szCs w:val="24"/>
              </w:rPr>
            </w:pPr>
            <w:r>
              <w:rPr>
                <w:sz w:val="24"/>
                <w:szCs w:val="24"/>
              </w:rPr>
              <w:t>82</w:t>
            </w:r>
            <w:r w:rsidRPr="000815CB">
              <w:rPr>
                <w:sz w:val="24"/>
                <w:szCs w:val="24"/>
              </w:rPr>
              <w:t>.65%</w:t>
            </w:r>
          </w:p>
        </w:tc>
        <w:tc>
          <w:tcPr>
            <w:tcW w:w="1152" w:type="dxa"/>
            <w:tcBorders>
              <w:top w:val="single" w:sz="4" w:space="0" w:color="000000"/>
              <w:left w:val="single" w:sz="4" w:space="0" w:color="000000"/>
              <w:bottom w:val="single" w:sz="4" w:space="0" w:color="000000"/>
              <w:right w:val="single" w:sz="4" w:space="0" w:color="000000"/>
            </w:tcBorders>
            <w:vAlign w:val="center"/>
          </w:tcPr>
          <w:p w14:paraId="280CD940" w14:textId="0217BB44" w:rsidR="005B235B" w:rsidRPr="00FC4983" w:rsidRDefault="005B235B" w:rsidP="005B235B">
            <w:pPr>
              <w:pStyle w:val="TableParagraph"/>
              <w:spacing w:before="60" w:after="60" w:line="240" w:lineRule="auto"/>
              <w:ind w:left="135" w:hanging="77"/>
              <w:jc w:val="center"/>
              <w:rPr>
                <w:sz w:val="24"/>
                <w:szCs w:val="24"/>
              </w:rPr>
            </w:pPr>
            <w:r>
              <w:rPr>
                <w:sz w:val="24"/>
                <w:szCs w:val="24"/>
              </w:rPr>
              <w:t>82</w:t>
            </w:r>
            <w:r w:rsidRPr="000815CB">
              <w:rPr>
                <w:sz w:val="24"/>
                <w:szCs w:val="24"/>
              </w:rPr>
              <w:t>.65%</w:t>
            </w:r>
          </w:p>
        </w:tc>
      </w:tr>
      <w:tr w:rsidR="005B235B" w:rsidRPr="00D519AA" w14:paraId="009B80B4" w14:textId="77777777" w:rsidTr="005B235B">
        <w:trPr>
          <w:cantSplit/>
          <w:trHeight w:val="671"/>
          <w:tblHeader/>
        </w:trPr>
        <w:tc>
          <w:tcPr>
            <w:tcW w:w="3744" w:type="dxa"/>
            <w:tcBorders>
              <w:top w:val="single" w:sz="4" w:space="0" w:color="000000"/>
              <w:left w:val="single" w:sz="4" w:space="0" w:color="000000"/>
              <w:bottom w:val="single" w:sz="4" w:space="0" w:color="000000"/>
              <w:right w:val="single" w:sz="4" w:space="0" w:color="000000"/>
            </w:tcBorders>
            <w:vAlign w:val="center"/>
          </w:tcPr>
          <w:p w14:paraId="1BC757D9" w14:textId="43285237" w:rsidR="005B235B" w:rsidRPr="00FC4983" w:rsidRDefault="005B235B" w:rsidP="005B235B">
            <w:pPr>
              <w:pStyle w:val="TableParagraph"/>
              <w:spacing w:before="60" w:after="60" w:line="240" w:lineRule="auto"/>
              <w:ind w:left="630" w:right="135" w:hanging="540"/>
              <w:rPr>
                <w:b/>
                <w:sz w:val="24"/>
                <w:szCs w:val="24"/>
              </w:rPr>
            </w:pPr>
            <w:r w:rsidRPr="00FC4983">
              <w:rPr>
                <w:b/>
                <w:sz w:val="24"/>
                <w:szCs w:val="24"/>
              </w:rPr>
              <w:t>3P1: Non-traditional Program Concentration</w:t>
            </w:r>
          </w:p>
        </w:tc>
        <w:tc>
          <w:tcPr>
            <w:tcW w:w="1152" w:type="dxa"/>
            <w:tcBorders>
              <w:top w:val="single" w:sz="4" w:space="0" w:color="000000"/>
              <w:left w:val="single" w:sz="4" w:space="0" w:color="000000"/>
              <w:bottom w:val="single" w:sz="4" w:space="0" w:color="000000"/>
              <w:right w:val="single" w:sz="4" w:space="0" w:color="000000"/>
            </w:tcBorders>
            <w:vAlign w:val="center"/>
          </w:tcPr>
          <w:p w14:paraId="4981F2DA" w14:textId="65C793A3"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22.95%</w:t>
            </w:r>
          </w:p>
        </w:tc>
        <w:tc>
          <w:tcPr>
            <w:tcW w:w="1152" w:type="dxa"/>
            <w:tcBorders>
              <w:top w:val="single" w:sz="4" w:space="0" w:color="000000"/>
              <w:left w:val="single" w:sz="4" w:space="0" w:color="000000"/>
              <w:bottom w:val="single" w:sz="4" w:space="0" w:color="000000"/>
              <w:right w:val="single" w:sz="4" w:space="0" w:color="000000"/>
            </w:tcBorders>
            <w:vAlign w:val="center"/>
          </w:tcPr>
          <w:p w14:paraId="194E78ED" w14:textId="737EC5A7"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22.95%</w:t>
            </w:r>
          </w:p>
        </w:tc>
        <w:tc>
          <w:tcPr>
            <w:tcW w:w="1152" w:type="dxa"/>
            <w:tcBorders>
              <w:top w:val="single" w:sz="4" w:space="0" w:color="000000"/>
              <w:left w:val="single" w:sz="4" w:space="0" w:color="000000"/>
              <w:bottom w:val="single" w:sz="4" w:space="0" w:color="000000"/>
              <w:right w:val="single" w:sz="4" w:space="0" w:color="000000"/>
            </w:tcBorders>
            <w:vAlign w:val="center"/>
          </w:tcPr>
          <w:p w14:paraId="7281ECDE" w14:textId="2DED7410" w:rsidR="005B235B" w:rsidRPr="00FC4983" w:rsidRDefault="005B235B" w:rsidP="005B235B">
            <w:pPr>
              <w:pStyle w:val="TableParagraph"/>
              <w:spacing w:before="60" w:after="60" w:line="240" w:lineRule="auto"/>
              <w:ind w:left="45" w:firstLine="13"/>
              <w:jc w:val="center"/>
              <w:rPr>
                <w:sz w:val="24"/>
                <w:szCs w:val="24"/>
              </w:rPr>
            </w:pPr>
            <w:r w:rsidRPr="00FC4983">
              <w:rPr>
                <w:sz w:val="24"/>
                <w:szCs w:val="24"/>
              </w:rPr>
              <w:t>22.95%</w:t>
            </w:r>
          </w:p>
        </w:tc>
        <w:tc>
          <w:tcPr>
            <w:tcW w:w="1152" w:type="dxa"/>
            <w:tcBorders>
              <w:top w:val="single" w:sz="4" w:space="0" w:color="000000"/>
              <w:left w:val="single" w:sz="4" w:space="0" w:color="000000"/>
              <w:bottom w:val="single" w:sz="4" w:space="0" w:color="000000"/>
              <w:right w:val="single" w:sz="4" w:space="0" w:color="000000"/>
            </w:tcBorders>
            <w:vAlign w:val="center"/>
          </w:tcPr>
          <w:p w14:paraId="7D68F981" w14:textId="56AFBEB2" w:rsidR="005B235B" w:rsidRPr="00FC4983" w:rsidRDefault="005B235B" w:rsidP="005B235B">
            <w:pPr>
              <w:pStyle w:val="TableParagraph"/>
              <w:spacing w:before="60" w:after="60" w:line="240" w:lineRule="auto"/>
              <w:ind w:left="135" w:firstLine="0"/>
              <w:jc w:val="center"/>
              <w:rPr>
                <w:sz w:val="24"/>
                <w:szCs w:val="24"/>
              </w:rPr>
            </w:pPr>
            <w:r w:rsidRPr="00751DE0">
              <w:rPr>
                <w:sz w:val="24"/>
                <w:szCs w:val="24"/>
              </w:rPr>
              <w:t>2</w:t>
            </w:r>
            <w:r>
              <w:rPr>
                <w:sz w:val="24"/>
                <w:szCs w:val="24"/>
              </w:rPr>
              <w:t>5</w:t>
            </w:r>
            <w:r w:rsidRPr="00751DE0">
              <w:rPr>
                <w:sz w:val="24"/>
                <w:szCs w:val="24"/>
              </w:rPr>
              <w:t>.95%</w:t>
            </w:r>
          </w:p>
        </w:tc>
        <w:tc>
          <w:tcPr>
            <w:tcW w:w="1152" w:type="dxa"/>
            <w:tcBorders>
              <w:top w:val="single" w:sz="4" w:space="0" w:color="000000"/>
              <w:left w:val="single" w:sz="4" w:space="0" w:color="000000"/>
              <w:bottom w:val="single" w:sz="4" w:space="0" w:color="000000"/>
              <w:right w:val="single" w:sz="4" w:space="0" w:color="000000"/>
            </w:tcBorders>
            <w:vAlign w:val="center"/>
          </w:tcPr>
          <w:p w14:paraId="3F38C99E" w14:textId="6C031018" w:rsidR="005B235B" w:rsidRPr="00FC4983" w:rsidRDefault="005B235B" w:rsidP="005B235B">
            <w:pPr>
              <w:pStyle w:val="TableParagraph"/>
              <w:spacing w:before="60" w:after="60" w:line="240" w:lineRule="auto"/>
              <w:ind w:left="135" w:hanging="77"/>
              <w:jc w:val="center"/>
              <w:rPr>
                <w:sz w:val="24"/>
                <w:szCs w:val="24"/>
              </w:rPr>
            </w:pPr>
            <w:r w:rsidRPr="00751DE0">
              <w:rPr>
                <w:sz w:val="24"/>
                <w:szCs w:val="24"/>
              </w:rPr>
              <w:t>2</w:t>
            </w:r>
            <w:r>
              <w:rPr>
                <w:sz w:val="24"/>
                <w:szCs w:val="24"/>
              </w:rPr>
              <w:t>5</w:t>
            </w:r>
            <w:r w:rsidRPr="00751DE0">
              <w:rPr>
                <w:sz w:val="24"/>
                <w:szCs w:val="24"/>
              </w:rPr>
              <w:t>.95%</w:t>
            </w:r>
          </w:p>
        </w:tc>
      </w:tr>
    </w:tbl>
    <w:bookmarkEnd w:id="116"/>
    <w:p w14:paraId="584D465D" w14:textId="77777777" w:rsidR="00784BB3" w:rsidRPr="00784BB3" w:rsidRDefault="00784BB3" w:rsidP="00784BB3">
      <w:pPr>
        <w:spacing w:before="240"/>
        <w:rPr>
          <w:b/>
          <w:i/>
        </w:rPr>
      </w:pPr>
      <w:r w:rsidRPr="00784BB3">
        <w:rPr>
          <w:b/>
          <w:i/>
        </w:rPr>
        <w:t>Provide any additional information regarding SDPLs, as necessary:</w:t>
      </w:r>
    </w:p>
    <w:p w14:paraId="27913B99" w14:textId="77777777" w:rsidR="00784BB3" w:rsidRDefault="00784BB3" w:rsidP="00784BB3">
      <w:pPr>
        <w:spacing w:before="120"/>
      </w:pPr>
      <w:r w:rsidRPr="004F4418">
        <w:t xml:space="preserve">The secondary academic achievement indicators (2S1, 2S2, and 2S3) are for all students. </w:t>
      </w:r>
      <w:r>
        <w:t>For 5S2 (</w:t>
      </w:r>
      <w:r w:rsidRPr="004F4418">
        <w:t>Program Quality – Attained Postsecondary Credits)</w:t>
      </w:r>
      <w:r>
        <w:t xml:space="preserve">, identified in California’s CCI as College Credit Courses, </w:t>
      </w:r>
      <w:r w:rsidRPr="004F4418">
        <w:t xml:space="preserve">was estimated as follows. The </w:t>
      </w:r>
      <w:r>
        <w:t xml:space="preserve">FY </w:t>
      </w:r>
      <w:r w:rsidRPr="004F4418">
        <w:t xml:space="preserve">2019 value for students who were defined as prepared in the CCI was used as the baseline. </w:t>
      </w:r>
      <w:r>
        <w:t>A 2.1 percent</w:t>
      </w:r>
      <w:r w:rsidRPr="004F4418">
        <w:t xml:space="preserve"> </w:t>
      </w:r>
      <w:r>
        <w:t>increase was applied (</w:t>
      </w:r>
      <w:r w:rsidRPr="004F4418">
        <w:t>the change from</w:t>
      </w:r>
      <w:r>
        <w:t xml:space="preserve"> the </w:t>
      </w:r>
      <w:r w:rsidRPr="004F4418">
        <w:t>2017</w:t>
      </w:r>
      <w:r>
        <w:t>–</w:t>
      </w:r>
      <w:r w:rsidRPr="004F4418">
        <w:t>18</w:t>
      </w:r>
      <w:r>
        <w:t xml:space="preserve"> school year</w:t>
      </w:r>
      <w:r w:rsidRPr="004F4418">
        <w:t xml:space="preserve"> to </w:t>
      </w:r>
      <w:r>
        <w:t xml:space="preserve">the </w:t>
      </w:r>
      <w:r w:rsidRPr="004F4418">
        <w:t>2018</w:t>
      </w:r>
      <w:r>
        <w:t>–</w:t>
      </w:r>
      <w:r w:rsidRPr="004F4418">
        <w:t>19</w:t>
      </w:r>
      <w:r>
        <w:t xml:space="preserve"> school year)</w:t>
      </w:r>
      <w:r w:rsidRPr="004F4418">
        <w:t xml:space="preserve"> </w:t>
      </w:r>
      <w:r>
        <w:t>for</w:t>
      </w:r>
      <w:r w:rsidRPr="004F4418">
        <w:t xml:space="preserve"> the total number of students who were</w:t>
      </w:r>
      <w:r>
        <w:t xml:space="preserve"> defined as prepared in the CCI</w:t>
      </w:r>
      <w:r w:rsidRPr="004F4418">
        <w:t xml:space="preserve">. </w:t>
      </w:r>
      <w:r>
        <w:t>For more information on the CCI, please visit the CDE’s CCI web page at</w:t>
      </w:r>
      <w:r w:rsidRPr="004F4418">
        <w:t xml:space="preserve"> </w:t>
      </w:r>
      <w:hyperlink r:id="rId48" w:tooltip="The CDE for information on the CCI" w:history="1">
        <w:r w:rsidRPr="0063439E">
          <w:rPr>
            <w:rStyle w:val="Hyperlink"/>
          </w:rPr>
          <w:t>https://www6.cde.ca.gov/californiamodel/ccireport?&amp;year=2019&amp;cdcode=0000000&amp;scode=&amp;reporttype=schools</w:t>
        </w:r>
      </w:hyperlink>
    </w:p>
    <w:p w14:paraId="0ADCC3A2" w14:textId="73F080B2" w:rsidR="006E6D2C" w:rsidRDefault="002A57D4" w:rsidP="00986325">
      <w:pPr>
        <w:pStyle w:val="Heading2"/>
        <w:rPr>
          <w:caps/>
        </w:rPr>
      </w:pPr>
      <w:bookmarkStart w:id="117" w:name="_Toc33620413"/>
      <w:r w:rsidRPr="002F2687">
        <w:lastRenderedPageBreak/>
        <w:t>Appendix</w:t>
      </w:r>
      <w:r w:rsidR="005A0EBA" w:rsidRPr="002F2687">
        <w:rPr>
          <w:caps/>
        </w:rPr>
        <w:t xml:space="preserve"> A</w:t>
      </w:r>
      <w:r w:rsidRPr="002F2687">
        <w:rPr>
          <w:caps/>
        </w:rPr>
        <w:t xml:space="preserve">: </w:t>
      </w:r>
      <w:r w:rsidR="006E6D2C" w:rsidRPr="006E6D2C">
        <w:t>Stakeholder and Key Informant Feedback</w:t>
      </w:r>
      <w:bookmarkEnd w:id="117"/>
    </w:p>
    <w:p w14:paraId="17D494E4" w14:textId="17979224" w:rsidR="005A0EBA" w:rsidRPr="002F2687" w:rsidRDefault="005A0EBA" w:rsidP="001F23F8">
      <w:pPr>
        <w:pStyle w:val="Heading3"/>
        <w:spacing w:line="240" w:lineRule="auto"/>
        <w:jc w:val="center"/>
      </w:pPr>
      <w:bookmarkStart w:id="118" w:name="_Toc33620414"/>
      <w:r w:rsidRPr="002F2687">
        <w:t xml:space="preserve">Statewide Advisory </w:t>
      </w:r>
      <w:r w:rsidRPr="006E6D2C">
        <w:t>Committee</w:t>
      </w:r>
      <w:bookmarkEnd w:id="118"/>
    </w:p>
    <w:p w14:paraId="51609F28" w14:textId="645D7982" w:rsidR="005A0EBA" w:rsidRPr="002F2687" w:rsidRDefault="005A0EBA" w:rsidP="003217B6">
      <w:pPr>
        <w:rPr>
          <w:i/>
        </w:rPr>
      </w:pPr>
      <w:r w:rsidRPr="002F2687">
        <w:rPr>
          <w:i/>
        </w:rPr>
        <w:t>(Group, Organization, Industry, or Population Represented in Parenthes</w:t>
      </w:r>
      <w:r w:rsidR="000663A2">
        <w:rPr>
          <w:i/>
        </w:rPr>
        <w:t>e</w:t>
      </w:r>
      <w:r w:rsidRPr="002F2687">
        <w:rPr>
          <w:i/>
        </w:rPr>
        <w:t>s)</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t>Matthew Allana</w:t>
      </w:r>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Grossmont/Cuyamaca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Henry Bartholomay</w:t>
      </w:r>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225158DA" w:rsidR="005A0EBA" w:rsidRPr="002F2687" w:rsidRDefault="00675973" w:rsidP="00F01AE5">
      <w:pPr>
        <w:pStyle w:val="ListName"/>
      </w:pPr>
      <w:r>
        <w:t>C</w:t>
      </w:r>
      <w:r w:rsidR="005A0EBA" w:rsidRPr="002F2687">
        <w:t>raig Beswick</w:t>
      </w:r>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1575CF3B" w:rsidR="005A0EBA" w:rsidRPr="002F2687" w:rsidRDefault="005A0EBA" w:rsidP="00F01AE5">
      <w:pPr>
        <w:pStyle w:val="ListGroup"/>
      </w:pPr>
      <w:r w:rsidRPr="002F2687">
        <w:t>(At-</w:t>
      </w:r>
      <w:r w:rsidR="00396B67">
        <w:t>promise</w:t>
      </w:r>
      <w:r w:rsidRPr="002F2687">
        <w:t>/Corrections/out</w:t>
      </w:r>
      <w:r w:rsidR="000476AF">
        <w:t>-</w:t>
      </w:r>
      <w:r w:rsidRPr="002F2687">
        <w:t>of</w:t>
      </w:r>
      <w:r w:rsidR="000476AF">
        <w:t>-</w:t>
      </w:r>
      <w:r w:rsidRPr="002F2687">
        <w:t>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Gina Boster</w:t>
      </w:r>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r w:rsidRPr="002F2687">
        <w:t>Raine</w:t>
      </w:r>
      <w:r w:rsidR="00CD3A4B">
        <w:t xml:space="preserve"> </w:t>
      </w:r>
      <w:r w:rsidR="00CD3A4B" w:rsidRPr="002F2687">
        <w:t>Bumatay</w:t>
      </w:r>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1B652A8E" w14:textId="0FDAA7F7" w:rsidR="005A0EBA" w:rsidRPr="002F2687" w:rsidRDefault="005A0EBA" w:rsidP="00784BB3">
      <w:pPr>
        <w:pStyle w:val="ListGroup"/>
      </w:pPr>
      <w:r w:rsidRPr="002F2687">
        <w:t>(Adult CTE)</w:t>
      </w:r>
      <w:r w:rsidR="00784BB3">
        <w:br w:type="column"/>
      </w:r>
      <w:r w:rsidRPr="002F2687">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4E0D35E0" w:rsidR="005A0EBA" w:rsidRPr="002F2687" w:rsidRDefault="005A0EBA" w:rsidP="00F01AE5">
      <w:pPr>
        <w:pStyle w:val="ListGroup"/>
      </w:pPr>
      <w:r w:rsidRPr="002F2687">
        <w:t>Professor/Department Chair of Aeronautical Science &amp; Technology</w:t>
      </w:r>
    </w:p>
    <w:p w14:paraId="0E3EB301" w14:textId="77777777" w:rsidR="005A0EBA" w:rsidRPr="002F2687" w:rsidRDefault="005A0EBA" w:rsidP="00F01AE5">
      <w:pPr>
        <w:pStyle w:val="ListGroup"/>
      </w:pPr>
      <w:r w:rsidRPr="002F2687">
        <w:t>Antelope Valley College</w:t>
      </w:r>
    </w:p>
    <w:p w14:paraId="09D3AC7D" w14:textId="77777777" w:rsidR="00450D7B" w:rsidRDefault="005A0EBA" w:rsidP="0080574F">
      <w:pPr>
        <w:pStyle w:val="ListGroup"/>
      </w:pPr>
      <w:r w:rsidRPr="002F2687">
        <w:t>(Out-of-School and Homeless youth)</w:t>
      </w:r>
    </w:p>
    <w:p w14:paraId="5DA04794" w14:textId="188CE259" w:rsidR="005A0EBA" w:rsidRPr="002F2687" w:rsidRDefault="005A0EBA" w:rsidP="00450D7B">
      <w:pPr>
        <w:pStyle w:val="ListName"/>
      </w:pPr>
      <w:r w:rsidRPr="002F2687">
        <w:lastRenderedPageBreak/>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5AA41632" w14:textId="77777777" w:rsidR="00784BB3" w:rsidRDefault="005A0EBA" w:rsidP="00450D7B">
      <w:pPr>
        <w:pStyle w:val="ListGroup"/>
      </w:pPr>
      <w:r w:rsidRPr="002F2687">
        <w:t>(Postsecondary CTE, faculty)</w:t>
      </w:r>
    </w:p>
    <w:p w14:paraId="22B77176" w14:textId="7A424027" w:rsidR="005A0EBA" w:rsidRPr="002F2687" w:rsidRDefault="005A0EBA" w:rsidP="00784BB3">
      <w:pPr>
        <w:pStyle w:val="ListName"/>
      </w:pPr>
      <w:r w:rsidRPr="002F2687">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306C2703" w14:textId="77777777" w:rsidR="00450D7B" w:rsidRDefault="0080574F" w:rsidP="00470FEA">
      <w:pPr>
        <w:pStyle w:val="ListGroup"/>
        <w:rPr>
          <w:spacing w:val="-2"/>
        </w:rPr>
      </w:pPr>
      <w:r w:rsidRPr="00470FEA">
        <w:rPr>
          <w:spacing w:val="-2"/>
        </w:rPr>
        <w:t>(Homeless/Foster children and youth)</w:t>
      </w:r>
    </w:p>
    <w:p w14:paraId="59AA7B05" w14:textId="40216388" w:rsidR="005A0EBA" w:rsidRPr="002F2687" w:rsidRDefault="005A0EBA" w:rsidP="00450D7B">
      <w:pPr>
        <w:pStyle w:val="ListName"/>
      </w:pPr>
      <w:r w:rsidRPr="002F2687">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0E145388" w14:textId="77777777" w:rsidR="002F549F" w:rsidRDefault="005A0EBA" w:rsidP="00450D7B">
      <w:pPr>
        <w:pStyle w:val="ListGroup"/>
      </w:pPr>
      <w:r w:rsidRPr="002F2687">
        <w:t>(Postsecondary CTE, Administration)</w:t>
      </w:r>
    </w:p>
    <w:p w14:paraId="524CE105" w14:textId="3CD53F2E" w:rsidR="005A0EBA" w:rsidRPr="002F2687" w:rsidRDefault="005A0EBA" w:rsidP="002F549F">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Jodi Loeffler</w:t>
      </w:r>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Lori Marchy</w:t>
      </w:r>
    </w:p>
    <w:p w14:paraId="11B3A3FA" w14:textId="77777777" w:rsidR="00470FEA" w:rsidRDefault="00470FEA" w:rsidP="00470FEA">
      <w:pPr>
        <w:pStyle w:val="ListGroup"/>
      </w:pPr>
      <w:r>
        <w:t>(Parent)</w:t>
      </w:r>
    </w:p>
    <w:p w14:paraId="2EE02291" w14:textId="475FFE60" w:rsidR="00470FEA" w:rsidRDefault="00470FEA" w:rsidP="00450D7B">
      <w:pPr>
        <w:pStyle w:val="ListName"/>
      </w:pPr>
      <w:r>
        <w:t>Chris McQuillen</w:t>
      </w:r>
    </w:p>
    <w:p w14:paraId="679AD915" w14:textId="77777777" w:rsidR="00470FEA" w:rsidRDefault="00470FEA" w:rsidP="00470FEA">
      <w:pPr>
        <w:pStyle w:val="ListGroup"/>
      </w:pPr>
      <w:r>
        <w:t>The York Tribe</w:t>
      </w:r>
    </w:p>
    <w:p w14:paraId="75E953F0" w14:textId="77777777" w:rsidR="00980291" w:rsidRDefault="00470FEA" w:rsidP="00450D7B">
      <w:pPr>
        <w:pStyle w:val="ListGroup"/>
      </w:pPr>
      <w:r>
        <w:t>(</w:t>
      </w:r>
      <w:r w:rsidRPr="00470FEA">
        <w:t>Indian tribes and Tribal organization</w:t>
      </w:r>
      <w:r>
        <w:t>s)</w:t>
      </w:r>
    </w:p>
    <w:p w14:paraId="6662F9C8" w14:textId="13461FE4" w:rsidR="00470FEA" w:rsidRDefault="00842F9D" w:rsidP="00980291">
      <w:pPr>
        <w:pStyle w:val="ListName"/>
      </w:pPr>
      <w:r>
        <w:t>Jim</w:t>
      </w:r>
      <w:r w:rsidR="00470FEA">
        <w:t xml:space="preserve"> McQuillen</w:t>
      </w:r>
    </w:p>
    <w:p w14:paraId="7E156A2F" w14:textId="5B0F56B3" w:rsidR="00470FEA" w:rsidRDefault="00842F9D" w:rsidP="00470FEA">
      <w:pPr>
        <w:pStyle w:val="ListGroup"/>
      </w:pPr>
      <w:r w:rsidRPr="00842F9D">
        <w:t>Education Director</w:t>
      </w:r>
      <w:r>
        <w:t xml:space="preserve">, </w:t>
      </w:r>
      <w:r w:rsidR="00470FEA">
        <w:t>The</w:t>
      </w:r>
      <w:r w:rsidR="00980291">
        <w:t xml:space="preserve"> </w:t>
      </w:r>
      <w:r w:rsidR="00470FEA">
        <w:t>York Tribe</w:t>
      </w:r>
    </w:p>
    <w:p w14:paraId="56672471" w14:textId="77777777" w:rsidR="002F549F" w:rsidRDefault="00470FEA" w:rsidP="00980291">
      <w:pPr>
        <w:pStyle w:val="ListGroup"/>
      </w:pPr>
      <w:r>
        <w:t>(</w:t>
      </w:r>
      <w:r w:rsidRPr="00470FEA">
        <w:t>Indian tribes and Tribal organization</w:t>
      </w:r>
      <w:r>
        <w:t>s)</w:t>
      </w:r>
    </w:p>
    <w:p w14:paraId="4E6CF60A" w14:textId="4DEDDD1D" w:rsidR="005A0EBA" w:rsidRPr="002F2687" w:rsidRDefault="005A0EBA" w:rsidP="002F549F">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526A6367" w:rsidR="005A0EBA" w:rsidRPr="002F2687" w:rsidRDefault="00784BB3" w:rsidP="00A32FBA">
      <w:pPr>
        <w:pStyle w:val="ListName"/>
      </w:pPr>
      <w:r>
        <w:br w:type="column"/>
      </w:r>
      <w:r w:rsidR="005A0EBA"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48CE67BD" w14:textId="77777777" w:rsidR="00784BB3" w:rsidRDefault="005A0EBA" w:rsidP="002F549F">
      <w:pPr>
        <w:pStyle w:val="ListGroup"/>
      </w:pPr>
      <w:r w:rsidRPr="002F2687">
        <w:t>(At-</w:t>
      </w:r>
      <w:r w:rsidR="00396B67">
        <w:t>Promise</w:t>
      </w:r>
      <w:r w:rsidR="00396B67" w:rsidRPr="002F2687">
        <w:t xml:space="preserve"> </w:t>
      </w:r>
      <w:r w:rsidRPr="002F2687">
        <w:t>Youth)</w:t>
      </w:r>
    </w:p>
    <w:p w14:paraId="3F4F0714" w14:textId="316E91E1" w:rsidR="005A0EBA" w:rsidRPr="002F2687" w:rsidRDefault="005A0EBA" w:rsidP="00784BB3">
      <w:pPr>
        <w:pStyle w:val="ListName"/>
      </w:pP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Julie Pehkonen</w:t>
      </w:r>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r w:rsidRPr="002F2687">
        <w:t>Xiomena Pena</w:t>
      </w:r>
    </w:p>
    <w:p w14:paraId="2CDE7744" w14:textId="7236CCF1" w:rsidR="005A0EBA" w:rsidRPr="002F2687" w:rsidRDefault="005A0EBA" w:rsidP="00F01AE5">
      <w:pPr>
        <w:pStyle w:val="ListGroup"/>
      </w:pPr>
      <w:r w:rsidRPr="002F2687">
        <w:t>California Deputy Director/National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r w:rsidRPr="002F2687">
        <w:t>Amertah Perman</w:t>
      </w:r>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1AD6B20C" w:rsidR="005A0EBA" w:rsidRPr="002F2687" w:rsidRDefault="00784BB3" w:rsidP="00A32FBA">
      <w:pPr>
        <w:pStyle w:val="ListName"/>
      </w:pPr>
      <w:r>
        <w:br w:type="column"/>
      </w:r>
      <w:r w:rsidR="005A0EBA" w:rsidRPr="002F2687">
        <w:lastRenderedPageBreak/>
        <w:t>Seema Puri</w:t>
      </w:r>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Elisa Queenan</w:t>
      </w:r>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t>Marisol Rerucha</w:t>
      </w:r>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038A9F91" w14:textId="77777777" w:rsidR="00450D7B" w:rsidRDefault="005A0EBA" w:rsidP="00842F9D">
      <w:pPr>
        <w:pStyle w:val="ListGroup"/>
      </w:pPr>
      <w:r w:rsidRPr="002F2687">
        <w:t>(Postsecondary CTE)</w:t>
      </w:r>
    </w:p>
    <w:p w14:paraId="201B2042" w14:textId="78182EAD" w:rsidR="005A0EBA" w:rsidRPr="002F2687" w:rsidRDefault="005A0EBA" w:rsidP="00450D7B">
      <w:pPr>
        <w:pStyle w:val="ListName"/>
      </w:pPr>
      <w:r w:rsidRPr="002F2687">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6F3EDACA" w14:textId="77777777" w:rsidR="002F549F" w:rsidRDefault="005A0EBA" w:rsidP="00450D7B">
      <w:pPr>
        <w:pStyle w:val="ListGroup"/>
      </w:pPr>
      <w:r w:rsidRPr="002F2687">
        <w:t>(State Workforce Development Board)</w:t>
      </w:r>
    </w:p>
    <w:p w14:paraId="43F40D75" w14:textId="595C6287" w:rsidR="005A0EBA" w:rsidRPr="002F2687" w:rsidRDefault="005A0EBA" w:rsidP="002F549F">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Grossmont/Cuyamaca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Abby Snay</w:t>
      </w:r>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Louise Stymeist</w:t>
      </w:r>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t>Dejah Swingle</w:t>
      </w:r>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6CD0B746" w:rsidR="005A0EBA" w:rsidRPr="002F2687" w:rsidRDefault="005A0EBA" w:rsidP="00F01AE5">
      <w:pPr>
        <w:pStyle w:val="ListGroup"/>
      </w:pPr>
      <w:r w:rsidRPr="002F2687">
        <w:t>(At-</w:t>
      </w:r>
      <w:r w:rsidR="00396B67">
        <w:t>Promise</w:t>
      </w:r>
      <w:r w:rsidR="00396B67" w:rsidRPr="002F2687">
        <w:t xml:space="preserve"> </w:t>
      </w:r>
      <w:r w:rsidRPr="002F2687">
        <w:t>Youth, Corrections)</w:t>
      </w:r>
    </w:p>
    <w:p w14:paraId="5BAE55B1" w14:textId="77777777" w:rsidR="005A0EBA" w:rsidRPr="002F2687" w:rsidRDefault="005A0EBA" w:rsidP="00A32FBA">
      <w:pPr>
        <w:pStyle w:val="ListName"/>
      </w:pPr>
      <w:r w:rsidRPr="002F2687">
        <w:t>Andrea Vizenor</w:t>
      </w:r>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Valerie Vuichich</w:t>
      </w:r>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Liz Zastrow</w:t>
      </w:r>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39792544" w:rsidR="005A0EBA" w:rsidRPr="002F2687" w:rsidRDefault="00784BB3" w:rsidP="00A32FBA">
      <w:pPr>
        <w:pStyle w:val="ListName"/>
      </w:pPr>
      <w:r>
        <w:br w:type="column"/>
      </w:r>
      <w:r w:rsidR="005A0EBA" w:rsidRPr="002F2687">
        <w:lastRenderedPageBreak/>
        <w:t>Tracie Zerpoli</w:t>
      </w:r>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39AC6EA8" w14:textId="05F14584" w:rsidR="006E6D2C" w:rsidRDefault="006E6D2C" w:rsidP="006E6D2C">
      <w:pPr>
        <w:pStyle w:val="Heading3"/>
        <w:spacing w:line="240" w:lineRule="auto"/>
      </w:pPr>
      <w:bookmarkStart w:id="119" w:name="_Toc33620415"/>
      <w:bookmarkStart w:id="120" w:name="_Toc24667204"/>
      <w:r>
        <w:lastRenderedPageBreak/>
        <w:t>CCCAOE Perkins V Pre-Conference Attendees</w:t>
      </w:r>
      <w:bookmarkEnd w:id="119"/>
    </w:p>
    <w:p w14:paraId="44CD0222" w14:textId="77777777" w:rsidR="006E6D2C" w:rsidRDefault="006E6D2C" w:rsidP="006E6D2C">
      <w:pPr>
        <w:pStyle w:val="ListName"/>
        <w:contextualSpacing w:val="0"/>
        <w:rPr>
          <w:noProof/>
        </w:rPr>
        <w:sectPr w:rsidR="006E6D2C" w:rsidSect="00A32FBA">
          <w:pgSz w:w="12240" w:h="15840"/>
          <w:pgMar w:top="1440" w:right="1440" w:bottom="1080" w:left="1440" w:header="547" w:footer="547" w:gutter="0"/>
          <w:cols w:space="720"/>
          <w:docGrid w:linePitch="360"/>
        </w:sectPr>
      </w:pPr>
    </w:p>
    <w:p w14:paraId="4ED15766" w14:textId="4254A865" w:rsidR="006E6D2C" w:rsidRDefault="006E6D2C" w:rsidP="006E6D2C">
      <w:pPr>
        <w:pStyle w:val="ListGroup"/>
        <w:contextualSpacing w:val="0"/>
      </w:pPr>
      <w:r w:rsidRPr="00872875">
        <w:t>Mari</w:t>
      </w:r>
      <w:r>
        <w:t xml:space="preserve"> </w:t>
      </w:r>
      <w:r w:rsidRPr="00872875">
        <w:t>Abril</w:t>
      </w:r>
    </w:p>
    <w:p w14:paraId="48B965D2" w14:textId="4915A5D5" w:rsidR="001F23F8" w:rsidRDefault="006E6D2C" w:rsidP="001F23F8">
      <w:pPr>
        <w:pStyle w:val="ListGroup"/>
        <w:contextualSpacing w:val="0"/>
      </w:pPr>
      <w:r w:rsidRPr="00872875">
        <w:t>College of the Desert</w:t>
      </w:r>
    </w:p>
    <w:p w14:paraId="2ACE61D0" w14:textId="77777777" w:rsidR="001F23F8" w:rsidRDefault="001F23F8" w:rsidP="001F23F8">
      <w:pPr>
        <w:pStyle w:val="ListGroup"/>
        <w:spacing w:before="160"/>
        <w:contextualSpacing w:val="0"/>
      </w:pPr>
      <w:r w:rsidRPr="00872875">
        <w:t>Beth</w:t>
      </w:r>
      <w:r>
        <w:t xml:space="preserve"> </w:t>
      </w:r>
      <w:r w:rsidRPr="00872875">
        <w:t>Allan-Bentley</w:t>
      </w:r>
    </w:p>
    <w:p w14:paraId="6524FBE1" w14:textId="5E87C3A1" w:rsidR="001F23F8" w:rsidRDefault="001F23F8" w:rsidP="001F23F8">
      <w:pPr>
        <w:pStyle w:val="ListGroup"/>
        <w:contextualSpacing w:val="0"/>
      </w:pPr>
      <w:r>
        <w:t>College of the Desert</w:t>
      </w:r>
    </w:p>
    <w:p w14:paraId="79D24E72" w14:textId="0B8414F7" w:rsidR="006E6D2C" w:rsidRDefault="006E6D2C" w:rsidP="006E6D2C">
      <w:pPr>
        <w:pStyle w:val="ListGroup"/>
        <w:spacing w:before="160"/>
        <w:contextualSpacing w:val="0"/>
      </w:pPr>
      <w:r w:rsidRPr="00872875">
        <w:t>Elizabeth</w:t>
      </w:r>
      <w:r>
        <w:t xml:space="preserve"> </w:t>
      </w:r>
      <w:r w:rsidRPr="00872875">
        <w:t>Arteaga</w:t>
      </w:r>
    </w:p>
    <w:p w14:paraId="141870DD" w14:textId="77777777" w:rsidR="006E6D2C" w:rsidRDefault="006E6D2C" w:rsidP="006E6D2C">
      <w:pPr>
        <w:pStyle w:val="ListGroup"/>
        <w:contextualSpacing w:val="0"/>
      </w:pPr>
      <w:r w:rsidRPr="00872875">
        <w:t>Santiago Canyon College</w:t>
      </w:r>
    </w:p>
    <w:p w14:paraId="3F191DC5" w14:textId="77777777" w:rsidR="006E6D2C" w:rsidRDefault="006E6D2C" w:rsidP="006E6D2C">
      <w:pPr>
        <w:pStyle w:val="ListGroup"/>
        <w:spacing w:before="160"/>
        <w:contextualSpacing w:val="0"/>
      </w:pPr>
      <w:r w:rsidRPr="00872875">
        <w:t>Alexander</w:t>
      </w:r>
      <w:r>
        <w:t xml:space="preserve"> </w:t>
      </w:r>
      <w:r w:rsidRPr="00872875">
        <w:t>Berry</w:t>
      </w:r>
    </w:p>
    <w:p w14:paraId="4197F0B9" w14:textId="77777777" w:rsidR="006E6D2C" w:rsidRDefault="006E6D2C" w:rsidP="006E6D2C">
      <w:pPr>
        <w:pStyle w:val="ListGroup"/>
        <w:contextualSpacing w:val="0"/>
      </w:pPr>
      <w:r w:rsidRPr="00872875">
        <w:t>San Diego Continuing Education</w:t>
      </w:r>
    </w:p>
    <w:p w14:paraId="7CFAC118" w14:textId="77777777" w:rsidR="006E6D2C" w:rsidRDefault="006E6D2C" w:rsidP="006E6D2C">
      <w:pPr>
        <w:pStyle w:val="ListGroup"/>
        <w:spacing w:before="160"/>
        <w:contextualSpacing w:val="0"/>
      </w:pPr>
      <w:r w:rsidRPr="00872875">
        <w:t>Danene</w:t>
      </w:r>
      <w:r>
        <w:t xml:space="preserve"> </w:t>
      </w:r>
      <w:r w:rsidRPr="00872875">
        <w:t>Brown</w:t>
      </w:r>
    </w:p>
    <w:p w14:paraId="3ACEB865" w14:textId="77777777" w:rsidR="006E6D2C" w:rsidRDefault="006E6D2C" w:rsidP="006E6D2C">
      <w:pPr>
        <w:pStyle w:val="ListGroup"/>
        <w:contextualSpacing w:val="0"/>
      </w:pPr>
      <w:r w:rsidRPr="00872875">
        <w:t>San Diego Mesa College</w:t>
      </w:r>
    </w:p>
    <w:p w14:paraId="2784CC24" w14:textId="77777777" w:rsidR="006E6D2C" w:rsidRDefault="006E6D2C" w:rsidP="006E6D2C">
      <w:pPr>
        <w:pStyle w:val="ListGroup"/>
        <w:spacing w:before="160"/>
        <w:contextualSpacing w:val="0"/>
      </w:pPr>
      <w:r w:rsidRPr="00872875">
        <w:t>Laura</w:t>
      </w:r>
      <w:r>
        <w:t xml:space="preserve"> </w:t>
      </w:r>
      <w:r w:rsidRPr="00872875">
        <w:t>Casillas</w:t>
      </w:r>
    </w:p>
    <w:p w14:paraId="2C984590" w14:textId="77777777" w:rsidR="006E6D2C" w:rsidRDefault="006E6D2C" w:rsidP="006E6D2C">
      <w:pPr>
        <w:pStyle w:val="ListGroup"/>
        <w:contextualSpacing w:val="0"/>
      </w:pPr>
      <w:r w:rsidRPr="00872875">
        <w:t>CCCCO</w:t>
      </w:r>
    </w:p>
    <w:p w14:paraId="68B17FE6" w14:textId="77777777" w:rsidR="006E6D2C" w:rsidRDefault="006E6D2C" w:rsidP="006E6D2C">
      <w:pPr>
        <w:pStyle w:val="ListGroup"/>
        <w:spacing w:before="160"/>
        <w:contextualSpacing w:val="0"/>
      </w:pPr>
      <w:r w:rsidRPr="00872875">
        <w:t>Kris</w:t>
      </w:r>
      <w:r>
        <w:t xml:space="preserve"> </w:t>
      </w:r>
      <w:r w:rsidRPr="00872875">
        <w:t>Costa</w:t>
      </w:r>
    </w:p>
    <w:p w14:paraId="7C848B8B" w14:textId="2C5991C7" w:rsidR="006E6D2C" w:rsidRDefault="006E6D2C" w:rsidP="006E6D2C">
      <w:pPr>
        <w:pStyle w:val="ListGroup"/>
        <w:contextualSpacing w:val="0"/>
      </w:pPr>
      <w:r w:rsidRPr="00872875">
        <w:t>West Hills College</w:t>
      </w:r>
      <w:r>
        <w:t>,</w:t>
      </w:r>
      <w:r w:rsidRPr="00872875">
        <w:t xml:space="preserve"> Lemoore</w:t>
      </w:r>
    </w:p>
    <w:p w14:paraId="03EA5068" w14:textId="77777777" w:rsidR="006E6D2C" w:rsidRDefault="006E6D2C" w:rsidP="006E6D2C">
      <w:pPr>
        <w:pStyle w:val="ListGroup"/>
        <w:spacing w:before="160"/>
        <w:contextualSpacing w:val="0"/>
      </w:pPr>
      <w:r w:rsidRPr="00872875">
        <w:t>Carmen</w:t>
      </w:r>
      <w:r>
        <w:t xml:space="preserve"> </w:t>
      </w:r>
      <w:r w:rsidRPr="00872875">
        <w:t>Dominguez</w:t>
      </w:r>
    </w:p>
    <w:p w14:paraId="4F1B5177" w14:textId="77777777" w:rsidR="006E6D2C" w:rsidRDefault="006E6D2C" w:rsidP="006E6D2C">
      <w:pPr>
        <w:pStyle w:val="ListGroup"/>
        <w:contextualSpacing w:val="0"/>
      </w:pPr>
      <w:r w:rsidRPr="00872875">
        <w:t>Cypress College</w:t>
      </w:r>
    </w:p>
    <w:p w14:paraId="66111819" w14:textId="77777777" w:rsidR="006E6D2C" w:rsidRDefault="006E6D2C" w:rsidP="006E6D2C">
      <w:pPr>
        <w:pStyle w:val="ListGroup"/>
        <w:spacing w:before="160"/>
        <w:contextualSpacing w:val="0"/>
      </w:pPr>
      <w:r w:rsidRPr="00872875">
        <w:t>Laureano</w:t>
      </w:r>
      <w:r>
        <w:t xml:space="preserve"> </w:t>
      </w:r>
      <w:r w:rsidRPr="00872875">
        <w:t>Flores</w:t>
      </w:r>
    </w:p>
    <w:p w14:paraId="38D65711" w14:textId="77777777" w:rsidR="006E6D2C" w:rsidRDefault="006E6D2C" w:rsidP="006E6D2C">
      <w:pPr>
        <w:pStyle w:val="ListGroup"/>
        <w:contextualSpacing w:val="0"/>
      </w:pPr>
      <w:r w:rsidRPr="00872875">
        <w:t>Antelope Valley College</w:t>
      </w:r>
    </w:p>
    <w:p w14:paraId="11D6F4CE" w14:textId="1968DCDE" w:rsidR="006E6D2C" w:rsidRDefault="006E6D2C" w:rsidP="006E6D2C">
      <w:pPr>
        <w:pStyle w:val="ListGroup"/>
        <w:spacing w:before="160"/>
        <w:contextualSpacing w:val="0"/>
      </w:pPr>
      <w:r w:rsidRPr="00872875">
        <w:t>Erica P</w:t>
      </w:r>
      <w:r w:rsidR="001F23F8">
        <w:t>.</w:t>
      </w:r>
      <w:r>
        <w:t xml:space="preserve"> </w:t>
      </w:r>
      <w:r w:rsidRPr="00872875">
        <w:t>Garcia</w:t>
      </w:r>
    </w:p>
    <w:p w14:paraId="6BC2E804" w14:textId="77777777" w:rsidR="006E6D2C" w:rsidRDefault="006E6D2C" w:rsidP="006E6D2C">
      <w:pPr>
        <w:pStyle w:val="ListGroup"/>
        <w:contextualSpacing w:val="0"/>
      </w:pPr>
      <w:r w:rsidRPr="00872875">
        <w:t>San Diego Mesa College</w:t>
      </w:r>
    </w:p>
    <w:p w14:paraId="328AE0D6" w14:textId="77777777" w:rsidR="006E6D2C" w:rsidRDefault="006E6D2C" w:rsidP="006E6D2C">
      <w:pPr>
        <w:pStyle w:val="ListGroup"/>
        <w:spacing w:before="160"/>
        <w:contextualSpacing w:val="0"/>
      </w:pPr>
      <w:r w:rsidRPr="00872875">
        <w:t>Cynthia J.</w:t>
      </w:r>
      <w:r>
        <w:t xml:space="preserve"> </w:t>
      </w:r>
      <w:r w:rsidRPr="00872875">
        <w:t>George</w:t>
      </w:r>
    </w:p>
    <w:p w14:paraId="14E04FC8" w14:textId="77777777" w:rsidR="006E6D2C" w:rsidRDefault="006E6D2C" w:rsidP="006E6D2C">
      <w:pPr>
        <w:pStyle w:val="ListGroup"/>
        <w:contextualSpacing w:val="0"/>
      </w:pPr>
      <w:r w:rsidRPr="00872875">
        <w:t>Pasadena City College</w:t>
      </w:r>
    </w:p>
    <w:p w14:paraId="7C615D8E" w14:textId="77777777" w:rsidR="006E6D2C" w:rsidRDefault="006E6D2C" w:rsidP="006E6D2C">
      <w:pPr>
        <w:pStyle w:val="ListGroup"/>
        <w:spacing w:before="160"/>
        <w:contextualSpacing w:val="0"/>
      </w:pPr>
      <w:r w:rsidRPr="00872875">
        <w:t>Harriet</w:t>
      </w:r>
      <w:r>
        <w:t xml:space="preserve"> </w:t>
      </w:r>
      <w:r w:rsidRPr="00872875">
        <w:t>Happel</w:t>
      </w:r>
    </w:p>
    <w:p w14:paraId="3E4F0FBD" w14:textId="77777777" w:rsidR="006E6D2C" w:rsidRDefault="006E6D2C" w:rsidP="006E6D2C">
      <w:pPr>
        <w:pStyle w:val="ListGroup"/>
        <w:contextualSpacing w:val="0"/>
      </w:pPr>
      <w:r w:rsidRPr="00872875">
        <w:t>College of the Canyons</w:t>
      </w:r>
    </w:p>
    <w:p w14:paraId="7A1BA8F0" w14:textId="77777777" w:rsidR="006E6D2C" w:rsidRDefault="006E6D2C" w:rsidP="006E6D2C">
      <w:pPr>
        <w:pStyle w:val="ListGroup"/>
        <w:spacing w:before="160"/>
        <w:contextualSpacing w:val="0"/>
      </w:pPr>
      <w:r w:rsidRPr="00872875">
        <w:t>Kathy</w:t>
      </w:r>
      <w:r>
        <w:t xml:space="preserve"> </w:t>
      </w:r>
      <w:r w:rsidRPr="00872875">
        <w:t>Hogue</w:t>
      </w:r>
    </w:p>
    <w:p w14:paraId="122CF2E1" w14:textId="77777777" w:rsidR="006E6D2C" w:rsidRDefault="006E6D2C" w:rsidP="006E6D2C">
      <w:pPr>
        <w:pStyle w:val="ListGroup"/>
        <w:contextualSpacing w:val="0"/>
      </w:pPr>
      <w:r w:rsidRPr="00872875">
        <w:t>Cerritos College</w:t>
      </w:r>
    </w:p>
    <w:p w14:paraId="616E6698" w14:textId="77777777" w:rsidR="006E6D2C" w:rsidRDefault="006E6D2C" w:rsidP="006E6D2C">
      <w:pPr>
        <w:pStyle w:val="ListGroup"/>
        <w:spacing w:before="160"/>
        <w:contextualSpacing w:val="0"/>
      </w:pPr>
      <w:r w:rsidRPr="00872875">
        <w:t>Darlene</w:t>
      </w:r>
      <w:r>
        <w:t xml:space="preserve"> </w:t>
      </w:r>
      <w:r w:rsidRPr="00872875">
        <w:t>Jackson</w:t>
      </w:r>
    </w:p>
    <w:p w14:paraId="6362D2A6" w14:textId="77777777" w:rsidR="006E6D2C" w:rsidRDefault="006E6D2C" w:rsidP="006E6D2C">
      <w:pPr>
        <w:pStyle w:val="ListGroup"/>
        <w:contextualSpacing w:val="0"/>
      </w:pPr>
      <w:r w:rsidRPr="00872875">
        <w:t>Sierra College</w:t>
      </w:r>
    </w:p>
    <w:p w14:paraId="613806B1" w14:textId="77777777" w:rsidR="006E6D2C" w:rsidRDefault="006E6D2C" w:rsidP="006E6D2C">
      <w:pPr>
        <w:pStyle w:val="ListGroup"/>
        <w:spacing w:before="160"/>
        <w:contextualSpacing w:val="0"/>
      </w:pPr>
      <w:r w:rsidRPr="00872875">
        <w:t>Jeannie</w:t>
      </w:r>
      <w:r>
        <w:t xml:space="preserve"> </w:t>
      </w:r>
      <w:r w:rsidRPr="00872875">
        <w:t>Kim</w:t>
      </w:r>
    </w:p>
    <w:p w14:paraId="3D658CB7" w14:textId="77777777" w:rsidR="006E6D2C" w:rsidRDefault="006E6D2C" w:rsidP="006E6D2C">
      <w:pPr>
        <w:pStyle w:val="ListGroup"/>
        <w:spacing w:after="480"/>
        <w:contextualSpacing w:val="0"/>
      </w:pPr>
      <w:r w:rsidRPr="00872875">
        <w:t>Riverside Community College District</w:t>
      </w:r>
    </w:p>
    <w:p w14:paraId="7BD42F34" w14:textId="77777777" w:rsidR="006E6D2C" w:rsidRDefault="006E6D2C" w:rsidP="006E6D2C">
      <w:pPr>
        <w:pStyle w:val="ListGroup"/>
        <w:contextualSpacing w:val="0"/>
      </w:pPr>
      <w:r w:rsidRPr="00872875">
        <w:t>Jennifer</w:t>
      </w:r>
      <w:r>
        <w:t xml:space="preserve"> </w:t>
      </w:r>
      <w:r w:rsidRPr="00872875">
        <w:t>Lewis</w:t>
      </w:r>
    </w:p>
    <w:p w14:paraId="1623DF38" w14:textId="77777777" w:rsidR="006E6D2C" w:rsidRDefault="006E6D2C" w:rsidP="006E6D2C">
      <w:pPr>
        <w:pStyle w:val="ListGroup"/>
        <w:contextualSpacing w:val="0"/>
      </w:pPr>
      <w:r w:rsidRPr="00872875">
        <w:t>Southwestern College</w:t>
      </w:r>
    </w:p>
    <w:p w14:paraId="79372E99" w14:textId="77777777" w:rsidR="006E6D2C" w:rsidRDefault="006E6D2C" w:rsidP="006E6D2C">
      <w:pPr>
        <w:pStyle w:val="ListGroup"/>
        <w:spacing w:before="160"/>
        <w:contextualSpacing w:val="0"/>
      </w:pPr>
      <w:r w:rsidRPr="00872875">
        <w:t>Mira</w:t>
      </w:r>
      <w:r>
        <w:t xml:space="preserve"> </w:t>
      </w:r>
      <w:r w:rsidRPr="00872875">
        <w:t>Manchik</w:t>
      </w:r>
    </w:p>
    <w:p w14:paraId="550399D1" w14:textId="77777777" w:rsidR="006E6D2C" w:rsidRDefault="006E6D2C" w:rsidP="006E6D2C">
      <w:pPr>
        <w:pStyle w:val="ListGroup"/>
        <w:contextualSpacing w:val="0"/>
      </w:pPr>
      <w:r w:rsidRPr="00872875">
        <w:t>Saddleback College</w:t>
      </w:r>
    </w:p>
    <w:p w14:paraId="0630D90C" w14:textId="77777777" w:rsidR="006E6D2C" w:rsidRDefault="006E6D2C" w:rsidP="006E6D2C">
      <w:pPr>
        <w:pStyle w:val="ListGroup"/>
        <w:spacing w:before="160"/>
        <w:contextualSpacing w:val="0"/>
      </w:pPr>
      <w:r w:rsidRPr="00872875">
        <w:t>Monica</w:t>
      </w:r>
      <w:r>
        <w:t xml:space="preserve"> </w:t>
      </w:r>
      <w:r w:rsidRPr="00872875">
        <w:t>Martin</w:t>
      </w:r>
    </w:p>
    <w:p w14:paraId="1B0346FA" w14:textId="3677BD4E" w:rsidR="006E6D2C" w:rsidRDefault="006E6D2C" w:rsidP="006E6D2C">
      <w:pPr>
        <w:pStyle w:val="ListGroup"/>
        <w:contextualSpacing w:val="0"/>
      </w:pPr>
      <w:r>
        <w:t>North Orange County Community College District</w:t>
      </w:r>
      <w:r w:rsidRPr="00872875">
        <w:t>, Fullerton College</w:t>
      </w:r>
    </w:p>
    <w:p w14:paraId="67C69F56" w14:textId="77777777" w:rsidR="006E6D2C" w:rsidRDefault="006E6D2C" w:rsidP="006E6D2C">
      <w:pPr>
        <w:pStyle w:val="ListGroup"/>
        <w:spacing w:before="160"/>
        <w:contextualSpacing w:val="0"/>
      </w:pPr>
      <w:r w:rsidRPr="00872875">
        <w:t>Pedro</w:t>
      </w:r>
      <w:r>
        <w:t xml:space="preserve"> </w:t>
      </w:r>
      <w:r w:rsidRPr="00872875">
        <w:t>Mendez</w:t>
      </w:r>
    </w:p>
    <w:p w14:paraId="49DBA120" w14:textId="77777777" w:rsidR="006E6D2C" w:rsidRDefault="006E6D2C" w:rsidP="006E6D2C">
      <w:pPr>
        <w:pStyle w:val="ListGroup"/>
        <w:contextualSpacing w:val="0"/>
      </w:pPr>
      <w:r w:rsidRPr="00872875">
        <w:t>Modesto Junior College</w:t>
      </w:r>
    </w:p>
    <w:p w14:paraId="09C11E46" w14:textId="77777777" w:rsidR="006E6D2C" w:rsidRDefault="006E6D2C" w:rsidP="006E6D2C">
      <w:pPr>
        <w:pStyle w:val="ListGroup"/>
        <w:spacing w:before="160"/>
        <w:contextualSpacing w:val="0"/>
      </w:pPr>
      <w:r w:rsidRPr="00872875">
        <w:t>Azucena</w:t>
      </w:r>
      <w:r>
        <w:t xml:space="preserve"> </w:t>
      </w:r>
      <w:r w:rsidRPr="00872875">
        <w:t>Murillo</w:t>
      </w:r>
    </w:p>
    <w:p w14:paraId="2F4BCB2E" w14:textId="77777777" w:rsidR="006E6D2C" w:rsidRDefault="006E6D2C" w:rsidP="006E6D2C">
      <w:pPr>
        <w:pStyle w:val="ListGroup"/>
        <w:contextualSpacing w:val="0"/>
      </w:pPr>
      <w:r w:rsidRPr="00872875">
        <w:t>San Diego Mesa College</w:t>
      </w:r>
    </w:p>
    <w:p w14:paraId="7F4C4D6D" w14:textId="77777777" w:rsidR="006E6D2C" w:rsidRDefault="006E6D2C" w:rsidP="006E6D2C">
      <w:pPr>
        <w:pStyle w:val="ListGroup"/>
        <w:spacing w:before="160"/>
        <w:contextualSpacing w:val="0"/>
      </w:pPr>
      <w:r w:rsidRPr="00872875">
        <w:t>Anthony</w:t>
      </w:r>
      <w:r>
        <w:t xml:space="preserve"> </w:t>
      </w:r>
      <w:r w:rsidRPr="00872875">
        <w:t>Pagan</w:t>
      </w:r>
    </w:p>
    <w:p w14:paraId="2D435492" w14:textId="77777777" w:rsidR="006E6D2C" w:rsidRDefault="006E6D2C" w:rsidP="006E6D2C">
      <w:pPr>
        <w:pStyle w:val="ListGroup"/>
        <w:contextualSpacing w:val="0"/>
      </w:pPr>
      <w:r w:rsidRPr="00872875">
        <w:t>Long Beach City College</w:t>
      </w:r>
    </w:p>
    <w:p w14:paraId="0B103631" w14:textId="77777777" w:rsidR="006E6D2C" w:rsidRDefault="006E6D2C" w:rsidP="006E6D2C">
      <w:pPr>
        <w:pStyle w:val="ListGroup"/>
        <w:spacing w:before="160"/>
        <w:contextualSpacing w:val="0"/>
      </w:pPr>
      <w:r w:rsidRPr="00872875">
        <w:t>Amertah</w:t>
      </w:r>
      <w:r>
        <w:t xml:space="preserve"> </w:t>
      </w:r>
      <w:r w:rsidRPr="00872875">
        <w:t>Perman</w:t>
      </w:r>
    </w:p>
    <w:p w14:paraId="07FB9E6A" w14:textId="77777777" w:rsidR="006E6D2C" w:rsidRDefault="006E6D2C" w:rsidP="006E6D2C">
      <w:pPr>
        <w:pStyle w:val="ListGroup"/>
        <w:contextualSpacing w:val="0"/>
      </w:pPr>
      <w:r w:rsidRPr="00872875">
        <w:t>San Diego Community College District</w:t>
      </w:r>
    </w:p>
    <w:p w14:paraId="5AF90D37" w14:textId="77777777" w:rsidR="006E6D2C" w:rsidRDefault="006E6D2C" w:rsidP="006E6D2C">
      <w:pPr>
        <w:pStyle w:val="ListGroup"/>
        <w:spacing w:before="160"/>
        <w:contextualSpacing w:val="0"/>
      </w:pPr>
      <w:r w:rsidRPr="00872875">
        <w:t>Sheryl</w:t>
      </w:r>
      <w:r>
        <w:t xml:space="preserve"> </w:t>
      </w:r>
      <w:r w:rsidRPr="00872875">
        <w:t>Plumley</w:t>
      </w:r>
    </w:p>
    <w:p w14:paraId="1F7CE67A" w14:textId="4E0E1084" w:rsidR="006E6D2C" w:rsidRDefault="006E6D2C" w:rsidP="006E6D2C">
      <w:pPr>
        <w:pStyle w:val="ListGroup"/>
        <w:contextualSpacing w:val="0"/>
      </w:pPr>
      <w:r w:rsidRPr="00872875">
        <w:t>Riverside C</w:t>
      </w:r>
      <w:r>
        <w:t>ommunity College District</w:t>
      </w:r>
    </w:p>
    <w:p w14:paraId="15A29497" w14:textId="77777777" w:rsidR="006E6D2C" w:rsidRDefault="006E6D2C" w:rsidP="006E6D2C">
      <w:pPr>
        <w:pStyle w:val="ListGroup"/>
        <w:spacing w:before="160"/>
        <w:contextualSpacing w:val="0"/>
      </w:pPr>
      <w:r w:rsidRPr="00872875">
        <w:t>Christina</w:t>
      </w:r>
      <w:r>
        <w:t xml:space="preserve"> </w:t>
      </w:r>
      <w:r w:rsidRPr="00872875">
        <w:t>Read</w:t>
      </w:r>
    </w:p>
    <w:p w14:paraId="192B1629" w14:textId="77777777" w:rsidR="006E6D2C" w:rsidRDefault="006E6D2C" w:rsidP="006E6D2C">
      <w:pPr>
        <w:pStyle w:val="ListGroup"/>
        <w:contextualSpacing w:val="0"/>
      </w:pPr>
      <w:r w:rsidRPr="00872875">
        <w:t>Chabot College</w:t>
      </w:r>
    </w:p>
    <w:p w14:paraId="24FDEA4E" w14:textId="77777777" w:rsidR="006E6D2C" w:rsidRDefault="006E6D2C" w:rsidP="006E6D2C">
      <w:pPr>
        <w:pStyle w:val="ListGroup"/>
        <w:spacing w:before="160"/>
        <w:contextualSpacing w:val="0"/>
      </w:pPr>
      <w:r w:rsidRPr="00872875">
        <w:t>Tina</w:t>
      </w:r>
      <w:r>
        <w:t xml:space="preserve"> </w:t>
      </w:r>
      <w:r w:rsidRPr="00872875">
        <w:t>Recalde</w:t>
      </w:r>
    </w:p>
    <w:p w14:paraId="3C1269C9" w14:textId="77777777" w:rsidR="006E6D2C" w:rsidRDefault="006E6D2C" w:rsidP="006E6D2C">
      <w:pPr>
        <w:pStyle w:val="ListGroup"/>
        <w:contextualSpacing w:val="0"/>
      </w:pPr>
      <w:r w:rsidRPr="00872875">
        <w:t>San Diego Mesa College</w:t>
      </w:r>
    </w:p>
    <w:p w14:paraId="29710762" w14:textId="77777777" w:rsidR="006E6D2C" w:rsidRDefault="006E6D2C" w:rsidP="006E6D2C">
      <w:pPr>
        <w:pStyle w:val="ListGroup"/>
        <w:spacing w:before="160"/>
        <w:contextualSpacing w:val="0"/>
      </w:pPr>
      <w:r w:rsidRPr="00872875">
        <w:t>Thad</w:t>
      </w:r>
      <w:r>
        <w:t xml:space="preserve"> </w:t>
      </w:r>
      <w:r w:rsidRPr="00872875">
        <w:t>Russell</w:t>
      </w:r>
    </w:p>
    <w:p w14:paraId="7034F964" w14:textId="77777777" w:rsidR="006E6D2C" w:rsidRDefault="006E6D2C" w:rsidP="006E6D2C">
      <w:pPr>
        <w:pStyle w:val="ListGroup"/>
        <w:contextualSpacing w:val="0"/>
      </w:pPr>
      <w:r w:rsidRPr="00872875">
        <w:t>College of the Sequoias</w:t>
      </w:r>
    </w:p>
    <w:p w14:paraId="3B505369" w14:textId="77777777" w:rsidR="006E6D2C" w:rsidRDefault="006E6D2C" w:rsidP="006E6D2C">
      <w:pPr>
        <w:pStyle w:val="ListGroup"/>
        <w:spacing w:before="160"/>
        <w:contextualSpacing w:val="0"/>
      </w:pPr>
      <w:r w:rsidRPr="00872875">
        <w:t>Tara</w:t>
      </w:r>
      <w:r>
        <w:t xml:space="preserve"> </w:t>
      </w:r>
      <w:r w:rsidRPr="00872875">
        <w:t>Sanders</w:t>
      </w:r>
    </w:p>
    <w:p w14:paraId="139CB425" w14:textId="52BB4F9F" w:rsidR="006E6D2C" w:rsidRDefault="006E6D2C" w:rsidP="006E6D2C">
      <w:pPr>
        <w:pStyle w:val="ListGroup"/>
        <w:contextualSpacing w:val="0"/>
      </w:pPr>
      <w:r w:rsidRPr="00872875">
        <w:t xml:space="preserve">Contra Costa </w:t>
      </w:r>
      <w:r>
        <w:t>C</w:t>
      </w:r>
      <w:r w:rsidRPr="00872875">
        <w:t xml:space="preserve">ommunity </w:t>
      </w:r>
      <w:r>
        <w:t>C</w:t>
      </w:r>
      <w:r w:rsidRPr="00872875">
        <w:t>ollege District</w:t>
      </w:r>
    </w:p>
    <w:p w14:paraId="7DB7B07A" w14:textId="77777777" w:rsidR="006E6D2C" w:rsidRDefault="006E6D2C" w:rsidP="006E6D2C">
      <w:pPr>
        <w:pStyle w:val="ListGroup"/>
        <w:spacing w:before="160"/>
        <w:contextualSpacing w:val="0"/>
      </w:pPr>
      <w:r w:rsidRPr="00872875">
        <w:t>Veronica</w:t>
      </w:r>
      <w:r>
        <w:t xml:space="preserve"> </w:t>
      </w:r>
      <w:r w:rsidRPr="00872875">
        <w:t>Smith</w:t>
      </w:r>
    </w:p>
    <w:p w14:paraId="0AFA2BA3" w14:textId="77777777" w:rsidR="006E6D2C" w:rsidRDefault="006E6D2C" w:rsidP="006E6D2C">
      <w:pPr>
        <w:pStyle w:val="ListGroup"/>
        <w:contextualSpacing w:val="0"/>
      </w:pPr>
      <w:r w:rsidRPr="00872875">
        <w:t>Crafton Hills College</w:t>
      </w:r>
    </w:p>
    <w:p w14:paraId="3A68D4AC" w14:textId="77777777" w:rsidR="006E6D2C" w:rsidRDefault="006E6D2C" w:rsidP="006E6D2C">
      <w:pPr>
        <w:pStyle w:val="ListGroup"/>
        <w:spacing w:before="160"/>
        <w:contextualSpacing w:val="0"/>
      </w:pPr>
      <w:r w:rsidRPr="00872875">
        <w:t>Randal</w:t>
      </w:r>
      <w:r>
        <w:t xml:space="preserve"> </w:t>
      </w:r>
      <w:r w:rsidRPr="00872875">
        <w:t>Tillery</w:t>
      </w:r>
    </w:p>
    <w:p w14:paraId="3655FAD5" w14:textId="77777777" w:rsidR="006E6D2C" w:rsidRDefault="006E6D2C" w:rsidP="006E6D2C">
      <w:pPr>
        <w:pStyle w:val="ListGroup"/>
        <w:contextualSpacing w:val="0"/>
        <w:rPr>
          <w:noProof/>
        </w:rPr>
        <w:sectPr w:rsidR="006E6D2C" w:rsidSect="006E6D2C">
          <w:type w:val="continuous"/>
          <w:pgSz w:w="12240" w:h="15840"/>
          <w:pgMar w:top="1440" w:right="1440" w:bottom="1080" w:left="1440" w:header="547" w:footer="547" w:gutter="0"/>
          <w:cols w:num="2" w:space="720"/>
          <w:docGrid w:linePitch="360"/>
        </w:sectPr>
      </w:pPr>
      <w:r w:rsidRPr="00872875">
        <w:t>WestEd</w:t>
      </w:r>
    </w:p>
    <w:p w14:paraId="3AF46548" w14:textId="72A3F915" w:rsidR="00547EF8" w:rsidRDefault="00547EF8" w:rsidP="00547EF8">
      <w:pPr>
        <w:pStyle w:val="Heading3"/>
        <w:spacing w:line="240" w:lineRule="auto"/>
      </w:pPr>
      <w:bookmarkStart w:id="121" w:name="_Toc33620416"/>
      <w:r>
        <w:lastRenderedPageBreak/>
        <w:t>K–12 Teacher Feedback Session Attendees</w:t>
      </w:r>
      <w:bookmarkEnd w:id="121"/>
    </w:p>
    <w:p w14:paraId="67D88A73" w14:textId="4CDE51B3" w:rsidR="006E6D2C" w:rsidRDefault="006E6D2C" w:rsidP="006E6D2C">
      <w:pPr>
        <w:pStyle w:val="Heading3"/>
        <w:spacing w:line="240" w:lineRule="auto"/>
        <w:sectPr w:rsidR="006E6D2C" w:rsidSect="006E6D2C">
          <w:type w:val="continuous"/>
          <w:pgSz w:w="12240" w:h="15840"/>
          <w:pgMar w:top="1440" w:right="1440" w:bottom="1080" w:left="1440" w:header="547" w:footer="547" w:gutter="0"/>
          <w:cols w:space="720"/>
          <w:docGrid w:linePitch="360"/>
        </w:sectPr>
      </w:pPr>
    </w:p>
    <w:p w14:paraId="4D6C75DC" w14:textId="77777777" w:rsidR="00547EF8" w:rsidRDefault="00547EF8" w:rsidP="00547EF8">
      <w:pPr>
        <w:pStyle w:val="ListGroup"/>
        <w:spacing w:before="160"/>
        <w:contextualSpacing w:val="0"/>
      </w:pPr>
      <w:r w:rsidRPr="00872875">
        <w:t>Jared</w:t>
      </w:r>
      <w:r>
        <w:t xml:space="preserve"> </w:t>
      </w:r>
      <w:r w:rsidRPr="00872875">
        <w:t>Amalong</w:t>
      </w:r>
    </w:p>
    <w:p w14:paraId="54F26677" w14:textId="227C889A" w:rsidR="00547EF8" w:rsidRDefault="00547EF8" w:rsidP="00547EF8">
      <w:pPr>
        <w:pStyle w:val="ListGroup"/>
        <w:contextualSpacing w:val="0"/>
      </w:pPr>
      <w:r>
        <w:rPr>
          <w:noProof/>
        </w:rPr>
        <w:t>Sacramento County Office of Education</w:t>
      </w:r>
    </w:p>
    <w:p w14:paraId="6ED9CFA4" w14:textId="77777777" w:rsidR="00E403AB" w:rsidRDefault="00E403AB" w:rsidP="00547EF8">
      <w:pPr>
        <w:pStyle w:val="ListGroup"/>
        <w:spacing w:before="160"/>
        <w:contextualSpacing w:val="0"/>
      </w:pPr>
      <w:r w:rsidRPr="00E403AB">
        <w:t>Liz Aschenbrenner</w:t>
      </w:r>
    </w:p>
    <w:p w14:paraId="50C217B3" w14:textId="4836BF15" w:rsidR="00E403AB" w:rsidRDefault="00E403AB" w:rsidP="00E403AB">
      <w:pPr>
        <w:pStyle w:val="ListGroup"/>
        <w:contextualSpacing w:val="0"/>
      </w:pPr>
      <w:r w:rsidRPr="00E403AB">
        <w:t>Manteca Unified School District</w:t>
      </w:r>
    </w:p>
    <w:p w14:paraId="35241244" w14:textId="34FFB4A6" w:rsidR="00E403AB" w:rsidRDefault="00E403AB" w:rsidP="00547EF8">
      <w:pPr>
        <w:pStyle w:val="ListGroup"/>
        <w:spacing w:before="160"/>
        <w:contextualSpacing w:val="0"/>
      </w:pPr>
      <w:r w:rsidRPr="00E403AB">
        <w:t>Leah Bratcher</w:t>
      </w:r>
    </w:p>
    <w:p w14:paraId="2542598F" w14:textId="3BFB5AB2" w:rsidR="00E403AB" w:rsidRDefault="00E403AB" w:rsidP="00E403AB">
      <w:pPr>
        <w:pStyle w:val="ListGroup"/>
        <w:contextualSpacing w:val="0"/>
      </w:pPr>
      <w:r w:rsidRPr="00E403AB">
        <w:t>Huntington Beach Union High School District</w:t>
      </w:r>
    </w:p>
    <w:p w14:paraId="0DB096BD" w14:textId="43DD8BA0" w:rsidR="00547EF8" w:rsidRDefault="00547EF8" w:rsidP="00547EF8">
      <w:pPr>
        <w:pStyle w:val="ListGroup"/>
        <w:spacing w:before="160"/>
        <w:contextualSpacing w:val="0"/>
      </w:pPr>
      <w:r w:rsidRPr="00872875">
        <w:t>William</w:t>
      </w:r>
      <w:r>
        <w:t xml:space="preserve"> </w:t>
      </w:r>
      <w:r w:rsidRPr="00872875">
        <w:t>Brown</w:t>
      </w:r>
    </w:p>
    <w:p w14:paraId="4A9396F1" w14:textId="707FD1E4" w:rsidR="00547EF8" w:rsidRDefault="00547EF8" w:rsidP="00547EF8">
      <w:pPr>
        <w:pStyle w:val="ListGroup"/>
        <w:contextualSpacing w:val="0"/>
      </w:pPr>
      <w:r>
        <w:rPr>
          <w:noProof/>
        </w:rPr>
        <w:t>Corona-Norco Unified School District</w:t>
      </w:r>
    </w:p>
    <w:p w14:paraId="26270D9B" w14:textId="77777777" w:rsidR="00E403AB" w:rsidRDefault="00E403AB" w:rsidP="00547EF8">
      <w:pPr>
        <w:pStyle w:val="ListGroup"/>
        <w:spacing w:before="160"/>
        <w:contextualSpacing w:val="0"/>
      </w:pPr>
      <w:r w:rsidRPr="00E403AB">
        <w:t>Prsicilla Burns</w:t>
      </w:r>
    </w:p>
    <w:p w14:paraId="4D3A2A0E" w14:textId="4AB0836A" w:rsidR="00E403AB" w:rsidRDefault="00E403AB" w:rsidP="00E403AB">
      <w:pPr>
        <w:pStyle w:val="ListGroup"/>
        <w:contextualSpacing w:val="0"/>
      </w:pPr>
      <w:r w:rsidRPr="00E403AB">
        <w:t>Chico Unified School District</w:t>
      </w:r>
    </w:p>
    <w:p w14:paraId="1B1283EE" w14:textId="4341C548" w:rsidR="00547EF8" w:rsidRDefault="00547EF8" w:rsidP="00547EF8">
      <w:pPr>
        <w:pStyle w:val="ListGroup"/>
        <w:spacing w:before="160"/>
        <w:contextualSpacing w:val="0"/>
      </w:pPr>
      <w:r w:rsidRPr="00872875">
        <w:t>Shad</w:t>
      </w:r>
      <w:r>
        <w:t xml:space="preserve"> </w:t>
      </w:r>
      <w:r w:rsidRPr="00872875">
        <w:t>Canestrino</w:t>
      </w:r>
    </w:p>
    <w:p w14:paraId="305BF5E9" w14:textId="455CD1ED" w:rsidR="00547EF8" w:rsidRDefault="00547EF8" w:rsidP="00547EF8">
      <w:pPr>
        <w:pStyle w:val="ListGroup"/>
        <w:contextualSpacing w:val="0"/>
      </w:pPr>
      <w:r>
        <w:rPr>
          <w:noProof/>
        </w:rPr>
        <w:t>City of Lodi</w:t>
      </w:r>
    </w:p>
    <w:p w14:paraId="2DC38396" w14:textId="77777777" w:rsidR="00E403AB" w:rsidRDefault="00E403AB" w:rsidP="00547EF8">
      <w:pPr>
        <w:pStyle w:val="ListGroup"/>
        <w:spacing w:before="160"/>
        <w:contextualSpacing w:val="0"/>
      </w:pPr>
      <w:r w:rsidRPr="00E403AB">
        <w:t>Carol Chaffee</w:t>
      </w:r>
    </w:p>
    <w:p w14:paraId="35BA4EEB" w14:textId="093967F3" w:rsidR="00E403AB" w:rsidRDefault="00E403AB" w:rsidP="00E403AB">
      <w:pPr>
        <w:pStyle w:val="ListGroup"/>
        <w:contextualSpacing w:val="0"/>
      </w:pPr>
      <w:r>
        <w:t>JSerra Catholic High School</w:t>
      </w:r>
    </w:p>
    <w:p w14:paraId="3805BC48" w14:textId="409BD800" w:rsidR="00E403AB" w:rsidRDefault="00E403AB" w:rsidP="00547EF8">
      <w:pPr>
        <w:pStyle w:val="ListGroup"/>
        <w:spacing w:before="160"/>
        <w:contextualSpacing w:val="0"/>
      </w:pPr>
      <w:r w:rsidRPr="00E403AB">
        <w:t>Teresa Coatlalopeuh</w:t>
      </w:r>
    </w:p>
    <w:p w14:paraId="622D5C65" w14:textId="3DB441A5" w:rsidR="00E403AB" w:rsidRDefault="00E403AB" w:rsidP="00E403AB">
      <w:pPr>
        <w:pStyle w:val="ListGroup"/>
        <w:contextualSpacing w:val="0"/>
      </w:pPr>
      <w:r w:rsidRPr="00E403AB">
        <w:t>Tehachapi Unified School District</w:t>
      </w:r>
    </w:p>
    <w:p w14:paraId="52F5CB2D" w14:textId="77777777" w:rsidR="00547EF8" w:rsidRDefault="00547EF8" w:rsidP="00547EF8">
      <w:pPr>
        <w:pStyle w:val="ListGroup"/>
        <w:spacing w:before="160"/>
        <w:contextualSpacing w:val="0"/>
      </w:pPr>
      <w:r w:rsidRPr="00872875">
        <w:t>Debbie</w:t>
      </w:r>
      <w:r>
        <w:t xml:space="preserve"> </w:t>
      </w:r>
      <w:r w:rsidRPr="00872875">
        <w:rPr>
          <w:noProof/>
        </w:rPr>
        <w:t>Curtin</w:t>
      </w:r>
    </w:p>
    <w:p w14:paraId="3A806DE4" w14:textId="132BE044" w:rsidR="00547EF8" w:rsidRDefault="00547EF8" w:rsidP="00547EF8">
      <w:pPr>
        <w:pStyle w:val="ListGroup"/>
        <w:contextualSpacing w:val="0"/>
      </w:pPr>
      <w:r>
        <w:rPr>
          <w:noProof/>
        </w:rPr>
        <w:t>Pasadena Unified School District</w:t>
      </w:r>
    </w:p>
    <w:p w14:paraId="623AA137" w14:textId="77777777" w:rsidR="006D3C81" w:rsidRDefault="006D3C81" w:rsidP="00547EF8">
      <w:pPr>
        <w:pStyle w:val="ListGroup"/>
        <w:spacing w:before="160"/>
        <w:contextualSpacing w:val="0"/>
      </w:pPr>
      <w:r w:rsidRPr="006D3C81">
        <w:t>David Dabaco</w:t>
      </w:r>
    </w:p>
    <w:p w14:paraId="1C24E274" w14:textId="4CB4DC57" w:rsidR="006D3C81" w:rsidRDefault="006D3C81" w:rsidP="006D3C81">
      <w:pPr>
        <w:pStyle w:val="ListGroup"/>
        <w:contextualSpacing w:val="0"/>
      </w:pPr>
      <w:r w:rsidRPr="006D3C81">
        <w:t>Lincoln Unified School District</w:t>
      </w:r>
    </w:p>
    <w:p w14:paraId="6C0496EC" w14:textId="7E479B7C" w:rsidR="00547EF8" w:rsidRDefault="00547EF8" w:rsidP="00547EF8">
      <w:pPr>
        <w:pStyle w:val="ListGroup"/>
        <w:spacing w:before="160"/>
        <w:contextualSpacing w:val="0"/>
      </w:pPr>
      <w:r w:rsidRPr="00872875">
        <w:t>Sandra</w:t>
      </w:r>
      <w:r>
        <w:t xml:space="preserve"> </w:t>
      </w:r>
      <w:r w:rsidRPr="00872875">
        <w:rPr>
          <w:noProof/>
        </w:rPr>
        <w:t>Dale</w:t>
      </w:r>
    </w:p>
    <w:p w14:paraId="071EC670" w14:textId="6CCC660F" w:rsidR="00547EF8" w:rsidRDefault="00547EF8" w:rsidP="00547EF8">
      <w:pPr>
        <w:pStyle w:val="ListGroup"/>
        <w:contextualSpacing w:val="0"/>
      </w:pPr>
      <w:r>
        <w:rPr>
          <w:noProof/>
        </w:rPr>
        <w:t>Fortuna Union High School District</w:t>
      </w:r>
    </w:p>
    <w:p w14:paraId="365BBFAC" w14:textId="77777777" w:rsidR="006D3C81" w:rsidRDefault="006D3C81" w:rsidP="00547EF8">
      <w:pPr>
        <w:pStyle w:val="ListGroup"/>
        <w:spacing w:before="160"/>
        <w:contextualSpacing w:val="0"/>
      </w:pPr>
      <w:r w:rsidRPr="006D3C81">
        <w:t>Mark Feuerbach</w:t>
      </w:r>
    </w:p>
    <w:p w14:paraId="1FF8ACCD" w14:textId="1E7508DC" w:rsidR="006D3C81" w:rsidRDefault="006D3C81" w:rsidP="006D3C81">
      <w:pPr>
        <w:pStyle w:val="ListGroup"/>
        <w:contextualSpacing w:val="0"/>
      </w:pPr>
      <w:r w:rsidRPr="006D3C81">
        <w:t>Galt Joint Union High School District</w:t>
      </w:r>
    </w:p>
    <w:p w14:paraId="42AF5CFA" w14:textId="78D50A4A" w:rsidR="00547EF8" w:rsidRDefault="00547EF8" w:rsidP="00547EF8">
      <w:pPr>
        <w:pStyle w:val="ListGroup"/>
        <w:spacing w:before="160"/>
        <w:contextualSpacing w:val="0"/>
      </w:pPr>
      <w:r w:rsidRPr="00872875">
        <w:t>Allysa</w:t>
      </w:r>
      <w:r>
        <w:t xml:space="preserve"> </w:t>
      </w:r>
      <w:r w:rsidRPr="00872875">
        <w:rPr>
          <w:noProof/>
        </w:rPr>
        <w:t>Fite</w:t>
      </w:r>
    </w:p>
    <w:p w14:paraId="5C8EB5B1" w14:textId="40D639CC" w:rsidR="00547EF8" w:rsidRDefault="00551347" w:rsidP="00547EF8">
      <w:pPr>
        <w:pStyle w:val="ListGroup"/>
        <w:contextualSpacing w:val="0"/>
      </w:pPr>
      <w:r>
        <w:rPr>
          <w:noProof/>
        </w:rPr>
        <w:t>Central Unified School District</w:t>
      </w:r>
    </w:p>
    <w:p w14:paraId="6CA4988C" w14:textId="77777777" w:rsidR="00E403AB" w:rsidRDefault="00E403AB" w:rsidP="00547EF8">
      <w:pPr>
        <w:pStyle w:val="ListGroup"/>
        <w:spacing w:before="160"/>
        <w:contextualSpacing w:val="0"/>
      </w:pPr>
      <w:r w:rsidRPr="00E403AB">
        <w:t>Rosa Frazier</w:t>
      </w:r>
    </w:p>
    <w:p w14:paraId="37C42519" w14:textId="3CC21BA7" w:rsidR="00E403AB" w:rsidRDefault="00E403AB" w:rsidP="00F9769F">
      <w:pPr>
        <w:pStyle w:val="ListGroup"/>
        <w:spacing w:after="840"/>
        <w:contextualSpacing w:val="0"/>
      </w:pPr>
      <w:r w:rsidRPr="00E403AB">
        <w:t>Fontana Unified School District</w:t>
      </w:r>
    </w:p>
    <w:p w14:paraId="4AA0E72B" w14:textId="017D1CBD" w:rsidR="00E403AB" w:rsidRDefault="00E403AB" w:rsidP="00547EF8">
      <w:pPr>
        <w:pStyle w:val="ListGroup"/>
        <w:spacing w:before="160"/>
        <w:contextualSpacing w:val="0"/>
      </w:pPr>
      <w:r w:rsidRPr="00E403AB">
        <w:t>Angela Hefter</w:t>
      </w:r>
    </w:p>
    <w:p w14:paraId="34AECE74" w14:textId="4AA2880A" w:rsidR="00E403AB" w:rsidRDefault="00E403AB" w:rsidP="00E403AB">
      <w:pPr>
        <w:pStyle w:val="ListGroup"/>
        <w:contextualSpacing w:val="0"/>
      </w:pPr>
      <w:r w:rsidRPr="00E403AB">
        <w:t>Antelope Valley Union High School District</w:t>
      </w:r>
    </w:p>
    <w:p w14:paraId="69DD1D17" w14:textId="77777777" w:rsidR="00547EF8" w:rsidRDefault="00547EF8" w:rsidP="00547EF8">
      <w:pPr>
        <w:pStyle w:val="ListGroup"/>
        <w:spacing w:before="160"/>
        <w:contextualSpacing w:val="0"/>
        <w:rPr>
          <w:noProof/>
        </w:rPr>
      </w:pPr>
      <w:r w:rsidRPr="00872875">
        <w:t>Melissa</w:t>
      </w:r>
      <w:r>
        <w:t xml:space="preserve"> </w:t>
      </w:r>
      <w:r w:rsidRPr="00872875">
        <w:rPr>
          <w:noProof/>
        </w:rPr>
        <w:t>Jenkins</w:t>
      </w:r>
    </w:p>
    <w:p w14:paraId="0018BEDF" w14:textId="6496734E" w:rsidR="00551347" w:rsidRDefault="00551347" w:rsidP="00551347">
      <w:pPr>
        <w:pStyle w:val="ListGroup"/>
        <w:contextualSpacing w:val="0"/>
      </w:pPr>
      <w:r w:rsidRPr="00551347">
        <w:rPr>
          <w:noProof/>
        </w:rPr>
        <w:t>William</w:t>
      </w:r>
      <w:r w:rsidRPr="00551347">
        <w:t xml:space="preserve"> S. Hart Union High School District</w:t>
      </w:r>
    </w:p>
    <w:p w14:paraId="2B094D2A" w14:textId="77777777" w:rsidR="006D3C81" w:rsidRDefault="006D3C81" w:rsidP="00547EF8">
      <w:pPr>
        <w:pStyle w:val="ListGroup"/>
        <w:spacing w:before="160"/>
        <w:contextualSpacing w:val="0"/>
      </w:pPr>
      <w:r w:rsidRPr="006D3C81">
        <w:t>Eric Johnson</w:t>
      </w:r>
    </w:p>
    <w:p w14:paraId="5F4DFAED" w14:textId="2B47CE8F" w:rsidR="006D3C81" w:rsidRDefault="006D3C81" w:rsidP="006D3C81">
      <w:pPr>
        <w:pStyle w:val="ListGroup"/>
        <w:contextualSpacing w:val="0"/>
      </w:pPr>
      <w:r w:rsidRPr="006D3C81">
        <w:t>Elk Grove Unified School District</w:t>
      </w:r>
    </w:p>
    <w:p w14:paraId="4FD051BD" w14:textId="77777777" w:rsidR="006D3C81" w:rsidRDefault="006D3C81" w:rsidP="00547EF8">
      <w:pPr>
        <w:pStyle w:val="ListGroup"/>
        <w:spacing w:before="160"/>
        <w:contextualSpacing w:val="0"/>
      </w:pPr>
      <w:r w:rsidRPr="006D3C81">
        <w:t>Doreen Lucero</w:t>
      </w:r>
    </w:p>
    <w:p w14:paraId="7AC017C1" w14:textId="6C620ED2" w:rsidR="006D3C81" w:rsidRDefault="006D3C81" w:rsidP="006D3C81">
      <w:pPr>
        <w:pStyle w:val="ListGroup"/>
        <w:contextualSpacing w:val="0"/>
      </w:pPr>
      <w:r w:rsidRPr="006D3C81">
        <w:t>Rowland Unified School District</w:t>
      </w:r>
    </w:p>
    <w:p w14:paraId="5E199894" w14:textId="77777777" w:rsidR="006D3C81" w:rsidRDefault="006D3C81" w:rsidP="00547EF8">
      <w:pPr>
        <w:pStyle w:val="ListGroup"/>
        <w:spacing w:before="160"/>
        <w:contextualSpacing w:val="0"/>
      </w:pPr>
      <w:r w:rsidRPr="006D3C81">
        <w:t>Dawn Maceyka</w:t>
      </w:r>
    </w:p>
    <w:p w14:paraId="5D70BE5A" w14:textId="1441BE1E" w:rsidR="006D3C81" w:rsidRDefault="006D3C81" w:rsidP="006D3C81">
      <w:pPr>
        <w:pStyle w:val="ListGroup"/>
        <w:contextualSpacing w:val="0"/>
      </w:pPr>
      <w:r w:rsidRPr="006D3C81">
        <w:t>Temecula Valley Unified School District</w:t>
      </w:r>
    </w:p>
    <w:p w14:paraId="36C46B2A" w14:textId="16FF5BC8" w:rsidR="00547EF8" w:rsidRDefault="00547EF8" w:rsidP="00547EF8">
      <w:pPr>
        <w:pStyle w:val="ListGroup"/>
        <w:spacing w:before="160"/>
        <w:contextualSpacing w:val="0"/>
      </w:pPr>
      <w:r w:rsidRPr="00872875">
        <w:t>Matthew</w:t>
      </w:r>
      <w:r>
        <w:t xml:space="preserve"> </w:t>
      </w:r>
      <w:r w:rsidRPr="00872875">
        <w:rPr>
          <w:noProof/>
        </w:rPr>
        <w:t>Martin</w:t>
      </w:r>
    </w:p>
    <w:p w14:paraId="284FF676" w14:textId="51C457B2" w:rsidR="00547EF8" w:rsidRDefault="00551347" w:rsidP="00547EF8">
      <w:pPr>
        <w:pStyle w:val="ListGroup"/>
        <w:contextualSpacing w:val="0"/>
      </w:pPr>
      <w:r>
        <w:rPr>
          <w:noProof/>
        </w:rPr>
        <w:t>Fairfield-Suisun Unified School District</w:t>
      </w:r>
    </w:p>
    <w:p w14:paraId="6903F504" w14:textId="77777777" w:rsidR="006D3C81" w:rsidRDefault="006D3C81" w:rsidP="00547EF8">
      <w:pPr>
        <w:pStyle w:val="ListGroup"/>
        <w:spacing w:before="160"/>
        <w:contextualSpacing w:val="0"/>
      </w:pPr>
      <w:r w:rsidRPr="006D3C81">
        <w:t>Cathy Mason</w:t>
      </w:r>
    </w:p>
    <w:p w14:paraId="666C14AB" w14:textId="77777777" w:rsidR="006D3C81" w:rsidRDefault="006D3C81" w:rsidP="006D3C81">
      <w:pPr>
        <w:pStyle w:val="ListGroup"/>
        <w:contextualSpacing w:val="0"/>
      </w:pPr>
      <w:r w:rsidRPr="006D3C81">
        <w:t>South Pasadena Unified School District</w:t>
      </w:r>
    </w:p>
    <w:p w14:paraId="1EAEDC4B" w14:textId="5B61C813" w:rsidR="00547EF8" w:rsidRDefault="00547EF8" w:rsidP="00547EF8">
      <w:pPr>
        <w:pStyle w:val="ListGroup"/>
        <w:spacing w:before="160"/>
        <w:contextualSpacing w:val="0"/>
      </w:pPr>
      <w:r w:rsidRPr="00872875">
        <w:t>Sandra</w:t>
      </w:r>
      <w:r>
        <w:t xml:space="preserve"> </w:t>
      </w:r>
      <w:r w:rsidRPr="00872875">
        <w:rPr>
          <w:noProof/>
        </w:rPr>
        <w:t>Matson-Fennell</w:t>
      </w:r>
    </w:p>
    <w:p w14:paraId="3545F167" w14:textId="0A2A6D42" w:rsidR="00547EF8" w:rsidRDefault="00551347" w:rsidP="00547EF8">
      <w:pPr>
        <w:pStyle w:val="ListGroup"/>
        <w:contextualSpacing w:val="0"/>
      </w:pPr>
      <w:r>
        <w:rPr>
          <w:noProof/>
        </w:rPr>
        <w:t>South Pasadena Unified School District</w:t>
      </w:r>
    </w:p>
    <w:p w14:paraId="574AD32F" w14:textId="77777777" w:rsidR="00547EF8" w:rsidRDefault="00547EF8" w:rsidP="00547EF8">
      <w:pPr>
        <w:pStyle w:val="ListGroup"/>
        <w:spacing w:before="160"/>
        <w:contextualSpacing w:val="0"/>
      </w:pPr>
      <w:r w:rsidRPr="00872875">
        <w:t>Marcus</w:t>
      </w:r>
      <w:r>
        <w:t xml:space="preserve"> </w:t>
      </w:r>
      <w:r w:rsidRPr="00872875">
        <w:rPr>
          <w:noProof/>
        </w:rPr>
        <w:t>Metcalf</w:t>
      </w:r>
    </w:p>
    <w:p w14:paraId="0FBFF3E5" w14:textId="77777777" w:rsidR="00551347" w:rsidRDefault="00551347" w:rsidP="00551347">
      <w:pPr>
        <w:pStyle w:val="ListGroup"/>
        <w:contextualSpacing w:val="0"/>
        <w:rPr>
          <w:noProof/>
        </w:rPr>
      </w:pPr>
      <w:r w:rsidRPr="00547EF8">
        <w:rPr>
          <w:noProof/>
        </w:rPr>
        <w:t>Merced Union High School District</w:t>
      </w:r>
    </w:p>
    <w:p w14:paraId="7CCC0BCD" w14:textId="4EFCE1F2" w:rsidR="006D3C81" w:rsidRDefault="006D3C81" w:rsidP="006D3C81">
      <w:pPr>
        <w:pStyle w:val="ListGroup"/>
        <w:spacing w:before="160"/>
        <w:contextualSpacing w:val="0"/>
        <w:rPr>
          <w:noProof/>
        </w:rPr>
      </w:pPr>
      <w:r w:rsidRPr="006D3C81">
        <w:rPr>
          <w:noProof/>
        </w:rPr>
        <w:t>Dennis Mifflin</w:t>
      </w:r>
    </w:p>
    <w:p w14:paraId="5674EB03" w14:textId="02E02182" w:rsidR="006D3C81" w:rsidRDefault="006D3C81" w:rsidP="006D3C81">
      <w:pPr>
        <w:pStyle w:val="ListGroup"/>
        <w:contextualSpacing w:val="0"/>
        <w:rPr>
          <w:noProof/>
        </w:rPr>
      </w:pPr>
      <w:r w:rsidRPr="006D3C81">
        <w:rPr>
          <w:noProof/>
        </w:rPr>
        <w:t>William S. Hart Union High School District</w:t>
      </w:r>
    </w:p>
    <w:p w14:paraId="1BBC8B2E" w14:textId="77777777" w:rsidR="00547EF8" w:rsidRDefault="00547EF8" w:rsidP="00547EF8">
      <w:pPr>
        <w:pStyle w:val="ListGroup"/>
        <w:spacing w:before="160"/>
        <w:contextualSpacing w:val="0"/>
      </w:pPr>
      <w:r w:rsidRPr="00872875">
        <w:t>Myeasha</w:t>
      </w:r>
      <w:r>
        <w:t xml:space="preserve"> </w:t>
      </w:r>
      <w:r w:rsidRPr="00872875">
        <w:rPr>
          <w:noProof/>
        </w:rPr>
        <w:t>Pruitt</w:t>
      </w:r>
    </w:p>
    <w:p w14:paraId="2B342294" w14:textId="165CD597" w:rsidR="00547EF8" w:rsidRDefault="00551347" w:rsidP="00547EF8">
      <w:pPr>
        <w:pStyle w:val="ListGroup"/>
        <w:contextualSpacing w:val="0"/>
      </w:pPr>
      <w:r>
        <w:rPr>
          <w:noProof/>
        </w:rPr>
        <w:t>A</w:t>
      </w:r>
      <w:r w:rsidR="00547EF8" w:rsidRPr="00872875">
        <w:rPr>
          <w:noProof/>
        </w:rPr>
        <w:t>lvord</w:t>
      </w:r>
      <w:r>
        <w:rPr>
          <w:noProof/>
        </w:rPr>
        <w:t xml:space="preserve"> Unified School District</w:t>
      </w:r>
    </w:p>
    <w:p w14:paraId="591EC10C" w14:textId="77777777" w:rsidR="00E403AB" w:rsidRDefault="00E403AB" w:rsidP="00547EF8">
      <w:pPr>
        <w:pStyle w:val="ListGroup"/>
        <w:spacing w:before="160"/>
        <w:contextualSpacing w:val="0"/>
      </w:pPr>
      <w:r w:rsidRPr="00E403AB">
        <w:t>Chip Reeves</w:t>
      </w:r>
    </w:p>
    <w:p w14:paraId="484E7177" w14:textId="73DF90E3" w:rsidR="00E403AB" w:rsidRDefault="00E403AB" w:rsidP="00E403AB">
      <w:pPr>
        <w:pStyle w:val="ListGroup"/>
        <w:contextualSpacing w:val="0"/>
      </w:pPr>
      <w:r w:rsidRPr="00E403AB">
        <w:t>Vacaville Unified School District</w:t>
      </w:r>
    </w:p>
    <w:p w14:paraId="0A1F4A75" w14:textId="0BE0C0BB" w:rsidR="00547EF8" w:rsidRDefault="00547EF8" w:rsidP="00547EF8">
      <w:pPr>
        <w:pStyle w:val="ListGroup"/>
        <w:spacing w:before="160"/>
        <w:contextualSpacing w:val="0"/>
      </w:pPr>
      <w:r w:rsidRPr="00872875">
        <w:t>Beverly</w:t>
      </w:r>
      <w:r>
        <w:t xml:space="preserve"> </w:t>
      </w:r>
      <w:r w:rsidRPr="00872875">
        <w:rPr>
          <w:noProof/>
        </w:rPr>
        <w:t>Rodriguez</w:t>
      </w:r>
    </w:p>
    <w:p w14:paraId="1BBBC713" w14:textId="77777777" w:rsidR="00551347" w:rsidRDefault="00551347" w:rsidP="00551347">
      <w:pPr>
        <w:pStyle w:val="ListGroup"/>
        <w:contextualSpacing w:val="0"/>
      </w:pPr>
      <w:r>
        <w:rPr>
          <w:noProof/>
        </w:rPr>
        <w:t>Pasadena Unified School District</w:t>
      </w:r>
      <w:r w:rsidRPr="00872875">
        <w:t xml:space="preserve"> </w:t>
      </w:r>
    </w:p>
    <w:p w14:paraId="0D6AF39F" w14:textId="77777777" w:rsidR="00E403AB" w:rsidRDefault="00E403AB" w:rsidP="00547EF8">
      <w:pPr>
        <w:pStyle w:val="ListGroup"/>
        <w:spacing w:before="160"/>
        <w:contextualSpacing w:val="0"/>
      </w:pPr>
      <w:r w:rsidRPr="00E403AB">
        <w:t>Irene Silbert</w:t>
      </w:r>
    </w:p>
    <w:p w14:paraId="311E85B1" w14:textId="77777777" w:rsidR="00F9769F" w:rsidRDefault="00E403AB" w:rsidP="00E403AB">
      <w:pPr>
        <w:pStyle w:val="ListGroup"/>
        <w:contextualSpacing w:val="0"/>
        <w:sectPr w:rsidR="00F9769F" w:rsidSect="006D3C81">
          <w:type w:val="continuous"/>
          <w:pgSz w:w="12240" w:h="15840"/>
          <w:pgMar w:top="1440" w:right="1440" w:bottom="1080" w:left="1440" w:header="547" w:footer="547" w:gutter="0"/>
          <w:cols w:num="2" w:space="720"/>
          <w:docGrid w:linePitch="360"/>
        </w:sectPr>
      </w:pPr>
      <w:r>
        <w:t>Simi Valley Unified School District</w:t>
      </w:r>
    </w:p>
    <w:p w14:paraId="322ECE5C" w14:textId="5B10D3EE" w:rsidR="00547EF8" w:rsidRDefault="00547EF8" w:rsidP="00547EF8">
      <w:pPr>
        <w:pStyle w:val="ListGroup"/>
        <w:spacing w:before="160"/>
        <w:contextualSpacing w:val="0"/>
      </w:pPr>
      <w:r w:rsidRPr="00872875">
        <w:lastRenderedPageBreak/>
        <w:t>Petra</w:t>
      </w:r>
      <w:r>
        <w:t xml:space="preserve"> </w:t>
      </w:r>
      <w:r w:rsidRPr="00872875">
        <w:rPr>
          <w:noProof/>
        </w:rPr>
        <w:t>Solorzano</w:t>
      </w:r>
    </w:p>
    <w:p w14:paraId="48AF6CF9" w14:textId="79D4DC46" w:rsidR="00547EF8" w:rsidRDefault="00551347" w:rsidP="00547EF8">
      <w:pPr>
        <w:pStyle w:val="ListGroup"/>
        <w:contextualSpacing w:val="0"/>
      </w:pPr>
      <w:r>
        <w:rPr>
          <w:noProof/>
        </w:rPr>
        <w:t>Capistrano Unified School District</w:t>
      </w:r>
    </w:p>
    <w:p w14:paraId="2A8EE4A9" w14:textId="77777777" w:rsidR="00E403AB" w:rsidRDefault="00E403AB" w:rsidP="00547EF8">
      <w:pPr>
        <w:pStyle w:val="ListGroup"/>
        <w:spacing w:before="160"/>
        <w:contextualSpacing w:val="0"/>
      </w:pPr>
      <w:r w:rsidRPr="00E403AB">
        <w:t>Lisa Washmuth</w:t>
      </w:r>
    </w:p>
    <w:p w14:paraId="2635B756" w14:textId="6B482256" w:rsidR="00E403AB" w:rsidRDefault="00E403AB" w:rsidP="00E403AB">
      <w:pPr>
        <w:pStyle w:val="ListGroup"/>
        <w:contextualSpacing w:val="0"/>
      </w:pPr>
      <w:r w:rsidRPr="00E403AB">
        <w:t>San Luis Coastal Unified School District</w:t>
      </w:r>
    </w:p>
    <w:p w14:paraId="0CF46639" w14:textId="46E6FAF1" w:rsidR="00547EF8" w:rsidRDefault="00547EF8" w:rsidP="00547EF8">
      <w:pPr>
        <w:pStyle w:val="ListGroup"/>
        <w:spacing w:before="160"/>
        <w:contextualSpacing w:val="0"/>
        <w:rPr>
          <w:noProof/>
        </w:rPr>
      </w:pPr>
      <w:r w:rsidRPr="00872875">
        <w:t>Kathryn</w:t>
      </w:r>
      <w:r>
        <w:t xml:space="preserve"> </w:t>
      </w:r>
      <w:r w:rsidRPr="00872875">
        <w:rPr>
          <w:noProof/>
        </w:rPr>
        <w:t>Worley</w:t>
      </w:r>
    </w:p>
    <w:p w14:paraId="1FCAC2E1" w14:textId="3AE6E860" w:rsidR="00551347" w:rsidRDefault="00551347" w:rsidP="00551347">
      <w:pPr>
        <w:pStyle w:val="ListGroup"/>
        <w:contextualSpacing w:val="0"/>
      </w:pPr>
      <w:r w:rsidRPr="00551347">
        <w:rPr>
          <w:noProof/>
        </w:rPr>
        <w:t>Grossmont</w:t>
      </w:r>
      <w:r w:rsidRPr="00551347">
        <w:t xml:space="preserve"> Union High School District</w:t>
      </w:r>
    </w:p>
    <w:p w14:paraId="055E8394" w14:textId="77777777" w:rsidR="00D367EC" w:rsidRDefault="00D367EC" w:rsidP="00986325">
      <w:pPr>
        <w:pStyle w:val="Heading2"/>
        <w:sectPr w:rsidR="00D367EC" w:rsidSect="00F9769F">
          <w:type w:val="continuous"/>
          <w:pgSz w:w="12240" w:h="15840"/>
          <w:pgMar w:top="1440" w:right="1440" w:bottom="1080" w:left="1440" w:header="547" w:footer="547" w:gutter="0"/>
          <w:cols w:space="720"/>
          <w:docGrid w:linePitch="360"/>
        </w:sectPr>
      </w:pPr>
    </w:p>
    <w:p w14:paraId="7CA1D454" w14:textId="7797704D" w:rsidR="00B069CA" w:rsidRPr="002F2687" w:rsidRDefault="005A0EBA" w:rsidP="00986325">
      <w:pPr>
        <w:pStyle w:val="Heading2"/>
      </w:pPr>
      <w:bookmarkStart w:id="122" w:name="_Toc33620417"/>
      <w:r w:rsidRPr="002F2687">
        <w:lastRenderedPageBreak/>
        <w:t>A</w:t>
      </w:r>
      <w:r w:rsidR="00A32FBA" w:rsidRPr="002F2687">
        <w:t>ppendix</w:t>
      </w:r>
      <w:r w:rsidRPr="002F2687">
        <w:t xml:space="preserve"> B</w:t>
      </w:r>
      <w:r w:rsidR="00A32FBA" w:rsidRPr="002F2687">
        <w:t xml:space="preserve">: </w:t>
      </w:r>
      <w:bookmarkEnd w:id="120"/>
      <w:r w:rsidR="002F549F">
        <w:t>Opportunities for Public Input and Engagement</w:t>
      </w:r>
      <w:bookmarkEnd w:id="122"/>
    </w:p>
    <w:p w14:paraId="675B92EC" w14:textId="57888391" w:rsidR="00B069CA" w:rsidRPr="002F2687" w:rsidRDefault="002F549F" w:rsidP="00A32FBA">
      <w:r>
        <w:t xml:space="preserve">Dates of </w:t>
      </w:r>
      <w:r w:rsidR="00D02E63">
        <w:t>the California Workforce Pathways Joint Advisory Committee (</w:t>
      </w:r>
      <w:r>
        <w:t>CWPJAC</w:t>
      </w:r>
      <w:r w:rsidR="00D02E63">
        <w:t>)</w:t>
      </w:r>
      <w:r>
        <w:t xml:space="preserve"> </w:t>
      </w:r>
      <w:r w:rsidR="00B069CA" w:rsidRPr="002F2687">
        <w:t>2017 Meetings</w:t>
      </w:r>
    </w:p>
    <w:p w14:paraId="3F20640A" w14:textId="77777777" w:rsidR="00B069CA" w:rsidRPr="002F2687" w:rsidRDefault="00B069CA" w:rsidP="00842091">
      <w:pPr>
        <w:pStyle w:val="ListParagraph"/>
        <w:ind w:left="1170" w:hanging="450"/>
      </w:pPr>
      <w:r w:rsidRPr="002F2687">
        <w:t>March 10, 2017</w:t>
      </w:r>
    </w:p>
    <w:p w14:paraId="58AABA95" w14:textId="77777777" w:rsidR="00B069CA" w:rsidRPr="002F2687" w:rsidRDefault="00B069CA" w:rsidP="00842091">
      <w:pPr>
        <w:pStyle w:val="ListParagraph"/>
        <w:ind w:left="1170" w:hanging="450"/>
      </w:pPr>
      <w:r w:rsidRPr="002F2687">
        <w:t>May 12, 2017</w:t>
      </w:r>
    </w:p>
    <w:p w14:paraId="28C4D600" w14:textId="66EE0145" w:rsidR="00B069CA" w:rsidRPr="002F2687" w:rsidRDefault="00B069CA" w:rsidP="00842091">
      <w:pPr>
        <w:pStyle w:val="ListParagraph"/>
        <w:ind w:left="1170" w:hanging="450"/>
      </w:pPr>
      <w:r w:rsidRPr="002F2687">
        <w:t>July 14, 201</w:t>
      </w:r>
      <w:r w:rsidR="00954010">
        <w:t>7</w:t>
      </w:r>
    </w:p>
    <w:p w14:paraId="225278BF" w14:textId="77777777" w:rsidR="00B069CA" w:rsidRPr="002F2687" w:rsidRDefault="00B069CA" w:rsidP="00842091">
      <w:pPr>
        <w:pStyle w:val="ListParagraph"/>
        <w:ind w:left="1170" w:hanging="450"/>
      </w:pPr>
      <w:r w:rsidRPr="002F2687">
        <w:t>September 15, 2017</w:t>
      </w:r>
    </w:p>
    <w:p w14:paraId="50EEFA72" w14:textId="77777777" w:rsidR="00B069CA" w:rsidRPr="002F2687" w:rsidRDefault="00B069CA" w:rsidP="00842091">
      <w:pPr>
        <w:pStyle w:val="ListParagraph"/>
        <w:ind w:left="1170" w:hanging="450"/>
      </w:pPr>
      <w:r w:rsidRPr="002F2687">
        <w:t>December 16, 2017</w:t>
      </w:r>
    </w:p>
    <w:p w14:paraId="7B0AD70E" w14:textId="7E987E18" w:rsidR="00B069CA" w:rsidRPr="002F2687" w:rsidRDefault="002F549F" w:rsidP="00A32FBA">
      <w:r>
        <w:t xml:space="preserve">Dates of CWPJAC </w:t>
      </w:r>
      <w:r w:rsidR="00B069CA" w:rsidRPr="002F2687">
        <w:t>2018 Meetings</w:t>
      </w:r>
    </w:p>
    <w:p w14:paraId="69E926A6" w14:textId="77777777" w:rsidR="00B069CA" w:rsidRPr="002F2687" w:rsidRDefault="00B069CA" w:rsidP="00842091">
      <w:pPr>
        <w:pStyle w:val="ListParagraph"/>
        <w:ind w:left="1170" w:hanging="450"/>
      </w:pPr>
      <w:r w:rsidRPr="002F2687">
        <w:t>March 16, 2018</w:t>
      </w:r>
    </w:p>
    <w:p w14:paraId="307CA42B" w14:textId="77777777" w:rsidR="00B069CA" w:rsidRPr="002F2687" w:rsidRDefault="00B069CA" w:rsidP="00842091">
      <w:pPr>
        <w:pStyle w:val="ListParagraph"/>
        <w:ind w:left="1170" w:hanging="450"/>
      </w:pPr>
      <w:r w:rsidRPr="002F2687">
        <w:t>May 11, 2018</w:t>
      </w:r>
    </w:p>
    <w:p w14:paraId="38B2D4BF" w14:textId="77777777" w:rsidR="00B069CA" w:rsidRPr="002F2687" w:rsidRDefault="00B069CA" w:rsidP="00842091">
      <w:pPr>
        <w:pStyle w:val="ListParagraph"/>
        <w:ind w:left="1170" w:hanging="450"/>
      </w:pPr>
      <w:r w:rsidRPr="002F2687">
        <w:t>September 19, 2018</w:t>
      </w:r>
    </w:p>
    <w:p w14:paraId="3F987608" w14:textId="77777777" w:rsidR="00B069CA" w:rsidRDefault="00B069CA" w:rsidP="00842091">
      <w:pPr>
        <w:pStyle w:val="ListParagraph"/>
        <w:ind w:left="1170" w:hanging="450"/>
      </w:pPr>
      <w:r w:rsidRPr="002F2687">
        <w:t>November 26, 2018</w:t>
      </w:r>
    </w:p>
    <w:p w14:paraId="3F6CFB3F" w14:textId="52EF7561" w:rsidR="002F549F" w:rsidRPr="002F2687" w:rsidRDefault="002F549F" w:rsidP="00842091">
      <w:pPr>
        <w:pStyle w:val="ListParagraph"/>
        <w:ind w:left="1170" w:hanging="450"/>
      </w:pPr>
      <w:r>
        <w:t>December 14, 2018</w:t>
      </w:r>
    </w:p>
    <w:p w14:paraId="56F4F828" w14:textId="3B2A58B4" w:rsidR="00B069CA" w:rsidRPr="002F2687" w:rsidRDefault="002F549F" w:rsidP="00784BB3">
      <w:r>
        <w:t xml:space="preserve">Dates of CWPJAC </w:t>
      </w:r>
      <w:r w:rsidR="00B069CA" w:rsidRPr="002F2687">
        <w:t>2019 Meetings</w:t>
      </w:r>
    </w:p>
    <w:p w14:paraId="2E0AA0AA" w14:textId="77777777" w:rsidR="002F549F" w:rsidRDefault="00B069CA" w:rsidP="00784BB3">
      <w:pPr>
        <w:pStyle w:val="ListParagraph"/>
        <w:ind w:left="1170" w:hanging="450"/>
      </w:pPr>
      <w:r w:rsidRPr="002F2687">
        <w:t>January 11, 2019</w:t>
      </w:r>
    </w:p>
    <w:p w14:paraId="06440CFC" w14:textId="77777777" w:rsidR="002F549F" w:rsidRDefault="002F549F" w:rsidP="00784BB3">
      <w:pPr>
        <w:pStyle w:val="ListParagraph"/>
        <w:ind w:left="1170" w:hanging="450"/>
      </w:pPr>
      <w:r>
        <w:t>February 19, 2019</w:t>
      </w:r>
    </w:p>
    <w:p w14:paraId="682CEA44" w14:textId="7BB2C2AF" w:rsidR="00B069CA" w:rsidRPr="002F2687" w:rsidRDefault="00B069CA" w:rsidP="00784BB3">
      <w:pPr>
        <w:pStyle w:val="ListParagraph"/>
        <w:ind w:left="1170" w:hanging="450"/>
      </w:pPr>
      <w:r w:rsidRPr="002F2687">
        <w:t>March 11, 2019</w:t>
      </w:r>
    </w:p>
    <w:p w14:paraId="6A9164AE" w14:textId="77777777" w:rsidR="00B069CA" w:rsidRPr="002F2687" w:rsidRDefault="00B069CA" w:rsidP="00842091">
      <w:pPr>
        <w:pStyle w:val="ListParagraph"/>
        <w:ind w:left="1170" w:hanging="450"/>
      </w:pPr>
      <w:r w:rsidRPr="002F2687">
        <w:t>May 29, 2019</w:t>
      </w:r>
    </w:p>
    <w:p w14:paraId="66D05414" w14:textId="77777777" w:rsidR="00B069CA" w:rsidRPr="002F2687" w:rsidRDefault="00B069CA" w:rsidP="00842091">
      <w:pPr>
        <w:pStyle w:val="ListParagraph"/>
        <w:ind w:left="1170" w:hanging="450"/>
      </w:pPr>
      <w:r w:rsidRPr="002F2687">
        <w:t>July 12, 2019</w:t>
      </w:r>
    </w:p>
    <w:p w14:paraId="6136808B" w14:textId="77777777" w:rsidR="00B069CA" w:rsidRPr="002F2687" w:rsidRDefault="00B069CA" w:rsidP="00842091">
      <w:pPr>
        <w:pStyle w:val="ListParagraph"/>
        <w:ind w:left="1170" w:hanging="450"/>
      </w:pPr>
      <w:r w:rsidRPr="002F2687">
        <w:lastRenderedPageBreak/>
        <w:t>September 13, 2019</w:t>
      </w:r>
    </w:p>
    <w:p w14:paraId="02EE4950" w14:textId="77777777" w:rsidR="00B069CA" w:rsidRPr="002F2687" w:rsidRDefault="00B069CA" w:rsidP="00842091">
      <w:pPr>
        <w:pStyle w:val="ListParagraph"/>
        <w:ind w:left="1170" w:hanging="450"/>
      </w:pPr>
      <w:r w:rsidRPr="002F2687">
        <w:t>October 11, 2019</w:t>
      </w:r>
    </w:p>
    <w:p w14:paraId="0A7F3C5C" w14:textId="228B7E6C" w:rsidR="00B069CA" w:rsidRDefault="002F549F" w:rsidP="00842091">
      <w:pPr>
        <w:pStyle w:val="ListParagraph"/>
        <w:ind w:left="1170" w:hanging="450"/>
      </w:pPr>
      <w:r>
        <w:t>November 7</w:t>
      </w:r>
      <w:r w:rsidR="00B069CA" w:rsidRPr="002F2687">
        <w:t>, 2019</w:t>
      </w:r>
    </w:p>
    <w:p w14:paraId="0C937948" w14:textId="2174A08B" w:rsidR="005247C8" w:rsidRPr="002F2687" w:rsidRDefault="005247C8" w:rsidP="00842091">
      <w:pPr>
        <w:pStyle w:val="ListParagraph"/>
        <w:ind w:left="1170" w:hanging="450"/>
      </w:pPr>
      <w:r w:rsidRPr="002F2687">
        <w:t xml:space="preserve">November </w:t>
      </w:r>
      <w:r>
        <w:t>25</w:t>
      </w:r>
      <w:r w:rsidRPr="002F2687">
        <w:t>, 2019</w:t>
      </w:r>
    </w:p>
    <w:p w14:paraId="4E3B550A" w14:textId="6299C023" w:rsidR="00B069CA" w:rsidRPr="002F2687" w:rsidRDefault="002F549F" w:rsidP="00A32FBA">
      <w:r>
        <w:t xml:space="preserve">Dates of CWPJAC </w:t>
      </w:r>
      <w:r w:rsidR="00B069CA" w:rsidRPr="002F2687">
        <w:t>2020 Meetings</w:t>
      </w:r>
    </w:p>
    <w:p w14:paraId="553A3345" w14:textId="77777777" w:rsidR="00B069CA" w:rsidRPr="002F2687" w:rsidRDefault="00B069CA" w:rsidP="00842091">
      <w:pPr>
        <w:pStyle w:val="ListParagraph"/>
        <w:ind w:left="1170" w:hanging="450"/>
      </w:pPr>
      <w:r w:rsidRPr="002F2687">
        <w:t>January 31, 2020</w:t>
      </w:r>
    </w:p>
    <w:p w14:paraId="34CDB609" w14:textId="5F029A27" w:rsidR="00B069CA" w:rsidRPr="002F2687" w:rsidRDefault="002F549F" w:rsidP="00842091">
      <w:pPr>
        <w:pStyle w:val="ListParagraph"/>
        <w:ind w:left="1170" w:hanging="450"/>
      </w:pPr>
      <w:r>
        <w:t>March 2</w:t>
      </w:r>
      <w:r w:rsidR="00B069CA" w:rsidRPr="002F2687">
        <w:t>, 2020</w:t>
      </w:r>
    </w:p>
    <w:p w14:paraId="52CD342F" w14:textId="7A20AEAF" w:rsidR="00B069CA" w:rsidRPr="002F2687" w:rsidRDefault="00B069CA" w:rsidP="00842091">
      <w:pPr>
        <w:pStyle w:val="ListParagraph"/>
        <w:ind w:left="1170" w:hanging="450"/>
      </w:pPr>
      <w:r w:rsidRPr="002F2687">
        <w:t>May 8, 2020</w:t>
      </w:r>
      <w:r w:rsidR="0008238F">
        <w:t xml:space="preserve"> (Proposed)</w:t>
      </w:r>
    </w:p>
    <w:p w14:paraId="2557E2C4" w14:textId="71B0C254" w:rsidR="00B069CA" w:rsidRPr="002F2687" w:rsidRDefault="00B069CA" w:rsidP="00842091">
      <w:pPr>
        <w:pStyle w:val="ListParagraph"/>
        <w:ind w:left="1170" w:hanging="450"/>
      </w:pPr>
      <w:r w:rsidRPr="002F2687">
        <w:t>July 10, 2020</w:t>
      </w:r>
      <w:r w:rsidR="0008238F">
        <w:t xml:space="preserve"> (Proposed)</w:t>
      </w:r>
    </w:p>
    <w:p w14:paraId="37A33E10" w14:textId="060568EC" w:rsidR="005D4ACD" w:rsidRDefault="005D4ACD" w:rsidP="00A32FBA">
      <w:r w:rsidRPr="002F2687">
        <w:t xml:space="preserve">Dates of </w:t>
      </w:r>
      <w:r w:rsidR="00357FAA">
        <w:t>Feedback via Professional Conference</w:t>
      </w:r>
    </w:p>
    <w:p w14:paraId="64730E6C" w14:textId="227F0E58" w:rsidR="00357FAA" w:rsidRPr="002F2687" w:rsidRDefault="00357FAA" w:rsidP="00842091">
      <w:pPr>
        <w:pStyle w:val="ListParagraph"/>
        <w:ind w:left="1170" w:hanging="450"/>
      </w:pPr>
      <w:r w:rsidRPr="002F2687">
        <w:t>Oct. 16</w:t>
      </w:r>
      <w:r w:rsidR="001F23F8">
        <w:t>, 2019</w:t>
      </w:r>
      <w:r w:rsidRPr="002F2687">
        <w:t xml:space="preserve">: California Community College Association for Occupational Education Conference, Rancho Mirage, CA </w:t>
      </w:r>
      <w:r w:rsidR="002560A2">
        <w:t>—</w:t>
      </w:r>
      <w:r w:rsidRPr="002F2687">
        <w:t xml:space="preserve"> Public Feedback</w:t>
      </w:r>
    </w:p>
    <w:p w14:paraId="2CFD21C6" w14:textId="03BD7A39" w:rsidR="00357FAA" w:rsidRPr="002F2687" w:rsidRDefault="00357FAA" w:rsidP="00842091">
      <w:pPr>
        <w:pStyle w:val="ListParagraph"/>
        <w:ind w:left="1170" w:hanging="450"/>
      </w:pPr>
      <w:r w:rsidRPr="002F2687">
        <w:t>Nov. 20–22</w:t>
      </w:r>
      <w:r w:rsidR="001F23F8">
        <w:t>, 2019</w:t>
      </w:r>
      <w:r w:rsidRPr="002F2687">
        <w:t xml:space="preserve">: Association of Career and College Readiness Organizations </w:t>
      </w:r>
      <w:r>
        <w:t>Career Technical Education</w:t>
      </w:r>
      <w:r w:rsidRPr="002F2687">
        <w:t xml:space="preserve"> Conference, Rancho Mirage, CA</w:t>
      </w:r>
    </w:p>
    <w:p w14:paraId="6EC9F645" w14:textId="74BCB7F1" w:rsidR="00357FAA" w:rsidRDefault="00357FAA" w:rsidP="00842091">
      <w:pPr>
        <w:pStyle w:val="ListParagraph"/>
        <w:ind w:left="1170" w:hanging="450"/>
      </w:pPr>
      <w:r w:rsidRPr="002F2687">
        <w:t>Dec. 11–13</w:t>
      </w:r>
      <w:r w:rsidR="001F23F8">
        <w:t>, 2019</w:t>
      </w:r>
      <w:r w:rsidRPr="002F2687">
        <w:t>: Joint Special Populations Advisory Committee Conference</w:t>
      </w:r>
      <w:r w:rsidR="001F23F8">
        <w:t>, Sacramento, CA</w:t>
      </w:r>
      <w:r w:rsidRPr="002F2687">
        <w:t xml:space="preserve"> </w:t>
      </w:r>
      <w:r w:rsidR="002560A2">
        <w:t>—</w:t>
      </w:r>
      <w:r w:rsidRPr="002F2687">
        <w:t xml:space="preserve"> Public Feedback </w:t>
      </w:r>
    </w:p>
    <w:p w14:paraId="7A5ACCF0" w14:textId="3C6115AA" w:rsidR="00357FAA" w:rsidRPr="002F2687" w:rsidRDefault="00357FAA" w:rsidP="00357FAA">
      <w:r w:rsidRPr="002F2687">
        <w:t xml:space="preserve">Dates of Public </w:t>
      </w:r>
      <w:r w:rsidR="002F549F">
        <w:t>Input Sessions</w:t>
      </w:r>
    </w:p>
    <w:p w14:paraId="5CFF0A4C" w14:textId="1F8A26C8" w:rsidR="00357FAA" w:rsidRPr="002F2687" w:rsidRDefault="00357FAA" w:rsidP="00842091">
      <w:pPr>
        <w:pStyle w:val="ListParagraph"/>
        <w:ind w:left="1170" w:hanging="450"/>
      </w:pPr>
      <w:r>
        <w:t>Dec. 2</w:t>
      </w:r>
      <w:r w:rsidR="001F23F8">
        <w:t>, 2019,</w:t>
      </w:r>
      <w:r w:rsidRPr="002F2687">
        <w:t xml:space="preserve"> through </w:t>
      </w:r>
      <w:r>
        <w:t>Jan</w:t>
      </w:r>
      <w:r w:rsidRPr="002F2687">
        <w:t xml:space="preserve">. </w:t>
      </w:r>
      <w:r>
        <w:t>3</w:t>
      </w:r>
      <w:r w:rsidR="001F23F8">
        <w:t>, 20</w:t>
      </w:r>
      <w:r w:rsidR="00D02E63">
        <w:t>20</w:t>
      </w:r>
      <w:r w:rsidRPr="002F2687">
        <w:t>: Public Feedback Survey</w:t>
      </w:r>
    </w:p>
    <w:p w14:paraId="5D2CBC62" w14:textId="1CE7EE02" w:rsidR="00981974" w:rsidRPr="00357FAA" w:rsidRDefault="00357FAA" w:rsidP="00842091">
      <w:pPr>
        <w:pStyle w:val="ListParagraph"/>
        <w:ind w:left="1170" w:hanging="450"/>
      </w:pPr>
      <w:r w:rsidRPr="00357FAA">
        <w:t xml:space="preserve">Dec. </w:t>
      </w:r>
      <w:r w:rsidR="00981974" w:rsidRPr="00357FAA">
        <w:t>2</w:t>
      </w:r>
      <w:r w:rsidR="001F23F8">
        <w:t>, 2019</w:t>
      </w:r>
      <w:r w:rsidR="00981974" w:rsidRPr="00357FAA">
        <w:t>:</w:t>
      </w:r>
      <w:r w:rsidR="003B5FA0" w:rsidRPr="00357FAA">
        <w:t xml:space="preserve"> </w:t>
      </w:r>
      <w:r w:rsidR="005D4ACD" w:rsidRPr="00357FAA">
        <w:t>Public Meeting #</w:t>
      </w:r>
      <w:r w:rsidR="0008238F" w:rsidRPr="00357FAA">
        <w:t>1</w:t>
      </w:r>
      <w:r w:rsidR="00A32FBA" w:rsidRPr="00357FAA">
        <w:t>:</w:t>
      </w:r>
      <w:r w:rsidR="005D4ACD" w:rsidRPr="00357FAA">
        <w:t xml:space="preserve"> North Orange County Community Coll</w:t>
      </w:r>
      <w:r w:rsidR="00981974" w:rsidRPr="00357FAA">
        <w:t>ege District’s Boardroom</w:t>
      </w:r>
      <w:r>
        <w:t xml:space="preserve"> in Anaheim</w:t>
      </w:r>
      <w:r w:rsidR="00312709">
        <w:t>,</w:t>
      </w:r>
      <w:r>
        <w:t xml:space="preserve"> </w:t>
      </w:r>
      <w:r w:rsidR="00312709">
        <w:t>CA</w:t>
      </w:r>
    </w:p>
    <w:p w14:paraId="6BD2390E" w14:textId="22572FB2" w:rsidR="00357FAA" w:rsidRPr="00357FAA" w:rsidRDefault="00357FAA" w:rsidP="00842091">
      <w:pPr>
        <w:pStyle w:val="ListParagraph"/>
        <w:ind w:left="1170" w:hanging="450"/>
      </w:pPr>
      <w:r w:rsidRPr="00357FAA">
        <w:t>Dec. 6</w:t>
      </w:r>
      <w:r w:rsidR="001F23F8">
        <w:t>, 2019</w:t>
      </w:r>
      <w:r w:rsidRPr="00357FAA">
        <w:t>: Virtual Public Meeting</w:t>
      </w:r>
    </w:p>
    <w:p w14:paraId="5922CDDB" w14:textId="33505B4D" w:rsidR="002F549F" w:rsidRDefault="0008238F" w:rsidP="00842091">
      <w:pPr>
        <w:pStyle w:val="ListParagraph"/>
        <w:ind w:left="1170" w:hanging="450"/>
      </w:pPr>
      <w:r w:rsidRPr="00357FAA">
        <w:t>Dec.</w:t>
      </w:r>
      <w:r w:rsidR="00357FAA" w:rsidRPr="00357FAA">
        <w:t xml:space="preserve"> 9</w:t>
      </w:r>
      <w:r w:rsidR="001F23F8">
        <w:t>, 2019</w:t>
      </w:r>
      <w:r w:rsidRPr="00357FAA">
        <w:t>: Public Meeting #2</w:t>
      </w:r>
      <w:r w:rsidR="00357FAA" w:rsidRPr="00357FAA">
        <w:t>: WestEd Office’s Capitol Room</w:t>
      </w:r>
      <w:r w:rsidRPr="00357FAA">
        <w:t xml:space="preserve"> in Sacramento</w:t>
      </w:r>
      <w:r w:rsidR="00312709">
        <w:t>,</w:t>
      </w:r>
      <w:r w:rsidRPr="00357FAA">
        <w:t xml:space="preserve"> </w:t>
      </w:r>
      <w:r w:rsidR="00312709">
        <w:t>CA</w:t>
      </w:r>
      <w:r w:rsidR="002F549F">
        <w:br w:type="page"/>
      </w:r>
    </w:p>
    <w:p w14:paraId="7FBFB755" w14:textId="77777777" w:rsidR="002F549F" w:rsidRDefault="002F549F" w:rsidP="002F549F">
      <w:r w:rsidRPr="002F2687">
        <w:lastRenderedPageBreak/>
        <w:t>Dates of</w:t>
      </w:r>
      <w:r>
        <w:t xml:space="preserve"> State Board of Education Meetings</w:t>
      </w:r>
    </w:p>
    <w:p w14:paraId="78E93F45" w14:textId="77777777" w:rsidR="002F549F" w:rsidRDefault="002F549F" w:rsidP="002F549F">
      <w:pPr>
        <w:pStyle w:val="ListParagraph"/>
        <w:ind w:left="1260" w:hanging="540"/>
      </w:pPr>
      <w:r>
        <w:t>September 7, 2018</w:t>
      </w:r>
    </w:p>
    <w:p w14:paraId="272D42F6" w14:textId="77777777" w:rsidR="002F549F" w:rsidRDefault="002F549F" w:rsidP="002F549F">
      <w:pPr>
        <w:pStyle w:val="ListParagraph"/>
        <w:ind w:left="1260" w:hanging="540"/>
      </w:pPr>
      <w:r>
        <w:t>May 8, 2019</w:t>
      </w:r>
    </w:p>
    <w:p w14:paraId="0E6EABD1" w14:textId="77777777" w:rsidR="002F549F" w:rsidRDefault="002F549F" w:rsidP="002F549F">
      <w:pPr>
        <w:pStyle w:val="ListParagraph"/>
        <w:ind w:left="1260" w:hanging="540"/>
      </w:pPr>
      <w:r>
        <w:t>January 8, 2020</w:t>
      </w:r>
    </w:p>
    <w:p w14:paraId="46C2193D" w14:textId="77777777" w:rsidR="002F549F" w:rsidRDefault="002F549F" w:rsidP="002F549F">
      <w:pPr>
        <w:pStyle w:val="ListParagraph"/>
        <w:ind w:left="1260" w:hanging="540"/>
      </w:pPr>
      <w:r>
        <w:t>March 11, 2020</w:t>
      </w:r>
    </w:p>
    <w:p w14:paraId="1F4F085D" w14:textId="77777777" w:rsidR="002F549F" w:rsidRDefault="002F549F" w:rsidP="002F549F">
      <w:r>
        <w:t>Dates of Board of Governors of California Community Colleges Meetings</w:t>
      </w:r>
    </w:p>
    <w:p w14:paraId="36008B09" w14:textId="77777777" w:rsidR="002F549F" w:rsidRDefault="002F549F" w:rsidP="002F549F">
      <w:pPr>
        <w:pStyle w:val="ListParagraph"/>
        <w:ind w:left="1260" w:hanging="540"/>
      </w:pPr>
      <w:r>
        <w:t>May 21, 2019</w:t>
      </w:r>
    </w:p>
    <w:p w14:paraId="4DE2BB66" w14:textId="13794D51" w:rsidR="002F549F" w:rsidRPr="00357FAA" w:rsidRDefault="002F549F" w:rsidP="002F549F">
      <w:pPr>
        <w:pStyle w:val="ListParagraph"/>
        <w:ind w:left="1260" w:hanging="540"/>
      </w:pPr>
      <w:r>
        <w:t>March 17, 2020</w:t>
      </w:r>
    </w:p>
    <w:p w14:paraId="0056FF96" w14:textId="77777777" w:rsidR="00182551" w:rsidRDefault="00182551" w:rsidP="00182551">
      <w:r>
        <w:br w:type="page"/>
      </w:r>
    </w:p>
    <w:p w14:paraId="2497C2BC" w14:textId="77777777" w:rsidR="009C018D" w:rsidRPr="002F2687" w:rsidRDefault="00A32FBA" w:rsidP="00986325">
      <w:pPr>
        <w:pStyle w:val="Heading2"/>
      </w:pPr>
      <w:bookmarkStart w:id="123" w:name="_Toc33620418"/>
      <w:r w:rsidRPr="002F2687">
        <w:lastRenderedPageBreak/>
        <w:t xml:space="preserve">Appendix </w:t>
      </w:r>
      <w:r w:rsidR="005D4ACD" w:rsidRPr="002F2687">
        <w:t>C</w:t>
      </w:r>
      <w:bookmarkStart w:id="124" w:name="_Toc400692942"/>
      <w:bookmarkStart w:id="125" w:name="_Toc21942600"/>
      <w:bookmarkStart w:id="126" w:name="_Toc21683021"/>
      <w:bookmarkStart w:id="127" w:name="_Toc21683325"/>
      <w:r w:rsidRPr="002F2687">
        <w:t xml:space="preserve">: </w:t>
      </w:r>
      <w:r w:rsidR="009C018D" w:rsidRPr="002F2687">
        <w:t xml:space="preserve">Industry Sectors and Pathways </w:t>
      </w:r>
      <w:bookmarkEnd w:id="124"/>
      <w:r w:rsidR="009C018D" w:rsidRPr="002F2687">
        <w:t>Alignment</w:t>
      </w:r>
      <w:bookmarkEnd w:id="123"/>
      <w:bookmarkEnd w:id="125"/>
      <w:bookmarkEnd w:id="126"/>
      <w:bookmarkEnd w:id="127"/>
    </w:p>
    <w:p w14:paraId="6D166456" w14:textId="6F736617"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107195">
        <w:t>I</w:t>
      </w:r>
      <w:r w:rsidRPr="002F2687">
        <w:t xml:space="preserve">ndustry </w:t>
      </w:r>
      <w:r w:rsidR="00107195">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107195">
        <w:t>I</w:t>
      </w:r>
      <w:r w:rsidR="006009E7" w:rsidRPr="002F2687">
        <w:t xml:space="preserve">ndustry </w:t>
      </w:r>
      <w:r w:rsidR="00107195">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784BB3">
        <w:trPr>
          <w:cantSplit/>
          <w:trHeight w:val="647"/>
          <w:tblHeader/>
          <w:jc w:val="center"/>
        </w:trPr>
        <w:tc>
          <w:tcPr>
            <w:tcW w:w="1432" w:type="dxa"/>
            <w:tcBorders>
              <w:bottom w:val="single" w:sz="12" w:space="0" w:color="auto"/>
            </w:tcBorders>
            <w:shd w:val="pct15" w:color="auto" w:fill="auto"/>
            <w:vAlign w:val="center"/>
          </w:tcPr>
          <w:p w14:paraId="0F142EC2" w14:textId="77777777" w:rsidR="009C018D" w:rsidRPr="002F2687" w:rsidRDefault="003E1F3D" w:rsidP="00784BB3">
            <w:pPr>
              <w:pStyle w:val="TableHeaderRow"/>
              <w:jc w:val="center"/>
            </w:pPr>
            <w:r w:rsidRPr="002F2687">
              <w:t>Graphic logo</w:t>
            </w:r>
          </w:p>
        </w:tc>
        <w:tc>
          <w:tcPr>
            <w:tcW w:w="5763" w:type="dxa"/>
            <w:tcBorders>
              <w:bottom w:val="single" w:sz="12" w:space="0" w:color="auto"/>
            </w:tcBorders>
            <w:shd w:val="pct15" w:color="auto" w:fill="auto"/>
            <w:vAlign w:val="center"/>
          </w:tcPr>
          <w:p w14:paraId="1452712A" w14:textId="40119711" w:rsidR="009C018D" w:rsidRPr="002F2687" w:rsidRDefault="009C018D" w:rsidP="00784BB3">
            <w:pPr>
              <w:pStyle w:val="TableHeaderRow"/>
              <w:jc w:val="center"/>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shd w:val="pct15" w:color="auto" w:fill="auto"/>
            <w:vAlign w:val="center"/>
          </w:tcPr>
          <w:p w14:paraId="39CC23F0" w14:textId="77777777" w:rsidR="009C018D" w:rsidRPr="002F2687" w:rsidRDefault="009C018D" w:rsidP="00784BB3">
            <w:pPr>
              <w:pStyle w:val="TableHeaderRow"/>
              <w:jc w:val="center"/>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Agriscience</w:t>
            </w:r>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0BAC360" w:rsidR="009C018D" w:rsidRPr="002F2687" w:rsidRDefault="009C018D" w:rsidP="00182551">
            <w:pPr>
              <w:spacing w:before="60" w:after="0" w:line="240" w:lineRule="auto"/>
              <w:rPr>
                <w:rFonts w:eastAsia="Calibri" w:cs="Arial"/>
                <w:b/>
              </w:rPr>
            </w:pPr>
            <w:r w:rsidRPr="002F2687">
              <w:rPr>
                <w:rFonts w:eastAsia="Calibri" w:cs="Arial"/>
                <w:b/>
              </w:rPr>
              <w:t>Agriculture</w:t>
            </w:r>
            <w:r w:rsidR="001F23F8">
              <w:rPr>
                <w:rFonts w:eastAsia="Calibri" w:cs="Arial"/>
                <w:b/>
              </w:rPr>
              <w:t>,</w:t>
            </w:r>
            <w:r w:rsidR="006009E7" w:rsidRPr="002F2687">
              <w:rPr>
                <w:rFonts w:eastAsia="Calibri" w:cs="Arial"/>
                <w:b/>
              </w:rPr>
              <w:t xml:space="preserve">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02523343"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Game Design and Integration </w:t>
            </w:r>
          </w:p>
          <w:p w14:paraId="5A212C8E" w14:textId="26853D53"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1FE4AE42" w14:textId="10191F26" w:rsidR="009C018D" w:rsidRPr="008B4F20"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61C59742"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001F23F8">
              <w:rPr>
                <w:rFonts w:eastAsia="Calibri" w:cs="Arial"/>
                <w:b/>
              </w:rPr>
              <w:t>,</w:t>
            </w:r>
            <w:r w:rsidRPr="002F2687">
              <w:rPr>
                <w:rFonts w:eastAsia="Calibri" w:cs="Arial"/>
                <w:b/>
              </w:rPr>
              <w:t xml:space="preserve">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6BBACA3D" w:rsidR="009C018D" w:rsidRPr="002F2687" w:rsidRDefault="008B4F20" w:rsidP="00182551">
            <w:pPr>
              <w:spacing w:before="60" w:after="0" w:line="240" w:lineRule="auto"/>
              <w:rPr>
                <w:rFonts w:eastAsia="Calibri" w:cs="Arial"/>
                <w:b/>
              </w:rPr>
            </w:pPr>
            <w:r>
              <w:rPr>
                <w:rFonts w:eastAsia="Calibri" w:cs="Arial"/>
                <w:b/>
              </w:rPr>
              <w:t>Public Service Careers</w:t>
            </w:r>
          </w:p>
        </w:tc>
      </w:tr>
      <w:tr w:rsidR="009C018D" w:rsidRPr="002F2687" w14:paraId="55AAE1C5" w14:textId="77777777" w:rsidTr="008B4F20">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tcBorders>
              <w:bottom w:val="single" w:sz="4" w:space="0" w:color="auto"/>
            </w:tcBorders>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Borders>
              <w:bottom w:val="single" w:sz="4" w:space="0" w:color="auto"/>
            </w:tcBorders>
          </w:tcPr>
          <w:p w14:paraId="5234FBC0" w14:textId="53008A8F"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47C50914"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BF01BA4" w14:textId="77777777" w:rsidTr="008B4F20">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4"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4" w:space="0" w:color="auto"/>
            </w:tcBorders>
          </w:tcPr>
          <w:p w14:paraId="4FDCFD59" w14:textId="54F125FE"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7266B266"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p w14:paraId="177217A2" w14:textId="77777777"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4F4EC560" w14:textId="554D9581"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62D31819"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7CE9366E" w14:textId="77777777" w:rsidR="008B4F20" w:rsidRDefault="008B4F20" w:rsidP="00182551">
            <w:pPr>
              <w:pStyle w:val="ListParagraph"/>
              <w:numPr>
                <w:ilvl w:val="0"/>
                <w:numId w:val="15"/>
              </w:numPr>
              <w:spacing w:before="120" w:after="120" w:line="240" w:lineRule="auto"/>
              <w:ind w:left="778"/>
              <w:rPr>
                <w:rFonts w:eastAsia="Calibri" w:cs="Arial"/>
              </w:rPr>
            </w:pPr>
            <w:r w:rsidRPr="00182551">
              <w:rPr>
                <w:rFonts w:eastAsia="Calibri" w:cs="Arial"/>
              </w:rPr>
              <w:t xml:space="preserve">Games and Simulation </w:t>
            </w:r>
          </w:p>
          <w:p w14:paraId="192B47E7" w14:textId="19DA264E"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01513E21" w14:textId="3334A634" w:rsidR="009C018D" w:rsidRPr="00182551" w:rsidRDefault="009C018D" w:rsidP="008B4F20">
            <w:pPr>
              <w:pStyle w:val="ListParagraph"/>
              <w:numPr>
                <w:ilvl w:val="0"/>
                <w:numId w:val="15"/>
              </w:numPr>
              <w:spacing w:before="120" w:after="120" w:line="240" w:lineRule="auto"/>
              <w:ind w:left="778"/>
              <w:rPr>
                <w:rFonts w:eastAsia="Calibri" w:cs="Arial"/>
                <w:b/>
              </w:rPr>
            </w:pPr>
            <w:r w:rsidRPr="00182551">
              <w:rPr>
                <w:rFonts w:eastAsia="Calibri" w:cs="Arial"/>
              </w:rPr>
              <w:t>Software and Systems Development</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23E4D172"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p w14:paraId="2FDA5FD0" w14:textId="26C7EA3D"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775FCA06"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Entrepreneurship/Self-Employment </w:t>
            </w:r>
          </w:p>
          <w:p w14:paraId="4F2BFA26" w14:textId="30D6433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57D41DAA" w14:textId="0F3295EE" w:rsidR="009C018D" w:rsidRPr="002F2687"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BFCDDD3"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p w14:paraId="08A8BA16" w14:textId="54799008"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Safety</w:t>
            </w:r>
          </w:p>
        </w:tc>
        <w:tc>
          <w:tcPr>
            <w:tcW w:w="2250" w:type="dxa"/>
          </w:tcPr>
          <w:p w14:paraId="4BF7A2C7" w14:textId="7D85DA69" w:rsidR="009C018D" w:rsidRPr="002F2687" w:rsidRDefault="009C018D" w:rsidP="008B4F20">
            <w:pPr>
              <w:spacing w:before="60" w:after="0" w:line="240" w:lineRule="auto"/>
              <w:rPr>
                <w:rFonts w:eastAsia="Calibri" w:cs="Arial"/>
                <w:b/>
              </w:rPr>
            </w:pPr>
            <w:r w:rsidRPr="002F2687">
              <w:rPr>
                <w:rFonts w:eastAsia="Calibri" w:cs="Arial"/>
                <w:b/>
              </w:rPr>
              <w:t xml:space="preserve">Public </w:t>
            </w:r>
            <w:r w:rsidR="008B4F20">
              <w:rPr>
                <w:rFonts w:eastAsia="Calibri" w:cs="Arial"/>
                <w:b/>
              </w:rPr>
              <w:t>Service Careers</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6E6D2C">
          <w:type w:val="continuous"/>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128" w:name="_Toc33620419"/>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28"/>
    </w:p>
    <w:p w14:paraId="39D8F7F4" w14:textId="581011EC" w:rsidR="009C018D" w:rsidRPr="002F2687" w:rsidRDefault="009C018D" w:rsidP="00182551">
      <w:pPr>
        <w:jc w:val="center"/>
      </w:pPr>
      <w:r w:rsidRPr="002F2687">
        <w:t xml:space="preserve">Posted by </w:t>
      </w:r>
      <w:r w:rsidR="00F04FB3">
        <w:t xml:space="preserve">the </w:t>
      </w:r>
      <w:r w:rsidRPr="002F2687">
        <w:t>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29" w:name="_Toc18774673"/>
      <w:bookmarkStart w:id="130" w:name="_Toc18935398"/>
      <w:bookmarkStart w:id="131" w:name="_Toc18935561"/>
      <w:bookmarkStart w:id="132" w:name="_Toc21683013"/>
      <w:bookmarkStart w:id="133" w:name="_Toc21683317"/>
      <w:bookmarkStart w:id="134" w:name="_Toc21942594"/>
      <w:bookmarkStart w:id="135" w:name="_Toc33620420"/>
      <w:r w:rsidRPr="002F2687">
        <w:t>Preamble</w:t>
      </w:r>
      <w:bookmarkEnd w:id="129"/>
      <w:bookmarkEnd w:id="130"/>
      <w:bookmarkEnd w:id="131"/>
      <w:bookmarkEnd w:id="132"/>
      <w:bookmarkEnd w:id="133"/>
      <w:bookmarkEnd w:id="134"/>
      <w:bookmarkEnd w:id="135"/>
    </w:p>
    <w:p w14:paraId="3164954F" w14:textId="50CF509A" w:rsidR="009C018D" w:rsidRPr="002F2687" w:rsidRDefault="009C018D" w:rsidP="00A32FBA">
      <w:r w:rsidRPr="002F2687">
        <w:t xml:space="preserve">The goal of the California Workforce Pathways Joint Advisory Committee (CWPJAC) is to build connected, equitable, accessible, and high-quality </w:t>
      </w:r>
      <w:bookmarkStart w:id="136" w:name="_Hlk36036365"/>
      <w:r w:rsidR="00946CEC">
        <w:t>kindergarten through grade fourteen and beyond (</w:t>
      </w:r>
      <w:r w:rsidRPr="002F2687">
        <w:t>K</w:t>
      </w:r>
      <w:bookmarkEnd w:id="136"/>
      <w:r w:rsidRPr="002F2687">
        <w:t>–14+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37" w:name="_Toc18774674"/>
      <w:bookmarkStart w:id="138" w:name="_Toc18935399"/>
      <w:bookmarkStart w:id="139" w:name="_Toc18935562"/>
      <w:bookmarkStart w:id="140" w:name="_Toc21683014"/>
      <w:bookmarkStart w:id="141" w:name="_Toc21683318"/>
      <w:bookmarkStart w:id="142" w:name="_Toc21942595"/>
      <w:bookmarkStart w:id="143" w:name="_Toc33620421"/>
      <w:bookmarkStart w:id="144" w:name="_Hlk31184048"/>
      <w:r w:rsidRPr="002F2687">
        <w:lastRenderedPageBreak/>
        <w:t>Guiding Policy Principles</w:t>
      </w:r>
      <w:bookmarkEnd w:id="137"/>
      <w:bookmarkEnd w:id="138"/>
      <w:bookmarkEnd w:id="139"/>
      <w:bookmarkEnd w:id="140"/>
      <w:bookmarkEnd w:id="141"/>
      <w:bookmarkEnd w:id="142"/>
      <w:bookmarkEnd w:id="143"/>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842091">
      <w:pPr>
        <w:pStyle w:val="ListParagraph"/>
        <w:numPr>
          <w:ilvl w:val="0"/>
          <w:numId w:val="27"/>
        </w:numPr>
        <w:ind w:left="1170" w:hanging="450"/>
      </w:pPr>
      <w:r w:rsidRPr="002F2687">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842091">
      <w:pPr>
        <w:pStyle w:val="ListParagraph"/>
        <w:numPr>
          <w:ilvl w:val="0"/>
          <w:numId w:val="27"/>
        </w:numPr>
        <w:ind w:left="1170" w:hanging="450"/>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1FFF03C3" w:rsidR="009C018D" w:rsidRPr="002F2687" w:rsidRDefault="009C018D" w:rsidP="00842091">
      <w:pPr>
        <w:pStyle w:val="ListParagraph"/>
        <w:numPr>
          <w:ilvl w:val="0"/>
          <w:numId w:val="27"/>
        </w:numPr>
        <w:ind w:left="1170" w:hanging="450"/>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w:t>
      </w:r>
      <w:r w:rsidR="00107195">
        <w:t>I</w:t>
      </w:r>
      <w:r w:rsidRPr="002F2687">
        <w:t xml:space="preserve">ndustry </w:t>
      </w:r>
      <w:r w:rsidR="00107195">
        <w:t>S</w:t>
      </w:r>
      <w:r w:rsidRPr="002F2687">
        <w:t>ectors. System alignment allows for greater student portability and career advancement.</w:t>
      </w:r>
    </w:p>
    <w:p w14:paraId="2AB241B9" w14:textId="7BE26AF2" w:rsidR="009C018D" w:rsidRPr="002F2687" w:rsidRDefault="009C018D" w:rsidP="00842091">
      <w:pPr>
        <w:pStyle w:val="ListParagraph"/>
        <w:numPr>
          <w:ilvl w:val="0"/>
          <w:numId w:val="27"/>
        </w:numPr>
        <w:ind w:left="1170" w:hanging="450"/>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w:t>
      </w:r>
      <w:r w:rsidR="000D6ABF">
        <w:t>S</w:t>
      </w:r>
      <w:r w:rsidRPr="002F2687">
        <w:t>tate standards, attainment of student outcomes, and a strengthening of California’s regional economies.</w:t>
      </w:r>
    </w:p>
    <w:p w14:paraId="13902363" w14:textId="77777777" w:rsidR="009C018D" w:rsidRPr="002F2687" w:rsidRDefault="009C018D" w:rsidP="00842091">
      <w:pPr>
        <w:pStyle w:val="ListParagraph"/>
        <w:numPr>
          <w:ilvl w:val="0"/>
          <w:numId w:val="27"/>
        </w:numPr>
        <w:ind w:left="1170" w:hanging="450"/>
      </w:pPr>
      <w:r w:rsidRPr="002F2687">
        <w:t xml:space="preserve">Ensure that </w:t>
      </w:r>
      <w:r w:rsidRPr="002F2687">
        <w:rPr>
          <w:b/>
          <w:bCs/>
        </w:rPr>
        <w:t>State Priorities and Direction Lead the State Plan</w:t>
      </w:r>
      <w:r w:rsidRPr="002F2687">
        <w:t xml:space="preserve"> with opportunities in Perkins V leveraged to assist in accomplishing the State </w:t>
      </w:r>
      <w:r w:rsidRPr="002F2687">
        <w:lastRenderedPageBreak/>
        <w:t>goals and objectives for student achievement, also known as “the California Way.”</w:t>
      </w:r>
    </w:p>
    <w:p w14:paraId="1BAA43E4" w14:textId="77777777" w:rsidR="009C018D" w:rsidRPr="002F2687" w:rsidRDefault="009C018D" w:rsidP="00C74AB8">
      <w:pPr>
        <w:pStyle w:val="Heading3"/>
      </w:pPr>
      <w:bookmarkStart w:id="145" w:name="_Toc18774675"/>
      <w:bookmarkStart w:id="146" w:name="_Toc18935400"/>
      <w:bookmarkStart w:id="147" w:name="_Toc18935563"/>
      <w:bookmarkStart w:id="148" w:name="_Toc21683015"/>
      <w:bookmarkStart w:id="149" w:name="_Toc21683319"/>
      <w:bookmarkStart w:id="150" w:name="_Toc21942596"/>
      <w:bookmarkStart w:id="151" w:name="_Toc33620422"/>
      <w:bookmarkEnd w:id="144"/>
      <w:r w:rsidRPr="002F2687">
        <w:t>Essential Elements of a High-Quality College and Career Pathway</w:t>
      </w:r>
      <w:bookmarkEnd w:id="145"/>
      <w:bookmarkEnd w:id="146"/>
      <w:bookmarkEnd w:id="147"/>
      <w:bookmarkEnd w:id="148"/>
      <w:bookmarkEnd w:id="149"/>
      <w:bookmarkEnd w:id="150"/>
      <w:bookmarkEnd w:id="151"/>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842091">
      <w:pPr>
        <w:pStyle w:val="ListParagraph"/>
        <w:numPr>
          <w:ilvl w:val="0"/>
          <w:numId w:val="28"/>
        </w:numPr>
        <w:ind w:left="1170" w:hanging="450"/>
      </w:pPr>
      <w:r w:rsidRPr="002F2687">
        <w:rPr>
          <w:rStyle w:val="Emphasis"/>
        </w:rPr>
        <w:t>Student-Centered Delivery of Services</w:t>
      </w:r>
      <w:r w:rsidRPr="002F2687">
        <w:t xml:space="preserve"> 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842091">
      <w:pPr>
        <w:pStyle w:val="ListParagraph"/>
        <w:numPr>
          <w:ilvl w:val="0"/>
          <w:numId w:val="28"/>
        </w:numPr>
        <w:ind w:left="1170" w:hanging="450"/>
      </w:pPr>
      <w:r w:rsidRPr="00501D5A">
        <w:t xml:space="preserve">Student </w:t>
      </w:r>
      <w:r w:rsidRPr="00E63762">
        <w:rPr>
          <w:b/>
        </w:rPr>
        <w:t>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842091">
      <w:pPr>
        <w:pStyle w:val="ListParagraph"/>
        <w:numPr>
          <w:ilvl w:val="0"/>
          <w:numId w:val="28"/>
        </w:numPr>
        <w:ind w:left="1170" w:hanging="450"/>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w:t>
      </w:r>
      <w:r w:rsidRPr="002F2687">
        <w:lastRenderedPageBreak/>
        <w:t>economic status, special needs, and/or English proficiency. Access also includes creating pathways with demonstrable careers for students.</w:t>
      </w:r>
    </w:p>
    <w:p w14:paraId="6FC10934" w14:textId="4306F5FE" w:rsidR="009C018D" w:rsidRPr="002F2687" w:rsidRDefault="009C018D" w:rsidP="00842091">
      <w:pPr>
        <w:pStyle w:val="ListParagraph"/>
        <w:numPr>
          <w:ilvl w:val="0"/>
          <w:numId w:val="28"/>
        </w:numPr>
        <w:ind w:left="1170" w:hanging="450"/>
      </w:pPr>
      <w:r w:rsidRPr="002F2687">
        <w:rPr>
          <w:rStyle w:val="Emphasis"/>
        </w:rPr>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842091">
      <w:pPr>
        <w:pStyle w:val="ListParagraph"/>
        <w:numPr>
          <w:ilvl w:val="0"/>
          <w:numId w:val="28"/>
        </w:numPr>
        <w:ind w:left="1170" w:hanging="450"/>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842091">
      <w:pPr>
        <w:pStyle w:val="ListParagraph"/>
        <w:numPr>
          <w:ilvl w:val="0"/>
          <w:numId w:val="28"/>
        </w:numPr>
        <w:ind w:left="1170" w:hanging="450"/>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842091">
      <w:pPr>
        <w:pStyle w:val="ListParagraph"/>
        <w:numPr>
          <w:ilvl w:val="0"/>
          <w:numId w:val="28"/>
        </w:numPr>
        <w:ind w:left="1170" w:hanging="450"/>
      </w:pPr>
      <w:r w:rsidRPr="002F2687">
        <w:lastRenderedPageBreak/>
        <w:t xml:space="preserve">The strong presence of </w:t>
      </w:r>
      <w:r w:rsidRPr="002F2687">
        <w:rPr>
          <w:rStyle w:val="Emphasis"/>
        </w:rPr>
        <w:t>Career Exploration and Student Supports</w:t>
      </w:r>
      <w:r w:rsidRPr="002F2687">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5B16206" w14:textId="77777777" w:rsidR="009C018D" w:rsidRPr="002F2687" w:rsidRDefault="009C018D" w:rsidP="00842091">
      <w:pPr>
        <w:pStyle w:val="ListParagraph"/>
        <w:numPr>
          <w:ilvl w:val="0"/>
          <w:numId w:val="28"/>
        </w:numPr>
        <w:ind w:left="1170" w:hanging="450"/>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842091">
      <w:pPr>
        <w:pStyle w:val="ListParagraph"/>
        <w:numPr>
          <w:ilvl w:val="0"/>
          <w:numId w:val="28"/>
        </w:numPr>
        <w:ind w:left="1170" w:hanging="450"/>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w:t>
      </w:r>
      <w:r w:rsidRPr="002F2687">
        <w:lastRenderedPageBreak/>
        <w:t>distribution, or evidence-based practices and processes to optimize pathway success and upward mobility opportunities for all participants.</w:t>
      </w:r>
    </w:p>
    <w:p w14:paraId="77234D01" w14:textId="7E02DA4C" w:rsidR="009C018D" w:rsidRPr="002F2687" w:rsidRDefault="009C018D" w:rsidP="00842091">
      <w:pPr>
        <w:pStyle w:val="ListParagraph"/>
        <w:numPr>
          <w:ilvl w:val="0"/>
          <w:numId w:val="28"/>
        </w:numPr>
        <w:ind w:left="1170" w:hanging="450"/>
      </w:pPr>
      <w:r w:rsidRPr="002F2687">
        <w:rPr>
          <w:rStyle w:val="Emphasis"/>
        </w:rPr>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Pr="002F2687">
        <w:t>K–14+ college and career pathway programs.</w:t>
      </w:r>
    </w:p>
    <w:p w14:paraId="204E0E69" w14:textId="69681270" w:rsidR="009C018D" w:rsidRDefault="009C018D" w:rsidP="00842091">
      <w:pPr>
        <w:pStyle w:val="ListParagraph"/>
        <w:numPr>
          <w:ilvl w:val="0"/>
          <w:numId w:val="28"/>
        </w:numPr>
        <w:ind w:left="1170" w:hanging="450"/>
      </w:pPr>
      <w:r w:rsidRPr="002F2687">
        <w:rPr>
          <w:rStyle w:val="Emphasis"/>
        </w:rPr>
        <w:t>Sustained Investments and Funding through Mutual Agreements</w:t>
      </w:r>
      <w:r w:rsidRPr="002F2687">
        <w:t xml:space="preserve"> must be present to encourage regional alliances along with </w:t>
      </w:r>
      <w:r w:rsidR="00107195">
        <w:t>I</w:t>
      </w:r>
      <w:r w:rsidRPr="002F2687">
        <w:t xml:space="preserve">ndustry </w:t>
      </w:r>
      <w:r w:rsidR="00107195">
        <w:t>S</w:t>
      </w:r>
      <w:r w:rsidRPr="002F2687">
        <w:t xml:space="preserve">ector strategies, especially with a focus on current and/or emerging high-skill, high-wage, and/or high-demand occupations. This includes but is not limited to </w:t>
      </w:r>
      <w:r w:rsidR="00246C6F">
        <w:t>k</w:t>
      </w:r>
      <w:r w:rsidRPr="002F2687">
        <w:t xml:space="preserve">indergarten through </w:t>
      </w:r>
      <w:r w:rsidR="00246C6F">
        <w:t>g</w:t>
      </w:r>
      <w:r w:rsidRPr="002F2687">
        <w:t xml:space="preserve">rade </w:t>
      </w:r>
      <w:r w:rsidR="00246C6F">
        <w:t>t</w:t>
      </w:r>
      <w:r w:rsidRPr="002F2687">
        <w:t>welve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842091">
      <w:pPr>
        <w:pStyle w:val="ListParagraph"/>
        <w:numPr>
          <w:ilvl w:val="0"/>
          <w:numId w:val="28"/>
        </w:numPr>
        <w:ind w:left="1170" w:hanging="450"/>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52" w:name="_Toc18774676"/>
      <w:bookmarkStart w:id="153" w:name="_Toc18935401"/>
      <w:bookmarkStart w:id="154" w:name="_Toc18935564"/>
      <w:bookmarkStart w:id="155" w:name="_Toc21683016"/>
      <w:bookmarkStart w:id="156" w:name="_Toc21683320"/>
      <w:bookmarkStart w:id="157" w:name="_Toc21942597"/>
      <w:bookmarkStart w:id="158" w:name="_Toc33620423"/>
      <w:r w:rsidRPr="002F2687">
        <w:t>Working Norms for Fostering a Mutually-Beneficial Intersegmental Relationship</w:t>
      </w:r>
      <w:bookmarkEnd w:id="152"/>
      <w:bookmarkEnd w:id="153"/>
      <w:bookmarkEnd w:id="154"/>
      <w:bookmarkEnd w:id="155"/>
      <w:bookmarkEnd w:id="156"/>
      <w:bookmarkEnd w:id="157"/>
      <w:bookmarkEnd w:id="158"/>
    </w:p>
    <w:p w14:paraId="1DB16981" w14:textId="4C8C9BDF" w:rsidR="009C018D" w:rsidRPr="002F2687" w:rsidRDefault="009C018D" w:rsidP="00A32FBA">
      <w:r w:rsidRPr="002F2687">
        <w:t xml:space="preserve">These working norms are designed to help guide </w:t>
      </w:r>
      <w:r w:rsidR="000D6ABF">
        <w:t>S</w:t>
      </w:r>
      <w:r w:rsidRPr="002F2687">
        <w:t>tate, regional and local entities in building student-centered, high-quality K–14+ college and career pathways. This collaborative work necessitates:</w:t>
      </w:r>
    </w:p>
    <w:p w14:paraId="3A2936EE" w14:textId="77777777" w:rsidR="009C018D" w:rsidRPr="002F2687" w:rsidRDefault="009C018D" w:rsidP="00842091">
      <w:pPr>
        <w:pStyle w:val="ListParagraph"/>
        <w:numPr>
          <w:ilvl w:val="0"/>
          <w:numId w:val="29"/>
        </w:numPr>
        <w:ind w:left="1170" w:hanging="450"/>
      </w:pPr>
      <w:r w:rsidRPr="002F2687">
        <w:rPr>
          <w:rStyle w:val="Emphasis"/>
        </w:rPr>
        <w:lastRenderedPageBreak/>
        <w:t>Frequent, Open, and Intentional Communication</w:t>
      </w:r>
      <w:r w:rsidRPr="002F2687">
        <w:t xml:space="preserve"> between Educational Agencies, Workforce Agencies, and Employers.</w:t>
      </w:r>
    </w:p>
    <w:p w14:paraId="5A2D23B9" w14:textId="77777777" w:rsidR="009C018D" w:rsidRPr="002F2687" w:rsidRDefault="009C018D" w:rsidP="00842091">
      <w:pPr>
        <w:pStyle w:val="ListParagraph"/>
        <w:numPr>
          <w:ilvl w:val="0"/>
          <w:numId w:val="29"/>
        </w:numPr>
        <w:ind w:left="1170" w:hanging="450"/>
      </w:pPr>
      <w:r w:rsidRPr="002F2687">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842091">
      <w:pPr>
        <w:pStyle w:val="ListParagraph"/>
        <w:numPr>
          <w:ilvl w:val="0"/>
          <w:numId w:val="29"/>
        </w:numPr>
        <w:ind w:left="1170" w:hanging="450"/>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842091">
      <w:pPr>
        <w:pStyle w:val="ListParagraph"/>
        <w:numPr>
          <w:ilvl w:val="0"/>
          <w:numId w:val="29"/>
        </w:numPr>
        <w:ind w:left="1170" w:hanging="450"/>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842091">
      <w:pPr>
        <w:pStyle w:val="ListParagraph"/>
        <w:numPr>
          <w:ilvl w:val="0"/>
          <w:numId w:val="29"/>
        </w:numPr>
        <w:ind w:left="1170" w:hanging="450"/>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0C5EF591" w:rsidR="00484042" w:rsidRDefault="009C018D" w:rsidP="00842091">
      <w:pPr>
        <w:pStyle w:val="ListParagraph"/>
        <w:numPr>
          <w:ilvl w:val="0"/>
          <w:numId w:val="29"/>
        </w:numPr>
        <w:ind w:left="1170" w:hanging="450"/>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p w14:paraId="31FF78BE" w14:textId="77777777" w:rsidR="00484042" w:rsidRDefault="00484042">
      <w:pPr>
        <w:spacing w:after="160" w:line="259" w:lineRule="auto"/>
      </w:pPr>
      <w:r>
        <w:br w:type="page"/>
      </w:r>
    </w:p>
    <w:p w14:paraId="41AE9955" w14:textId="251FB495" w:rsidR="00484042" w:rsidRPr="002F2687" w:rsidRDefault="00484042" w:rsidP="00484042">
      <w:pPr>
        <w:pStyle w:val="Heading2"/>
      </w:pPr>
      <w:bookmarkStart w:id="159" w:name="_Toc33620424"/>
      <w:r w:rsidRPr="002F2687">
        <w:lastRenderedPageBreak/>
        <w:t xml:space="preserve">Appendix </w:t>
      </w:r>
      <w:r>
        <w:t>E</w:t>
      </w:r>
      <w:r w:rsidRPr="002F2687">
        <w:t xml:space="preserve">: </w:t>
      </w:r>
      <w:r w:rsidR="002F502F">
        <w:t xml:space="preserve">Common Acronyms in </w:t>
      </w:r>
      <w:r>
        <w:t>California</w:t>
      </w:r>
      <w:r w:rsidR="002F502F">
        <w:t>’s</w:t>
      </w:r>
      <w:r>
        <w:t xml:space="preserve"> Federal Perkins V State Plan</w:t>
      </w:r>
      <w:bookmarkEnd w:id="159"/>
    </w:p>
    <w:p w14:paraId="532E54EC" w14:textId="605883C8" w:rsidR="00351C18" w:rsidRDefault="00351C18" w:rsidP="00484042">
      <w:pPr>
        <w:ind w:left="1620" w:hanging="1620"/>
      </w:pPr>
      <w:r>
        <w:t xml:space="preserve">21CSLA </w:t>
      </w:r>
      <w:r>
        <w:tab/>
        <w:t>21</w:t>
      </w:r>
      <w:r w:rsidRPr="00A41984">
        <w:rPr>
          <w:vertAlign w:val="superscript"/>
        </w:rPr>
        <w:t>st</w:t>
      </w:r>
      <w:r>
        <w:t xml:space="preserve"> Century California School Leadership Academy </w:t>
      </w:r>
    </w:p>
    <w:p w14:paraId="482B904C" w14:textId="6BC08154" w:rsidR="00484042" w:rsidRDefault="00484042" w:rsidP="00484042">
      <w:pPr>
        <w:ind w:left="1620" w:hanging="1620"/>
      </w:pPr>
      <w:r>
        <w:t>"A–G"</w:t>
      </w:r>
      <w:r>
        <w:tab/>
        <w:t>To meet minimum freshman admission requirements for the University of California and California State University systems applicants must complete the “A–G” requirements: (A) History – two years, (B) English – four years, (C) Mathematics – three years, (D) Laboratory Science – two years, (E) Language other than English – two years, (F) Visual and performing arts – one year, and (G) College-preparatory elective – one year.</w:t>
      </w:r>
    </w:p>
    <w:p w14:paraId="4A4B8A9A" w14:textId="77777777" w:rsidR="00484042" w:rsidRDefault="00484042" w:rsidP="00484042">
      <w:pPr>
        <w:ind w:left="1620" w:hanging="1620"/>
      </w:pPr>
      <w:r>
        <w:t>BOG</w:t>
      </w:r>
      <w:r>
        <w:tab/>
        <w:t>Board of Governors of the California Community Colleges</w:t>
      </w:r>
    </w:p>
    <w:p w14:paraId="4F110B5D" w14:textId="77777777" w:rsidR="00484042" w:rsidRDefault="00484042" w:rsidP="00484042">
      <w:pPr>
        <w:ind w:left="1620" w:hanging="1620"/>
      </w:pPr>
      <w:r>
        <w:t>CAEP</w:t>
      </w:r>
      <w:r>
        <w:tab/>
        <w:t>California Adult Education Program</w:t>
      </w:r>
    </w:p>
    <w:p w14:paraId="5BEDCB52" w14:textId="77777777" w:rsidR="00484042" w:rsidRDefault="00484042" w:rsidP="00484042">
      <w:pPr>
        <w:ind w:left="1620" w:hanging="1620"/>
      </w:pPr>
      <w:r>
        <w:t>CAI</w:t>
      </w:r>
      <w:r>
        <w:tab/>
        <w:t>California Apprenticeship Initiative</w:t>
      </w:r>
    </w:p>
    <w:p w14:paraId="4C9DEF24" w14:textId="77777777" w:rsidR="00484042" w:rsidRDefault="00484042" w:rsidP="00484042">
      <w:pPr>
        <w:ind w:left="1620" w:hanging="1620"/>
      </w:pPr>
      <w:r>
        <w:t>CALPADS</w:t>
      </w:r>
      <w:r>
        <w:tab/>
        <w:t>California Longitudinal Pupil Achievement Data System for kindergarten through grade twelve</w:t>
      </w:r>
    </w:p>
    <w:p w14:paraId="61EC1690" w14:textId="77777777" w:rsidR="00484042" w:rsidRDefault="00484042" w:rsidP="00484042">
      <w:pPr>
        <w:ind w:left="1620" w:hanging="1620"/>
      </w:pPr>
      <w:r>
        <w:t>CalWORKs</w:t>
      </w:r>
      <w:r>
        <w:tab/>
        <w:t>California Work Opportunity and Responsibility to Kids</w:t>
      </w:r>
    </w:p>
    <w:p w14:paraId="7AF5E6CB" w14:textId="77777777" w:rsidR="006F061E" w:rsidRDefault="006F061E" w:rsidP="006F061E">
      <w:pPr>
        <w:ind w:left="1620" w:hanging="1620"/>
      </w:pPr>
      <w:r>
        <w:t>CCC</w:t>
      </w:r>
      <w:r>
        <w:tab/>
        <w:t>California Community Colleges</w:t>
      </w:r>
    </w:p>
    <w:p w14:paraId="392A6E07" w14:textId="30F47575" w:rsidR="00484042" w:rsidRDefault="00484042" w:rsidP="00484042">
      <w:pPr>
        <w:ind w:left="1620" w:hanging="1620"/>
      </w:pPr>
      <w:r>
        <w:t>CCCAOE</w:t>
      </w:r>
      <w:r>
        <w:tab/>
        <w:t>California Community College Association for Occupational Education</w:t>
      </w:r>
    </w:p>
    <w:p w14:paraId="2BCBC29C" w14:textId="77777777" w:rsidR="00484042" w:rsidRDefault="00484042" w:rsidP="00484042">
      <w:pPr>
        <w:ind w:left="1620" w:hanging="1620"/>
      </w:pPr>
      <w:r>
        <w:t>CCCCO</w:t>
      </w:r>
      <w:r>
        <w:tab/>
        <w:t>California Community Colleges Chancellor’s Office</w:t>
      </w:r>
    </w:p>
    <w:p w14:paraId="42F599C3" w14:textId="77777777" w:rsidR="00484042" w:rsidRDefault="00484042" w:rsidP="00484042">
      <w:pPr>
        <w:ind w:left="1620" w:hanging="1620"/>
      </w:pPr>
      <w:r>
        <w:t>CCI</w:t>
      </w:r>
      <w:r>
        <w:tab/>
        <w:t>College/Career Indicator for kindergarten through grade twelve</w:t>
      </w:r>
    </w:p>
    <w:p w14:paraId="6318A56E" w14:textId="77777777" w:rsidR="00484042" w:rsidRDefault="00484042" w:rsidP="00484042">
      <w:pPr>
        <w:ind w:left="1620" w:hanging="1620"/>
      </w:pPr>
      <w:r>
        <w:t>CCPT</w:t>
      </w:r>
      <w:r>
        <w:tab/>
        <w:t>California Career Pathways Trust</w:t>
      </w:r>
    </w:p>
    <w:p w14:paraId="14EB33E5" w14:textId="5A0946F8" w:rsidR="006F061E" w:rsidRDefault="006F061E" w:rsidP="006F061E">
      <w:pPr>
        <w:ind w:left="1620" w:hanging="1620"/>
      </w:pPr>
      <w:r>
        <w:t>CCTC</w:t>
      </w:r>
      <w:r>
        <w:tab/>
        <w:t>California Commission on Teacher Credentialing</w:t>
      </w:r>
    </w:p>
    <w:p w14:paraId="438F53C3" w14:textId="77777777" w:rsidR="00484042" w:rsidRDefault="00484042" w:rsidP="00484042">
      <w:pPr>
        <w:ind w:left="1620" w:hanging="1620"/>
      </w:pPr>
      <w:r>
        <w:lastRenderedPageBreak/>
        <w:t>CCTD</w:t>
      </w:r>
      <w:r>
        <w:tab/>
        <w:t>Career and College Transition Division at the California Department of Education</w:t>
      </w:r>
    </w:p>
    <w:p w14:paraId="6C8D41C5" w14:textId="77777777" w:rsidR="00484042" w:rsidRDefault="00484042" w:rsidP="00484042">
      <w:pPr>
        <w:ind w:left="1620" w:hanging="1620"/>
      </w:pPr>
      <w:r>
        <w:t>CDE</w:t>
      </w:r>
      <w:r>
        <w:tab/>
        <w:t>California Department of Education</w:t>
      </w:r>
    </w:p>
    <w:p w14:paraId="02210BEB" w14:textId="77777777" w:rsidR="00484042" w:rsidRDefault="00484042" w:rsidP="00484042">
      <w:pPr>
        <w:ind w:left="1620" w:hanging="1620"/>
      </w:pPr>
      <w:r>
        <w:t>CLNA</w:t>
      </w:r>
      <w:r>
        <w:tab/>
        <w:t>Comprehensive Local Needs Assessment</w:t>
      </w:r>
    </w:p>
    <w:p w14:paraId="48D2F8D5" w14:textId="77777777" w:rsidR="00484042" w:rsidRDefault="00484042" w:rsidP="00484042">
      <w:pPr>
        <w:ind w:left="1620" w:hanging="1620"/>
      </w:pPr>
      <w:r>
        <w:t>COE</w:t>
      </w:r>
      <w:r>
        <w:tab/>
        <w:t xml:space="preserve">Centers of Excellence for the California Community Colleges </w:t>
      </w:r>
    </w:p>
    <w:p w14:paraId="60A0E1A4" w14:textId="77777777" w:rsidR="00484042" w:rsidRDefault="00484042" w:rsidP="00484042">
      <w:pPr>
        <w:ind w:left="1620" w:hanging="1620"/>
      </w:pPr>
      <w:r>
        <w:t>Co-op</w:t>
      </w:r>
      <w:r>
        <w:tab/>
        <w:t>Cooperative Work Experience Education</w:t>
      </w:r>
    </w:p>
    <w:p w14:paraId="16FD2E64" w14:textId="77777777" w:rsidR="00484042" w:rsidRDefault="00484042" w:rsidP="00484042">
      <w:pPr>
        <w:ind w:left="1620" w:hanging="1620"/>
      </w:pPr>
      <w:r>
        <w:t>CPA</w:t>
      </w:r>
      <w:r>
        <w:tab/>
        <w:t>California Partnership Academy</w:t>
      </w:r>
    </w:p>
    <w:p w14:paraId="09E975B1" w14:textId="77777777" w:rsidR="00484042" w:rsidRDefault="00484042" w:rsidP="00484042">
      <w:pPr>
        <w:ind w:left="1620" w:hanging="1620"/>
      </w:pPr>
      <w:r>
        <w:t>CSU</w:t>
      </w:r>
      <w:r>
        <w:tab/>
        <w:t>California State University system</w:t>
      </w:r>
    </w:p>
    <w:p w14:paraId="3B404270" w14:textId="77777777" w:rsidR="00484042" w:rsidRDefault="00484042" w:rsidP="00484042">
      <w:pPr>
        <w:ind w:left="1620" w:hanging="1620"/>
      </w:pPr>
      <w:r>
        <w:t>CTE</w:t>
      </w:r>
      <w:r>
        <w:tab/>
        <w:t>Career Technical Education</w:t>
      </w:r>
    </w:p>
    <w:p w14:paraId="2B41939D" w14:textId="77777777" w:rsidR="00484042" w:rsidRDefault="00484042" w:rsidP="00484042">
      <w:pPr>
        <w:ind w:left="1620" w:hanging="1620"/>
      </w:pPr>
      <w:r>
        <w:t>CTEIG</w:t>
      </w:r>
      <w:r>
        <w:tab/>
        <w:t>Career Technical Education Incentive Grant</w:t>
      </w:r>
    </w:p>
    <w:p w14:paraId="0DC8A81C" w14:textId="77777777" w:rsidR="00484042" w:rsidRDefault="00484042" w:rsidP="00484042">
      <w:pPr>
        <w:ind w:left="1620" w:hanging="1620"/>
      </w:pPr>
      <w:r>
        <w:t>CTELO</w:t>
      </w:r>
      <w:r>
        <w:tab/>
        <w:t>Career Technical Education Leadership Office at the California Department of Education</w:t>
      </w:r>
    </w:p>
    <w:p w14:paraId="65E5E4E1" w14:textId="77777777" w:rsidR="00484042" w:rsidRDefault="00484042" w:rsidP="00484042">
      <w:pPr>
        <w:ind w:left="1620" w:hanging="1620"/>
      </w:pPr>
      <w:r>
        <w:t>CTEMCS</w:t>
      </w:r>
      <w:r>
        <w:tab/>
        <w:t>Career Technical Education Model Curriculum Standards for kindergarten through grade twelve</w:t>
      </w:r>
    </w:p>
    <w:p w14:paraId="3F8A7A1C" w14:textId="77777777" w:rsidR="00484042" w:rsidRDefault="00484042" w:rsidP="00484042">
      <w:pPr>
        <w:ind w:left="1620" w:hanging="1620"/>
      </w:pPr>
      <w:r>
        <w:t>CTSO</w:t>
      </w:r>
      <w:r>
        <w:tab/>
        <w:t>Career Technical Student Organization</w:t>
      </w:r>
    </w:p>
    <w:p w14:paraId="3E7B4D01" w14:textId="77777777" w:rsidR="00484042" w:rsidRDefault="00484042" w:rsidP="00484042">
      <w:pPr>
        <w:ind w:left="1620" w:hanging="1620"/>
      </w:pPr>
      <w:r>
        <w:t>CWDB</w:t>
      </w:r>
      <w:r>
        <w:tab/>
        <w:t>California Workforce Development Board</w:t>
      </w:r>
    </w:p>
    <w:p w14:paraId="1B45E81F" w14:textId="77777777" w:rsidR="00484042" w:rsidRDefault="00484042" w:rsidP="00484042">
      <w:pPr>
        <w:ind w:left="1620" w:hanging="1620"/>
      </w:pPr>
      <w:r>
        <w:t>CWPJAC</w:t>
      </w:r>
      <w:r>
        <w:tab/>
        <w:t>California Workforce Pathways Joint Advisory Committee</w:t>
      </w:r>
    </w:p>
    <w:p w14:paraId="63E6AF0C" w14:textId="77777777" w:rsidR="00484042" w:rsidRDefault="00484042" w:rsidP="00484042">
      <w:pPr>
        <w:ind w:left="1620" w:hanging="1620"/>
      </w:pPr>
      <w:r>
        <w:t>DS CTE</w:t>
      </w:r>
      <w:r>
        <w:tab/>
        <w:t>Designated Subjects Career Technical Education</w:t>
      </w:r>
    </w:p>
    <w:p w14:paraId="23D64BA2" w14:textId="77777777" w:rsidR="00484042" w:rsidRDefault="00484042" w:rsidP="00484042">
      <w:pPr>
        <w:ind w:left="1620" w:hanging="1620"/>
      </w:pPr>
      <w:r w:rsidRPr="00D02E63">
        <w:rPr>
          <w:i/>
        </w:rPr>
        <w:t>EC</w:t>
      </w:r>
      <w:r>
        <w:tab/>
        <w:t xml:space="preserve">California </w:t>
      </w:r>
      <w:r w:rsidRPr="00D02E63">
        <w:rPr>
          <w:i/>
        </w:rPr>
        <w:t>Education Code</w:t>
      </w:r>
    </w:p>
    <w:p w14:paraId="6F204B62" w14:textId="77777777" w:rsidR="00484042" w:rsidRDefault="00484042" w:rsidP="00484042">
      <w:pPr>
        <w:ind w:left="1620" w:hanging="1620"/>
      </w:pPr>
      <w:r>
        <w:t>ECHS</w:t>
      </w:r>
      <w:r>
        <w:tab/>
        <w:t>Early College High School</w:t>
      </w:r>
    </w:p>
    <w:p w14:paraId="44F8DE05" w14:textId="77777777" w:rsidR="00484042" w:rsidRDefault="00484042" w:rsidP="00484042">
      <w:pPr>
        <w:ind w:left="1620" w:hanging="1620"/>
      </w:pPr>
      <w:r>
        <w:t>ED</w:t>
      </w:r>
      <w:r>
        <w:tab/>
        <w:t>United States Department of Education</w:t>
      </w:r>
    </w:p>
    <w:p w14:paraId="1A6A438E" w14:textId="77777777" w:rsidR="00484042" w:rsidRDefault="00484042" w:rsidP="00484042">
      <w:pPr>
        <w:ind w:left="1620" w:hanging="1620"/>
      </w:pPr>
      <w:r>
        <w:lastRenderedPageBreak/>
        <w:t>EDD</w:t>
      </w:r>
      <w:r>
        <w:tab/>
        <w:t>California Employment Development Department</w:t>
      </w:r>
    </w:p>
    <w:p w14:paraId="79AE5AFA" w14:textId="77777777" w:rsidR="00484042" w:rsidRDefault="00484042" w:rsidP="00484042">
      <w:pPr>
        <w:ind w:left="1620" w:hanging="1620"/>
      </w:pPr>
      <w:r>
        <w:t>ESL</w:t>
      </w:r>
      <w:r>
        <w:tab/>
        <w:t>English as a Second Language</w:t>
      </w:r>
    </w:p>
    <w:p w14:paraId="30E51219" w14:textId="77777777" w:rsidR="00484042" w:rsidRDefault="00484042" w:rsidP="00484042">
      <w:pPr>
        <w:ind w:left="1620" w:hanging="1620"/>
      </w:pPr>
      <w:r>
        <w:t>ESSA</w:t>
      </w:r>
      <w:r>
        <w:tab/>
        <w:t>Federal Every Student Succeeds Act</w:t>
      </w:r>
    </w:p>
    <w:p w14:paraId="5EF40480" w14:textId="77777777" w:rsidR="00484042" w:rsidRDefault="00484042" w:rsidP="00484042">
      <w:pPr>
        <w:ind w:left="1620" w:hanging="1620"/>
      </w:pPr>
      <w:r>
        <w:t>EWDAC</w:t>
      </w:r>
      <w:r>
        <w:tab/>
        <w:t>Economic and Workforce Development Advisory Committees at the California Community Colleges</w:t>
      </w:r>
    </w:p>
    <w:p w14:paraId="71D45CEE" w14:textId="446EBD77" w:rsidR="00351C18" w:rsidRDefault="00351C18" w:rsidP="00484042">
      <w:pPr>
        <w:ind w:left="1620" w:hanging="1620"/>
      </w:pPr>
      <w:r>
        <w:t>EWIG</w:t>
      </w:r>
      <w:r>
        <w:tab/>
        <w:t>Educator Workforce Investment Grant</w:t>
      </w:r>
    </w:p>
    <w:p w14:paraId="525D7DE9" w14:textId="61576BED" w:rsidR="00484042" w:rsidRDefault="00484042" w:rsidP="00484042">
      <w:pPr>
        <w:ind w:left="1620" w:hanging="1620"/>
      </w:pPr>
      <w:r>
        <w:t>FY</w:t>
      </w:r>
      <w:r>
        <w:tab/>
        <w:t>Fiscal Year</w:t>
      </w:r>
    </w:p>
    <w:p w14:paraId="67B4448F" w14:textId="77777777" w:rsidR="00484042" w:rsidRDefault="00484042" w:rsidP="00484042">
      <w:pPr>
        <w:ind w:left="1620" w:hanging="1620"/>
      </w:pPr>
      <w:r>
        <w:t>IDEA</w:t>
      </w:r>
      <w:r>
        <w:tab/>
        <w:t>Federal Individuals with Disabilities Education Act</w:t>
      </w:r>
    </w:p>
    <w:p w14:paraId="09B717E4" w14:textId="77777777" w:rsidR="00484042" w:rsidRDefault="00484042" w:rsidP="00484042">
      <w:pPr>
        <w:ind w:left="1620" w:hanging="1620"/>
      </w:pPr>
      <w:r>
        <w:t>JMT</w:t>
      </w:r>
      <w:r>
        <w:tab/>
        <w:t>Joint Management Team</w:t>
      </w:r>
    </w:p>
    <w:p w14:paraId="501C358F" w14:textId="77777777" w:rsidR="00484042" w:rsidRDefault="00484042" w:rsidP="00484042">
      <w:pPr>
        <w:ind w:left="1620" w:hanging="1620"/>
      </w:pPr>
      <w:r>
        <w:t>JSPAC</w:t>
      </w:r>
      <w:r>
        <w:tab/>
        <w:t>Joint Special Populations Advisory Committee</w:t>
      </w:r>
    </w:p>
    <w:p w14:paraId="653F7D79" w14:textId="35048A59" w:rsidR="00484042" w:rsidRDefault="00484042" w:rsidP="00484042">
      <w:pPr>
        <w:ind w:left="1620" w:hanging="1620"/>
      </w:pPr>
      <w:r>
        <w:t>K–12</w:t>
      </w:r>
      <w:r>
        <w:tab/>
        <w:t xml:space="preserve">Kindergarten through </w:t>
      </w:r>
      <w:r w:rsidR="00D02E63">
        <w:t>g</w:t>
      </w:r>
      <w:r>
        <w:t xml:space="preserve">rade </w:t>
      </w:r>
      <w:r w:rsidR="00D02E63">
        <w:t>t</w:t>
      </w:r>
      <w:r>
        <w:t>welve</w:t>
      </w:r>
    </w:p>
    <w:p w14:paraId="4FBD7295" w14:textId="6A5D2ABC" w:rsidR="00484042" w:rsidRDefault="00484042" w:rsidP="00484042">
      <w:pPr>
        <w:ind w:left="1620" w:hanging="1620"/>
      </w:pPr>
      <w:r>
        <w:t>K–12 SWP</w:t>
      </w:r>
      <w:r>
        <w:tab/>
        <w:t xml:space="preserve">Kindergarten through </w:t>
      </w:r>
      <w:r w:rsidR="00D02E63">
        <w:t>g</w:t>
      </w:r>
      <w:r>
        <w:t xml:space="preserve">rade </w:t>
      </w:r>
      <w:r w:rsidR="00D02E63">
        <w:t>t</w:t>
      </w:r>
      <w:r>
        <w:t>welve Strong Workforce Program</w:t>
      </w:r>
    </w:p>
    <w:p w14:paraId="31E19FFD" w14:textId="6128CBFE" w:rsidR="00484042" w:rsidRDefault="00484042" w:rsidP="00484042">
      <w:pPr>
        <w:ind w:left="1620" w:hanging="1620"/>
      </w:pPr>
      <w:r>
        <w:t>K–14</w:t>
      </w:r>
      <w:r>
        <w:tab/>
        <w:t xml:space="preserve">Kindergarten through </w:t>
      </w:r>
      <w:r w:rsidR="00D02E63">
        <w:t>g</w:t>
      </w:r>
      <w:r>
        <w:t xml:space="preserve">rade </w:t>
      </w:r>
      <w:r w:rsidR="00D02E63">
        <w:t>f</w:t>
      </w:r>
      <w:r>
        <w:t>ourteen</w:t>
      </w:r>
    </w:p>
    <w:p w14:paraId="37C368EE" w14:textId="61FDF803" w:rsidR="00484042" w:rsidRDefault="00484042" w:rsidP="00484042">
      <w:pPr>
        <w:ind w:left="1620" w:hanging="1620"/>
      </w:pPr>
      <w:r>
        <w:t>K–14+</w:t>
      </w:r>
      <w:r>
        <w:tab/>
        <w:t xml:space="preserve">Kindergarten through </w:t>
      </w:r>
      <w:r w:rsidR="00D02E63">
        <w:t>g</w:t>
      </w:r>
      <w:r>
        <w:t xml:space="preserve">rade </w:t>
      </w:r>
      <w:r w:rsidR="00D02E63">
        <w:t>f</w:t>
      </w:r>
      <w:r>
        <w:t>ourteen and beyond</w:t>
      </w:r>
    </w:p>
    <w:p w14:paraId="5E9D38E4" w14:textId="77777777" w:rsidR="00484042" w:rsidRDefault="00484042" w:rsidP="00484042">
      <w:pPr>
        <w:ind w:left="1620" w:hanging="1620"/>
      </w:pPr>
      <w:r>
        <w:t>LCAP</w:t>
      </w:r>
      <w:r>
        <w:tab/>
        <w:t>Local Control Accountability Plan for kindergarten through grade twelve districts</w:t>
      </w:r>
    </w:p>
    <w:p w14:paraId="509C7924" w14:textId="77777777" w:rsidR="00484042" w:rsidRDefault="00484042" w:rsidP="00484042">
      <w:pPr>
        <w:ind w:left="1620" w:hanging="1620"/>
      </w:pPr>
      <w:r>
        <w:t>LCFF</w:t>
      </w:r>
      <w:r>
        <w:tab/>
        <w:t>Local Control Funding Formula for kindergarten through grade twelve districts</w:t>
      </w:r>
    </w:p>
    <w:p w14:paraId="1DE02CA7" w14:textId="77777777" w:rsidR="00484042" w:rsidRDefault="00484042" w:rsidP="00484042">
      <w:pPr>
        <w:ind w:left="1620" w:hanging="1620"/>
      </w:pPr>
      <w:r>
        <w:t>LDI</w:t>
      </w:r>
      <w:r>
        <w:tab/>
        <w:t>Leadership Development Institute for kindergarten through grade twelve</w:t>
      </w:r>
    </w:p>
    <w:p w14:paraId="3C1DBC97" w14:textId="77777777" w:rsidR="00484042" w:rsidRDefault="00484042" w:rsidP="00484042">
      <w:pPr>
        <w:ind w:left="1620" w:hanging="1620"/>
      </w:pPr>
      <w:r>
        <w:t>LEA</w:t>
      </w:r>
      <w:r>
        <w:tab/>
        <w:t>Local Educational Agency</w:t>
      </w:r>
    </w:p>
    <w:p w14:paraId="5BD8AFFD" w14:textId="77777777" w:rsidR="00484042" w:rsidRDefault="00484042" w:rsidP="00484042">
      <w:pPr>
        <w:ind w:left="1620" w:hanging="1620"/>
      </w:pPr>
      <w:r>
        <w:t>LMI</w:t>
      </w:r>
      <w:r>
        <w:tab/>
        <w:t>Labor Market Information</w:t>
      </w:r>
    </w:p>
    <w:p w14:paraId="22E47386" w14:textId="77777777" w:rsidR="00484042" w:rsidRDefault="00484042" w:rsidP="00484042">
      <w:pPr>
        <w:ind w:left="1620" w:hanging="1620"/>
      </w:pPr>
      <w:r>
        <w:lastRenderedPageBreak/>
        <w:t>LMID</w:t>
      </w:r>
      <w:r>
        <w:tab/>
        <w:t>California Economic Development Department’s Labor Market Information Division</w:t>
      </w:r>
    </w:p>
    <w:p w14:paraId="3130A3C3" w14:textId="77777777" w:rsidR="00484042" w:rsidRDefault="00484042" w:rsidP="00484042">
      <w:pPr>
        <w:ind w:left="1620" w:hanging="1620"/>
      </w:pPr>
      <w:r>
        <w:t>LWDB</w:t>
      </w:r>
      <w:r>
        <w:tab/>
        <w:t>Local Workforce Development Board</w:t>
      </w:r>
    </w:p>
    <w:p w14:paraId="32073FA4" w14:textId="77777777" w:rsidR="00484042" w:rsidRDefault="00484042" w:rsidP="00484042">
      <w:pPr>
        <w:ind w:left="1620" w:hanging="1620"/>
      </w:pPr>
      <w:r>
        <w:t>MQ</w:t>
      </w:r>
      <w:r>
        <w:tab/>
        <w:t>Minimum Qualifications</w:t>
      </w:r>
    </w:p>
    <w:p w14:paraId="5B213B36" w14:textId="77777777" w:rsidR="00484042" w:rsidRDefault="00484042" w:rsidP="00484042">
      <w:pPr>
        <w:ind w:left="1620" w:hanging="1620"/>
      </w:pPr>
      <w:r>
        <w:t>OCR</w:t>
      </w:r>
      <w:r>
        <w:tab/>
        <w:t>Office of Civil Rights</w:t>
      </w:r>
    </w:p>
    <w:p w14:paraId="24E96F25" w14:textId="77777777" w:rsidR="00484042" w:rsidRDefault="00484042" w:rsidP="00484042">
      <w:pPr>
        <w:ind w:left="1620" w:hanging="1620"/>
      </w:pPr>
      <w:r>
        <w:t>OJT</w:t>
      </w:r>
      <w:r>
        <w:tab/>
        <w:t>On the Job Training</w:t>
      </w:r>
    </w:p>
    <w:p w14:paraId="2A59A0D4" w14:textId="77777777" w:rsidR="00484042" w:rsidRDefault="00484042" w:rsidP="00484042">
      <w:pPr>
        <w:ind w:left="1620" w:hanging="1620"/>
      </w:pPr>
      <w:r>
        <w:t>PD</w:t>
      </w:r>
      <w:r>
        <w:tab/>
        <w:t>Professional Development</w:t>
      </w:r>
    </w:p>
    <w:p w14:paraId="4B7BBC4F" w14:textId="77777777" w:rsidR="00484042" w:rsidRDefault="00484042" w:rsidP="00484042">
      <w:pPr>
        <w:ind w:left="1620" w:hanging="1620"/>
      </w:pPr>
      <w:r>
        <w:t>Perkins IV</w:t>
      </w:r>
      <w:r>
        <w:tab/>
        <w:t>Federal Carl D. Perkins Career and Technical Education Act of 2006</w:t>
      </w:r>
    </w:p>
    <w:p w14:paraId="64F3EDA0" w14:textId="77777777" w:rsidR="00484042" w:rsidRDefault="00484042" w:rsidP="00484042">
      <w:pPr>
        <w:ind w:left="1620" w:hanging="1620"/>
      </w:pPr>
      <w:r>
        <w:t>Perkins V</w:t>
      </w:r>
      <w:r>
        <w:tab/>
        <w:t>Federal Strengthening Career and Technical Education for the 21st Century Act</w:t>
      </w:r>
    </w:p>
    <w:p w14:paraId="7CF00589" w14:textId="77777777" w:rsidR="00484042" w:rsidRDefault="00484042" w:rsidP="00484042">
      <w:pPr>
        <w:ind w:left="1620" w:hanging="1620"/>
      </w:pPr>
      <w:r>
        <w:t>PGMS</w:t>
      </w:r>
      <w:r>
        <w:tab/>
        <w:t>Programs Grant Management System for kindergarten through grade twelve</w:t>
      </w:r>
    </w:p>
    <w:p w14:paraId="1F1166FC" w14:textId="77777777" w:rsidR="00484042" w:rsidRDefault="00484042" w:rsidP="00484042">
      <w:pPr>
        <w:ind w:left="1620" w:hanging="1620"/>
      </w:pPr>
      <w:r>
        <w:t>POS</w:t>
      </w:r>
      <w:r>
        <w:tab/>
        <w:t>Program of Study</w:t>
      </w:r>
    </w:p>
    <w:p w14:paraId="79A8A217" w14:textId="77777777" w:rsidR="00484042" w:rsidRDefault="00484042" w:rsidP="00484042">
      <w:pPr>
        <w:ind w:left="1620" w:hanging="1620"/>
      </w:pPr>
      <w:r>
        <w:t>ROCPs</w:t>
      </w:r>
      <w:r>
        <w:tab/>
        <w:t>Regional Occupational Centers and Programs</w:t>
      </w:r>
    </w:p>
    <w:p w14:paraId="555F56AC" w14:textId="77777777" w:rsidR="00484042" w:rsidRDefault="00484042" w:rsidP="00484042">
      <w:pPr>
        <w:ind w:left="1620" w:hanging="1620"/>
      </w:pPr>
      <w:r>
        <w:t>RSI</w:t>
      </w:r>
      <w:r>
        <w:tab/>
        <w:t>Related and Supplementary Instruction</w:t>
      </w:r>
    </w:p>
    <w:p w14:paraId="458CEA50" w14:textId="77777777" w:rsidR="00484042" w:rsidRDefault="00484042" w:rsidP="00484042">
      <w:pPr>
        <w:ind w:left="1620" w:hanging="1620"/>
      </w:pPr>
      <w:r>
        <w:t>SBE</w:t>
      </w:r>
      <w:r>
        <w:tab/>
        <w:t>California State Board of Education</w:t>
      </w:r>
    </w:p>
    <w:p w14:paraId="4A05D322" w14:textId="77777777" w:rsidR="00484042" w:rsidRDefault="00484042" w:rsidP="00484042">
      <w:pPr>
        <w:ind w:left="1620" w:hanging="1620"/>
      </w:pPr>
      <w:r>
        <w:t>SDPLs</w:t>
      </w:r>
      <w:r>
        <w:tab/>
        <w:t>State-Determined Performance Levels</w:t>
      </w:r>
    </w:p>
    <w:p w14:paraId="5C81918C" w14:textId="77777777" w:rsidR="00484042" w:rsidRDefault="00484042" w:rsidP="00484042">
      <w:pPr>
        <w:ind w:left="1620" w:hanging="1620"/>
      </w:pPr>
      <w:r>
        <w:t>SEA</w:t>
      </w:r>
      <w:r>
        <w:tab/>
        <w:t>State Educational Agency</w:t>
      </w:r>
    </w:p>
    <w:p w14:paraId="4626CDBE" w14:textId="2890ED9E" w:rsidR="006D63D4" w:rsidRDefault="006D63D4" w:rsidP="00484042">
      <w:pPr>
        <w:ind w:left="1620" w:hanging="1620"/>
        <w:rPr>
          <w:rFonts w:eastAsia="Calibri" w:cs="Times New Roman"/>
        </w:rPr>
      </w:pPr>
      <w:r>
        <w:rPr>
          <w:rFonts w:eastAsia="Calibri" w:cs="Times New Roman"/>
        </w:rPr>
        <w:t>SEAP</w:t>
      </w:r>
      <w:r>
        <w:rPr>
          <w:rFonts w:eastAsia="Calibri" w:cs="Times New Roman"/>
        </w:rPr>
        <w:tab/>
      </w:r>
      <w:r w:rsidRPr="006D63D4">
        <w:rPr>
          <w:rFonts w:eastAsia="Calibri" w:cs="Times New Roman"/>
        </w:rPr>
        <w:t>Student</w:t>
      </w:r>
      <w:r>
        <w:rPr>
          <w:rFonts w:eastAsia="Calibri" w:cs="Times New Roman"/>
        </w:rPr>
        <w:t xml:space="preserve"> E</w:t>
      </w:r>
      <w:r w:rsidRPr="006D63D4">
        <w:rPr>
          <w:rFonts w:eastAsia="Calibri" w:cs="Times New Roman"/>
        </w:rPr>
        <w:t>qui</w:t>
      </w:r>
      <w:r>
        <w:rPr>
          <w:rFonts w:eastAsia="Calibri" w:cs="Times New Roman"/>
        </w:rPr>
        <w:t>ty and Achievement Program</w:t>
      </w:r>
    </w:p>
    <w:p w14:paraId="0756DFC4" w14:textId="77169DA7" w:rsidR="002627B2" w:rsidRDefault="002627B2" w:rsidP="00484042">
      <w:pPr>
        <w:ind w:left="1620" w:hanging="1620"/>
      </w:pPr>
      <w:r>
        <w:t>SS</w:t>
      </w:r>
      <w:r>
        <w:tab/>
        <w:t>S</w:t>
      </w:r>
      <w:r w:rsidRPr="008718E1">
        <w:t xml:space="preserve">ingle </w:t>
      </w:r>
      <w:r>
        <w:t>S</w:t>
      </w:r>
      <w:r w:rsidRPr="008718E1">
        <w:t>ubject</w:t>
      </w:r>
      <w:r>
        <w:t xml:space="preserve"> </w:t>
      </w:r>
    </w:p>
    <w:p w14:paraId="71B98BA9" w14:textId="2AD315D5" w:rsidR="00484042" w:rsidRDefault="00484042" w:rsidP="00484042">
      <w:pPr>
        <w:ind w:left="1620" w:hanging="1620"/>
      </w:pPr>
      <w:r>
        <w:t>SSAC</w:t>
      </w:r>
      <w:r>
        <w:tab/>
        <w:t>Statewide Stakeholder Advisory Committee</w:t>
      </w:r>
    </w:p>
    <w:p w14:paraId="762FD07F" w14:textId="77777777" w:rsidR="00484042" w:rsidRDefault="00484042" w:rsidP="00484042">
      <w:pPr>
        <w:ind w:left="1620" w:hanging="1620"/>
      </w:pPr>
      <w:r>
        <w:lastRenderedPageBreak/>
        <w:t>STEAM</w:t>
      </w:r>
      <w:r>
        <w:tab/>
        <w:t>Science, Technology, Engineering, Art, and Mathematics</w:t>
      </w:r>
    </w:p>
    <w:p w14:paraId="235E8CF4" w14:textId="77777777" w:rsidR="00484042" w:rsidRDefault="00484042" w:rsidP="00484042">
      <w:pPr>
        <w:ind w:left="1620" w:hanging="1620"/>
      </w:pPr>
      <w:r>
        <w:t>STEM</w:t>
      </w:r>
      <w:r>
        <w:tab/>
        <w:t>Science, Technology, Engineering, and Mathematics</w:t>
      </w:r>
    </w:p>
    <w:p w14:paraId="7D522702" w14:textId="55909798" w:rsidR="00484042" w:rsidRDefault="00484042" w:rsidP="00484042">
      <w:pPr>
        <w:ind w:left="1620" w:hanging="1620"/>
      </w:pPr>
      <w:r>
        <w:t>SWP</w:t>
      </w:r>
      <w:r>
        <w:tab/>
        <w:t>Strong Workforce Program</w:t>
      </w:r>
    </w:p>
    <w:p w14:paraId="53AF64AC" w14:textId="77777777" w:rsidR="00484042" w:rsidRDefault="00484042" w:rsidP="00484042">
      <w:pPr>
        <w:ind w:left="1620" w:hanging="1620"/>
      </w:pPr>
      <w:r>
        <w:t>UC</w:t>
      </w:r>
      <w:r>
        <w:tab/>
        <w:t>University of California system</w:t>
      </w:r>
    </w:p>
    <w:p w14:paraId="0AB5F886" w14:textId="77777777" w:rsidR="00484042" w:rsidRDefault="00484042" w:rsidP="00484042">
      <w:pPr>
        <w:ind w:left="1620" w:hanging="1620"/>
      </w:pPr>
      <w:r>
        <w:t>WBL</w:t>
      </w:r>
      <w:r>
        <w:tab/>
        <w:t>Work-Based Learning</w:t>
      </w:r>
    </w:p>
    <w:p w14:paraId="020BDE96" w14:textId="77777777" w:rsidR="00484042" w:rsidRDefault="00484042" w:rsidP="00484042">
      <w:pPr>
        <w:ind w:left="1620" w:hanging="1620"/>
      </w:pPr>
      <w:r>
        <w:t>WEDD</w:t>
      </w:r>
      <w:r>
        <w:tab/>
        <w:t>Workforce and Economic Development Division at the California Community Colleges Chancellor’s Office</w:t>
      </w:r>
    </w:p>
    <w:p w14:paraId="1C66D2EC" w14:textId="77777777" w:rsidR="00484042" w:rsidRDefault="00484042" w:rsidP="00484042">
      <w:pPr>
        <w:ind w:left="1620" w:hanging="1620"/>
      </w:pPr>
      <w:r>
        <w:t>WEE</w:t>
      </w:r>
      <w:r>
        <w:tab/>
        <w:t>Work Experience Education</w:t>
      </w:r>
    </w:p>
    <w:p w14:paraId="3BF04A4B" w14:textId="2FB66494" w:rsidR="009C018D" w:rsidRPr="002F2687" w:rsidRDefault="00484042" w:rsidP="00484042">
      <w:pPr>
        <w:ind w:left="1620" w:hanging="1620"/>
      </w:pPr>
      <w:r>
        <w:t>WIOA</w:t>
      </w:r>
      <w:r>
        <w:tab/>
        <w:t>Federal Workforce Innovation and Opportunities Act</w:t>
      </w:r>
    </w:p>
    <w:sectPr w:rsidR="009C018D" w:rsidRPr="002F2687" w:rsidSect="00A32FBA">
      <w:headerReference w:type="first" r:id="rId64"/>
      <w:footerReference w:type="first" r:id="rId65"/>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CCAC" w14:textId="77777777" w:rsidR="00A61F7C" w:rsidRDefault="00A61F7C" w:rsidP="002E4AA7">
      <w:r>
        <w:separator/>
      </w:r>
    </w:p>
  </w:endnote>
  <w:endnote w:type="continuationSeparator" w:id="0">
    <w:p w14:paraId="21E2B995" w14:textId="77777777" w:rsidR="00A61F7C" w:rsidRDefault="00A61F7C" w:rsidP="002E4AA7">
      <w:r>
        <w:continuationSeparator/>
      </w:r>
    </w:p>
  </w:endnote>
  <w:endnote w:type="continuationNotice" w:id="1">
    <w:p w14:paraId="2F406F51" w14:textId="77777777" w:rsidR="00A61F7C" w:rsidRDefault="00A61F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217D" w14:textId="4E7D870D" w:rsidR="00293A60" w:rsidRPr="00174960" w:rsidRDefault="00293A60" w:rsidP="00174960">
    <w:pPr>
      <w:pStyle w:val="Footer"/>
      <w:jc w:val="left"/>
      <w:rPr>
        <w:rFonts w:cs="Times New Roman (Body CS)"/>
      </w:rPr>
    </w:pPr>
    <w:r>
      <w:t>Federal</w:t>
    </w:r>
    <w:r w:rsidRPr="00A52DB4">
      <w:t xml:space="preserve"> Perkins V</w:t>
    </w:r>
    <w:r>
      <w:t xml:space="preserve"> State Plan</w:t>
    </w:r>
    <w:r>
      <w:tab/>
    </w:r>
    <w:sdt>
      <w:sdtPr>
        <w:rPr>
          <w:rFonts w:cs="Times New Roman (Body CS)"/>
        </w:rPr>
        <w:id w:val="-60943536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Pr>
            <w:rFonts w:cs="Times New Roman (Body CS)"/>
            <w:noProof/>
          </w:rPr>
          <w:t>17</w:t>
        </w:r>
        <w:r w:rsidRPr="009C0AA9">
          <w:rPr>
            <w:rFonts w:cs="Times New Roman (Body 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00F8" w14:textId="77777777" w:rsidR="00293A60" w:rsidRDefault="00000000"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rsidR="00293A60">
          <w:t>California State Plan for Career Technical Education</w:t>
        </w:r>
      </w:sdtContent>
    </w:sdt>
    <w:r w:rsidR="00293A60">
      <w:rPr>
        <w:color w:val="7F7F7F" w:themeColor="background1" w:themeShade="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FFEB" w14:textId="77777777" w:rsidR="00A61F7C" w:rsidRDefault="00A61F7C" w:rsidP="002E4AA7">
      <w:r>
        <w:separator/>
      </w:r>
    </w:p>
  </w:footnote>
  <w:footnote w:type="continuationSeparator" w:id="0">
    <w:p w14:paraId="605DD1E3" w14:textId="77777777" w:rsidR="00A61F7C" w:rsidRDefault="00A61F7C" w:rsidP="002E4AA7">
      <w:r>
        <w:continuationSeparator/>
      </w:r>
    </w:p>
  </w:footnote>
  <w:footnote w:type="continuationNotice" w:id="1">
    <w:p w14:paraId="4E482724" w14:textId="77777777" w:rsidR="00A61F7C" w:rsidRDefault="00A61F7C">
      <w:pPr>
        <w:spacing w:after="0"/>
      </w:pPr>
    </w:p>
  </w:footnote>
  <w:footnote w:id="2">
    <w:p w14:paraId="2DE28C05" w14:textId="218ACD59" w:rsidR="00293A60" w:rsidRDefault="00293A60">
      <w:pPr>
        <w:pStyle w:val="FootnoteText"/>
      </w:pPr>
      <w:r w:rsidRPr="00DF50FC">
        <w:rPr>
          <w:rStyle w:val="FootnoteReference"/>
          <w:vertAlign w:val="baseline"/>
        </w:rPr>
        <w:footnoteRef/>
      </w:r>
      <w:r w:rsidR="00DF50FC">
        <w:t>.</w:t>
      </w:r>
      <w:r w:rsidRPr="00DF50FC">
        <w:tab/>
      </w:r>
      <w:r>
        <w:t>Federal Government</w:t>
      </w:r>
      <w:r w:rsidRPr="00514138">
        <w:t xml:space="preserve"> </w:t>
      </w:r>
      <w:r>
        <w:t xml:space="preserve">footnote: </w:t>
      </w:r>
      <w:r w:rsidRPr="00514138">
        <w:t>Item F will only appear to the user in the Perkins V State Plan Portal in subsequent years (FY 2020</w:t>
      </w:r>
      <w:r>
        <w:t>–</w:t>
      </w:r>
      <w:r w:rsidRPr="00514138">
        <w:t>23)</w:t>
      </w:r>
    </w:p>
  </w:footnote>
  <w:footnote w:id="3">
    <w:p w14:paraId="672255E2" w14:textId="64F49FBA" w:rsidR="00293A60" w:rsidRDefault="00293A60">
      <w:pPr>
        <w:pStyle w:val="FootnoteText"/>
      </w:pPr>
      <w:r w:rsidRPr="00DF50FC">
        <w:rPr>
          <w:rStyle w:val="FootnoteReference"/>
          <w:vertAlign w:val="baseline"/>
        </w:rPr>
        <w:footnoteRef/>
      </w:r>
      <w:r w:rsidR="00DF50FC">
        <w:t>.</w:t>
      </w:r>
      <w:r w:rsidRPr="00DF50FC">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17A09EF4" w:rsidR="00293A60" w:rsidRDefault="00293A60">
      <w:pPr>
        <w:pStyle w:val="FootnoteText"/>
      </w:pPr>
      <w:r w:rsidRPr="00DF50FC">
        <w:rPr>
          <w:rStyle w:val="FootnoteReference"/>
          <w:vertAlign w:val="baseline"/>
        </w:rPr>
        <w:footnoteRef/>
      </w:r>
      <w:r w:rsidR="00DF50FC">
        <w:t>.</w:t>
      </w:r>
      <w:r w:rsidRPr="00DF50FC">
        <w:t xml:space="preserve"> </w:t>
      </w:r>
      <w:r w:rsidRPr="00DF50FC">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3C444162" w14:textId="77777777" w:rsidR="00293A60" w:rsidRDefault="00293A60" w:rsidP="00722512">
      <w:pPr>
        <w:pStyle w:val="FootnoteText"/>
      </w:pPr>
      <w:r w:rsidRPr="00413DE8">
        <w:rPr>
          <w:rStyle w:val="FootnoteReference"/>
          <w:vertAlign w:val="baseline"/>
        </w:rPr>
        <w:footnoteRef/>
      </w:r>
      <w:r>
        <w:t>.</w:t>
      </w:r>
      <w:r w:rsidRPr="00413DE8">
        <w:t xml:space="preserve"> </w:t>
      </w:r>
      <w:r>
        <w:t xml:space="preserve">WBL </w:t>
      </w:r>
      <w:r w:rsidRPr="001855ED">
        <w:t>means sustained interactions with industry or community professionals in real workplace settings, to the extent practicable, or simulated environments at an educational institution that foster in-depth, first</w:t>
      </w:r>
      <w:r>
        <w:t>-</w:t>
      </w:r>
      <w:r w:rsidRPr="001855ED">
        <w:t>hand engagement with the tasks required in a given career field that are aligned to curriculum and instruction.</w:t>
      </w:r>
    </w:p>
  </w:footnote>
  <w:footnote w:id="6">
    <w:p w14:paraId="775B9F27" w14:textId="3000679A" w:rsidR="00293A60" w:rsidRDefault="00293A60">
      <w:pPr>
        <w:pStyle w:val="FootnoteText"/>
      </w:pPr>
      <w:r w:rsidRPr="005A3A5B">
        <w:rPr>
          <w:rStyle w:val="FootnoteReference"/>
          <w:vertAlign w:val="baseline"/>
        </w:rPr>
        <w:footnoteRef/>
      </w:r>
      <w:r>
        <w:t>.</w:t>
      </w:r>
      <w:r w:rsidRPr="005A3A5B">
        <w:t xml:space="preserve"> </w:t>
      </w:r>
      <w:r>
        <w:t xml:space="preserve">The K–12 data is for the academic year 2018–19 and is taken from </w:t>
      </w:r>
      <w:hyperlink r:id="rId1" w:tooltip="The CDE's Finger Tip Facts" w:history="1">
        <w:r w:rsidRPr="001B2D7A">
          <w:rPr>
            <w:rStyle w:val="Hyperlink"/>
          </w:rPr>
          <w:t>https://www.cde.ca.gov/ds/sd/cb/ceffingertipfacts.asp</w:t>
        </w:r>
      </w:hyperlink>
      <w:r>
        <w:t xml:space="preserve">. The community college numbers are taken from </w:t>
      </w:r>
      <w:hyperlink r:id="rId2" w:tooltip="The CCCCO's Key Facts" w:history="1">
        <w:r>
          <w:rPr>
            <w:rStyle w:val="Hyperlink"/>
          </w:rPr>
          <w:t>https://www.cccco.edu/About-Us/Key-Facts</w:t>
        </w:r>
      </w:hyperlink>
      <w:r>
        <w:t>.</w:t>
      </w:r>
    </w:p>
  </w:footnote>
  <w:footnote w:id="7">
    <w:p w14:paraId="28D7F1E9" w14:textId="11D35347" w:rsidR="00293A60" w:rsidRPr="004F57B5" w:rsidRDefault="00293A60" w:rsidP="003440BC">
      <w:pPr>
        <w:pStyle w:val="FootnoteText"/>
      </w:pPr>
      <w:r w:rsidRPr="00413DE8">
        <w:rPr>
          <w:rStyle w:val="FootnoteReference"/>
          <w:vertAlign w:val="baseline"/>
        </w:rPr>
        <w:footnoteRef/>
      </w:r>
      <w:r>
        <w:t>.</w:t>
      </w:r>
      <w:r w:rsidRPr="005F3649">
        <w:t xml:space="preserve"> </w:t>
      </w:r>
      <w:r>
        <w:t>CDE. 2017–18. DataQuest course enrollment.</w:t>
      </w:r>
      <w:r w:rsidRPr="004F57B5">
        <w:t xml:space="preserve"> </w:t>
      </w:r>
      <w:hyperlink r:id="rId3" w:tooltip="DataQuest" w:history="1">
        <w:r w:rsidRPr="004F57B5">
          <w:rPr>
            <w:rStyle w:val="Hyperlink"/>
          </w:rPr>
          <w:t>https://dq.cde.ca.gov/dataquest/</w:t>
        </w:r>
      </w:hyperlink>
      <w:r w:rsidRPr="004F57B5">
        <w:t xml:space="preserve"> </w:t>
      </w:r>
    </w:p>
  </w:footnote>
  <w:footnote w:id="8">
    <w:p w14:paraId="7F684065" w14:textId="57618075" w:rsidR="00293A60" w:rsidRPr="0062136B" w:rsidRDefault="00293A60" w:rsidP="00625A89">
      <w:pPr>
        <w:pStyle w:val="FootnoteText"/>
        <w:spacing w:after="0"/>
      </w:pPr>
      <w:r w:rsidRPr="00413DE8">
        <w:rPr>
          <w:rStyle w:val="FootnoteReference"/>
          <w:vertAlign w:val="baseline"/>
        </w:rPr>
        <w:footnoteRef/>
      </w:r>
      <w:r>
        <w:t>.</w:t>
      </w:r>
      <w:r w:rsidRPr="00413DE8">
        <w:t xml:space="preserve"> </w:t>
      </w:r>
      <w:r w:rsidRPr="004F57B5">
        <w:t>CDE. 2019</w:t>
      </w:r>
      <w:r>
        <w:t xml:space="preserve">. </w:t>
      </w:r>
      <w:r w:rsidRPr="00FF1D1E">
        <w:t>Speci</w:t>
      </w:r>
      <w:r>
        <w:t>alized Secondary Programs</w:t>
      </w:r>
      <w:r w:rsidRPr="00FF1D1E">
        <w:t xml:space="preserve"> Overview</w:t>
      </w:r>
      <w:r>
        <w:t xml:space="preserve"> </w:t>
      </w:r>
      <w:hyperlink r:id="rId4" w:tooltip="CDE's Specialized Secondary Programs" w:history="1">
        <w:r w:rsidRPr="004F57B5">
          <w:rPr>
            <w:rStyle w:val="Hyperlink"/>
          </w:rPr>
          <w:t>https://www.cde.ca.gov/ci/gs/hs/sspoverview.asp</w:t>
        </w:r>
      </w:hyperlink>
      <w:r w:rsidRPr="005F3649">
        <w:t xml:space="preserve"> </w:t>
      </w:r>
    </w:p>
  </w:footnote>
  <w:footnote w:id="9">
    <w:p w14:paraId="30C23CAE" w14:textId="3C935E84" w:rsidR="00293A60" w:rsidRDefault="00293A60">
      <w:pPr>
        <w:pStyle w:val="FootnoteText"/>
      </w:pPr>
      <w:r w:rsidRPr="00413DE8">
        <w:rPr>
          <w:rStyle w:val="FootnoteReference"/>
          <w:vertAlign w:val="baselin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w:t>
      </w:r>
      <w:r>
        <w:t>s</w:t>
      </w:r>
      <w:r w:rsidRPr="00B863F8">
        <w:t xml:space="preserve"> to experience a variety of careers; and vocational work experience allows students to explore a career interest in greater depth.</w:t>
      </w:r>
    </w:p>
  </w:footnote>
  <w:footnote w:id="10">
    <w:p w14:paraId="615DD44F" w14:textId="1B682400" w:rsidR="00293A60" w:rsidRDefault="00293A60">
      <w:pPr>
        <w:pStyle w:val="FootnoteText"/>
      </w:pPr>
      <w:r w:rsidRPr="005678F9">
        <w:rPr>
          <w:rStyle w:val="FootnoteReference"/>
          <w:vertAlign w:val="baseline"/>
        </w:rPr>
        <w:footnoteRef/>
      </w:r>
      <w:r w:rsidRPr="005678F9">
        <w:t xml:space="preserve">. </w:t>
      </w:r>
      <w:bookmarkStart w:id="45" w:name="_Hlk34393740"/>
      <w:r w:rsidRPr="005678F9">
        <w:t xml:space="preserve">AB 705 requires that the CCCs maximize the probability that a student will enter and complete transfer-level coursework in English and math within a one year timeframe and use, in the placement of students into English and math courses, one or more of the following: high school coursework, high school grades, and high school grade point average. For more information on AB 705 visit </w:t>
      </w:r>
      <w:hyperlink r:id="rId5" w:tooltip="The CCCCO information page about AB 705" w:history="1">
        <w:r w:rsidRPr="005678F9">
          <w:rPr>
            <w:rStyle w:val="Hyperlink"/>
          </w:rPr>
          <w:t>https://assessment.cccco.edu/ab-705-implementation</w:t>
        </w:r>
      </w:hyperlink>
      <w:r w:rsidRPr="005678F9">
        <w:t>.</w:t>
      </w:r>
      <w:r>
        <w:t xml:space="preserve"> </w:t>
      </w:r>
      <w:bookmarkEnd w:id="45"/>
    </w:p>
  </w:footnote>
  <w:footnote w:id="11">
    <w:p w14:paraId="7793D79B" w14:textId="3D46FC58" w:rsidR="00293A60" w:rsidRPr="00F50DF2" w:rsidRDefault="00293A60" w:rsidP="00080704">
      <w:pPr>
        <w:pStyle w:val="FootnoteText"/>
        <w:rPr>
          <w:rFonts w:cs="Arial"/>
        </w:rPr>
      </w:pPr>
      <w:r w:rsidRPr="00413DE8">
        <w:rPr>
          <w:rStyle w:val="FootnoteReference"/>
          <w:vertAlign w:val="baseline"/>
        </w:rPr>
        <w:footnoteRef/>
      </w:r>
      <w:r>
        <w:t xml:space="preserve">. </w:t>
      </w:r>
      <w:r>
        <w:rPr>
          <w:rFonts w:cs="Arial"/>
        </w:rPr>
        <w:t>CWDB. 2019. CWDB</w:t>
      </w:r>
      <w:r w:rsidRPr="00EF34C7">
        <w:rPr>
          <w:rFonts w:cs="Arial"/>
        </w:rPr>
        <w:t xml:space="preserve"> WIOA S</w:t>
      </w:r>
      <w:r>
        <w:rPr>
          <w:rFonts w:cs="Arial"/>
        </w:rPr>
        <w:t>tate</w:t>
      </w:r>
      <w:r w:rsidRPr="00EF34C7">
        <w:rPr>
          <w:rFonts w:cs="Arial"/>
        </w:rPr>
        <w:t xml:space="preserve"> P</w:t>
      </w:r>
      <w:r>
        <w:rPr>
          <w:rFonts w:cs="Arial"/>
        </w:rPr>
        <w:t>lan</w:t>
      </w:r>
      <w:r w:rsidRPr="00EF34C7">
        <w:rPr>
          <w:rFonts w:cs="Arial"/>
        </w:rPr>
        <w:t xml:space="preserve"> S</w:t>
      </w:r>
      <w:r>
        <w:rPr>
          <w:rFonts w:cs="Arial"/>
        </w:rPr>
        <w:t>ubcommittee</w:t>
      </w:r>
      <w:r w:rsidRPr="00EF34C7">
        <w:rPr>
          <w:rFonts w:cs="Arial"/>
        </w:rPr>
        <w:t xml:space="preserve"> M</w:t>
      </w:r>
      <w:r>
        <w:rPr>
          <w:rFonts w:cs="Arial"/>
        </w:rPr>
        <w:t xml:space="preserve">eeting </w:t>
      </w:r>
      <w:r w:rsidRPr="00EF34C7">
        <w:rPr>
          <w:rFonts w:cs="Arial"/>
        </w:rPr>
        <w:t>N</w:t>
      </w:r>
      <w:r>
        <w:rPr>
          <w:rFonts w:cs="Arial"/>
        </w:rPr>
        <w:t xml:space="preserve">otice for October 9, 2019. </w:t>
      </w:r>
      <w:hyperlink r:id="rId6" w:tooltip="The CWDB's October 9, 2019 Meeting Agenda" w:history="1">
        <w:r w:rsidRPr="00F50DF2">
          <w:rPr>
            <w:rStyle w:val="Hyperlink"/>
            <w:rFonts w:cs="Arial"/>
          </w:rPr>
          <w:t>https://www.dor.ca.gov/Content/DorIncludes/documents/CCEPD/Archive2019/CWDB%20WIOA%20State%20Plan%20Subcommittee%20-%20Oct%209%20Packet.pdf</w:t>
        </w:r>
      </w:hyperlink>
    </w:p>
  </w:footnote>
  <w:footnote w:id="12">
    <w:p w14:paraId="06519AB4" w14:textId="49AB5433" w:rsidR="00293A60" w:rsidRDefault="00293A60">
      <w:pPr>
        <w:pStyle w:val="FootnoteText"/>
      </w:pPr>
      <w:r w:rsidRPr="005A3A5B">
        <w:rPr>
          <w:rStyle w:val="FootnoteReference"/>
          <w:vertAlign w:val="baseline"/>
        </w:rPr>
        <w:footnoteRef/>
      </w:r>
      <w:r>
        <w:t xml:space="preserve">. </w:t>
      </w:r>
      <w:r w:rsidRPr="00D92EF8">
        <w:t>Assembly Bill</w:t>
      </w:r>
      <w:r>
        <w:t xml:space="preserve"> (AB)</w:t>
      </w:r>
      <w:r w:rsidRPr="00D92EF8">
        <w:t xml:space="preserve"> 540 was signed into law in October 2001 and allows eligible undocumented, legal permanent resident and U.S. citizen students to pay in-state tuition at public colleges and universities.</w:t>
      </w:r>
      <w:r>
        <w:t xml:space="preserve"> </w:t>
      </w:r>
      <w:r w:rsidRPr="00D92EF8">
        <w:t xml:space="preserve">In 2017, </w:t>
      </w:r>
      <w:r>
        <w:t>Senate Bill (</w:t>
      </w:r>
      <w:r w:rsidRPr="00D92EF8">
        <w:t>SB</w:t>
      </w:r>
      <w:r>
        <w:t xml:space="preserve">) </w:t>
      </w:r>
      <w:r w:rsidRPr="00D92EF8">
        <w:t>68 helped expand AB</w:t>
      </w:r>
      <w:r>
        <w:t xml:space="preserve"> </w:t>
      </w:r>
      <w:r w:rsidRPr="00D92EF8">
        <w:t>540 to enable students to count Community College and Adult School towards AB</w:t>
      </w:r>
      <w:r>
        <w:t xml:space="preserve"> </w:t>
      </w:r>
      <w:r w:rsidRPr="00D92EF8">
        <w:t>540 Eligibility.</w:t>
      </w:r>
      <w:r>
        <w:t xml:space="preserve"> For details on eligibility requirements see </w:t>
      </w:r>
      <w:hyperlink r:id="rId7" w:tooltip="The CSAC's Tuition exemption" w:history="1">
        <w:r>
          <w:rPr>
            <w:rStyle w:val="Hyperlink"/>
          </w:rPr>
          <w:t>https://www.csac.ca.gov/post/california-nonresident-tuition-exemption</w:t>
        </w:r>
      </w:hyperlink>
    </w:p>
  </w:footnote>
  <w:footnote w:id="13">
    <w:p w14:paraId="5EEA870B" w14:textId="0523F91D" w:rsidR="00293A60" w:rsidRDefault="00293A60">
      <w:pPr>
        <w:pStyle w:val="FootnoteText"/>
      </w:pPr>
      <w:r w:rsidRPr="005A3A5B">
        <w:rPr>
          <w:rStyle w:val="FootnoteReference"/>
          <w:vertAlign w:val="baseline"/>
        </w:rPr>
        <w:footnoteRef/>
      </w:r>
      <w:r>
        <w:t>.</w:t>
      </w:r>
      <w:r w:rsidRPr="005A3A5B">
        <w:t xml:space="preserve"> </w:t>
      </w:r>
      <w:r>
        <w:t xml:space="preserve">To view the matrix of metrics please visit the SBE’s February 2020 Information Memoranda web page at </w:t>
      </w:r>
      <w:hyperlink r:id="rId8" w:tooltip="The SBE's February 2020 information Memorandas" w:history="1">
        <w:r w:rsidRPr="006A3FFC">
          <w:rPr>
            <w:rStyle w:val="Hyperlink"/>
          </w:rPr>
          <w:t>https://www.cde.ca.gov/be/pn/im/infomemofeb2020.asp</w:t>
        </w:r>
      </w:hyperlink>
      <w:r>
        <w:t xml:space="preserve">. </w:t>
      </w:r>
    </w:p>
  </w:footnote>
  <w:footnote w:id="14">
    <w:p w14:paraId="20EEDD2D" w14:textId="42389837" w:rsidR="00293A60" w:rsidRDefault="00293A60" w:rsidP="00054346">
      <w:pPr>
        <w:pStyle w:val="FootnoteText"/>
      </w:pPr>
      <w:r w:rsidRPr="00413DE8">
        <w:rPr>
          <w:rStyle w:val="FootnoteReference"/>
          <w:vertAlign w:val="baseline"/>
        </w:rPr>
        <w:footnoteRef/>
      </w:r>
      <w:r>
        <w:t>. See Appendix C for a crosswalk of the CTE Industry Sectors and Pathways at the CDE with the CCC Industry Sectors. With California’s changing economy, the time to revisit the crosswalk has come, in order to achieve more system alignment among all agencies involved in CTE.</w:t>
      </w:r>
    </w:p>
  </w:footnote>
  <w:footnote w:id="15">
    <w:p w14:paraId="4573747E" w14:textId="0C3F954C" w:rsidR="00293A60" w:rsidRDefault="00293A60">
      <w:pPr>
        <w:pStyle w:val="FootnoteText"/>
      </w:pPr>
      <w:r w:rsidRPr="00413DE8">
        <w:rPr>
          <w:rStyle w:val="FootnoteReference"/>
          <w:vertAlign w:val="baseline"/>
        </w:rPr>
        <w:footnoteRef/>
      </w:r>
      <w:r>
        <w:t xml:space="preserve">. Community College League of California. 2018. </w:t>
      </w:r>
      <w:r w:rsidRPr="00EF34C7">
        <w:rPr>
          <w:i/>
          <w:iCs/>
        </w:rPr>
        <w:t>The Curriculum Approval Process</w:t>
      </w:r>
      <w:r w:rsidRPr="00EF34C7">
        <w:rPr>
          <w:i/>
        </w:rPr>
        <w:t xml:space="preserve">. </w:t>
      </w:r>
      <w:hyperlink r:id="rId9" w:tooltip="The Community College League of California" w:history="1">
        <w:r>
          <w:rPr>
            <w:rStyle w:val="Hyperlink"/>
            <w:rFonts w:eastAsiaTheme="majorEastAsia"/>
          </w:rPr>
          <w:t>https://www.ccleague.org/sites/default/files/trustees-resources/curriculum_approval_process_publication.pdf</w:t>
        </w:r>
      </w:hyperlink>
    </w:p>
  </w:footnote>
  <w:footnote w:id="16">
    <w:p w14:paraId="03FF77AC" w14:textId="03F9694F" w:rsidR="00293A60" w:rsidRDefault="00293A60"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the responses to prompts B(2)(c)(iv), B(2)(c)(vii), and B(</w:t>
      </w:r>
      <w:r w:rsidRPr="002F2687">
        <w:t>3</w:t>
      </w:r>
      <w:r>
        <w:t>)</w:t>
      </w:r>
      <w:r w:rsidRPr="002F2687">
        <w:t>.</w:t>
      </w:r>
    </w:p>
  </w:footnote>
  <w:footnote w:id="17">
    <w:p w14:paraId="4FFF0F88" w14:textId="1249AF54" w:rsidR="00293A60" w:rsidRDefault="00293A60">
      <w:pPr>
        <w:pStyle w:val="FootnoteText"/>
      </w:pPr>
      <w:r w:rsidRPr="00413DE8">
        <w:rPr>
          <w:rStyle w:val="FootnoteReference"/>
          <w:vertAlign w:val="baseline"/>
        </w:rPr>
        <w:footnoteRef/>
      </w:r>
      <w:r>
        <w:t xml:space="preserve">. </w:t>
      </w:r>
      <w:r w:rsidRPr="00C63E89">
        <w:t>If a district or school is unable to</w:t>
      </w:r>
      <w:r>
        <w:t>,</w:t>
      </w:r>
      <w:r w:rsidRPr="00C63E89">
        <w:t xml:space="preserve"> </w:t>
      </w:r>
      <w:r>
        <w:t xml:space="preserve">or elects not to, </w:t>
      </w:r>
      <w:r w:rsidRPr="00C63E89">
        <w:t xml:space="preserve">provide the opportunity for students to participate in one of the six CTSOs recognized by California, the district or school may offer an alternative leadership development program </w:t>
      </w:r>
      <w:r>
        <w:t>that</w:t>
      </w:r>
      <w:r w:rsidRPr="00C63E89">
        <w:t xml:space="preserve"> </w:t>
      </w:r>
      <w:r>
        <w:t>should</w:t>
      </w:r>
      <w:r w:rsidRPr="00C63E89">
        <w:t xml:space="preserve"> include all of the following: (a) </w:t>
      </w:r>
      <w:r>
        <w:t xml:space="preserve">is </w:t>
      </w:r>
      <w:r w:rsidRPr="00C63E89">
        <w:t>integrat</w:t>
      </w:r>
      <w:r>
        <w:t>ed</w:t>
      </w:r>
      <w:r w:rsidRPr="00C63E89">
        <w:t xml:space="preserve"> into </w:t>
      </w:r>
      <w:r>
        <w:t xml:space="preserve">the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and </w:t>
      </w:r>
      <w:r w:rsidRPr="00C63E89">
        <w:t>(h) provide</w:t>
      </w:r>
      <w:r>
        <w:t>s</w:t>
      </w:r>
      <w:r w:rsidRPr="00C63E89">
        <w:t xml:space="preserve"> opportunities for students to participate in statewide and/or national events</w:t>
      </w:r>
      <w:r>
        <w:t>.</w:t>
      </w:r>
    </w:p>
  </w:footnote>
  <w:footnote w:id="18">
    <w:p w14:paraId="4ABB0315" w14:textId="781DFA03" w:rsidR="00293A60" w:rsidRDefault="00293A60">
      <w:pPr>
        <w:pStyle w:val="FootnoteText"/>
      </w:pPr>
      <w:r w:rsidRPr="00413DE8">
        <w:rPr>
          <w:rStyle w:val="FootnoteReference"/>
          <w:vertAlign w:val="baseline"/>
        </w:rPr>
        <w:footnoteRef/>
      </w:r>
      <w:r>
        <w:t xml:space="preserve">. </w:t>
      </w:r>
      <w:r w:rsidRPr="00F35440">
        <w:t>Counselor training programs focus predominantly on academic counseling, rather than on career counseling. Additionally, many counselors lack direct experience in occupations outside of the education sector.</w:t>
      </w:r>
      <w:r>
        <w:t xml:space="preserve"> CalCRN could be a cost-effective resource within counselor training programs to increase knowledge about CTE and its relationship to the workforce.</w:t>
      </w:r>
    </w:p>
  </w:footnote>
  <w:footnote w:id="19">
    <w:p w14:paraId="434E1FA9" w14:textId="47286FE2" w:rsidR="00293A60" w:rsidRDefault="00293A60"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the responses to prompts B(2)(c)(vii) and B(</w:t>
      </w:r>
      <w:r w:rsidRPr="002F2687">
        <w:t>3</w:t>
      </w:r>
      <w:r>
        <w:t>)</w:t>
      </w:r>
      <w:r w:rsidRPr="002F2687">
        <w:t>.</w:t>
      </w:r>
    </w:p>
  </w:footnote>
  <w:footnote w:id="20">
    <w:p w14:paraId="4F7AA3EC" w14:textId="2ECBF85E" w:rsidR="00293A60" w:rsidRDefault="00293A60" w:rsidP="003440BC">
      <w:pPr>
        <w:pStyle w:val="FootnoteText"/>
      </w:pPr>
      <w:r w:rsidRPr="00413DE8">
        <w:rPr>
          <w:rStyle w:val="FootnoteReference"/>
          <w:vertAlign w:val="baseline"/>
        </w:rPr>
        <w:footnoteRef/>
      </w:r>
      <w:r>
        <w:t xml:space="preserve">. CDE. 2019. </w:t>
      </w:r>
      <w:r w:rsidRPr="00BB2703">
        <w:rPr>
          <w:i/>
          <w:iCs/>
        </w:rPr>
        <w:t>Facts about English Language Learners in California</w:t>
      </w:r>
      <w:r>
        <w:t xml:space="preserve">. </w:t>
      </w:r>
      <w:hyperlink r:id="rId10" w:tooltip="CDE" w:history="1">
        <w:r w:rsidRPr="004B6794">
          <w:rPr>
            <w:rStyle w:val="Hyperlink"/>
          </w:rPr>
          <w:t>https://www.cde.ca.gov/ds/sd/cb/cefelfacts.asp</w:t>
        </w:r>
      </w:hyperlink>
    </w:p>
  </w:footnote>
  <w:footnote w:id="21">
    <w:p w14:paraId="12F18D10" w14:textId="41312E7B" w:rsidR="00293A60" w:rsidRDefault="00293A60">
      <w:pPr>
        <w:pStyle w:val="FootnoteText"/>
      </w:pPr>
      <w:r w:rsidRPr="00396B67">
        <w:rPr>
          <w:rStyle w:val="FootnoteReference"/>
          <w:vertAlign w:val="baseline"/>
        </w:rPr>
        <w:footnoteRef/>
      </w:r>
      <w:r>
        <w:t>.</w:t>
      </w:r>
      <w:r w:rsidRPr="00396B67">
        <w:t xml:space="preserve"> </w:t>
      </w:r>
      <w:r>
        <w:t xml:space="preserve">For more information on AB 413, please visit the California legislature web page at, </w:t>
      </w:r>
      <w:hyperlink r:id="rId11" w:tooltip="The California Legislature" w:history="1">
        <w:r w:rsidRPr="00917B78">
          <w:rPr>
            <w:rStyle w:val="Hyperlink"/>
          </w:rPr>
          <w:t>http://leginfo.legislature.ca.gov/faces/billTextClient.xhtml?bill_id=201920200AB413</w:t>
        </w:r>
      </w:hyperlink>
      <w:r>
        <w:t xml:space="preserve">. </w:t>
      </w:r>
    </w:p>
  </w:footnote>
  <w:footnote w:id="22">
    <w:p w14:paraId="09B2FEFD" w14:textId="3417C6D4" w:rsidR="00293A60" w:rsidRPr="00B32A75" w:rsidRDefault="00293A60" w:rsidP="003D0766">
      <w:pPr>
        <w:pStyle w:val="FootnoteText"/>
      </w:pPr>
      <w:r w:rsidRPr="00413DE8">
        <w:rPr>
          <w:rStyle w:val="FootnoteReference"/>
          <w:rFonts w:cs="Arial"/>
          <w:vertAlign w:val="baseline"/>
        </w:rPr>
        <w:footnoteRef/>
      </w:r>
      <w:r>
        <w:t xml:space="preserve">. </w:t>
      </w:r>
      <w:r w:rsidRPr="00840F39">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3">
    <w:p w14:paraId="2B95AB49" w14:textId="7F9537D7" w:rsidR="00293A60" w:rsidRDefault="00293A60">
      <w:pPr>
        <w:pStyle w:val="FootnoteText"/>
      </w:pPr>
      <w:r w:rsidRPr="00413DE8">
        <w:rPr>
          <w:rStyle w:val="FootnoteReference"/>
          <w:vertAlign w:val="baseline"/>
        </w:rPr>
        <w:footnoteRef/>
      </w:r>
      <w:r>
        <w:t>.</w:t>
      </w:r>
      <w:r w:rsidRPr="00413DE8">
        <w:t xml:space="preserve"> </w:t>
      </w:r>
      <w:r>
        <w:t xml:space="preserve">The CDE is uniquely positioned to help address civil rights, as it has a separate Federal Program Monitoring Office that includes CTE. For more details, see </w:t>
      </w:r>
      <w:hyperlink r:id="rId12" w:tooltip="CDE's FMP Office" w:history="1">
        <w:r w:rsidRPr="00C7418D">
          <w:rPr>
            <w:rStyle w:val="Hyperlink"/>
          </w:rPr>
          <w:t>https://www.cde.ca.gov/ta/cr/proginst201920.asp</w:t>
        </w:r>
      </w:hyperlink>
      <w:r>
        <w:t>.</w:t>
      </w:r>
    </w:p>
  </w:footnote>
  <w:footnote w:id="24">
    <w:p w14:paraId="488FD5FC" w14:textId="2A10B983" w:rsidR="00293A60" w:rsidRDefault="00293A60">
      <w:pPr>
        <w:pStyle w:val="FootnoteText"/>
      </w:pPr>
      <w:r w:rsidRPr="00413DE8">
        <w:rPr>
          <w:rStyle w:val="FootnoteReference"/>
          <w:vertAlign w:val="baseline"/>
        </w:rPr>
        <w:footnoteRef/>
      </w:r>
      <w:r>
        <w:t>.</w:t>
      </w:r>
      <w:r w:rsidRPr="00413DE8">
        <w:t xml:space="preserve"> </w:t>
      </w:r>
      <w:r w:rsidRPr="006876A9">
        <w:t xml:space="preserve">An overview of the California Model is provided on the CDE California Accountability Model &amp; School Dashboard </w:t>
      </w:r>
      <w:r>
        <w:t>w</w:t>
      </w:r>
      <w:r w:rsidRPr="006876A9">
        <w:t xml:space="preserve">eb page at </w:t>
      </w:r>
      <w:hyperlink r:id="rId13" w:tooltip="CDE California School Dashboard and System of Support" w:history="1">
        <w:r w:rsidRPr="00D870A3">
          <w:rPr>
            <w:rStyle w:val="Hyperlink"/>
          </w:rPr>
          <w:t>http://www.cde.ca.gov/ta/ac/cm/</w:t>
        </w:r>
      </w:hyperlink>
      <w:r w:rsidRPr="006876A9">
        <w:t xml:space="preserve">. Detailed information on the production of the indicators in the new California Model is provided in the </w:t>
      </w:r>
      <w:r w:rsidRPr="00BB2703">
        <w:rPr>
          <w:i/>
          <w:iCs/>
        </w:rPr>
        <w:t>Technical Guide for the New Accountability System</w:t>
      </w:r>
      <w:r>
        <w:t>,</w:t>
      </w:r>
      <w:r w:rsidRPr="006876A9">
        <w:t xml:space="preserve"> available on the CDE </w:t>
      </w:r>
      <w:r>
        <w:t>w</w:t>
      </w:r>
      <w:r w:rsidRPr="006876A9">
        <w:t xml:space="preserve">eb page at </w:t>
      </w:r>
      <w:hyperlink r:id="rId14" w:tooltip="CDE California School Dashboard and System of Support" w:history="1">
        <w:r w:rsidRPr="00D870A3">
          <w:rPr>
            <w:rStyle w:val="Hyperlink"/>
          </w:rPr>
          <w:t>http://www.cde.ca.gov/ta/ac/cm/</w:t>
        </w:r>
      </w:hyperlink>
      <w:r w:rsidRPr="00BB17A2">
        <w:rPr>
          <w:rStyle w:val="Hyperlink"/>
          <w:color w:val="auto"/>
          <w:u w:val="none"/>
        </w:rPr>
        <w:t>,</w:t>
      </w:r>
      <w:r>
        <w:t xml:space="preserve"> </w:t>
      </w:r>
      <w:r w:rsidRPr="006876A9">
        <w:t>under the Data Files and Guide tab.</w:t>
      </w:r>
    </w:p>
  </w:footnote>
  <w:footnote w:id="25">
    <w:p w14:paraId="7C96A1D3" w14:textId="49046358" w:rsidR="00293A60" w:rsidRPr="006A3362" w:rsidRDefault="00293A60">
      <w:pPr>
        <w:pStyle w:val="FootnoteText"/>
      </w:pPr>
      <w:r w:rsidRPr="006A3362">
        <w:rPr>
          <w:rStyle w:val="FootnoteReference"/>
          <w:vertAlign w:val="baseline"/>
        </w:rPr>
        <w:footnoteRef/>
      </w:r>
      <w:r w:rsidRPr="006A3362">
        <w:t xml:space="preserve">. An overview of Extended Opportunity Programs and Services is provided on the CCCCO web page at </w:t>
      </w:r>
      <w:hyperlink r:id="rId15" w:tooltip="Information on Extended Opportunity Programs and Services " w:history="1">
        <w:r w:rsidRPr="006A3362">
          <w:rPr>
            <w:rStyle w:val="Hyperlink"/>
          </w:rPr>
          <w:t>https://www.cccco.edu/About-Us/Chancellors-Office/Divisions/Educational-Services-and-Support/Special-Populations/What-we-do/Extended-Opportunity-Programs-and-Services</w:t>
        </w:r>
      </w:hyperlink>
      <w:r w:rsidRPr="006A3362">
        <w:t>.</w:t>
      </w:r>
    </w:p>
  </w:footnote>
  <w:footnote w:id="26">
    <w:p w14:paraId="26B949F1" w14:textId="21E2E2B3" w:rsidR="00293A60" w:rsidRDefault="00293A60">
      <w:pPr>
        <w:pStyle w:val="FootnoteText"/>
      </w:pPr>
      <w:r w:rsidRPr="006A3362">
        <w:rPr>
          <w:rStyle w:val="FootnoteReference"/>
          <w:vertAlign w:val="baseline"/>
        </w:rPr>
        <w:footnoteRef/>
      </w:r>
      <w:r w:rsidRPr="006A3362">
        <w:t>. The Puente Project focuses on increasing the number of underserved students who enroll in four-year colleges and universities, earn college degrees, and eventually return to the community as mentors and leaders to future generations.</w:t>
      </w:r>
      <w:r>
        <w:t xml:space="preserve"> </w:t>
      </w:r>
      <w:bookmarkStart w:id="63" w:name="_Hlk34393824"/>
      <w:r>
        <w:t xml:space="preserve">An overview of the Puente Project is provided on the CCCCO web page at </w:t>
      </w:r>
      <w:hyperlink r:id="rId16" w:tooltip="The CCCCO's web page on the Puente Project" w:history="1">
        <w:r w:rsidRPr="000C175C">
          <w:rPr>
            <w:rStyle w:val="Hyperlink"/>
          </w:rPr>
          <w:t>https://www.cccco.edu/About-Us/Chancellors-Office/Divisions/Educational-Services-and-Support/What-we-do/Curriculum-and-Instruction-Unit/Puente-Project</w:t>
        </w:r>
      </w:hyperlink>
      <w:r>
        <w:t>.</w:t>
      </w:r>
      <w:bookmarkEnd w:id="63"/>
    </w:p>
  </w:footnote>
  <w:footnote w:id="27">
    <w:p w14:paraId="37496077" w14:textId="030F3CA9" w:rsidR="00293A60" w:rsidRDefault="00293A60">
      <w:pPr>
        <w:pStyle w:val="FootnoteText"/>
      </w:pPr>
      <w:r w:rsidRPr="009F1843">
        <w:rPr>
          <w:rStyle w:val="FootnoteReference"/>
          <w:vertAlign w:val="baseline"/>
        </w:rPr>
        <w:footnoteRef/>
      </w:r>
      <w:r>
        <w:t>.</w:t>
      </w:r>
      <w:r w:rsidRPr="009F1843">
        <w:t xml:space="preserve"> Since 1977, all California school districts and county offices of education have been mandated to form consortia in geographical regions of sufficient size and scope to provide for all special education service needs of children residing within the region’s boundaries. Each region develops a local plan describing how it would provide special education services.</w:t>
      </w:r>
    </w:p>
  </w:footnote>
  <w:footnote w:id="28">
    <w:p w14:paraId="786C3AF0" w14:textId="2ED14188" w:rsidR="00293A60" w:rsidRDefault="00293A60">
      <w:pPr>
        <w:pStyle w:val="FootnoteText"/>
      </w:pPr>
      <w:r w:rsidRPr="009F1843">
        <w:rPr>
          <w:rStyle w:val="FootnoteReference"/>
          <w:vertAlign w:val="baseline"/>
        </w:rPr>
        <w:footnoteRef/>
      </w:r>
      <w:r>
        <w:t>.</w:t>
      </w:r>
      <w:r w:rsidRPr="009F1843">
        <w:t xml:space="preserve"> The CDE recently developed the English Learner Roadmap as a guide to assist local educational agencies to implement California's 21st century college-and-career-ready standards, curriculum, instruction programs, and assessments. For more details see </w:t>
      </w:r>
      <w:hyperlink r:id="rId17" w:tooltip="The EL roadmap" w:history="1">
        <w:r w:rsidRPr="00013EBA">
          <w:rPr>
            <w:rStyle w:val="Hyperlink"/>
          </w:rPr>
          <w:t>https://www.cde.ca.gov/sp/el/rm/</w:t>
        </w:r>
      </w:hyperlink>
      <w:r>
        <w:t>.</w:t>
      </w:r>
    </w:p>
  </w:footnote>
  <w:footnote w:id="29">
    <w:p w14:paraId="03788804" w14:textId="4150D989" w:rsidR="00293A60" w:rsidRDefault="00293A60">
      <w:pPr>
        <w:pStyle w:val="FootnoteText"/>
      </w:pPr>
      <w:r w:rsidRPr="00413DE8">
        <w:rPr>
          <w:rStyle w:val="FootnoteReference"/>
          <w:vertAlign w:val="baseline"/>
        </w:rPr>
        <w:footnoteRef/>
      </w:r>
      <w:r>
        <w:t xml:space="preserve">. The California System of Support for Education is a crucial component of the state’s new school accountability system, whose guiding principles include local control and continuous improvement. </w:t>
      </w:r>
      <w:r w:rsidRPr="00C647DA">
        <w:t xml:space="preserve">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18" w:tooltip="The CDE's System of Support" w:history="1">
        <w:r>
          <w:rPr>
            <w:rStyle w:val="Hyperlink"/>
          </w:rPr>
          <w:t>https://www.cde.ca.gov/sp/sw/t1/csss.asp</w:t>
        </w:r>
      </w:hyperlink>
    </w:p>
  </w:footnote>
  <w:footnote w:id="30">
    <w:p w14:paraId="1899C35B" w14:textId="59435A2C" w:rsidR="00293A60" w:rsidRDefault="00293A60">
      <w:pPr>
        <w:pStyle w:val="FootnoteText"/>
      </w:pPr>
      <w:r w:rsidRPr="00413DE8">
        <w:rPr>
          <w:rStyle w:val="FootnoteReference"/>
          <w:vertAlign w:val="baseline"/>
        </w:rPr>
        <w:footnoteRef/>
      </w:r>
      <w:r>
        <w:t>. WAI is m</w:t>
      </w:r>
      <w:r w:rsidRPr="0076578B">
        <w:t>andated by the IDEA and stated in th</w:t>
      </w:r>
      <w:r>
        <w:t xml:space="preserve">e California </w:t>
      </w:r>
      <w:r w:rsidRPr="002373F8">
        <w:rPr>
          <w:i/>
        </w:rPr>
        <w:t>EC</w:t>
      </w:r>
      <w:r>
        <w:rPr>
          <w:iCs/>
        </w:rPr>
        <w:t>,</w:t>
      </w:r>
      <w:r w:rsidRPr="0076578B">
        <w:t xml:space="preserve"> Sections 56470–56474.</w:t>
      </w:r>
      <w:r>
        <w:t xml:space="preserve"> See </w:t>
      </w:r>
      <w:hyperlink r:id="rId19" w:tooltip="California's WorkAbility Program" w:history="1">
        <w:r w:rsidRPr="00592B76">
          <w:rPr>
            <w:rStyle w:val="Hyperlink"/>
          </w:rPr>
          <w:t>https://www.cde.ca.gov/sp/se/sr/wrkabltyiaryserv.asp</w:t>
        </w:r>
      </w:hyperlink>
      <w:r>
        <w:t xml:space="preserve"> for details of the program.</w:t>
      </w:r>
    </w:p>
  </w:footnote>
  <w:footnote w:id="31">
    <w:p w14:paraId="15EB8963" w14:textId="22D4232D" w:rsidR="00293A60" w:rsidRDefault="00293A60" w:rsidP="003E7E8C">
      <w:pPr>
        <w:pStyle w:val="FootnoteText"/>
      </w:pPr>
      <w:r w:rsidRPr="00E107FE">
        <w:rPr>
          <w:rStyle w:val="FootnoteReference"/>
          <w:vertAlign w:val="baseline"/>
        </w:rPr>
        <w:footnoteRef/>
      </w:r>
      <w:r w:rsidRPr="00E107FE">
        <w:rPr>
          <w:rStyle w:val="FootnoteReference"/>
          <w:vertAlign w:val="baseline"/>
        </w:rPr>
        <w:t>. For greater detail about credentialing a CTE teacher</w:t>
      </w:r>
      <w:r>
        <w:rPr>
          <w:rStyle w:val="FootnoteReference"/>
          <w:vertAlign w:val="baseline"/>
        </w:rPr>
        <w:t>,</w:t>
      </w:r>
      <w:r>
        <w:t xml:space="preserve"> visit the CCTC web page at</w:t>
      </w:r>
      <w:r w:rsidRPr="00263313">
        <w:rPr>
          <w:rStyle w:val="FootnoteReference"/>
        </w:rPr>
        <w:t xml:space="preserve"> </w:t>
      </w:r>
      <w:hyperlink r:id="rId20" w:tooltip="The CTC webpage on CTE teacher credentialing" w:history="1">
        <w:r w:rsidRPr="0010764F">
          <w:rPr>
            <w:rStyle w:val="Hyperlink"/>
          </w:rPr>
          <w:t>https://www.ctc.ca.gov/docs/default-source/leaflets/cl888.pdf?sfvrsn=88065bf8_18</w:t>
        </w:r>
      </w:hyperlink>
      <w:r>
        <w:t>.</w:t>
      </w:r>
    </w:p>
  </w:footnote>
  <w:footnote w:id="32">
    <w:p w14:paraId="08026812" w14:textId="77777777" w:rsidR="00293A60" w:rsidRPr="00263313" w:rsidRDefault="00293A60" w:rsidP="003E7E8C">
      <w:pPr>
        <w:pStyle w:val="FootnoteText"/>
        <w:rPr>
          <w:rStyle w:val="FootnoteReference"/>
        </w:rPr>
      </w:pPr>
      <w:r w:rsidRPr="00E107FE">
        <w:rPr>
          <w:rStyle w:val="FootnoteReference"/>
          <w:vertAlign w:val="baseline"/>
        </w:rPr>
        <w:footnoteRef/>
      </w:r>
      <w:r w:rsidRPr="00E107FE">
        <w:rPr>
          <w:rStyle w:val="FootnoteReference"/>
          <w:vertAlign w:val="baseline"/>
        </w:rPr>
        <w:t xml:space="preserve">. Refer to </w:t>
      </w:r>
      <w:r w:rsidRPr="00E107FE">
        <w:t>Appendix</w:t>
      </w:r>
      <w:r>
        <w:t xml:space="preserve"> C for a list of the CDE’s and CCC industry sectors.</w:t>
      </w:r>
    </w:p>
  </w:footnote>
  <w:footnote w:id="33">
    <w:p w14:paraId="5F5F2A7E" w14:textId="39809F9D" w:rsidR="00293A60" w:rsidRDefault="00293A60" w:rsidP="003E7E8C">
      <w:pPr>
        <w:pStyle w:val="FootnoteText"/>
      </w:pPr>
      <w:r w:rsidRPr="00E107FE">
        <w:rPr>
          <w:rStyle w:val="FootnoteReference"/>
          <w:vertAlign w:val="baseline"/>
        </w:rPr>
        <w:footnoteRef/>
      </w:r>
      <w:r w:rsidRPr="00E107FE">
        <w:t>.</w:t>
      </w:r>
      <w:r w:rsidRPr="00755C7A">
        <w:rPr>
          <w:rStyle w:val="FootnoteReference"/>
        </w:rPr>
        <w:t xml:space="preserve"> </w:t>
      </w:r>
      <w:r>
        <w:t xml:space="preserve">For more information on the </w:t>
      </w:r>
      <w:r w:rsidRPr="00755C7A">
        <w:t>C</w:t>
      </w:r>
      <w:r>
        <w:t>C</w:t>
      </w:r>
      <w:r w:rsidRPr="00755C7A">
        <w:t>TC</w:t>
      </w:r>
      <w:r>
        <w:t>-</w:t>
      </w:r>
      <w:r w:rsidRPr="00755C7A">
        <w:t>approved institutions offering California preparation programs</w:t>
      </w:r>
      <w:r>
        <w:t xml:space="preserve"> visit CCTC’s web page at</w:t>
      </w:r>
      <w:r w:rsidRPr="00E107FE">
        <w:rPr>
          <w:rStyle w:val="Hyperlink"/>
          <w:rFonts w:eastAsiaTheme="minorHAnsi" w:cstheme="minorBidi"/>
          <w:spacing w:val="0"/>
          <w:u w:val="none"/>
        </w:rPr>
        <w:t xml:space="preserve"> </w:t>
      </w:r>
      <w:hyperlink r:id="rId21" w:tooltip="The CTC approved institutions offering California preparation programs" w:history="1">
        <w:r w:rsidRPr="00755C7A">
          <w:rPr>
            <w:rStyle w:val="Hyperlink"/>
            <w:rFonts w:eastAsiaTheme="minorHAnsi" w:cstheme="minorBidi"/>
            <w:spacing w:val="0"/>
          </w:rPr>
          <w:t>https://www.ctc.ca.gov/commission/reports/data/approved-institutions-and-programs</w:t>
        </w:r>
      </w:hyperlink>
      <w:r w:rsidRPr="00D16FF4">
        <w:rPr>
          <w:rStyle w:val="Hyperlink"/>
          <w:rFonts w:eastAsiaTheme="minorHAnsi" w:cstheme="minorBidi"/>
          <w:color w:val="auto"/>
          <w:spacing w:val="0"/>
        </w:rPr>
        <w:t>.</w:t>
      </w:r>
    </w:p>
  </w:footnote>
  <w:footnote w:id="34">
    <w:p w14:paraId="60EE0734" w14:textId="56BF4561" w:rsidR="00293A60" w:rsidRDefault="00293A60" w:rsidP="003E7E8C">
      <w:pPr>
        <w:pStyle w:val="FootnoteText"/>
      </w:pPr>
      <w:r w:rsidRPr="00E107FE">
        <w:rPr>
          <w:rStyle w:val="FootnoteReference"/>
          <w:vertAlign w:val="baseline"/>
        </w:rPr>
        <w:footnoteRef/>
      </w:r>
      <w:r>
        <w:t>.</w:t>
      </w:r>
      <w:r w:rsidRPr="00E107FE">
        <w:t xml:space="preserve"> </w:t>
      </w:r>
      <w:r>
        <w:t xml:space="preserve">For more details on the California Teacher Induction Program visit CCTC’s web page at </w:t>
      </w:r>
      <w:hyperlink r:id="rId22" w:tooltip="The CTC's teacher induction program" w:history="1">
        <w:r>
          <w:rPr>
            <w:rStyle w:val="Hyperlink"/>
            <w:rFonts w:eastAsiaTheme="majorEastAsia"/>
          </w:rPr>
          <w:t>https://www.ctc.ca.gov/educator-prep/ca-teacher-induction</w:t>
        </w:r>
      </w:hyperlink>
      <w:r w:rsidRPr="008A6DBC">
        <w:rPr>
          <w:rFonts w:eastAsiaTheme="minorHAnsi" w:cstheme="minorBidi"/>
          <w:color w:val="auto"/>
          <w:spacing w:val="0"/>
        </w:rPr>
        <w:t>.</w:t>
      </w:r>
    </w:p>
  </w:footnote>
  <w:footnote w:id="35">
    <w:p w14:paraId="500EC281" w14:textId="19106493" w:rsidR="00293A60" w:rsidRDefault="00293A60">
      <w:pPr>
        <w:pStyle w:val="FootnoteText"/>
      </w:pPr>
      <w:r w:rsidRPr="000F7C1F">
        <w:rPr>
          <w:rStyle w:val="FootnoteReference"/>
          <w:vertAlign w:val="baseline"/>
        </w:rPr>
        <w:footnoteRef/>
      </w:r>
      <w:r>
        <w:t xml:space="preserve">. For more information on the </w:t>
      </w:r>
      <w:r w:rsidRPr="000F7C1F">
        <w:t>C</w:t>
      </w:r>
      <w:r>
        <w:t>C</w:t>
      </w:r>
      <w:r w:rsidRPr="000F7C1F">
        <w:t>TC’s ado</w:t>
      </w:r>
      <w:r>
        <w:t>pted PPS Standards, visit the CC</w:t>
      </w:r>
      <w:r w:rsidRPr="000F7C1F">
        <w:t>TC web</w:t>
      </w:r>
      <w:r>
        <w:t xml:space="preserve"> </w:t>
      </w:r>
      <w:r w:rsidRPr="000F7C1F">
        <w:t xml:space="preserve">page at: </w:t>
      </w:r>
      <w:hyperlink r:id="rId23" w:tooltip="The CTC's PPS standards" w:history="1">
        <w:r w:rsidRPr="006A3FFC">
          <w:rPr>
            <w:rStyle w:val="Hyperlink"/>
          </w:rPr>
          <w:t>https://www.ctc.ca.gov/docs/default-source/educator-prep/standards/pps-pdf.pdf?sfvrsn=5b1ecdd6_2</w:t>
        </w:r>
      </w:hyperlink>
      <w:r>
        <w:t>.</w:t>
      </w:r>
    </w:p>
  </w:footnote>
  <w:footnote w:id="36">
    <w:p w14:paraId="4C3F5234" w14:textId="47198A11" w:rsidR="00293A60" w:rsidRDefault="00293A60">
      <w:pPr>
        <w:pStyle w:val="FootnoteText"/>
      </w:pPr>
      <w:r w:rsidRPr="000F7C1F">
        <w:rPr>
          <w:rStyle w:val="FootnoteReference"/>
          <w:vertAlign w:val="baseline"/>
        </w:rPr>
        <w:footnoteRef/>
      </w:r>
      <w:r>
        <w:t xml:space="preserve">. For more information on the </w:t>
      </w:r>
      <w:r w:rsidRPr="000F7C1F">
        <w:t>C</w:t>
      </w:r>
      <w:r>
        <w:t>C</w:t>
      </w:r>
      <w:r w:rsidRPr="000F7C1F">
        <w:t xml:space="preserve">TC-adopted standards for preparation of school administrators, visit: </w:t>
      </w:r>
      <w:hyperlink r:id="rId24" w:tooltip="The CTC's administrator handbook" w:history="1">
        <w:r w:rsidRPr="006A3FFC">
          <w:rPr>
            <w:rStyle w:val="Hyperlink"/>
          </w:rPr>
          <w:t>https://www.ctc.ca.gov/docs/default-source/educator-prep/standards/asc-admin-handbook.pdf?sfvrsn=739753b1_50</w:t>
        </w:r>
      </w:hyperlink>
      <w:r>
        <w:t>.</w:t>
      </w:r>
    </w:p>
  </w:footnote>
  <w:footnote w:id="37">
    <w:p w14:paraId="389FAD4F" w14:textId="5CDB408D" w:rsidR="00293A60" w:rsidRDefault="00293A60">
      <w:pPr>
        <w:pStyle w:val="FootnoteText"/>
      </w:pPr>
      <w:r w:rsidRPr="00FF6550">
        <w:rPr>
          <w:rStyle w:val="FootnoteReference"/>
          <w:vertAlign w:val="baseline"/>
        </w:rPr>
        <w:footnoteRef/>
      </w:r>
      <w:r>
        <w:t>.</w:t>
      </w:r>
      <w:r w:rsidRPr="00FF6550">
        <w:t xml:space="preserve"> For additional information on the MQs for Faculty and Administrators List of Disciplines at CCC, visit: </w:t>
      </w:r>
      <w:hyperlink r:id="rId25" w:tooltip="The CCC's MQs for faculty and administrators" w:history="1">
        <w:r w:rsidRPr="006A3FFC">
          <w:rPr>
            <w:rStyle w:val="Hyperlink"/>
          </w:rPr>
          <w:t>https://www.asccc.org/disciplines-list</w:t>
        </w:r>
      </w:hyperlink>
      <w:r w:rsidRPr="00FF6550">
        <w:t>.</w:t>
      </w:r>
    </w:p>
  </w:footnote>
  <w:footnote w:id="38">
    <w:p w14:paraId="4A102EC5" w14:textId="27EB8F69" w:rsidR="00293A60" w:rsidRPr="009B74D9" w:rsidRDefault="00293A60" w:rsidP="009B74D9">
      <w:pPr>
        <w:pStyle w:val="FootnoteText"/>
      </w:pPr>
      <w:r w:rsidRPr="009B74D9">
        <w:footnoteRef/>
      </w:r>
      <w:r>
        <w:t>. All colleges have DSPS</w:t>
      </w:r>
      <w:r w:rsidRPr="000F7C1F">
        <w:t xml:space="preserve"> designed to enable students with documented disabilities to get access to all of the </w:t>
      </w:r>
      <w:r>
        <w:t>c</w:t>
      </w:r>
      <w:r w:rsidRPr="000F7C1F">
        <w:t>ollege’s programs and activities for which they qualify. A variety of programs and services are available which afford eligible students with disabilities the opportunity to participate fully in all aspects of the college programs and activities through appropriate and reasonable accommodations.</w:t>
      </w:r>
    </w:p>
    <w:p w14:paraId="702187F4" w14:textId="59591890" w:rsidR="00293A60" w:rsidRDefault="00293A60">
      <w:pPr>
        <w:pStyle w:val="FootnoteText"/>
      </w:pPr>
    </w:p>
  </w:footnote>
  <w:footnote w:id="39">
    <w:p w14:paraId="03CFA7C0" w14:textId="60DD70CD" w:rsidR="00293A60" w:rsidRDefault="00293A60">
      <w:pPr>
        <w:pStyle w:val="FootnoteText"/>
      </w:pPr>
      <w:r w:rsidRPr="006C6B67">
        <w:rPr>
          <w:rStyle w:val="FootnoteReference"/>
          <w:vertAlign w:val="baseline"/>
        </w:rPr>
        <w:footnoteRef/>
      </w:r>
      <w:r>
        <w:t>.</w:t>
      </w:r>
      <w:r w:rsidRPr="006C6B67">
        <w:t xml:space="preserve"> </w:t>
      </w:r>
      <w:r>
        <w:t xml:space="preserve">For more information on the CCC Teacher Preparation Programs, please visit the CCCCO’s Teacher Prep Program webpage at, </w:t>
      </w:r>
      <w:hyperlink r:id="rId26" w:tooltip="The CCC Teacher Prep Program" w:history="1">
        <w:r w:rsidRPr="00752AAD">
          <w:rPr>
            <w:rStyle w:val="Hyperlink"/>
          </w:rPr>
          <w:t>http://teacherprepprogram.org/</w:t>
        </w:r>
      </w:hyperlink>
      <w:r>
        <w:t>.</w:t>
      </w:r>
    </w:p>
  </w:footnote>
  <w:footnote w:id="40">
    <w:p w14:paraId="26973128" w14:textId="61FE3E89" w:rsidR="00293A60" w:rsidRDefault="00293A60" w:rsidP="003E7E8C">
      <w:pPr>
        <w:pStyle w:val="FootnoteText"/>
      </w:pPr>
      <w:r w:rsidRPr="00E107FE">
        <w:rPr>
          <w:rStyle w:val="FootnoteReference"/>
          <w:vertAlign w:val="baseline"/>
        </w:rPr>
        <w:footnoteRef/>
      </w:r>
      <w:r>
        <w:t>.</w:t>
      </w:r>
      <w:r w:rsidRPr="00E107FE">
        <w:t xml:space="preserve"> </w:t>
      </w:r>
      <w:r w:rsidRPr="000B4A4A">
        <w:t xml:space="preserve">See “A Missing Link for California’s Pathway Movement: CTE Instructional Staff” (June 2016). Valerie Lundy-Wagner. Jobs for the Future, Washington, DC. </w:t>
      </w:r>
      <w:hyperlink r:id="rId27" w:tooltip="A Missing Link for California’s Pathway Movement: CTE Instructional Staff article" w:history="1">
        <w:r w:rsidRPr="00BF3476">
          <w:rPr>
            <w:rStyle w:val="Hyperlink"/>
          </w:rPr>
          <w:t>https://jfforg-prod-prime.s3.amazonaws.com/media/documents/A_Missing_Link_for_Californias_Pathways_Movement-013017.pdf</w:t>
        </w:r>
      </w:hyperlink>
      <w:r>
        <w:t xml:space="preserve"> </w:t>
      </w:r>
    </w:p>
  </w:footnote>
  <w:footnote w:id="41">
    <w:p w14:paraId="6EDADC8B" w14:textId="46D86C66" w:rsidR="00293A60" w:rsidRDefault="00293A60">
      <w:pPr>
        <w:pStyle w:val="FootnoteText"/>
      </w:pPr>
      <w:r w:rsidRPr="007E6FBC">
        <w:rPr>
          <w:rStyle w:val="FootnoteReference"/>
          <w:vertAlign w:val="baseline"/>
        </w:rPr>
        <w:footnoteRef/>
      </w:r>
      <w:r>
        <w:t>.</w:t>
      </w:r>
      <w:r w:rsidRPr="007E6FBC">
        <w:t xml:space="preserve"> Institutionalized Effectiveness Partnership Initiative (IEPI) is a unit within the CCCCO that delivers </w:t>
      </w:r>
      <w:r>
        <w:t>PD</w:t>
      </w:r>
      <w:r w:rsidRPr="007E6FBC">
        <w:t xml:space="preserve"> and training to the field. IEPI’s focus is Strategic</w:t>
      </w:r>
      <w:r>
        <w:t xml:space="preserve"> </w:t>
      </w:r>
      <w:r w:rsidRPr="007E6FBC">
        <w:t xml:space="preserve">Enrollment Management and may offer specialized training that are considered PD for faculty and staff. For more information, visit the CCCCO website at </w:t>
      </w:r>
      <w:hyperlink r:id="rId28" w:tooltip="The CCCCO's institutional effectiveness partnership initiative" w:history="1">
        <w:r w:rsidRPr="006A3FFC">
          <w:rPr>
            <w:rStyle w:val="Hyperlink"/>
          </w:rPr>
          <w:t>https://www.cccco.edu/About-Us/Chancellors-Office/Divisions/Institutional-Effectiveness/Institutional-Effectiveness-Partnership-Initiative</w:t>
        </w:r>
      </w:hyperlink>
      <w:r w:rsidRPr="007E6FBC">
        <w:t>.</w:t>
      </w:r>
    </w:p>
  </w:footnote>
  <w:footnote w:id="42">
    <w:p w14:paraId="11458827" w14:textId="4EA832C3" w:rsidR="00293A60" w:rsidRPr="00E107FE" w:rsidRDefault="00293A60" w:rsidP="003E7E8C">
      <w:pPr>
        <w:pStyle w:val="FootnoteText"/>
        <w:rPr>
          <w:rFonts w:cs="Arial"/>
        </w:rPr>
      </w:pPr>
      <w:r w:rsidRPr="00E107FE">
        <w:rPr>
          <w:rStyle w:val="FootnoteReference"/>
          <w:rFonts w:cs="Arial"/>
          <w:vertAlign w:val="baseline"/>
        </w:rPr>
        <w:footnoteRef/>
      </w:r>
      <w:r w:rsidRPr="00E107FE">
        <w:rPr>
          <w:rStyle w:val="FootnoteReference"/>
          <w:rFonts w:cs="Arial"/>
          <w:vertAlign w:val="baseline"/>
        </w:rPr>
        <w:t>. More general issues and strategies offered for preparing future teachers and retaining current ones — not just for CTE but all — include</w:t>
      </w:r>
      <w:r w:rsidRPr="00E107FE">
        <w:rPr>
          <w:rFonts w:cs="Arial"/>
        </w:rPr>
        <w:t>:</w:t>
      </w:r>
      <w:r w:rsidRPr="00E107FE">
        <w:rPr>
          <w:rStyle w:val="FootnoteReference"/>
          <w:rFonts w:cs="Arial"/>
          <w:vertAlign w:val="baseline"/>
        </w:rPr>
        <w:t xml:space="preserve"> loan forgiveness programs and service scholarships; teacher residencies; “Grow Your Own” programs; support and mentoring programs for novice teachers; removal of unnecessary barriers to entry; utilization of retirees; investments in teacher and principal preparation and training; and improvements in teaching conditions. Success of these strategies is contingent on having available data to match teacher supply and demand. For more details on the teacher shortage, see Darling-Hammond, Linda, Sutcher, Leib, &amp; Carver, Thomas D. 2018. </w:t>
      </w:r>
      <w:r w:rsidRPr="0037693B">
        <w:rPr>
          <w:rStyle w:val="FootnoteReference"/>
          <w:rFonts w:cs="Arial"/>
          <w:i/>
          <w:vertAlign w:val="baseline"/>
        </w:rPr>
        <w:t>Teacher Shortages in California: Status, Sources, and Potential Solutions</w:t>
      </w:r>
      <w:r w:rsidRPr="00E107FE">
        <w:rPr>
          <w:rStyle w:val="FootnoteReference"/>
          <w:rFonts w:cs="Arial"/>
          <w:vertAlign w:val="baseline"/>
        </w:rPr>
        <w:t xml:space="preserve">. Learning Policy Institute. </w:t>
      </w:r>
      <w:hyperlink r:id="rId29" w:tooltip="The Learning Policy Institue's article on Teacher Shortages in Califonria" w:history="1">
        <w:r w:rsidRPr="00E107FE">
          <w:rPr>
            <w:rStyle w:val="Hyperlink"/>
            <w:rFonts w:eastAsiaTheme="minorHAnsi" w:cs="Arial"/>
            <w:spacing w:val="0"/>
          </w:rPr>
          <w:t>https://learningpolicyinstitute.org/product/teacher-shortages-ca-solutions-brief</w:t>
        </w:r>
      </w:hyperlink>
    </w:p>
  </w:footnote>
  <w:footnote w:id="43">
    <w:p w14:paraId="3384F19F" w14:textId="545FD143" w:rsidR="00293A60" w:rsidRDefault="00293A60" w:rsidP="003E7E8C">
      <w:pPr>
        <w:pStyle w:val="FootnoteText"/>
      </w:pPr>
      <w:r w:rsidRPr="008718E1">
        <w:rPr>
          <w:rStyle w:val="FootnoteReference"/>
          <w:vertAlign w:val="baseline"/>
        </w:rPr>
        <w:footnoteRef/>
      </w:r>
      <w:r w:rsidRPr="008718E1">
        <w:rPr>
          <w:rStyle w:val="FootnoteReference"/>
          <w:vertAlign w:val="baseline"/>
        </w:rPr>
        <w:t xml:space="preserve">. </w:t>
      </w:r>
      <w:r w:rsidRPr="000D2147">
        <w:t xml:space="preserve">To view </w:t>
      </w:r>
      <w:r>
        <w:t>the CCCCO’s teacher programs</w:t>
      </w:r>
      <w:r w:rsidRPr="000D2147">
        <w:t>, please visit the</w:t>
      </w:r>
      <w:r>
        <w:t>ir</w:t>
      </w:r>
      <w:r w:rsidRPr="000D2147">
        <w:t xml:space="preserve"> website at </w:t>
      </w:r>
      <w:hyperlink r:id="rId30" w:tooltip="California Community Colleges Teacher Preparation Programs." w:history="1">
        <w:r w:rsidRPr="0004541A">
          <w:rPr>
            <w:rStyle w:val="Hyperlink"/>
            <w:rFonts w:eastAsiaTheme="minorHAnsi" w:cstheme="minorBidi"/>
            <w:spacing w:val="0"/>
          </w:rPr>
          <w:t>https://www.cccco.edu/-/media/CCCCO-Website/Files/Workforce-and-Economic-Development/DWM/teacher-preparation-programs-ada.ashx</w:t>
        </w:r>
      </w:hyperlink>
      <w:r w:rsidRPr="00D03D08">
        <w:rPr>
          <w:rStyle w:val="FootnoteReference"/>
          <w:vertAlign w:val="baseline"/>
        </w:rPr>
        <w:t>.</w:t>
      </w:r>
    </w:p>
  </w:footnote>
  <w:footnote w:id="44">
    <w:p w14:paraId="2056B66F" w14:textId="2F54E3BA" w:rsidR="00293A60" w:rsidRDefault="00293A60">
      <w:pPr>
        <w:pStyle w:val="FootnoteText"/>
      </w:pPr>
      <w:r w:rsidRPr="00433B41">
        <w:rPr>
          <w:rStyle w:val="FootnoteReference"/>
          <w:vertAlign w:val="baseline"/>
        </w:rPr>
        <w:footnoteRef/>
      </w:r>
      <w:r>
        <w:t xml:space="preserve">. </w:t>
      </w:r>
      <w:r w:rsidRPr="00433B41">
        <w:t>CCTD staff examined several iterations of calculations in order to determine the SDPLs, including consultation with the AMARD, the ADAD, and the EDMD, the CCTD began populating the SDPL form.</w:t>
      </w:r>
    </w:p>
  </w:footnote>
  <w:footnote w:id="45">
    <w:p w14:paraId="2F6737E7" w14:textId="166AC2FC" w:rsidR="00293A60" w:rsidRDefault="00293A60">
      <w:pPr>
        <w:pStyle w:val="FootnoteText"/>
      </w:pPr>
      <w:r w:rsidRPr="00A10C82">
        <w:rPr>
          <w:rStyle w:val="FootnoteReference"/>
          <w:vertAlign w:val="baseline"/>
        </w:rPr>
        <w:footnoteRef/>
      </w:r>
      <w:r>
        <w:t xml:space="preserve">. </w:t>
      </w:r>
      <w:r w:rsidRPr="00852A7F">
        <w:t>The measurement was done in two steps. The first step was to estimate the denominator in the measure. That value was determined by estimating the proportion of high school graduates who were concentrators. The data for high school graduates was obtained using the Data Quest tool available on the CDE website, and the proportion of concentrators among these high school graduates was estimated using the percentage of all 2018</w:t>
      </w:r>
      <w:r>
        <w:t>–</w:t>
      </w:r>
      <w:r w:rsidRPr="00852A7F">
        <w:t xml:space="preserve">19 concentrators in the </w:t>
      </w:r>
      <w:r>
        <w:t>9–</w:t>
      </w:r>
      <w:r w:rsidRPr="00852A7F">
        <w:t>12</w:t>
      </w:r>
      <w:r>
        <w:t xml:space="preserve"> grade</w:t>
      </w:r>
      <w:r w:rsidRPr="00852A7F">
        <w:t xml:space="preserve"> cohort. This number became the denominator. The CDE also publishes the college going rate for high school graduates, and this is broken down by different institution types, including community colleges. </w:t>
      </w:r>
      <w:r>
        <w:t>Because</w:t>
      </w:r>
      <w:r w:rsidRPr="00852A7F">
        <w:t xml:space="preserve"> a large proportion of secondary CTE students enter community colleges, the college going rate for community colleges was used as the base. It is also known that among all community colleges with about 45</w:t>
      </w:r>
      <w:r>
        <w:t xml:space="preserve"> percent</w:t>
      </w:r>
      <w:r w:rsidRPr="00852A7F">
        <w:t xml:space="preserve"> of community college students are in CTE programs. Putting these two numbers together, an estimate for the numerator was thereby obtained</w:t>
      </w:r>
      <w:r>
        <w:t>.</w:t>
      </w:r>
      <w:r w:rsidRPr="00852A7F">
        <w:t xml:space="preserve"> Dividing the estimated numerator by the estimated denominator, the indicator value was obtained. Data was available for four years: 2014</w:t>
      </w:r>
      <w:r>
        <w:t>–</w:t>
      </w:r>
      <w:r w:rsidRPr="00852A7F">
        <w:t>15 to 2017</w:t>
      </w:r>
      <w:r>
        <w:t>–</w:t>
      </w:r>
      <w:r w:rsidRPr="00852A7F">
        <w:t xml:space="preserve">18, and an average of the four years was used as the baseline, from which the projections were </w:t>
      </w:r>
      <w:r>
        <w:t>derived</w:t>
      </w:r>
      <w:r w:rsidRPr="00852A7F">
        <w:t>.</w:t>
      </w:r>
      <w:r>
        <w:t xml:space="preserve"> </w:t>
      </w:r>
    </w:p>
  </w:footnote>
  <w:footnote w:id="46">
    <w:p w14:paraId="4A99AB27" w14:textId="337188F9" w:rsidR="00293A60" w:rsidRDefault="00293A60">
      <w:pPr>
        <w:pStyle w:val="FootnoteText"/>
      </w:pPr>
      <w:r w:rsidRPr="00A10C82">
        <w:rPr>
          <w:rStyle w:val="FootnoteReference"/>
          <w:vertAlign w:val="baseline"/>
        </w:rPr>
        <w:footnoteRef/>
      </w:r>
      <w:r>
        <w:t xml:space="preserve">. </w:t>
      </w:r>
      <w:r w:rsidRPr="002A60CB">
        <w:t>The FY</w:t>
      </w:r>
      <w:r>
        <w:t xml:space="preserve"> </w:t>
      </w:r>
      <w:r w:rsidRPr="002A60CB">
        <w:t>2019 performance on the Four-Year Graduation R</w:t>
      </w:r>
      <w:r>
        <w:t>ate was estimated to be at 97.9 percent</w:t>
      </w:r>
      <w:r w:rsidRPr="002A60CB">
        <w:t xml:space="preserve">. Ninety percent of </w:t>
      </w:r>
      <w:r>
        <w:t>97.9 percent</w:t>
      </w:r>
      <w:r w:rsidRPr="002A60CB">
        <w:t xml:space="preserve"> </w:t>
      </w:r>
      <w:r>
        <w:t>is 88.1 percent</w:t>
      </w:r>
      <w:r w:rsidRPr="002A60CB">
        <w:t xml:space="preserve"> and this was used as the baseline level.</w:t>
      </w:r>
    </w:p>
  </w:footnote>
  <w:footnote w:id="47">
    <w:p w14:paraId="4CF0C4AC" w14:textId="5271E987" w:rsidR="00293A60" w:rsidRPr="00514138" w:rsidRDefault="00293A60" w:rsidP="003440BC">
      <w:pPr>
        <w:pStyle w:val="FootnoteText"/>
      </w:pPr>
      <w:r w:rsidRPr="00CE7FE9">
        <w:rPr>
          <w:rStyle w:val="FootnoteReference"/>
          <w:vertAlign w:val="baseline"/>
        </w:rPr>
        <w:footnoteRef/>
      </w:r>
      <w:r>
        <w:t>.</w:t>
      </w:r>
      <w:r w:rsidRPr="00514138">
        <w:t xml:space="preserve"> 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 xml:space="preserve">Federal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9A66" w14:textId="0831C98A" w:rsidR="00293A60" w:rsidRPr="00BB3EB5" w:rsidRDefault="00293A60" w:rsidP="00BB3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16AC" w14:textId="77777777" w:rsidR="00293A60" w:rsidRDefault="0029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45871"/>
    <w:multiLevelType w:val="hybridMultilevel"/>
    <w:tmpl w:val="7A4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15:restartNumberingAfterBreak="0">
    <w:nsid w:val="12AD3447"/>
    <w:multiLevelType w:val="hybridMultilevel"/>
    <w:tmpl w:val="83C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76679"/>
    <w:multiLevelType w:val="hybridMultilevel"/>
    <w:tmpl w:val="1D3E3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5" w15:restartNumberingAfterBreak="0">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540F7"/>
    <w:multiLevelType w:val="hybridMultilevel"/>
    <w:tmpl w:val="B3E4AC2C"/>
    <w:lvl w:ilvl="0" w:tplc="A510F62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DED05F8"/>
    <w:multiLevelType w:val="hybridMultilevel"/>
    <w:tmpl w:val="C63ED722"/>
    <w:lvl w:ilvl="0" w:tplc="DF0C61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15:restartNumberingAfterBreak="0">
    <w:nsid w:val="371F716F"/>
    <w:multiLevelType w:val="hybridMultilevel"/>
    <w:tmpl w:val="D9A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773F0"/>
    <w:multiLevelType w:val="hybridMultilevel"/>
    <w:tmpl w:val="43A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477FA5"/>
    <w:multiLevelType w:val="hybridMultilevel"/>
    <w:tmpl w:val="6D1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B6028"/>
    <w:multiLevelType w:val="hybridMultilevel"/>
    <w:tmpl w:val="4B5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D4009"/>
    <w:multiLevelType w:val="hybridMultilevel"/>
    <w:tmpl w:val="0CB24B2E"/>
    <w:lvl w:ilvl="0" w:tplc="04090001">
      <w:start w:val="1"/>
      <w:numFmt w:val="bullet"/>
      <w:lvlText w:val=""/>
      <w:lvlJc w:val="left"/>
      <w:pPr>
        <w:ind w:left="720" w:hanging="360"/>
      </w:pPr>
      <w:rPr>
        <w:rFonts w:ascii="Symbol" w:hAnsi="Symbol" w:hint="default"/>
      </w:rPr>
    </w:lvl>
    <w:lvl w:ilvl="1" w:tplc="778EF8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2" w15:restartNumberingAfterBreak="0">
    <w:nsid w:val="5D043153"/>
    <w:multiLevelType w:val="hybridMultilevel"/>
    <w:tmpl w:val="DA6C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E34E9"/>
    <w:multiLevelType w:val="hybridMultilevel"/>
    <w:tmpl w:val="90D25444"/>
    <w:lvl w:ilvl="0" w:tplc="4F54D2EC">
      <w:start w:val="1"/>
      <w:numFmt w:val="upperLetter"/>
      <w:lvlText w:val="%1."/>
      <w:lvlJc w:val="left"/>
      <w:pPr>
        <w:ind w:left="720" w:hanging="360"/>
      </w:pPr>
      <w:rPr>
        <w:rFonts w:ascii="Arial" w:hAnsi="Arial" w:hint="default"/>
        <w:b/>
        <w:i w:val="0"/>
        <w:sz w:val="24"/>
      </w:rPr>
    </w:lvl>
    <w:lvl w:ilvl="1" w:tplc="04090001">
      <w:start w:val="1"/>
      <w:numFmt w:val="bullet"/>
      <w:lvlText w:val=""/>
      <w:lvlJc w:val="left"/>
      <w:pPr>
        <w:ind w:left="1440" w:hanging="360"/>
      </w:pPr>
      <w:rPr>
        <w:rFonts w:ascii="Symbol" w:hAnsi="Symbo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15:restartNumberingAfterBreak="0">
    <w:nsid w:val="69D607E7"/>
    <w:multiLevelType w:val="hybridMultilevel"/>
    <w:tmpl w:val="9F8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B57D3"/>
    <w:multiLevelType w:val="hybridMultilevel"/>
    <w:tmpl w:val="F30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777605631">
    <w:abstractNumId w:val="27"/>
  </w:num>
  <w:num w:numId="2" w16cid:durableId="1375933173">
    <w:abstractNumId w:val="34"/>
  </w:num>
  <w:num w:numId="3" w16cid:durableId="248588111">
    <w:abstractNumId w:val="16"/>
  </w:num>
  <w:num w:numId="4" w16cid:durableId="97453071">
    <w:abstractNumId w:val="43"/>
  </w:num>
  <w:num w:numId="5" w16cid:durableId="633557807">
    <w:abstractNumId w:val="17"/>
  </w:num>
  <w:num w:numId="6" w16cid:durableId="1840392011">
    <w:abstractNumId w:val="31"/>
  </w:num>
  <w:num w:numId="7" w16cid:durableId="1222403670">
    <w:abstractNumId w:val="10"/>
  </w:num>
  <w:num w:numId="8" w16cid:durableId="101191406">
    <w:abstractNumId w:val="6"/>
  </w:num>
  <w:num w:numId="9" w16cid:durableId="2050376198">
    <w:abstractNumId w:val="8"/>
  </w:num>
  <w:num w:numId="10" w16cid:durableId="273751675">
    <w:abstractNumId w:val="19"/>
  </w:num>
  <w:num w:numId="11" w16cid:durableId="651712799">
    <w:abstractNumId w:val="14"/>
  </w:num>
  <w:num w:numId="12" w16cid:durableId="562639004">
    <w:abstractNumId w:val="7"/>
  </w:num>
  <w:num w:numId="13" w16cid:durableId="349186979">
    <w:abstractNumId w:val="18"/>
  </w:num>
  <w:num w:numId="14" w16cid:durableId="1841462831">
    <w:abstractNumId w:val="37"/>
  </w:num>
  <w:num w:numId="15" w16cid:durableId="486243963">
    <w:abstractNumId w:val="42"/>
  </w:num>
  <w:num w:numId="16" w16cid:durableId="366757369">
    <w:abstractNumId w:val="29"/>
  </w:num>
  <w:num w:numId="17" w16cid:durableId="360664980">
    <w:abstractNumId w:val="24"/>
  </w:num>
  <w:num w:numId="18" w16cid:durableId="559366921">
    <w:abstractNumId w:val="2"/>
  </w:num>
  <w:num w:numId="19" w16cid:durableId="1467697707">
    <w:abstractNumId w:val="0"/>
  </w:num>
  <w:num w:numId="20" w16cid:durableId="755513214">
    <w:abstractNumId w:val="1"/>
  </w:num>
  <w:num w:numId="21" w16cid:durableId="1005086558">
    <w:abstractNumId w:val="41"/>
  </w:num>
  <w:num w:numId="22" w16cid:durableId="217252231">
    <w:abstractNumId w:val="35"/>
  </w:num>
  <w:num w:numId="23" w16cid:durableId="156071705">
    <w:abstractNumId w:val="23"/>
  </w:num>
  <w:num w:numId="24" w16cid:durableId="1704013268">
    <w:abstractNumId w:val="30"/>
  </w:num>
  <w:num w:numId="25" w16cid:durableId="2036925159">
    <w:abstractNumId w:val="15"/>
  </w:num>
  <w:num w:numId="26" w16cid:durableId="567034866">
    <w:abstractNumId w:val="36"/>
  </w:num>
  <w:num w:numId="27" w16cid:durableId="1856726510">
    <w:abstractNumId w:val="25"/>
  </w:num>
  <w:num w:numId="28" w16cid:durableId="1266116670">
    <w:abstractNumId w:val="9"/>
  </w:num>
  <w:num w:numId="29" w16cid:durableId="153764326">
    <w:abstractNumId w:val="5"/>
  </w:num>
  <w:num w:numId="30" w16cid:durableId="1561598710">
    <w:abstractNumId w:val="13"/>
  </w:num>
  <w:num w:numId="31" w16cid:durableId="1869484259">
    <w:abstractNumId w:val="33"/>
  </w:num>
  <w:num w:numId="32" w16cid:durableId="595406989">
    <w:abstractNumId w:val="4"/>
  </w:num>
  <w:num w:numId="33" w16cid:durableId="189152207">
    <w:abstractNumId w:val="40"/>
  </w:num>
  <w:num w:numId="34" w16cid:durableId="1607350470">
    <w:abstractNumId w:val="38"/>
  </w:num>
  <w:num w:numId="35" w16cid:durableId="1605454422">
    <w:abstractNumId w:val="28"/>
  </w:num>
  <w:num w:numId="36" w16cid:durableId="874343963">
    <w:abstractNumId w:val="3"/>
  </w:num>
  <w:num w:numId="37" w16cid:durableId="760683914">
    <w:abstractNumId w:val="26"/>
  </w:num>
  <w:num w:numId="38" w16cid:durableId="305357102">
    <w:abstractNumId w:val="20"/>
  </w:num>
  <w:num w:numId="39" w16cid:durableId="184365551">
    <w:abstractNumId w:val="11"/>
  </w:num>
  <w:num w:numId="40" w16cid:durableId="1560823982">
    <w:abstractNumId w:val="12"/>
  </w:num>
  <w:num w:numId="41" w16cid:durableId="1250116610">
    <w:abstractNumId w:val="21"/>
  </w:num>
  <w:num w:numId="42" w16cid:durableId="800340067">
    <w:abstractNumId w:val="32"/>
  </w:num>
  <w:num w:numId="43" w16cid:durableId="1954169347">
    <w:abstractNumId w:val="39"/>
  </w:num>
  <w:num w:numId="44" w16cid:durableId="85350182">
    <w:abstractNumId w:val="22"/>
  </w:num>
  <w:num w:numId="45" w16cid:durableId="576789511">
    <w:abstractNumId w:val="35"/>
  </w:num>
  <w:num w:numId="46" w16cid:durableId="1592661515">
    <w:abstractNumId w:val="35"/>
  </w:num>
  <w:num w:numId="47" w16cid:durableId="984967985">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B5"/>
    <w:rsid w:val="00000014"/>
    <w:rsid w:val="0000024A"/>
    <w:rsid w:val="000011AC"/>
    <w:rsid w:val="00001BFC"/>
    <w:rsid w:val="000054FD"/>
    <w:rsid w:val="00005E80"/>
    <w:rsid w:val="000061CC"/>
    <w:rsid w:val="0000792B"/>
    <w:rsid w:val="00007A9F"/>
    <w:rsid w:val="00007D52"/>
    <w:rsid w:val="00010243"/>
    <w:rsid w:val="000118B5"/>
    <w:rsid w:val="000123BE"/>
    <w:rsid w:val="00013903"/>
    <w:rsid w:val="000143EC"/>
    <w:rsid w:val="000168D3"/>
    <w:rsid w:val="00020757"/>
    <w:rsid w:val="000218B7"/>
    <w:rsid w:val="00021FF0"/>
    <w:rsid w:val="00022B8A"/>
    <w:rsid w:val="000234B6"/>
    <w:rsid w:val="00023A95"/>
    <w:rsid w:val="000240F1"/>
    <w:rsid w:val="00025114"/>
    <w:rsid w:val="0002514F"/>
    <w:rsid w:val="00025F12"/>
    <w:rsid w:val="0002621D"/>
    <w:rsid w:val="0002622D"/>
    <w:rsid w:val="00026256"/>
    <w:rsid w:val="00026334"/>
    <w:rsid w:val="00027500"/>
    <w:rsid w:val="00027D3E"/>
    <w:rsid w:val="00027F83"/>
    <w:rsid w:val="00031377"/>
    <w:rsid w:val="00031459"/>
    <w:rsid w:val="0003284B"/>
    <w:rsid w:val="00033DA9"/>
    <w:rsid w:val="0003425B"/>
    <w:rsid w:val="00034DF7"/>
    <w:rsid w:val="000355E1"/>
    <w:rsid w:val="00035C02"/>
    <w:rsid w:val="00036F4A"/>
    <w:rsid w:val="000378EE"/>
    <w:rsid w:val="0004005F"/>
    <w:rsid w:val="00040828"/>
    <w:rsid w:val="00042002"/>
    <w:rsid w:val="000423B1"/>
    <w:rsid w:val="00042469"/>
    <w:rsid w:val="0004372F"/>
    <w:rsid w:val="00043829"/>
    <w:rsid w:val="00044156"/>
    <w:rsid w:val="00044C18"/>
    <w:rsid w:val="00044DCB"/>
    <w:rsid w:val="00045632"/>
    <w:rsid w:val="00045D9A"/>
    <w:rsid w:val="000465C4"/>
    <w:rsid w:val="00046A0D"/>
    <w:rsid w:val="00046DC3"/>
    <w:rsid w:val="000476AF"/>
    <w:rsid w:val="00047E82"/>
    <w:rsid w:val="0005173B"/>
    <w:rsid w:val="000519EA"/>
    <w:rsid w:val="00051E2D"/>
    <w:rsid w:val="00052001"/>
    <w:rsid w:val="000536EE"/>
    <w:rsid w:val="00053BEE"/>
    <w:rsid w:val="00054346"/>
    <w:rsid w:val="00054DE1"/>
    <w:rsid w:val="00054F67"/>
    <w:rsid w:val="0005756C"/>
    <w:rsid w:val="00060248"/>
    <w:rsid w:val="00060272"/>
    <w:rsid w:val="00060429"/>
    <w:rsid w:val="000610E8"/>
    <w:rsid w:val="00061E1C"/>
    <w:rsid w:val="000628C3"/>
    <w:rsid w:val="00062FD8"/>
    <w:rsid w:val="00063421"/>
    <w:rsid w:val="000637B9"/>
    <w:rsid w:val="00063B9C"/>
    <w:rsid w:val="00063FBB"/>
    <w:rsid w:val="0006421F"/>
    <w:rsid w:val="000649B9"/>
    <w:rsid w:val="00064A7D"/>
    <w:rsid w:val="00065AAA"/>
    <w:rsid w:val="00066066"/>
    <w:rsid w:val="000663A2"/>
    <w:rsid w:val="000668C3"/>
    <w:rsid w:val="000672C0"/>
    <w:rsid w:val="00067333"/>
    <w:rsid w:val="00067890"/>
    <w:rsid w:val="00070946"/>
    <w:rsid w:val="00070B95"/>
    <w:rsid w:val="0007162D"/>
    <w:rsid w:val="00071793"/>
    <w:rsid w:val="000722C2"/>
    <w:rsid w:val="00072B6D"/>
    <w:rsid w:val="00073C5C"/>
    <w:rsid w:val="0007590D"/>
    <w:rsid w:val="00075E9B"/>
    <w:rsid w:val="00076E18"/>
    <w:rsid w:val="0007736D"/>
    <w:rsid w:val="00080704"/>
    <w:rsid w:val="00080C45"/>
    <w:rsid w:val="00080CDB"/>
    <w:rsid w:val="00081999"/>
    <w:rsid w:val="00081A0C"/>
    <w:rsid w:val="000821FF"/>
    <w:rsid w:val="0008238F"/>
    <w:rsid w:val="00084705"/>
    <w:rsid w:val="00084CA9"/>
    <w:rsid w:val="000864B4"/>
    <w:rsid w:val="0008666C"/>
    <w:rsid w:val="000867E2"/>
    <w:rsid w:val="00087010"/>
    <w:rsid w:val="000871A7"/>
    <w:rsid w:val="00087591"/>
    <w:rsid w:val="00087700"/>
    <w:rsid w:val="000900A8"/>
    <w:rsid w:val="000905DA"/>
    <w:rsid w:val="00090675"/>
    <w:rsid w:val="00090BD1"/>
    <w:rsid w:val="0009207F"/>
    <w:rsid w:val="0009221D"/>
    <w:rsid w:val="0009541C"/>
    <w:rsid w:val="000957E3"/>
    <w:rsid w:val="000970C4"/>
    <w:rsid w:val="00097229"/>
    <w:rsid w:val="00097857"/>
    <w:rsid w:val="00097D03"/>
    <w:rsid w:val="000A05BD"/>
    <w:rsid w:val="000A26EF"/>
    <w:rsid w:val="000A296A"/>
    <w:rsid w:val="000A445D"/>
    <w:rsid w:val="000A47FB"/>
    <w:rsid w:val="000A488A"/>
    <w:rsid w:val="000A4A68"/>
    <w:rsid w:val="000A653C"/>
    <w:rsid w:val="000A6CF5"/>
    <w:rsid w:val="000A7252"/>
    <w:rsid w:val="000B0E4E"/>
    <w:rsid w:val="000B2427"/>
    <w:rsid w:val="000B2622"/>
    <w:rsid w:val="000B2D20"/>
    <w:rsid w:val="000B3A46"/>
    <w:rsid w:val="000B3F9F"/>
    <w:rsid w:val="000B40A3"/>
    <w:rsid w:val="000B4231"/>
    <w:rsid w:val="000B47AE"/>
    <w:rsid w:val="000B4F00"/>
    <w:rsid w:val="000B4F8D"/>
    <w:rsid w:val="000B52D6"/>
    <w:rsid w:val="000B5947"/>
    <w:rsid w:val="000B6AED"/>
    <w:rsid w:val="000B6B7A"/>
    <w:rsid w:val="000B79B6"/>
    <w:rsid w:val="000B7B38"/>
    <w:rsid w:val="000B7D5B"/>
    <w:rsid w:val="000C03FD"/>
    <w:rsid w:val="000C07F9"/>
    <w:rsid w:val="000C0BB0"/>
    <w:rsid w:val="000C0EC5"/>
    <w:rsid w:val="000C138E"/>
    <w:rsid w:val="000C2869"/>
    <w:rsid w:val="000C3011"/>
    <w:rsid w:val="000C3668"/>
    <w:rsid w:val="000C4342"/>
    <w:rsid w:val="000C706D"/>
    <w:rsid w:val="000C7627"/>
    <w:rsid w:val="000C7665"/>
    <w:rsid w:val="000C7F0D"/>
    <w:rsid w:val="000D079F"/>
    <w:rsid w:val="000D0AC8"/>
    <w:rsid w:val="000D0C72"/>
    <w:rsid w:val="000D1226"/>
    <w:rsid w:val="000D1342"/>
    <w:rsid w:val="000D2147"/>
    <w:rsid w:val="000D227D"/>
    <w:rsid w:val="000D3441"/>
    <w:rsid w:val="000D453A"/>
    <w:rsid w:val="000D458E"/>
    <w:rsid w:val="000D487A"/>
    <w:rsid w:val="000D6ABF"/>
    <w:rsid w:val="000D7B39"/>
    <w:rsid w:val="000E1021"/>
    <w:rsid w:val="000E1580"/>
    <w:rsid w:val="000E19CC"/>
    <w:rsid w:val="000E1E2E"/>
    <w:rsid w:val="000E2286"/>
    <w:rsid w:val="000E26C4"/>
    <w:rsid w:val="000E2AE8"/>
    <w:rsid w:val="000E3CAB"/>
    <w:rsid w:val="000E53D1"/>
    <w:rsid w:val="000E6178"/>
    <w:rsid w:val="000E7ACF"/>
    <w:rsid w:val="000F0213"/>
    <w:rsid w:val="000F03B7"/>
    <w:rsid w:val="000F08C6"/>
    <w:rsid w:val="000F0E63"/>
    <w:rsid w:val="000F132A"/>
    <w:rsid w:val="000F3492"/>
    <w:rsid w:val="000F3853"/>
    <w:rsid w:val="000F40E9"/>
    <w:rsid w:val="000F41B9"/>
    <w:rsid w:val="000F48AD"/>
    <w:rsid w:val="000F4C77"/>
    <w:rsid w:val="000F65A0"/>
    <w:rsid w:val="000F7410"/>
    <w:rsid w:val="000F7AE5"/>
    <w:rsid w:val="000F7C1F"/>
    <w:rsid w:val="000F7C8F"/>
    <w:rsid w:val="00101F07"/>
    <w:rsid w:val="001025D6"/>
    <w:rsid w:val="00102890"/>
    <w:rsid w:val="00102BFE"/>
    <w:rsid w:val="0010402F"/>
    <w:rsid w:val="00106E8C"/>
    <w:rsid w:val="00107003"/>
    <w:rsid w:val="00107195"/>
    <w:rsid w:val="00107A5E"/>
    <w:rsid w:val="001105EA"/>
    <w:rsid w:val="00110814"/>
    <w:rsid w:val="0011131F"/>
    <w:rsid w:val="001114EF"/>
    <w:rsid w:val="00111716"/>
    <w:rsid w:val="00111971"/>
    <w:rsid w:val="00111E90"/>
    <w:rsid w:val="001126A9"/>
    <w:rsid w:val="00113BFF"/>
    <w:rsid w:val="0011427A"/>
    <w:rsid w:val="00114537"/>
    <w:rsid w:val="00114B79"/>
    <w:rsid w:val="00114EB3"/>
    <w:rsid w:val="001209E4"/>
    <w:rsid w:val="0012151C"/>
    <w:rsid w:val="001216F9"/>
    <w:rsid w:val="00121BAF"/>
    <w:rsid w:val="00123BBF"/>
    <w:rsid w:val="00125281"/>
    <w:rsid w:val="001266CC"/>
    <w:rsid w:val="0012677E"/>
    <w:rsid w:val="00126C4E"/>
    <w:rsid w:val="0012713F"/>
    <w:rsid w:val="00130C45"/>
    <w:rsid w:val="00131EDA"/>
    <w:rsid w:val="00132133"/>
    <w:rsid w:val="001324B3"/>
    <w:rsid w:val="00133827"/>
    <w:rsid w:val="00133B4A"/>
    <w:rsid w:val="00134392"/>
    <w:rsid w:val="00134D13"/>
    <w:rsid w:val="00135101"/>
    <w:rsid w:val="0013530A"/>
    <w:rsid w:val="00135F32"/>
    <w:rsid w:val="0013605F"/>
    <w:rsid w:val="00136885"/>
    <w:rsid w:val="00141EC8"/>
    <w:rsid w:val="001440C2"/>
    <w:rsid w:val="0014411F"/>
    <w:rsid w:val="0014549A"/>
    <w:rsid w:val="00145EB4"/>
    <w:rsid w:val="001461C3"/>
    <w:rsid w:val="001463FE"/>
    <w:rsid w:val="00147778"/>
    <w:rsid w:val="00147F39"/>
    <w:rsid w:val="00150838"/>
    <w:rsid w:val="00151E33"/>
    <w:rsid w:val="00152708"/>
    <w:rsid w:val="0015293F"/>
    <w:rsid w:val="00153AA9"/>
    <w:rsid w:val="00154006"/>
    <w:rsid w:val="001549DA"/>
    <w:rsid w:val="001555A9"/>
    <w:rsid w:val="00155652"/>
    <w:rsid w:val="00156E25"/>
    <w:rsid w:val="001577C9"/>
    <w:rsid w:val="00160C78"/>
    <w:rsid w:val="00160DBA"/>
    <w:rsid w:val="0016136F"/>
    <w:rsid w:val="00161C10"/>
    <w:rsid w:val="00163A23"/>
    <w:rsid w:val="00163AD5"/>
    <w:rsid w:val="0016591E"/>
    <w:rsid w:val="00165DB8"/>
    <w:rsid w:val="00166876"/>
    <w:rsid w:val="00166B5E"/>
    <w:rsid w:val="001677A4"/>
    <w:rsid w:val="00167836"/>
    <w:rsid w:val="00167B66"/>
    <w:rsid w:val="00170883"/>
    <w:rsid w:val="00170D10"/>
    <w:rsid w:val="001714F0"/>
    <w:rsid w:val="00171C1A"/>
    <w:rsid w:val="001727DB"/>
    <w:rsid w:val="001735FE"/>
    <w:rsid w:val="0017409D"/>
    <w:rsid w:val="0017419E"/>
    <w:rsid w:val="00174960"/>
    <w:rsid w:val="00174A42"/>
    <w:rsid w:val="00175D25"/>
    <w:rsid w:val="001773A4"/>
    <w:rsid w:val="00177ECF"/>
    <w:rsid w:val="001801A4"/>
    <w:rsid w:val="001806AF"/>
    <w:rsid w:val="00182551"/>
    <w:rsid w:val="001829B5"/>
    <w:rsid w:val="0018414A"/>
    <w:rsid w:val="00184A99"/>
    <w:rsid w:val="001855ED"/>
    <w:rsid w:val="00186792"/>
    <w:rsid w:val="001870B4"/>
    <w:rsid w:val="001873E2"/>
    <w:rsid w:val="00187716"/>
    <w:rsid w:val="00190D83"/>
    <w:rsid w:val="00190EFC"/>
    <w:rsid w:val="001917BC"/>
    <w:rsid w:val="0019249E"/>
    <w:rsid w:val="00194352"/>
    <w:rsid w:val="00195C83"/>
    <w:rsid w:val="00195FCC"/>
    <w:rsid w:val="0019649D"/>
    <w:rsid w:val="00196E41"/>
    <w:rsid w:val="001970D5"/>
    <w:rsid w:val="001A06F7"/>
    <w:rsid w:val="001A071F"/>
    <w:rsid w:val="001A0C0B"/>
    <w:rsid w:val="001A0C67"/>
    <w:rsid w:val="001A0CA5"/>
    <w:rsid w:val="001A0F38"/>
    <w:rsid w:val="001A155E"/>
    <w:rsid w:val="001A218F"/>
    <w:rsid w:val="001A3951"/>
    <w:rsid w:val="001A603B"/>
    <w:rsid w:val="001A6340"/>
    <w:rsid w:val="001A6418"/>
    <w:rsid w:val="001A6EE3"/>
    <w:rsid w:val="001A73C1"/>
    <w:rsid w:val="001B0AB3"/>
    <w:rsid w:val="001B0EA9"/>
    <w:rsid w:val="001B1057"/>
    <w:rsid w:val="001B32B0"/>
    <w:rsid w:val="001B3461"/>
    <w:rsid w:val="001B5B3A"/>
    <w:rsid w:val="001B5DF2"/>
    <w:rsid w:val="001B701C"/>
    <w:rsid w:val="001B7611"/>
    <w:rsid w:val="001B7EF5"/>
    <w:rsid w:val="001C0CE2"/>
    <w:rsid w:val="001C1854"/>
    <w:rsid w:val="001C19ED"/>
    <w:rsid w:val="001C1A29"/>
    <w:rsid w:val="001C200D"/>
    <w:rsid w:val="001C2412"/>
    <w:rsid w:val="001C2719"/>
    <w:rsid w:val="001C4385"/>
    <w:rsid w:val="001C47E7"/>
    <w:rsid w:val="001C482A"/>
    <w:rsid w:val="001C4FF6"/>
    <w:rsid w:val="001C54D3"/>
    <w:rsid w:val="001C6063"/>
    <w:rsid w:val="001C609A"/>
    <w:rsid w:val="001C6B58"/>
    <w:rsid w:val="001C7CD3"/>
    <w:rsid w:val="001D04CE"/>
    <w:rsid w:val="001D0AB4"/>
    <w:rsid w:val="001D0E47"/>
    <w:rsid w:val="001D1370"/>
    <w:rsid w:val="001D167F"/>
    <w:rsid w:val="001D2448"/>
    <w:rsid w:val="001D2C6B"/>
    <w:rsid w:val="001D3964"/>
    <w:rsid w:val="001D5C94"/>
    <w:rsid w:val="001D5D86"/>
    <w:rsid w:val="001D5E2A"/>
    <w:rsid w:val="001D6731"/>
    <w:rsid w:val="001D73C6"/>
    <w:rsid w:val="001D76E0"/>
    <w:rsid w:val="001D7BE2"/>
    <w:rsid w:val="001E0973"/>
    <w:rsid w:val="001E0C4F"/>
    <w:rsid w:val="001E0E47"/>
    <w:rsid w:val="001E15F3"/>
    <w:rsid w:val="001E2395"/>
    <w:rsid w:val="001E28A9"/>
    <w:rsid w:val="001E28B2"/>
    <w:rsid w:val="001E2959"/>
    <w:rsid w:val="001E36F2"/>
    <w:rsid w:val="001E37C1"/>
    <w:rsid w:val="001E5215"/>
    <w:rsid w:val="001E5278"/>
    <w:rsid w:val="001E53B3"/>
    <w:rsid w:val="001E600B"/>
    <w:rsid w:val="001E69DD"/>
    <w:rsid w:val="001E6A2D"/>
    <w:rsid w:val="001E707C"/>
    <w:rsid w:val="001E7872"/>
    <w:rsid w:val="001E7CEF"/>
    <w:rsid w:val="001F05F7"/>
    <w:rsid w:val="001F06F8"/>
    <w:rsid w:val="001F0B2D"/>
    <w:rsid w:val="001F14E8"/>
    <w:rsid w:val="001F16DE"/>
    <w:rsid w:val="001F23F8"/>
    <w:rsid w:val="001F30AD"/>
    <w:rsid w:val="001F39FA"/>
    <w:rsid w:val="001F7124"/>
    <w:rsid w:val="0020041C"/>
    <w:rsid w:val="002004AD"/>
    <w:rsid w:val="00200928"/>
    <w:rsid w:val="0020155D"/>
    <w:rsid w:val="00201698"/>
    <w:rsid w:val="00201A99"/>
    <w:rsid w:val="00201CA3"/>
    <w:rsid w:val="002021C7"/>
    <w:rsid w:val="00202454"/>
    <w:rsid w:val="0020318F"/>
    <w:rsid w:val="00206D0B"/>
    <w:rsid w:val="00207D9A"/>
    <w:rsid w:val="00210F41"/>
    <w:rsid w:val="002111CC"/>
    <w:rsid w:val="00211C4F"/>
    <w:rsid w:val="00211DE2"/>
    <w:rsid w:val="00212C77"/>
    <w:rsid w:val="00212D40"/>
    <w:rsid w:val="0021315E"/>
    <w:rsid w:val="002148FA"/>
    <w:rsid w:val="00214DFA"/>
    <w:rsid w:val="002157E7"/>
    <w:rsid w:val="0021640F"/>
    <w:rsid w:val="00216ABD"/>
    <w:rsid w:val="00216BA3"/>
    <w:rsid w:val="002176A0"/>
    <w:rsid w:val="002179DF"/>
    <w:rsid w:val="00220145"/>
    <w:rsid w:val="00221798"/>
    <w:rsid w:val="00221B68"/>
    <w:rsid w:val="00222052"/>
    <w:rsid w:val="002221DC"/>
    <w:rsid w:val="002223CC"/>
    <w:rsid w:val="00223BD5"/>
    <w:rsid w:val="0022469F"/>
    <w:rsid w:val="0022574C"/>
    <w:rsid w:val="002263B3"/>
    <w:rsid w:val="002264D7"/>
    <w:rsid w:val="00226510"/>
    <w:rsid w:val="00226C0D"/>
    <w:rsid w:val="00227083"/>
    <w:rsid w:val="00227108"/>
    <w:rsid w:val="00227E3E"/>
    <w:rsid w:val="00231909"/>
    <w:rsid w:val="002344AB"/>
    <w:rsid w:val="002344BA"/>
    <w:rsid w:val="00234533"/>
    <w:rsid w:val="00234E3D"/>
    <w:rsid w:val="0023547E"/>
    <w:rsid w:val="00235978"/>
    <w:rsid w:val="00235A9C"/>
    <w:rsid w:val="00236572"/>
    <w:rsid w:val="00236C0D"/>
    <w:rsid w:val="002373F8"/>
    <w:rsid w:val="00237692"/>
    <w:rsid w:val="00240D6C"/>
    <w:rsid w:val="00240DB2"/>
    <w:rsid w:val="0024304B"/>
    <w:rsid w:val="0024376E"/>
    <w:rsid w:val="00243C92"/>
    <w:rsid w:val="00244567"/>
    <w:rsid w:val="00246C6F"/>
    <w:rsid w:val="00247226"/>
    <w:rsid w:val="0024766B"/>
    <w:rsid w:val="002508AD"/>
    <w:rsid w:val="002511B5"/>
    <w:rsid w:val="00251E51"/>
    <w:rsid w:val="00252673"/>
    <w:rsid w:val="00252C09"/>
    <w:rsid w:val="00252E6A"/>
    <w:rsid w:val="00254637"/>
    <w:rsid w:val="002547D6"/>
    <w:rsid w:val="00255830"/>
    <w:rsid w:val="00255DD4"/>
    <w:rsid w:val="002560A2"/>
    <w:rsid w:val="00256426"/>
    <w:rsid w:val="00257584"/>
    <w:rsid w:val="00260339"/>
    <w:rsid w:val="002627B2"/>
    <w:rsid w:val="0026366B"/>
    <w:rsid w:val="00263BB0"/>
    <w:rsid w:val="002658F4"/>
    <w:rsid w:val="00265CC0"/>
    <w:rsid w:val="00267517"/>
    <w:rsid w:val="0026799C"/>
    <w:rsid w:val="00270759"/>
    <w:rsid w:val="00270F40"/>
    <w:rsid w:val="00271AD3"/>
    <w:rsid w:val="00271D77"/>
    <w:rsid w:val="00271D8C"/>
    <w:rsid w:val="002726DE"/>
    <w:rsid w:val="00272942"/>
    <w:rsid w:val="0027331D"/>
    <w:rsid w:val="00273582"/>
    <w:rsid w:val="00274085"/>
    <w:rsid w:val="00274FEF"/>
    <w:rsid w:val="00275055"/>
    <w:rsid w:val="002760DD"/>
    <w:rsid w:val="00276108"/>
    <w:rsid w:val="0027629C"/>
    <w:rsid w:val="00277171"/>
    <w:rsid w:val="00277DE3"/>
    <w:rsid w:val="00280149"/>
    <w:rsid w:val="00280817"/>
    <w:rsid w:val="00281104"/>
    <w:rsid w:val="0028123B"/>
    <w:rsid w:val="002815F4"/>
    <w:rsid w:val="002817BB"/>
    <w:rsid w:val="00282805"/>
    <w:rsid w:val="00282EEA"/>
    <w:rsid w:val="00284A33"/>
    <w:rsid w:val="00284A51"/>
    <w:rsid w:val="00285683"/>
    <w:rsid w:val="00285E1D"/>
    <w:rsid w:val="002868A4"/>
    <w:rsid w:val="002873F8"/>
    <w:rsid w:val="00287676"/>
    <w:rsid w:val="0028791B"/>
    <w:rsid w:val="00290FBA"/>
    <w:rsid w:val="00292AF2"/>
    <w:rsid w:val="00293A60"/>
    <w:rsid w:val="00293BE7"/>
    <w:rsid w:val="00294EB9"/>
    <w:rsid w:val="00295AED"/>
    <w:rsid w:val="00296262"/>
    <w:rsid w:val="002979FF"/>
    <w:rsid w:val="002A02B1"/>
    <w:rsid w:val="002A02DA"/>
    <w:rsid w:val="002A0C9F"/>
    <w:rsid w:val="002A1C06"/>
    <w:rsid w:val="002A25A0"/>
    <w:rsid w:val="002A2AD9"/>
    <w:rsid w:val="002A2CF0"/>
    <w:rsid w:val="002A2ECB"/>
    <w:rsid w:val="002A39D5"/>
    <w:rsid w:val="002A3FE3"/>
    <w:rsid w:val="002A43D0"/>
    <w:rsid w:val="002A45E1"/>
    <w:rsid w:val="002A57D4"/>
    <w:rsid w:val="002A60CB"/>
    <w:rsid w:val="002A6B52"/>
    <w:rsid w:val="002A75A5"/>
    <w:rsid w:val="002B1692"/>
    <w:rsid w:val="002B5AB2"/>
    <w:rsid w:val="002B6501"/>
    <w:rsid w:val="002B6CD8"/>
    <w:rsid w:val="002B6EEB"/>
    <w:rsid w:val="002B7BFE"/>
    <w:rsid w:val="002C134E"/>
    <w:rsid w:val="002C1E04"/>
    <w:rsid w:val="002C241D"/>
    <w:rsid w:val="002C2623"/>
    <w:rsid w:val="002C3456"/>
    <w:rsid w:val="002C3F22"/>
    <w:rsid w:val="002C4D04"/>
    <w:rsid w:val="002C4D91"/>
    <w:rsid w:val="002C5EA5"/>
    <w:rsid w:val="002C767A"/>
    <w:rsid w:val="002D028B"/>
    <w:rsid w:val="002D06B5"/>
    <w:rsid w:val="002D10B3"/>
    <w:rsid w:val="002D34F7"/>
    <w:rsid w:val="002D38DA"/>
    <w:rsid w:val="002D4165"/>
    <w:rsid w:val="002D5078"/>
    <w:rsid w:val="002D68C4"/>
    <w:rsid w:val="002D6A35"/>
    <w:rsid w:val="002D71AC"/>
    <w:rsid w:val="002D7493"/>
    <w:rsid w:val="002E3060"/>
    <w:rsid w:val="002E44A4"/>
    <w:rsid w:val="002E4A18"/>
    <w:rsid w:val="002E4AA7"/>
    <w:rsid w:val="002E4C95"/>
    <w:rsid w:val="002E4CB5"/>
    <w:rsid w:val="002E5173"/>
    <w:rsid w:val="002E521A"/>
    <w:rsid w:val="002E5EB2"/>
    <w:rsid w:val="002E5FA9"/>
    <w:rsid w:val="002E6495"/>
    <w:rsid w:val="002E79E1"/>
    <w:rsid w:val="002F1410"/>
    <w:rsid w:val="002F19C9"/>
    <w:rsid w:val="002F2687"/>
    <w:rsid w:val="002F2E63"/>
    <w:rsid w:val="002F382B"/>
    <w:rsid w:val="002F3991"/>
    <w:rsid w:val="002F4AFA"/>
    <w:rsid w:val="002F502F"/>
    <w:rsid w:val="002F549F"/>
    <w:rsid w:val="002F5588"/>
    <w:rsid w:val="002F57F6"/>
    <w:rsid w:val="002F5AD7"/>
    <w:rsid w:val="002F6A07"/>
    <w:rsid w:val="0030005E"/>
    <w:rsid w:val="0030006A"/>
    <w:rsid w:val="00300CA8"/>
    <w:rsid w:val="00300F33"/>
    <w:rsid w:val="0030273D"/>
    <w:rsid w:val="003027EC"/>
    <w:rsid w:val="00302CCA"/>
    <w:rsid w:val="003037A0"/>
    <w:rsid w:val="00304155"/>
    <w:rsid w:val="003045DF"/>
    <w:rsid w:val="00305FF0"/>
    <w:rsid w:val="00306BBC"/>
    <w:rsid w:val="00310131"/>
    <w:rsid w:val="00311CDF"/>
    <w:rsid w:val="003122A1"/>
    <w:rsid w:val="00312399"/>
    <w:rsid w:val="00312709"/>
    <w:rsid w:val="00312D9D"/>
    <w:rsid w:val="00312EA9"/>
    <w:rsid w:val="003130A6"/>
    <w:rsid w:val="00313556"/>
    <w:rsid w:val="00313F46"/>
    <w:rsid w:val="0031531F"/>
    <w:rsid w:val="00315714"/>
    <w:rsid w:val="003164E4"/>
    <w:rsid w:val="00316C2F"/>
    <w:rsid w:val="00317A61"/>
    <w:rsid w:val="0032090E"/>
    <w:rsid w:val="00320BA0"/>
    <w:rsid w:val="00320F18"/>
    <w:rsid w:val="003217B6"/>
    <w:rsid w:val="00321DD4"/>
    <w:rsid w:val="00321F88"/>
    <w:rsid w:val="00322250"/>
    <w:rsid w:val="00322A29"/>
    <w:rsid w:val="00323023"/>
    <w:rsid w:val="0032310A"/>
    <w:rsid w:val="00325592"/>
    <w:rsid w:val="003259D6"/>
    <w:rsid w:val="00325BB1"/>
    <w:rsid w:val="00325F06"/>
    <w:rsid w:val="003260C4"/>
    <w:rsid w:val="0032622E"/>
    <w:rsid w:val="003277AA"/>
    <w:rsid w:val="00327F39"/>
    <w:rsid w:val="00330BD7"/>
    <w:rsid w:val="00330C43"/>
    <w:rsid w:val="00331828"/>
    <w:rsid w:val="00331C2F"/>
    <w:rsid w:val="00332273"/>
    <w:rsid w:val="0033267F"/>
    <w:rsid w:val="00332A8D"/>
    <w:rsid w:val="00333477"/>
    <w:rsid w:val="003342A0"/>
    <w:rsid w:val="00334F82"/>
    <w:rsid w:val="00335A92"/>
    <w:rsid w:val="0033678B"/>
    <w:rsid w:val="00336854"/>
    <w:rsid w:val="00336E64"/>
    <w:rsid w:val="003370D2"/>
    <w:rsid w:val="003375E9"/>
    <w:rsid w:val="00340986"/>
    <w:rsid w:val="0034129E"/>
    <w:rsid w:val="00341EE5"/>
    <w:rsid w:val="0034260D"/>
    <w:rsid w:val="00343375"/>
    <w:rsid w:val="003434BD"/>
    <w:rsid w:val="00343C3C"/>
    <w:rsid w:val="003440BC"/>
    <w:rsid w:val="0034561A"/>
    <w:rsid w:val="003457EA"/>
    <w:rsid w:val="00345C32"/>
    <w:rsid w:val="003466B6"/>
    <w:rsid w:val="00347385"/>
    <w:rsid w:val="00347B39"/>
    <w:rsid w:val="00347DDA"/>
    <w:rsid w:val="00347E90"/>
    <w:rsid w:val="00351C18"/>
    <w:rsid w:val="0035366F"/>
    <w:rsid w:val="00354A95"/>
    <w:rsid w:val="003553EA"/>
    <w:rsid w:val="00355AD0"/>
    <w:rsid w:val="00355F16"/>
    <w:rsid w:val="00356A96"/>
    <w:rsid w:val="003573AD"/>
    <w:rsid w:val="00357402"/>
    <w:rsid w:val="00357FAA"/>
    <w:rsid w:val="00360434"/>
    <w:rsid w:val="00361FF1"/>
    <w:rsid w:val="00362D6E"/>
    <w:rsid w:val="003649F5"/>
    <w:rsid w:val="00364A6D"/>
    <w:rsid w:val="003655C0"/>
    <w:rsid w:val="00365A53"/>
    <w:rsid w:val="00365E99"/>
    <w:rsid w:val="003664E0"/>
    <w:rsid w:val="00367A57"/>
    <w:rsid w:val="00367FE9"/>
    <w:rsid w:val="003718EF"/>
    <w:rsid w:val="0037236F"/>
    <w:rsid w:val="00374521"/>
    <w:rsid w:val="003750D2"/>
    <w:rsid w:val="00375994"/>
    <w:rsid w:val="00375D95"/>
    <w:rsid w:val="00376572"/>
    <w:rsid w:val="0037693B"/>
    <w:rsid w:val="00377D33"/>
    <w:rsid w:val="00377FAA"/>
    <w:rsid w:val="003800DC"/>
    <w:rsid w:val="00382B90"/>
    <w:rsid w:val="00382CFA"/>
    <w:rsid w:val="003831CE"/>
    <w:rsid w:val="00384105"/>
    <w:rsid w:val="0038463E"/>
    <w:rsid w:val="0038468C"/>
    <w:rsid w:val="00384E2B"/>
    <w:rsid w:val="003858DB"/>
    <w:rsid w:val="00386532"/>
    <w:rsid w:val="00386BFD"/>
    <w:rsid w:val="00386D2F"/>
    <w:rsid w:val="00387804"/>
    <w:rsid w:val="003908B1"/>
    <w:rsid w:val="00390A67"/>
    <w:rsid w:val="003910BD"/>
    <w:rsid w:val="003929AC"/>
    <w:rsid w:val="00393889"/>
    <w:rsid w:val="003943FD"/>
    <w:rsid w:val="00394837"/>
    <w:rsid w:val="003956EF"/>
    <w:rsid w:val="00396B67"/>
    <w:rsid w:val="00397592"/>
    <w:rsid w:val="003A01D7"/>
    <w:rsid w:val="003A04BD"/>
    <w:rsid w:val="003A0E65"/>
    <w:rsid w:val="003A16A9"/>
    <w:rsid w:val="003A1E06"/>
    <w:rsid w:val="003A1E51"/>
    <w:rsid w:val="003A29AE"/>
    <w:rsid w:val="003A3699"/>
    <w:rsid w:val="003A37C4"/>
    <w:rsid w:val="003A3B85"/>
    <w:rsid w:val="003A4764"/>
    <w:rsid w:val="003A6175"/>
    <w:rsid w:val="003A6CC9"/>
    <w:rsid w:val="003A7FF0"/>
    <w:rsid w:val="003B02CA"/>
    <w:rsid w:val="003B1A04"/>
    <w:rsid w:val="003B2806"/>
    <w:rsid w:val="003B2DE6"/>
    <w:rsid w:val="003B3506"/>
    <w:rsid w:val="003B3BA0"/>
    <w:rsid w:val="003B3DC6"/>
    <w:rsid w:val="003B4400"/>
    <w:rsid w:val="003B4FCF"/>
    <w:rsid w:val="003B5B3B"/>
    <w:rsid w:val="003B5FA0"/>
    <w:rsid w:val="003B6106"/>
    <w:rsid w:val="003B63AD"/>
    <w:rsid w:val="003C05D4"/>
    <w:rsid w:val="003C0A83"/>
    <w:rsid w:val="003C2924"/>
    <w:rsid w:val="003C331E"/>
    <w:rsid w:val="003C345D"/>
    <w:rsid w:val="003C3A78"/>
    <w:rsid w:val="003C4454"/>
    <w:rsid w:val="003C4AA2"/>
    <w:rsid w:val="003C4E8A"/>
    <w:rsid w:val="003C5F4C"/>
    <w:rsid w:val="003C6F31"/>
    <w:rsid w:val="003C7C91"/>
    <w:rsid w:val="003D0419"/>
    <w:rsid w:val="003D0766"/>
    <w:rsid w:val="003D0A4A"/>
    <w:rsid w:val="003D0C34"/>
    <w:rsid w:val="003D0F07"/>
    <w:rsid w:val="003D1023"/>
    <w:rsid w:val="003D11E6"/>
    <w:rsid w:val="003D11E9"/>
    <w:rsid w:val="003D1FA4"/>
    <w:rsid w:val="003D2367"/>
    <w:rsid w:val="003D247B"/>
    <w:rsid w:val="003D38C6"/>
    <w:rsid w:val="003D4DA3"/>
    <w:rsid w:val="003D550F"/>
    <w:rsid w:val="003D609A"/>
    <w:rsid w:val="003D6398"/>
    <w:rsid w:val="003D6E56"/>
    <w:rsid w:val="003E11F5"/>
    <w:rsid w:val="003E15AC"/>
    <w:rsid w:val="003E1BF5"/>
    <w:rsid w:val="003E1F3D"/>
    <w:rsid w:val="003E2B3D"/>
    <w:rsid w:val="003E51CA"/>
    <w:rsid w:val="003E5207"/>
    <w:rsid w:val="003E669D"/>
    <w:rsid w:val="003E6A20"/>
    <w:rsid w:val="003E7E8C"/>
    <w:rsid w:val="003E7F30"/>
    <w:rsid w:val="003F1324"/>
    <w:rsid w:val="003F2154"/>
    <w:rsid w:val="003F34CA"/>
    <w:rsid w:val="003F3A27"/>
    <w:rsid w:val="003F4543"/>
    <w:rsid w:val="003F638F"/>
    <w:rsid w:val="00400651"/>
    <w:rsid w:val="00401AE4"/>
    <w:rsid w:val="00401C02"/>
    <w:rsid w:val="00403438"/>
    <w:rsid w:val="0040436D"/>
    <w:rsid w:val="004044BA"/>
    <w:rsid w:val="004047A9"/>
    <w:rsid w:val="0040553F"/>
    <w:rsid w:val="004058BB"/>
    <w:rsid w:val="00406363"/>
    <w:rsid w:val="004065C9"/>
    <w:rsid w:val="00406D7B"/>
    <w:rsid w:val="00407C7F"/>
    <w:rsid w:val="004100FF"/>
    <w:rsid w:val="004105D6"/>
    <w:rsid w:val="00410D7F"/>
    <w:rsid w:val="00412EF1"/>
    <w:rsid w:val="0041330C"/>
    <w:rsid w:val="00413528"/>
    <w:rsid w:val="00413DE8"/>
    <w:rsid w:val="004144D7"/>
    <w:rsid w:val="00415969"/>
    <w:rsid w:val="00415CE5"/>
    <w:rsid w:val="00415D12"/>
    <w:rsid w:val="00416F30"/>
    <w:rsid w:val="00417741"/>
    <w:rsid w:val="00421704"/>
    <w:rsid w:val="0042176B"/>
    <w:rsid w:val="004221B1"/>
    <w:rsid w:val="00422779"/>
    <w:rsid w:val="00423160"/>
    <w:rsid w:val="00423EE5"/>
    <w:rsid w:val="004244BA"/>
    <w:rsid w:val="00425150"/>
    <w:rsid w:val="0042580E"/>
    <w:rsid w:val="00425FDD"/>
    <w:rsid w:val="00426153"/>
    <w:rsid w:val="00426190"/>
    <w:rsid w:val="004274FD"/>
    <w:rsid w:val="00433846"/>
    <w:rsid w:val="00433B41"/>
    <w:rsid w:val="00433E31"/>
    <w:rsid w:val="00434328"/>
    <w:rsid w:val="004349DE"/>
    <w:rsid w:val="004375D1"/>
    <w:rsid w:val="00441293"/>
    <w:rsid w:val="004435A9"/>
    <w:rsid w:val="00443740"/>
    <w:rsid w:val="00444456"/>
    <w:rsid w:val="00444E44"/>
    <w:rsid w:val="00446868"/>
    <w:rsid w:val="00446D4F"/>
    <w:rsid w:val="0045074B"/>
    <w:rsid w:val="00450D7B"/>
    <w:rsid w:val="00451863"/>
    <w:rsid w:val="004519A3"/>
    <w:rsid w:val="00451AE1"/>
    <w:rsid w:val="004522C6"/>
    <w:rsid w:val="00453A35"/>
    <w:rsid w:val="00453C26"/>
    <w:rsid w:val="00453EC2"/>
    <w:rsid w:val="00453F73"/>
    <w:rsid w:val="00454BC0"/>
    <w:rsid w:val="004559ED"/>
    <w:rsid w:val="004563E6"/>
    <w:rsid w:val="004569B6"/>
    <w:rsid w:val="00457379"/>
    <w:rsid w:val="00457D02"/>
    <w:rsid w:val="00457DCF"/>
    <w:rsid w:val="0046062E"/>
    <w:rsid w:val="00460C29"/>
    <w:rsid w:val="004618F6"/>
    <w:rsid w:val="00461A10"/>
    <w:rsid w:val="004620A3"/>
    <w:rsid w:val="00462348"/>
    <w:rsid w:val="00463188"/>
    <w:rsid w:val="00463364"/>
    <w:rsid w:val="00463EC3"/>
    <w:rsid w:val="0046463F"/>
    <w:rsid w:val="0046500C"/>
    <w:rsid w:val="00465BD2"/>
    <w:rsid w:val="00465DC7"/>
    <w:rsid w:val="00466BBF"/>
    <w:rsid w:val="00467E93"/>
    <w:rsid w:val="00470540"/>
    <w:rsid w:val="0047078C"/>
    <w:rsid w:val="00470838"/>
    <w:rsid w:val="00470C18"/>
    <w:rsid w:val="00470EB9"/>
    <w:rsid w:val="00470FEA"/>
    <w:rsid w:val="004715B7"/>
    <w:rsid w:val="00471D2D"/>
    <w:rsid w:val="00471DBA"/>
    <w:rsid w:val="004721C9"/>
    <w:rsid w:val="00476D09"/>
    <w:rsid w:val="0048078B"/>
    <w:rsid w:val="00481060"/>
    <w:rsid w:val="00481737"/>
    <w:rsid w:val="0048185B"/>
    <w:rsid w:val="0048192F"/>
    <w:rsid w:val="00482134"/>
    <w:rsid w:val="004832E3"/>
    <w:rsid w:val="00484042"/>
    <w:rsid w:val="00484E9E"/>
    <w:rsid w:val="00485BF7"/>
    <w:rsid w:val="00485DCA"/>
    <w:rsid w:val="004868B6"/>
    <w:rsid w:val="0048744C"/>
    <w:rsid w:val="00487795"/>
    <w:rsid w:val="0049035E"/>
    <w:rsid w:val="0049058B"/>
    <w:rsid w:val="00490AFB"/>
    <w:rsid w:val="00491413"/>
    <w:rsid w:val="0049150B"/>
    <w:rsid w:val="00491801"/>
    <w:rsid w:val="00492A14"/>
    <w:rsid w:val="0049337C"/>
    <w:rsid w:val="004960BE"/>
    <w:rsid w:val="00497755"/>
    <w:rsid w:val="00497765"/>
    <w:rsid w:val="004977C6"/>
    <w:rsid w:val="004978E9"/>
    <w:rsid w:val="004A01CE"/>
    <w:rsid w:val="004A04D7"/>
    <w:rsid w:val="004A1E30"/>
    <w:rsid w:val="004A26D0"/>
    <w:rsid w:val="004A28A8"/>
    <w:rsid w:val="004A2E05"/>
    <w:rsid w:val="004A3447"/>
    <w:rsid w:val="004A4C39"/>
    <w:rsid w:val="004A5423"/>
    <w:rsid w:val="004A59DF"/>
    <w:rsid w:val="004A6B29"/>
    <w:rsid w:val="004A771E"/>
    <w:rsid w:val="004B0E53"/>
    <w:rsid w:val="004B151A"/>
    <w:rsid w:val="004B1F9E"/>
    <w:rsid w:val="004B292E"/>
    <w:rsid w:val="004B302D"/>
    <w:rsid w:val="004B337A"/>
    <w:rsid w:val="004B383A"/>
    <w:rsid w:val="004B3885"/>
    <w:rsid w:val="004B4A25"/>
    <w:rsid w:val="004B5166"/>
    <w:rsid w:val="004B53FE"/>
    <w:rsid w:val="004B560F"/>
    <w:rsid w:val="004B5DA3"/>
    <w:rsid w:val="004B5DB4"/>
    <w:rsid w:val="004B5F0F"/>
    <w:rsid w:val="004B647F"/>
    <w:rsid w:val="004B6794"/>
    <w:rsid w:val="004B768E"/>
    <w:rsid w:val="004B7E89"/>
    <w:rsid w:val="004C09CC"/>
    <w:rsid w:val="004C14AE"/>
    <w:rsid w:val="004C16A3"/>
    <w:rsid w:val="004C1B9F"/>
    <w:rsid w:val="004C2D81"/>
    <w:rsid w:val="004C2D9F"/>
    <w:rsid w:val="004C2EE4"/>
    <w:rsid w:val="004C491D"/>
    <w:rsid w:val="004C6594"/>
    <w:rsid w:val="004C7A53"/>
    <w:rsid w:val="004D03EE"/>
    <w:rsid w:val="004D041E"/>
    <w:rsid w:val="004D1315"/>
    <w:rsid w:val="004D135F"/>
    <w:rsid w:val="004D16AF"/>
    <w:rsid w:val="004D2E35"/>
    <w:rsid w:val="004D4F46"/>
    <w:rsid w:val="004D64DC"/>
    <w:rsid w:val="004D6E9E"/>
    <w:rsid w:val="004D7F75"/>
    <w:rsid w:val="004E001D"/>
    <w:rsid w:val="004E1345"/>
    <w:rsid w:val="004E1C92"/>
    <w:rsid w:val="004E221D"/>
    <w:rsid w:val="004E2956"/>
    <w:rsid w:val="004E2CD9"/>
    <w:rsid w:val="004E4F56"/>
    <w:rsid w:val="004E5C5D"/>
    <w:rsid w:val="004E63AD"/>
    <w:rsid w:val="004E701F"/>
    <w:rsid w:val="004F09CA"/>
    <w:rsid w:val="004F0FA4"/>
    <w:rsid w:val="004F3173"/>
    <w:rsid w:val="004F39D1"/>
    <w:rsid w:val="004F39D7"/>
    <w:rsid w:val="004F4418"/>
    <w:rsid w:val="004F4D2D"/>
    <w:rsid w:val="004F508E"/>
    <w:rsid w:val="004F51FE"/>
    <w:rsid w:val="004F57B5"/>
    <w:rsid w:val="004F6435"/>
    <w:rsid w:val="004F6B0A"/>
    <w:rsid w:val="004F6ED1"/>
    <w:rsid w:val="004F75DB"/>
    <w:rsid w:val="005005D6"/>
    <w:rsid w:val="00500738"/>
    <w:rsid w:val="00500A9A"/>
    <w:rsid w:val="00501D5A"/>
    <w:rsid w:val="00503C61"/>
    <w:rsid w:val="00504703"/>
    <w:rsid w:val="00505077"/>
    <w:rsid w:val="00505C57"/>
    <w:rsid w:val="00506F25"/>
    <w:rsid w:val="0050739B"/>
    <w:rsid w:val="00507528"/>
    <w:rsid w:val="00507ADA"/>
    <w:rsid w:val="0051002B"/>
    <w:rsid w:val="00510E62"/>
    <w:rsid w:val="005122EE"/>
    <w:rsid w:val="0051264B"/>
    <w:rsid w:val="00513198"/>
    <w:rsid w:val="00514138"/>
    <w:rsid w:val="00514210"/>
    <w:rsid w:val="00514472"/>
    <w:rsid w:val="0051456F"/>
    <w:rsid w:val="00514B9B"/>
    <w:rsid w:val="0051564C"/>
    <w:rsid w:val="005157E8"/>
    <w:rsid w:val="0051607B"/>
    <w:rsid w:val="0051721E"/>
    <w:rsid w:val="00520647"/>
    <w:rsid w:val="0052268A"/>
    <w:rsid w:val="00522DC8"/>
    <w:rsid w:val="00523195"/>
    <w:rsid w:val="005239D6"/>
    <w:rsid w:val="005247C8"/>
    <w:rsid w:val="00525D02"/>
    <w:rsid w:val="00525F70"/>
    <w:rsid w:val="005267B9"/>
    <w:rsid w:val="0052753F"/>
    <w:rsid w:val="0053009F"/>
    <w:rsid w:val="0053040F"/>
    <w:rsid w:val="00531E7E"/>
    <w:rsid w:val="00531EE4"/>
    <w:rsid w:val="00532F56"/>
    <w:rsid w:val="00533734"/>
    <w:rsid w:val="00533991"/>
    <w:rsid w:val="00534476"/>
    <w:rsid w:val="00534733"/>
    <w:rsid w:val="00534AF9"/>
    <w:rsid w:val="0053610A"/>
    <w:rsid w:val="00536858"/>
    <w:rsid w:val="00537220"/>
    <w:rsid w:val="00540B40"/>
    <w:rsid w:val="00541978"/>
    <w:rsid w:val="00541A99"/>
    <w:rsid w:val="005431E1"/>
    <w:rsid w:val="00543667"/>
    <w:rsid w:val="0054451A"/>
    <w:rsid w:val="00545762"/>
    <w:rsid w:val="00545B8D"/>
    <w:rsid w:val="00546ABD"/>
    <w:rsid w:val="00547151"/>
    <w:rsid w:val="0054749C"/>
    <w:rsid w:val="00547E53"/>
    <w:rsid w:val="00547EF8"/>
    <w:rsid w:val="005509AE"/>
    <w:rsid w:val="00550B32"/>
    <w:rsid w:val="00550F7D"/>
    <w:rsid w:val="00551347"/>
    <w:rsid w:val="00551DB3"/>
    <w:rsid w:val="0055241D"/>
    <w:rsid w:val="005544E5"/>
    <w:rsid w:val="005554A3"/>
    <w:rsid w:val="00556D97"/>
    <w:rsid w:val="005575A9"/>
    <w:rsid w:val="005577F5"/>
    <w:rsid w:val="00557F18"/>
    <w:rsid w:val="00557F9B"/>
    <w:rsid w:val="005609C7"/>
    <w:rsid w:val="00560E1E"/>
    <w:rsid w:val="00561AA3"/>
    <w:rsid w:val="00561C36"/>
    <w:rsid w:val="00562140"/>
    <w:rsid w:val="0056300E"/>
    <w:rsid w:val="00565A5E"/>
    <w:rsid w:val="005678F9"/>
    <w:rsid w:val="00570009"/>
    <w:rsid w:val="00570E81"/>
    <w:rsid w:val="0057184F"/>
    <w:rsid w:val="00571A1C"/>
    <w:rsid w:val="00572483"/>
    <w:rsid w:val="00574017"/>
    <w:rsid w:val="0057454A"/>
    <w:rsid w:val="005745F4"/>
    <w:rsid w:val="00574850"/>
    <w:rsid w:val="00574F73"/>
    <w:rsid w:val="00575780"/>
    <w:rsid w:val="00576F39"/>
    <w:rsid w:val="00577D36"/>
    <w:rsid w:val="00577E58"/>
    <w:rsid w:val="0058053B"/>
    <w:rsid w:val="005811D8"/>
    <w:rsid w:val="005817A2"/>
    <w:rsid w:val="00582EFC"/>
    <w:rsid w:val="00582F0F"/>
    <w:rsid w:val="005831A3"/>
    <w:rsid w:val="0058325A"/>
    <w:rsid w:val="0058347B"/>
    <w:rsid w:val="005838F3"/>
    <w:rsid w:val="00583A67"/>
    <w:rsid w:val="0058437C"/>
    <w:rsid w:val="00584DB5"/>
    <w:rsid w:val="005855A9"/>
    <w:rsid w:val="00586663"/>
    <w:rsid w:val="0058797E"/>
    <w:rsid w:val="005915C3"/>
    <w:rsid w:val="0059246A"/>
    <w:rsid w:val="00592BB3"/>
    <w:rsid w:val="005941B2"/>
    <w:rsid w:val="00595326"/>
    <w:rsid w:val="005964E3"/>
    <w:rsid w:val="00596701"/>
    <w:rsid w:val="00596A8D"/>
    <w:rsid w:val="00597A7B"/>
    <w:rsid w:val="005A0EBA"/>
    <w:rsid w:val="005A17D9"/>
    <w:rsid w:val="005A180C"/>
    <w:rsid w:val="005A20AD"/>
    <w:rsid w:val="005A3A5B"/>
    <w:rsid w:val="005A3CEF"/>
    <w:rsid w:val="005A47F2"/>
    <w:rsid w:val="005A57DE"/>
    <w:rsid w:val="005A6215"/>
    <w:rsid w:val="005A683F"/>
    <w:rsid w:val="005A6C29"/>
    <w:rsid w:val="005A6C4E"/>
    <w:rsid w:val="005A782D"/>
    <w:rsid w:val="005B1179"/>
    <w:rsid w:val="005B235B"/>
    <w:rsid w:val="005B431D"/>
    <w:rsid w:val="005B4D21"/>
    <w:rsid w:val="005B5A08"/>
    <w:rsid w:val="005B6E57"/>
    <w:rsid w:val="005B750D"/>
    <w:rsid w:val="005B752D"/>
    <w:rsid w:val="005C03A3"/>
    <w:rsid w:val="005C1DFF"/>
    <w:rsid w:val="005C2EDF"/>
    <w:rsid w:val="005C3490"/>
    <w:rsid w:val="005C3CBF"/>
    <w:rsid w:val="005C5793"/>
    <w:rsid w:val="005C6100"/>
    <w:rsid w:val="005C62E1"/>
    <w:rsid w:val="005D0446"/>
    <w:rsid w:val="005D0A16"/>
    <w:rsid w:val="005D0E42"/>
    <w:rsid w:val="005D36B9"/>
    <w:rsid w:val="005D379C"/>
    <w:rsid w:val="005D4449"/>
    <w:rsid w:val="005D4533"/>
    <w:rsid w:val="005D4ACD"/>
    <w:rsid w:val="005D4F93"/>
    <w:rsid w:val="005D5769"/>
    <w:rsid w:val="005D7524"/>
    <w:rsid w:val="005D7E26"/>
    <w:rsid w:val="005E08DA"/>
    <w:rsid w:val="005E1AA2"/>
    <w:rsid w:val="005E26E5"/>
    <w:rsid w:val="005E2E17"/>
    <w:rsid w:val="005E3376"/>
    <w:rsid w:val="005E3582"/>
    <w:rsid w:val="005E4BA4"/>
    <w:rsid w:val="005E5547"/>
    <w:rsid w:val="005F0038"/>
    <w:rsid w:val="005F01B2"/>
    <w:rsid w:val="005F0677"/>
    <w:rsid w:val="005F0D72"/>
    <w:rsid w:val="005F24A9"/>
    <w:rsid w:val="005F3649"/>
    <w:rsid w:val="005F445E"/>
    <w:rsid w:val="005F4D7D"/>
    <w:rsid w:val="005F58CB"/>
    <w:rsid w:val="005F6523"/>
    <w:rsid w:val="005F65CC"/>
    <w:rsid w:val="006009E7"/>
    <w:rsid w:val="00600BCA"/>
    <w:rsid w:val="006010FF"/>
    <w:rsid w:val="00601C3D"/>
    <w:rsid w:val="006032DD"/>
    <w:rsid w:val="00603455"/>
    <w:rsid w:val="00603666"/>
    <w:rsid w:val="006040BE"/>
    <w:rsid w:val="006045BC"/>
    <w:rsid w:val="006049C4"/>
    <w:rsid w:val="00604A51"/>
    <w:rsid w:val="00604F35"/>
    <w:rsid w:val="00605ECF"/>
    <w:rsid w:val="0060652B"/>
    <w:rsid w:val="00606879"/>
    <w:rsid w:val="00606EA8"/>
    <w:rsid w:val="00606EC2"/>
    <w:rsid w:val="00606F32"/>
    <w:rsid w:val="006070AF"/>
    <w:rsid w:val="006077CD"/>
    <w:rsid w:val="006079A2"/>
    <w:rsid w:val="00610A78"/>
    <w:rsid w:val="00611030"/>
    <w:rsid w:val="006110DB"/>
    <w:rsid w:val="00611BD5"/>
    <w:rsid w:val="006129E6"/>
    <w:rsid w:val="0061388C"/>
    <w:rsid w:val="006138D3"/>
    <w:rsid w:val="006144A4"/>
    <w:rsid w:val="00615616"/>
    <w:rsid w:val="0061596D"/>
    <w:rsid w:val="00615B15"/>
    <w:rsid w:val="006163B1"/>
    <w:rsid w:val="00616A22"/>
    <w:rsid w:val="0062136B"/>
    <w:rsid w:val="00622E17"/>
    <w:rsid w:val="00622E3E"/>
    <w:rsid w:val="0062423C"/>
    <w:rsid w:val="00624712"/>
    <w:rsid w:val="00624D4E"/>
    <w:rsid w:val="006255A7"/>
    <w:rsid w:val="0062564A"/>
    <w:rsid w:val="00625A89"/>
    <w:rsid w:val="00625D3A"/>
    <w:rsid w:val="00627117"/>
    <w:rsid w:val="006274D1"/>
    <w:rsid w:val="006277A3"/>
    <w:rsid w:val="0063157F"/>
    <w:rsid w:val="00633AD9"/>
    <w:rsid w:val="00633C7C"/>
    <w:rsid w:val="006341B9"/>
    <w:rsid w:val="00634FDD"/>
    <w:rsid w:val="0063560D"/>
    <w:rsid w:val="0063626A"/>
    <w:rsid w:val="006362DD"/>
    <w:rsid w:val="00636401"/>
    <w:rsid w:val="00636DDD"/>
    <w:rsid w:val="00637458"/>
    <w:rsid w:val="00641D6E"/>
    <w:rsid w:val="00642FEB"/>
    <w:rsid w:val="0064440C"/>
    <w:rsid w:val="0064554D"/>
    <w:rsid w:val="00645BB1"/>
    <w:rsid w:val="006465E0"/>
    <w:rsid w:val="00650898"/>
    <w:rsid w:val="00650A56"/>
    <w:rsid w:val="00651248"/>
    <w:rsid w:val="00651B1D"/>
    <w:rsid w:val="006521EA"/>
    <w:rsid w:val="00652B66"/>
    <w:rsid w:val="00652B9C"/>
    <w:rsid w:val="006535AE"/>
    <w:rsid w:val="00653744"/>
    <w:rsid w:val="00656C79"/>
    <w:rsid w:val="006575BC"/>
    <w:rsid w:val="00657949"/>
    <w:rsid w:val="006608F4"/>
    <w:rsid w:val="00660F6D"/>
    <w:rsid w:val="00661798"/>
    <w:rsid w:val="00663381"/>
    <w:rsid w:val="00663CD7"/>
    <w:rsid w:val="00663ECB"/>
    <w:rsid w:val="00665E6A"/>
    <w:rsid w:val="006704EA"/>
    <w:rsid w:val="00671334"/>
    <w:rsid w:val="006713FA"/>
    <w:rsid w:val="00672F3F"/>
    <w:rsid w:val="00674048"/>
    <w:rsid w:val="00674251"/>
    <w:rsid w:val="00674637"/>
    <w:rsid w:val="0067553A"/>
    <w:rsid w:val="00675837"/>
    <w:rsid w:val="00675973"/>
    <w:rsid w:val="00675B74"/>
    <w:rsid w:val="006770B4"/>
    <w:rsid w:val="006779BD"/>
    <w:rsid w:val="00677DD1"/>
    <w:rsid w:val="006805D8"/>
    <w:rsid w:val="00680C11"/>
    <w:rsid w:val="006816A1"/>
    <w:rsid w:val="006816FB"/>
    <w:rsid w:val="00682B45"/>
    <w:rsid w:val="00682FC8"/>
    <w:rsid w:val="006835E4"/>
    <w:rsid w:val="006839AC"/>
    <w:rsid w:val="00684489"/>
    <w:rsid w:val="006848C3"/>
    <w:rsid w:val="00684A9F"/>
    <w:rsid w:val="00686096"/>
    <w:rsid w:val="006863E6"/>
    <w:rsid w:val="00686711"/>
    <w:rsid w:val="006867D3"/>
    <w:rsid w:val="00686EE3"/>
    <w:rsid w:val="006876A9"/>
    <w:rsid w:val="00690A06"/>
    <w:rsid w:val="00692075"/>
    <w:rsid w:val="00693626"/>
    <w:rsid w:val="0069511B"/>
    <w:rsid w:val="006952AE"/>
    <w:rsid w:val="00696066"/>
    <w:rsid w:val="00696217"/>
    <w:rsid w:val="00696259"/>
    <w:rsid w:val="00696A5F"/>
    <w:rsid w:val="0069739B"/>
    <w:rsid w:val="006978C4"/>
    <w:rsid w:val="00697ADA"/>
    <w:rsid w:val="006A00B9"/>
    <w:rsid w:val="006A3362"/>
    <w:rsid w:val="006A60E5"/>
    <w:rsid w:val="006A7887"/>
    <w:rsid w:val="006B1DD0"/>
    <w:rsid w:val="006B22B3"/>
    <w:rsid w:val="006B24B3"/>
    <w:rsid w:val="006B271B"/>
    <w:rsid w:val="006B28B5"/>
    <w:rsid w:val="006B2AC4"/>
    <w:rsid w:val="006B465D"/>
    <w:rsid w:val="006B591B"/>
    <w:rsid w:val="006B60A5"/>
    <w:rsid w:val="006C13D1"/>
    <w:rsid w:val="006C2F1C"/>
    <w:rsid w:val="006C52FB"/>
    <w:rsid w:val="006C5338"/>
    <w:rsid w:val="006C5851"/>
    <w:rsid w:val="006C5ADE"/>
    <w:rsid w:val="006C6B67"/>
    <w:rsid w:val="006C7261"/>
    <w:rsid w:val="006C7ED2"/>
    <w:rsid w:val="006D156F"/>
    <w:rsid w:val="006D18A4"/>
    <w:rsid w:val="006D1F01"/>
    <w:rsid w:val="006D200A"/>
    <w:rsid w:val="006D22C2"/>
    <w:rsid w:val="006D3807"/>
    <w:rsid w:val="006D3A41"/>
    <w:rsid w:val="006D3C81"/>
    <w:rsid w:val="006D46E0"/>
    <w:rsid w:val="006D4798"/>
    <w:rsid w:val="006D538D"/>
    <w:rsid w:val="006D63D4"/>
    <w:rsid w:val="006D66ED"/>
    <w:rsid w:val="006D7D95"/>
    <w:rsid w:val="006E0AC0"/>
    <w:rsid w:val="006E0ADF"/>
    <w:rsid w:val="006E0B0B"/>
    <w:rsid w:val="006E3E82"/>
    <w:rsid w:val="006E3FE9"/>
    <w:rsid w:val="006E4564"/>
    <w:rsid w:val="006E5299"/>
    <w:rsid w:val="006E593D"/>
    <w:rsid w:val="006E6D2C"/>
    <w:rsid w:val="006E743A"/>
    <w:rsid w:val="006E76AA"/>
    <w:rsid w:val="006E7D09"/>
    <w:rsid w:val="006F037F"/>
    <w:rsid w:val="006F061E"/>
    <w:rsid w:val="006F0847"/>
    <w:rsid w:val="006F18D5"/>
    <w:rsid w:val="006F2E39"/>
    <w:rsid w:val="006F38BB"/>
    <w:rsid w:val="006F3C2D"/>
    <w:rsid w:val="006F423B"/>
    <w:rsid w:val="006F5399"/>
    <w:rsid w:val="006F57AB"/>
    <w:rsid w:val="006F6897"/>
    <w:rsid w:val="006F713A"/>
    <w:rsid w:val="006F7F9C"/>
    <w:rsid w:val="007022CE"/>
    <w:rsid w:val="00702B5A"/>
    <w:rsid w:val="00703155"/>
    <w:rsid w:val="007033C8"/>
    <w:rsid w:val="00706B52"/>
    <w:rsid w:val="00707F75"/>
    <w:rsid w:val="00707F8B"/>
    <w:rsid w:val="00710808"/>
    <w:rsid w:val="00710AC0"/>
    <w:rsid w:val="00711AB0"/>
    <w:rsid w:val="00711AC2"/>
    <w:rsid w:val="00711C15"/>
    <w:rsid w:val="00712143"/>
    <w:rsid w:val="00712553"/>
    <w:rsid w:val="00712956"/>
    <w:rsid w:val="007134A7"/>
    <w:rsid w:val="00715ECF"/>
    <w:rsid w:val="00720CAE"/>
    <w:rsid w:val="0072107C"/>
    <w:rsid w:val="0072184A"/>
    <w:rsid w:val="00721F60"/>
    <w:rsid w:val="00722512"/>
    <w:rsid w:val="00723210"/>
    <w:rsid w:val="007249C2"/>
    <w:rsid w:val="00724CAA"/>
    <w:rsid w:val="00724F9C"/>
    <w:rsid w:val="00726481"/>
    <w:rsid w:val="00726A49"/>
    <w:rsid w:val="007309C0"/>
    <w:rsid w:val="00731260"/>
    <w:rsid w:val="00732CFE"/>
    <w:rsid w:val="00733BF1"/>
    <w:rsid w:val="00734C79"/>
    <w:rsid w:val="007352FD"/>
    <w:rsid w:val="00736955"/>
    <w:rsid w:val="00736F99"/>
    <w:rsid w:val="00740282"/>
    <w:rsid w:val="00740A2A"/>
    <w:rsid w:val="00740C61"/>
    <w:rsid w:val="007410C7"/>
    <w:rsid w:val="007411AA"/>
    <w:rsid w:val="007412C3"/>
    <w:rsid w:val="0074217D"/>
    <w:rsid w:val="007428A9"/>
    <w:rsid w:val="007428B8"/>
    <w:rsid w:val="00745241"/>
    <w:rsid w:val="00745CB4"/>
    <w:rsid w:val="00745D68"/>
    <w:rsid w:val="007468F3"/>
    <w:rsid w:val="00746AC6"/>
    <w:rsid w:val="007477EB"/>
    <w:rsid w:val="00747DBE"/>
    <w:rsid w:val="00747F58"/>
    <w:rsid w:val="00747F89"/>
    <w:rsid w:val="00747FBC"/>
    <w:rsid w:val="007534CF"/>
    <w:rsid w:val="00753597"/>
    <w:rsid w:val="00753E31"/>
    <w:rsid w:val="00754676"/>
    <w:rsid w:val="007553AA"/>
    <w:rsid w:val="00756DCB"/>
    <w:rsid w:val="007570F0"/>
    <w:rsid w:val="00757513"/>
    <w:rsid w:val="00757867"/>
    <w:rsid w:val="00760BC0"/>
    <w:rsid w:val="00761F84"/>
    <w:rsid w:val="007624F6"/>
    <w:rsid w:val="00762602"/>
    <w:rsid w:val="00762677"/>
    <w:rsid w:val="00765316"/>
    <w:rsid w:val="0076578B"/>
    <w:rsid w:val="00765875"/>
    <w:rsid w:val="00765AFC"/>
    <w:rsid w:val="0076700C"/>
    <w:rsid w:val="007672EC"/>
    <w:rsid w:val="00770A76"/>
    <w:rsid w:val="00770E75"/>
    <w:rsid w:val="0077127B"/>
    <w:rsid w:val="00771C71"/>
    <w:rsid w:val="007733B1"/>
    <w:rsid w:val="00773E4B"/>
    <w:rsid w:val="00776693"/>
    <w:rsid w:val="0077716F"/>
    <w:rsid w:val="00780D44"/>
    <w:rsid w:val="00781105"/>
    <w:rsid w:val="007833C3"/>
    <w:rsid w:val="00784BB3"/>
    <w:rsid w:val="00784C61"/>
    <w:rsid w:val="00785BE2"/>
    <w:rsid w:val="00785E94"/>
    <w:rsid w:val="00787112"/>
    <w:rsid w:val="00787B39"/>
    <w:rsid w:val="007907C8"/>
    <w:rsid w:val="00790AAA"/>
    <w:rsid w:val="00790B71"/>
    <w:rsid w:val="00791423"/>
    <w:rsid w:val="007915C2"/>
    <w:rsid w:val="00791A2D"/>
    <w:rsid w:val="0079223A"/>
    <w:rsid w:val="00792325"/>
    <w:rsid w:val="00793F7D"/>
    <w:rsid w:val="00795F46"/>
    <w:rsid w:val="0079623D"/>
    <w:rsid w:val="00796F51"/>
    <w:rsid w:val="00797175"/>
    <w:rsid w:val="007A0080"/>
    <w:rsid w:val="007A120C"/>
    <w:rsid w:val="007A18EA"/>
    <w:rsid w:val="007A1B40"/>
    <w:rsid w:val="007A3938"/>
    <w:rsid w:val="007A473F"/>
    <w:rsid w:val="007A4C2D"/>
    <w:rsid w:val="007A5665"/>
    <w:rsid w:val="007A57C9"/>
    <w:rsid w:val="007A5A8C"/>
    <w:rsid w:val="007A6995"/>
    <w:rsid w:val="007A6ACB"/>
    <w:rsid w:val="007A6CEA"/>
    <w:rsid w:val="007B0552"/>
    <w:rsid w:val="007B1940"/>
    <w:rsid w:val="007B211E"/>
    <w:rsid w:val="007B2351"/>
    <w:rsid w:val="007B2F51"/>
    <w:rsid w:val="007B56D5"/>
    <w:rsid w:val="007B5847"/>
    <w:rsid w:val="007B59F6"/>
    <w:rsid w:val="007B624D"/>
    <w:rsid w:val="007B647F"/>
    <w:rsid w:val="007B6FB6"/>
    <w:rsid w:val="007B7883"/>
    <w:rsid w:val="007C1707"/>
    <w:rsid w:val="007C23AF"/>
    <w:rsid w:val="007C2787"/>
    <w:rsid w:val="007C2F90"/>
    <w:rsid w:val="007C36CB"/>
    <w:rsid w:val="007C3951"/>
    <w:rsid w:val="007C4FD4"/>
    <w:rsid w:val="007C788A"/>
    <w:rsid w:val="007D1373"/>
    <w:rsid w:val="007D187F"/>
    <w:rsid w:val="007D1966"/>
    <w:rsid w:val="007D1D68"/>
    <w:rsid w:val="007D25C2"/>
    <w:rsid w:val="007D2F48"/>
    <w:rsid w:val="007D450A"/>
    <w:rsid w:val="007D4621"/>
    <w:rsid w:val="007D58C3"/>
    <w:rsid w:val="007D6209"/>
    <w:rsid w:val="007D6A98"/>
    <w:rsid w:val="007D7498"/>
    <w:rsid w:val="007E2404"/>
    <w:rsid w:val="007E257E"/>
    <w:rsid w:val="007E276B"/>
    <w:rsid w:val="007E2E40"/>
    <w:rsid w:val="007E3089"/>
    <w:rsid w:val="007E561F"/>
    <w:rsid w:val="007E5A9A"/>
    <w:rsid w:val="007E694B"/>
    <w:rsid w:val="007E6FBC"/>
    <w:rsid w:val="007F0ECC"/>
    <w:rsid w:val="007F19CC"/>
    <w:rsid w:val="007F2860"/>
    <w:rsid w:val="007F3511"/>
    <w:rsid w:val="007F49D2"/>
    <w:rsid w:val="007F57B0"/>
    <w:rsid w:val="007F5E5A"/>
    <w:rsid w:val="007F66B9"/>
    <w:rsid w:val="007F6E08"/>
    <w:rsid w:val="007F7D96"/>
    <w:rsid w:val="008001BC"/>
    <w:rsid w:val="00800E9E"/>
    <w:rsid w:val="00801E52"/>
    <w:rsid w:val="00801FE6"/>
    <w:rsid w:val="00803C36"/>
    <w:rsid w:val="0080471C"/>
    <w:rsid w:val="008049F6"/>
    <w:rsid w:val="0080574F"/>
    <w:rsid w:val="00806908"/>
    <w:rsid w:val="008078F8"/>
    <w:rsid w:val="008104FD"/>
    <w:rsid w:val="0081093E"/>
    <w:rsid w:val="008119AD"/>
    <w:rsid w:val="00812692"/>
    <w:rsid w:val="00813DF4"/>
    <w:rsid w:val="00814751"/>
    <w:rsid w:val="00814A03"/>
    <w:rsid w:val="00814A4D"/>
    <w:rsid w:val="00815088"/>
    <w:rsid w:val="00815332"/>
    <w:rsid w:val="008162E4"/>
    <w:rsid w:val="008173CB"/>
    <w:rsid w:val="008175CA"/>
    <w:rsid w:val="00820CEB"/>
    <w:rsid w:val="0082179F"/>
    <w:rsid w:val="00821B65"/>
    <w:rsid w:val="00821FB0"/>
    <w:rsid w:val="0082214A"/>
    <w:rsid w:val="00822341"/>
    <w:rsid w:val="008229A8"/>
    <w:rsid w:val="00822A92"/>
    <w:rsid w:val="00823067"/>
    <w:rsid w:val="0082367D"/>
    <w:rsid w:val="0082485A"/>
    <w:rsid w:val="00826F4C"/>
    <w:rsid w:val="008276D8"/>
    <w:rsid w:val="0083076E"/>
    <w:rsid w:val="00831070"/>
    <w:rsid w:val="008317ED"/>
    <w:rsid w:val="00831C7E"/>
    <w:rsid w:val="00833332"/>
    <w:rsid w:val="0083353E"/>
    <w:rsid w:val="00833588"/>
    <w:rsid w:val="00833E81"/>
    <w:rsid w:val="00834084"/>
    <w:rsid w:val="008357DB"/>
    <w:rsid w:val="00837784"/>
    <w:rsid w:val="00837DD3"/>
    <w:rsid w:val="00840F39"/>
    <w:rsid w:val="00840F5D"/>
    <w:rsid w:val="00841E32"/>
    <w:rsid w:val="00842091"/>
    <w:rsid w:val="008421F6"/>
    <w:rsid w:val="008422DE"/>
    <w:rsid w:val="00842586"/>
    <w:rsid w:val="00842699"/>
    <w:rsid w:val="00842F9D"/>
    <w:rsid w:val="00843FC6"/>
    <w:rsid w:val="00845816"/>
    <w:rsid w:val="00846102"/>
    <w:rsid w:val="008466AC"/>
    <w:rsid w:val="00847119"/>
    <w:rsid w:val="00850719"/>
    <w:rsid w:val="00852A7F"/>
    <w:rsid w:val="00852F80"/>
    <w:rsid w:val="00853C29"/>
    <w:rsid w:val="008549EB"/>
    <w:rsid w:val="00854C55"/>
    <w:rsid w:val="00855F51"/>
    <w:rsid w:val="00856432"/>
    <w:rsid w:val="00856FF0"/>
    <w:rsid w:val="0086136D"/>
    <w:rsid w:val="00862973"/>
    <w:rsid w:val="00862A61"/>
    <w:rsid w:val="0086318B"/>
    <w:rsid w:val="008638CC"/>
    <w:rsid w:val="00864D58"/>
    <w:rsid w:val="00865A1B"/>
    <w:rsid w:val="00865F72"/>
    <w:rsid w:val="00866311"/>
    <w:rsid w:val="0086714D"/>
    <w:rsid w:val="008676C5"/>
    <w:rsid w:val="00870977"/>
    <w:rsid w:val="00870ADD"/>
    <w:rsid w:val="008718E1"/>
    <w:rsid w:val="00871C8D"/>
    <w:rsid w:val="00872089"/>
    <w:rsid w:val="00872757"/>
    <w:rsid w:val="00872D07"/>
    <w:rsid w:val="0087305C"/>
    <w:rsid w:val="0087367D"/>
    <w:rsid w:val="00873A54"/>
    <w:rsid w:val="008741D4"/>
    <w:rsid w:val="008747CD"/>
    <w:rsid w:val="00874E94"/>
    <w:rsid w:val="00874EBA"/>
    <w:rsid w:val="00875F8C"/>
    <w:rsid w:val="00876564"/>
    <w:rsid w:val="008772C5"/>
    <w:rsid w:val="0088068E"/>
    <w:rsid w:val="00880D38"/>
    <w:rsid w:val="0088186C"/>
    <w:rsid w:val="00881A7A"/>
    <w:rsid w:val="00882594"/>
    <w:rsid w:val="00882F6E"/>
    <w:rsid w:val="00884051"/>
    <w:rsid w:val="008844F6"/>
    <w:rsid w:val="00884CEA"/>
    <w:rsid w:val="00884E34"/>
    <w:rsid w:val="00884EF9"/>
    <w:rsid w:val="00885D51"/>
    <w:rsid w:val="00886A60"/>
    <w:rsid w:val="00886D6E"/>
    <w:rsid w:val="00890388"/>
    <w:rsid w:val="0089056F"/>
    <w:rsid w:val="00891E86"/>
    <w:rsid w:val="00892BEC"/>
    <w:rsid w:val="008934C2"/>
    <w:rsid w:val="0089501F"/>
    <w:rsid w:val="0089502E"/>
    <w:rsid w:val="00895227"/>
    <w:rsid w:val="00895BD9"/>
    <w:rsid w:val="008961D9"/>
    <w:rsid w:val="008977AE"/>
    <w:rsid w:val="008A0841"/>
    <w:rsid w:val="008A11FA"/>
    <w:rsid w:val="008A280A"/>
    <w:rsid w:val="008A32CE"/>
    <w:rsid w:val="008A3324"/>
    <w:rsid w:val="008A6179"/>
    <w:rsid w:val="008A6819"/>
    <w:rsid w:val="008A6DBC"/>
    <w:rsid w:val="008A7021"/>
    <w:rsid w:val="008A76DC"/>
    <w:rsid w:val="008B00B4"/>
    <w:rsid w:val="008B01E4"/>
    <w:rsid w:val="008B04BD"/>
    <w:rsid w:val="008B1981"/>
    <w:rsid w:val="008B238B"/>
    <w:rsid w:val="008B313B"/>
    <w:rsid w:val="008B39D7"/>
    <w:rsid w:val="008B3DC5"/>
    <w:rsid w:val="008B425B"/>
    <w:rsid w:val="008B49C9"/>
    <w:rsid w:val="008B4F20"/>
    <w:rsid w:val="008B6059"/>
    <w:rsid w:val="008B645E"/>
    <w:rsid w:val="008B72C1"/>
    <w:rsid w:val="008B783A"/>
    <w:rsid w:val="008C065F"/>
    <w:rsid w:val="008C0869"/>
    <w:rsid w:val="008C0BFD"/>
    <w:rsid w:val="008C18FA"/>
    <w:rsid w:val="008C1996"/>
    <w:rsid w:val="008C217B"/>
    <w:rsid w:val="008C23E2"/>
    <w:rsid w:val="008C31B0"/>
    <w:rsid w:val="008C329F"/>
    <w:rsid w:val="008C3D77"/>
    <w:rsid w:val="008C542C"/>
    <w:rsid w:val="008C6974"/>
    <w:rsid w:val="008C6BB2"/>
    <w:rsid w:val="008C7FD0"/>
    <w:rsid w:val="008D07D7"/>
    <w:rsid w:val="008D14E3"/>
    <w:rsid w:val="008D1856"/>
    <w:rsid w:val="008D2170"/>
    <w:rsid w:val="008D2181"/>
    <w:rsid w:val="008D2CED"/>
    <w:rsid w:val="008D2EBE"/>
    <w:rsid w:val="008D36C2"/>
    <w:rsid w:val="008D5761"/>
    <w:rsid w:val="008D638C"/>
    <w:rsid w:val="008D67EC"/>
    <w:rsid w:val="008D7AD4"/>
    <w:rsid w:val="008E1923"/>
    <w:rsid w:val="008E1BB5"/>
    <w:rsid w:val="008E1C83"/>
    <w:rsid w:val="008E23A9"/>
    <w:rsid w:val="008E26DC"/>
    <w:rsid w:val="008E278E"/>
    <w:rsid w:val="008E27E8"/>
    <w:rsid w:val="008E329A"/>
    <w:rsid w:val="008E35A0"/>
    <w:rsid w:val="008E5EEE"/>
    <w:rsid w:val="008E6E73"/>
    <w:rsid w:val="008E7D3D"/>
    <w:rsid w:val="008E7E24"/>
    <w:rsid w:val="008F074F"/>
    <w:rsid w:val="008F1840"/>
    <w:rsid w:val="008F1F6F"/>
    <w:rsid w:val="008F2380"/>
    <w:rsid w:val="008F27CB"/>
    <w:rsid w:val="008F2F1C"/>
    <w:rsid w:val="008F43CF"/>
    <w:rsid w:val="008F52D1"/>
    <w:rsid w:val="008F5DC3"/>
    <w:rsid w:val="008F6A30"/>
    <w:rsid w:val="008F7650"/>
    <w:rsid w:val="008F7B20"/>
    <w:rsid w:val="00901426"/>
    <w:rsid w:val="009014D8"/>
    <w:rsid w:val="0090197D"/>
    <w:rsid w:val="00902ABD"/>
    <w:rsid w:val="00904B3E"/>
    <w:rsid w:val="00904E79"/>
    <w:rsid w:val="0090639F"/>
    <w:rsid w:val="0090652E"/>
    <w:rsid w:val="009112E4"/>
    <w:rsid w:val="009117DD"/>
    <w:rsid w:val="009120FC"/>
    <w:rsid w:val="00913683"/>
    <w:rsid w:val="009137D5"/>
    <w:rsid w:val="009143C2"/>
    <w:rsid w:val="0091486D"/>
    <w:rsid w:val="00914FEC"/>
    <w:rsid w:val="00915BB1"/>
    <w:rsid w:val="00916309"/>
    <w:rsid w:val="00921A21"/>
    <w:rsid w:val="009222B8"/>
    <w:rsid w:val="00922377"/>
    <w:rsid w:val="009236A2"/>
    <w:rsid w:val="00923ED1"/>
    <w:rsid w:val="00924694"/>
    <w:rsid w:val="00925CD8"/>
    <w:rsid w:val="00925F80"/>
    <w:rsid w:val="009260C7"/>
    <w:rsid w:val="009270DF"/>
    <w:rsid w:val="0093009B"/>
    <w:rsid w:val="00931633"/>
    <w:rsid w:val="009324FE"/>
    <w:rsid w:val="0093357E"/>
    <w:rsid w:val="00933DFC"/>
    <w:rsid w:val="00934E02"/>
    <w:rsid w:val="00935656"/>
    <w:rsid w:val="00941991"/>
    <w:rsid w:val="00941C84"/>
    <w:rsid w:val="0094202B"/>
    <w:rsid w:val="00942C11"/>
    <w:rsid w:val="00942F2C"/>
    <w:rsid w:val="00943875"/>
    <w:rsid w:val="00943AD2"/>
    <w:rsid w:val="00943E98"/>
    <w:rsid w:val="009442C7"/>
    <w:rsid w:val="00944C43"/>
    <w:rsid w:val="00944F95"/>
    <w:rsid w:val="00945C17"/>
    <w:rsid w:val="00946012"/>
    <w:rsid w:val="0094652A"/>
    <w:rsid w:val="00946AE0"/>
    <w:rsid w:val="00946CEC"/>
    <w:rsid w:val="00946D14"/>
    <w:rsid w:val="009507E2"/>
    <w:rsid w:val="00952A0B"/>
    <w:rsid w:val="00952D10"/>
    <w:rsid w:val="00952EF9"/>
    <w:rsid w:val="00953A57"/>
    <w:rsid w:val="00953EA2"/>
    <w:rsid w:val="00954010"/>
    <w:rsid w:val="00954AB5"/>
    <w:rsid w:val="0095539E"/>
    <w:rsid w:val="00957368"/>
    <w:rsid w:val="00960C2E"/>
    <w:rsid w:val="00962013"/>
    <w:rsid w:val="00962410"/>
    <w:rsid w:val="00965542"/>
    <w:rsid w:val="00966603"/>
    <w:rsid w:val="0096695A"/>
    <w:rsid w:val="009712FF"/>
    <w:rsid w:val="00971C2E"/>
    <w:rsid w:val="00971D51"/>
    <w:rsid w:val="00972356"/>
    <w:rsid w:val="00972C17"/>
    <w:rsid w:val="00972C68"/>
    <w:rsid w:val="00972DD6"/>
    <w:rsid w:val="009730A6"/>
    <w:rsid w:val="009739C5"/>
    <w:rsid w:val="009742AE"/>
    <w:rsid w:val="009755F9"/>
    <w:rsid w:val="00975743"/>
    <w:rsid w:val="00976BFA"/>
    <w:rsid w:val="00976D6D"/>
    <w:rsid w:val="00980031"/>
    <w:rsid w:val="00980238"/>
    <w:rsid w:val="00980291"/>
    <w:rsid w:val="00980B81"/>
    <w:rsid w:val="00980DB6"/>
    <w:rsid w:val="00981974"/>
    <w:rsid w:val="00981C6C"/>
    <w:rsid w:val="0098215F"/>
    <w:rsid w:val="00982D17"/>
    <w:rsid w:val="009832AC"/>
    <w:rsid w:val="0098344B"/>
    <w:rsid w:val="009845E5"/>
    <w:rsid w:val="00984B1F"/>
    <w:rsid w:val="00985430"/>
    <w:rsid w:val="00985461"/>
    <w:rsid w:val="00986325"/>
    <w:rsid w:val="00986651"/>
    <w:rsid w:val="00990620"/>
    <w:rsid w:val="00991826"/>
    <w:rsid w:val="009918DC"/>
    <w:rsid w:val="00991EA6"/>
    <w:rsid w:val="009926F1"/>
    <w:rsid w:val="00993357"/>
    <w:rsid w:val="00993BD8"/>
    <w:rsid w:val="009943DF"/>
    <w:rsid w:val="00995BBE"/>
    <w:rsid w:val="009977F0"/>
    <w:rsid w:val="00997D06"/>
    <w:rsid w:val="009A03D8"/>
    <w:rsid w:val="009A0505"/>
    <w:rsid w:val="009A1151"/>
    <w:rsid w:val="009A19A2"/>
    <w:rsid w:val="009A2066"/>
    <w:rsid w:val="009A26F9"/>
    <w:rsid w:val="009A2BD3"/>
    <w:rsid w:val="009A3064"/>
    <w:rsid w:val="009A38C0"/>
    <w:rsid w:val="009A60FD"/>
    <w:rsid w:val="009A7B14"/>
    <w:rsid w:val="009B0557"/>
    <w:rsid w:val="009B07F1"/>
    <w:rsid w:val="009B0CB2"/>
    <w:rsid w:val="009B12AC"/>
    <w:rsid w:val="009B2781"/>
    <w:rsid w:val="009B2984"/>
    <w:rsid w:val="009B2C56"/>
    <w:rsid w:val="009B31BC"/>
    <w:rsid w:val="009B3501"/>
    <w:rsid w:val="009B35F0"/>
    <w:rsid w:val="009B3AB4"/>
    <w:rsid w:val="009B3D32"/>
    <w:rsid w:val="009B41CB"/>
    <w:rsid w:val="009B434F"/>
    <w:rsid w:val="009B4D85"/>
    <w:rsid w:val="009B6430"/>
    <w:rsid w:val="009B6BFE"/>
    <w:rsid w:val="009B72D9"/>
    <w:rsid w:val="009B74D9"/>
    <w:rsid w:val="009B7678"/>
    <w:rsid w:val="009C018D"/>
    <w:rsid w:val="009C088C"/>
    <w:rsid w:val="009C0A8D"/>
    <w:rsid w:val="009C0AA9"/>
    <w:rsid w:val="009C0BD6"/>
    <w:rsid w:val="009C13ED"/>
    <w:rsid w:val="009C1C1C"/>
    <w:rsid w:val="009C2666"/>
    <w:rsid w:val="009C3553"/>
    <w:rsid w:val="009C3D9E"/>
    <w:rsid w:val="009C3F1F"/>
    <w:rsid w:val="009C53C8"/>
    <w:rsid w:val="009C5D24"/>
    <w:rsid w:val="009C6215"/>
    <w:rsid w:val="009C6686"/>
    <w:rsid w:val="009C6B04"/>
    <w:rsid w:val="009C7CDF"/>
    <w:rsid w:val="009D031A"/>
    <w:rsid w:val="009D26F3"/>
    <w:rsid w:val="009D2EB6"/>
    <w:rsid w:val="009D3108"/>
    <w:rsid w:val="009D3D81"/>
    <w:rsid w:val="009D43BB"/>
    <w:rsid w:val="009D482B"/>
    <w:rsid w:val="009D6C90"/>
    <w:rsid w:val="009D6E09"/>
    <w:rsid w:val="009D7364"/>
    <w:rsid w:val="009E033B"/>
    <w:rsid w:val="009E08EE"/>
    <w:rsid w:val="009E145A"/>
    <w:rsid w:val="009E1831"/>
    <w:rsid w:val="009E1ACE"/>
    <w:rsid w:val="009E369D"/>
    <w:rsid w:val="009E37C0"/>
    <w:rsid w:val="009E3A08"/>
    <w:rsid w:val="009E432D"/>
    <w:rsid w:val="009E5220"/>
    <w:rsid w:val="009E629F"/>
    <w:rsid w:val="009E6EB1"/>
    <w:rsid w:val="009E6F78"/>
    <w:rsid w:val="009E70D1"/>
    <w:rsid w:val="009E77BC"/>
    <w:rsid w:val="009E7F49"/>
    <w:rsid w:val="009F04A2"/>
    <w:rsid w:val="009F0783"/>
    <w:rsid w:val="009F1843"/>
    <w:rsid w:val="009F21FB"/>
    <w:rsid w:val="009F29ED"/>
    <w:rsid w:val="009F2B31"/>
    <w:rsid w:val="009F35CE"/>
    <w:rsid w:val="009F3780"/>
    <w:rsid w:val="009F3839"/>
    <w:rsid w:val="009F4079"/>
    <w:rsid w:val="009F558B"/>
    <w:rsid w:val="009F6627"/>
    <w:rsid w:val="009F6AB7"/>
    <w:rsid w:val="009F6B66"/>
    <w:rsid w:val="009F6E36"/>
    <w:rsid w:val="009F7C47"/>
    <w:rsid w:val="009F7C4A"/>
    <w:rsid w:val="00A00300"/>
    <w:rsid w:val="00A0154F"/>
    <w:rsid w:val="00A01DA3"/>
    <w:rsid w:val="00A01E12"/>
    <w:rsid w:val="00A04DB0"/>
    <w:rsid w:val="00A04E34"/>
    <w:rsid w:val="00A078B1"/>
    <w:rsid w:val="00A108EE"/>
    <w:rsid w:val="00A10AB5"/>
    <w:rsid w:val="00A10C82"/>
    <w:rsid w:val="00A10FB0"/>
    <w:rsid w:val="00A11718"/>
    <w:rsid w:val="00A11A72"/>
    <w:rsid w:val="00A12226"/>
    <w:rsid w:val="00A1233B"/>
    <w:rsid w:val="00A13529"/>
    <w:rsid w:val="00A14821"/>
    <w:rsid w:val="00A1689E"/>
    <w:rsid w:val="00A16EB1"/>
    <w:rsid w:val="00A1756B"/>
    <w:rsid w:val="00A177E2"/>
    <w:rsid w:val="00A17CA2"/>
    <w:rsid w:val="00A20D3B"/>
    <w:rsid w:val="00A217CE"/>
    <w:rsid w:val="00A240FC"/>
    <w:rsid w:val="00A2523E"/>
    <w:rsid w:val="00A25499"/>
    <w:rsid w:val="00A30356"/>
    <w:rsid w:val="00A30AAC"/>
    <w:rsid w:val="00A30DAB"/>
    <w:rsid w:val="00A31C50"/>
    <w:rsid w:val="00A31C98"/>
    <w:rsid w:val="00A32090"/>
    <w:rsid w:val="00A32206"/>
    <w:rsid w:val="00A32811"/>
    <w:rsid w:val="00A32E9C"/>
    <w:rsid w:val="00A32FBA"/>
    <w:rsid w:val="00A330D6"/>
    <w:rsid w:val="00A33CE4"/>
    <w:rsid w:val="00A344FE"/>
    <w:rsid w:val="00A345AF"/>
    <w:rsid w:val="00A35021"/>
    <w:rsid w:val="00A3587D"/>
    <w:rsid w:val="00A35E11"/>
    <w:rsid w:val="00A366B4"/>
    <w:rsid w:val="00A369BE"/>
    <w:rsid w:val="00A403F5"/>
    <w:rsid w:val="00A40EAE"/>
    <w:rsid w:val="00A41984"/>
    <w:rsid w:val="00A41D2F"/>
    <w:rsid w:val="00A41FBE"/>
    <w:rsid w:val="00A42605"/>
    <w:rsid w:val="00A42818"/>
    <w:rsid w:val="00A4388F"/>
    <w:rsid w:val="00A43F08"/>
    <w:rsid w:val="00A44340"/>
    <w:rsid w:val="00A45479"/>
    <w:rsid w:val="00A52743"/>
    <w:rsid w:val="00A528A1"/>
    <w:rsid w:val="00A52DB4"/>
    <w:rsid w:val="00A52F97"/>
    <w:rsid w:val="00A547D8"/>
    <w:rsid w:val="00A557FF"/>
    <w:rsid w:val="00A56A26"/>
    <w:rsid w:val="00A61C8D"/>
    <w:rsid w:val="00A61F7C"/>
    <w:rsid w:val="00A61FD1"/>
    <w:rsid w:val="00A6269B"/>
    <w:rsid w:val="00A64585"/>
    <w:rsid w:val="00A650EC"/>
    <w:rsid w:val="00A66C3B"/>
    <w:rsid w:val="00A66D37"/>
    <w:rsid w:val="00A66D9D"/>
    <w:rsid w:val="00A703B0"/>
    <w:rsid w:val="00A70ACE"/>
    <w:rsid w:val="00A70AF1"/>
    <w:rsid w:val="00A712E6"/>
    <w:rsid w:val="00A7145C"/>
    <w:rsid w:val="00A7146E"/>
    <w:rsid w:val="00A71954"/>
    <w:rsid w:val="00A7197B"/>
    <w:rsid w:val="00A7297E"/>
    <w:rsid w:val="00A7300B"/>
    <w:rsid w:val="00A7396E"/>
    <w:rsid w:val="00A75E0A"/>
    <w:rsid w:val="00A761E2"/>
    <w:rsid w:val="00A77415"/>
    <w:rsid w:val="00A814BB"/>
    <w:rsid w:val="00A81ED8"/>
    <w:rsid w:val="00A82FAF"/>
    <w:rsid w:val="00A83121"/>
    <w:rsid w:val="00A8345E"/>
    <w:rsid w:val="00A8396B"/>
    <w:rsid w:val="00A83B58"/>
    <w:rsid w:val="00A842A0"/>
    <w:rsid w:val="00A84923"/>
    <w:rsid w:val="00A84BF7"/>
    <w:rsid w:val="00A852E0"/>
    <w:rsid w:val="00A85A71"/>
    <w:rsid w:val="00A879EF"/>
    <w:rsid w:val="00A901DF"/>
    <w:rsid w:val="00A906DE"/>
    <w:rsid w:val="00A90EF3"/>
    <w:rsid w:val="00A92EDA"/>
    <w:rsid w:val="00A932EE"/>
    <w:rsid w:val="00A935D5"/>
    <w:rsid w:val="00A94C95"/>
    <w:rsid w:val="00A960A7"/>
    <w:rsid w:val="00A97402"/>
    <w:rsid w:val="00A97C66"/>
    <w:rsid w:val="00A97D8C"/>
    <w:rsid w:val="00A97EA2"/>
    <w:rsid w:val="00AA176A"/>
    <w:rsid w:val="00AA258A"/>
    <w:rsid w:val="00AA45C3"/>
    <w:rsid w:val="00AA4B4A"/>
    <w:rsid w:val="00AA4C03"/>
    <w:rsid w:val="00AA57C1"/>
    <w:rsid w:val="00AA5A58"/>
    <w:rsid w:val="00AA5C1F"/>
    <w:rsid w:val="00AA66C3"/>
    <w:rsid w:val="00AA74C1"/>
    <w:rsid w:val="00AA74D4"/>
    <w:rsid w:val="00AB020D"/>
    <w:rsid w:val="00AB11FA"/>
    <w:rsid w:val="00AB1391"/>
    <w:rsid w:val="00AB1AC8"/>
    <w:rsid w:val="00AB2032"/>
    <w:rsid w:val="00AB20E8"/>
    <w:rsid w:val="00AB26BE"/>
    <w:rsid w:val="00AB28DC"/>
    <w:rsid w:val="00AB294C"/>
    <w:rsid w:val="00AB2B05"/>
    <w:rsid w:val="00AB3A2C"/>
    <w:rsid w:val="00AB5796"/>
    <w:rsid w:val="00AB5A38"/>
    <w:rsid w:val="00AB64DB"/>
    <w:rsid w:val="00AC0764"/>
    <w:rsid w:val="00AC0AE5"/>
    <w:rsid w:val="00AC12E7"/>
    <w:rsid w:val="00AC13F0"/>
    <w:rsid w:val="00AC154B"/>
    <w:rsid w:val="00AC1F37"/>
    <w:rsid w:val="00AC2A10"/>
    <w:rsid w:val="00AC31D6"/>
    <w:rsid w:val="00AC3DA6"/>
    <w:rsid w:val="00AC4BDD"/>
    <w:rsid w:val="00AC70FE"/>
    <w:rsid w:val="00AC72D4"/>
    <w:rsid w:val="00AC7A0C"/>
    <w:rsid w:val="00AC7F6D"/>
    <w:rsid w:val="00AD0435"/>
    <w:rsid w:val="00AD0A75"/>
    <w:rsid w:val="00AD1876"/>
    <w:rsid w:val="00AD30C0"/>
    <w:rsid w:val="00AD4DD1"/>
    <w:rsid w:val="00AD5973"/>
    <w:rsid w:val="00AD5E9F"/>
    <w:rsid w:val="00AD7270"/>
    <w:rsid w:val="00AD7BFF"/>
    <w:rsid w:val="00AD7DD0"/>
    <w:rsid w:val="00AD7EDA"/>
    <w:rsid w:val="00AE15EC"/>
    <w:rsid w:val="00AE1BA4"/>
    <w:rsid w:val="00AE1EC6"/>
    <w:rsid w:val="00AE1FC0"/>
    <w:rsid w:val="00AE2F1B"/>
    <w:rsid w:val="00AE30FE"/>
    <w:rsid w:val="00AE3318"/>
    <w:rsid w:val="00AE39F7"/>
    <w:rsid w:val="00AE3F5A"/>
    <w:rsid w:val="00AE5A46"/>
    <w:rsid w:val="00AE6D0E"/>
    <w:rsid w:val="00AE7D85"/>
    <w:rsid w:val="00AE7DA3"/>
    <w:rsid w:val="00AF041F"/>
    <w:rsid w:val="00AF10E7"/>
    <w:rsid w:val="00AF1E14"/>
    <w:rsid w:val="00AF2C6A"/>
    <w:rsid w:val="00AF30DE"/>
    <w:rsid w:val="00AF3723"/>
    <w:rsid w:val="00AF39E3"/>
    <w:rsid w:val="00AF59D4"/>
    <w:rsid w:val="00AF59FF"/>
    <w:rsid w:val="00AF5C37"/>
    <w:rsid w:val="00AF7747"/>
    <w:rsid w:val="00B008E5"/>
    <w:rsid w:val="00B01731"/>
    <w:rsid w:val="00B0315B"/>
    <w:rsid w:val="00B0316D"/>
    <w:rsid w:val="00B0359E"/>
    <w:rsid w:val="00B039AC"/>
    <w:rsid w:val="00B047CE"/>
    <w:rsid w:val="00B049B5"/>
    <w:rsid w:val="00B056C9"/>
    <w:rsid w:val="00B06546"/>
    <w:rsid w:val="00B06587"/>
    <w:rsid w:val="00B067BF"/>
    <w:rsid w:val="00B069CA"/>
    <w:rsid w:val="00B10C3C"/>
    <w:rsid w:val="00B11DBE"/>
    <w:rsid w:val="00B1244C"/>
    <w:rsid w:val="00B12D6E"/>
    <w:rsid w:val="00B12E95"/>
    <w:rsid w:val="00B13434"/>
    <w:rsid w:val="00B146AC"/>
    <w:rsid w:val="00B147AD"/>
    <w:rsid w:val="00B14CB3"/>
    <w:rsid w:val="00B165D8"/>
    <w:rsid w:val="00B168F9"/>
    <w:rsid w:val="00B16DEB"/>
    <w:rsid w:val="00B171FB"/>
    <w:rsid w:val="00B219BB"/>
    <w:rsid w:val="00B21E1B"/>
    <w:rsid w:val="00B2208F"/>
    <w:rsid w:val="00B23457"/>
    <w:rsid w:val="00B24181"/>
    <w:rsid w:val="00B24C7B"/>
    <w:rsid w:val="00B25C29"/>
    <w:rsid w:val="00B26BDF"/>
    <w:rsid w:val="00B3082D"/>
    <w:rsid w:val="00B30D66"/>
    <w:rsid w:val="00B3161F"/>
    <w:rsid w:val="00B316DC"/>
    <w:rsid w:val="00B32606"/>
    <w:rsid w:val="00B32A75"/>
    <w:rsid w:val="00B32C8F"/>
    <w:rsid w:val="00B3331A"/>
    <w:rsid w:val="00B33AF6"/>
    <w:rsid w:val="00B33C76"/>
    <w:rsid w:val="00B340D9"/>
    <w:rsid w:val="00B35994"/>
    <w:rsid w:val="00B36ACC"/>
    <w:rsid w:val="00B36F8E"/>
    <w:rsid w:val="00B37329"/>
    <w:rsid w:val="00B401E7"/>
    <w:rsid w:val="00B40BF5"/>
    <w:rsid w:val="00B413B6"/>
    <w:rsid w:val="00B4202B"/>
    <w:rsid w:val="00B423F3"/>
    <w:rsid w:val="00B42B47"/>
    <w:rsid w:val="00B46552"/>
    <w:rsid w:val="00B46A67"/>
    <w:rsid w:val="00B47433"/>
    <w:rsid w:val="00B4799D"/>
    <w:rsid w:val="00B51AFF"/>
    <w:rsid w:val="00B536CE"/>
    <w:rsid w:val="00B5434A"/>
    <w:rsid w:val="00B545FE"/>
    <w:rsid w:val="00B546B3"/>
    <w:rsid w:val="00B54BBA"/>
    <w:rsid w:val="00B54FEA"/>
    <w:rsid w:val="00B55059"/>
    <w:rsid w:val="00B55160"/>
    <w:rsid w:val="00B55651"/>
    <w:rsid w:val="00B55F62"/>
    <w:rsid w:val="00B561F6"/>
    <w:rsid w:val="00B564D4"/>
    <w:rsid w:val="00B56CFF"/>
    <w:rsid w:val="00B57418"/>
    <w:rsid w:val="00B57868"/>
    <w:rsid w:val="00B5787C"/>
    <w:rsid w:val="00B57AFF"/>
    <w:rsid w:val="00B60599"/>
    <w:rsid w:val="00B614FB"/>
    <w:rsid w:val="00B62067"/>
    <w:rsid w:val="00B62077"/>
    <w:rsid w:val="00B63F6B"/>
    <w:rsid w:val="00B645BA"/>
    <w:rsid w:val="00B65859"/>
    <w:rsid w:val="00B65B43"/>
    <w:rsid w:val="00B66E9C"/>
    <w:rsid w:val="00B66F1A"/>
    <w:rsid w:val="00B67312"/>
    <w:rsid w:val="00B676AE"/>
    <w:rsid w:val="00B70D07"/>
    <w:rsid w:val="00B7325B"/>
    <w:rsid w:val="00B740AB"/>
    <w:rsid w:val="00B75133"/>
    <w:rsid w:val="00B75F25"/>
    <w:rsid w:val="00B7614E"/>
    <w:rsid w:val="00B77BD8"/>
    <w:rsid w:val="00B80CF4"/>
    <w:rsid w:val="00B81B80"/>
    <w:rsid w:val="00B833AA"/>
    <w:rsid w:val="00B84C2A"/>
    <w:rsid w:val="00B854A8"/>
    <w:rsid w:val="00B855BA"/>
    <w:rsid w:val="00B85E5A"/>
    <w:rsid w:val="00B86163"/>
    <w:rsid w:val="00B86166"/>
    <w:rsid w:val="00B861EA"/>
    <w:rsid w:val="00B863F8"/>
    <w:rsid w:val="00B86A0F"/>
    <w:rsid w:val="00B86A81"/>
    <w:rsid w:val="00B87847"/>
    <w:rsid w:val="00B87F88"/>
    <w:rsid w:val="00B87FFD"/>
    <w:rsid w:val="00B90C73"/>
    <w:rsid w:val="00B91716"/>
    <w:rsid w:val="00B92263"/>
    <w:rsid w:val="00B92D55"/>
    <w:rsid w:val="00B937A8"/>
    <w:rsid w:val="00B9418C"/>
    <w:rsid w:val="00B9635E"/>
    <w:rsid w:val="00B972CD"/>
    <w:rsid w:val="00B97780"/>
    <w:rsid w:val="00B97A2E"/>
    <w:rsid w:val="00BA0590"/>
    <w:rsid w:val="00BA09E1"/>
    <w:rsid w:val="00BA0AEE"/>
    <w:rsid w:val="00BA0DAA"/>
    <w:rsid w:val="00BA1A71"/>
    <w:rsid w:val="00BA2155"/>
    <w:rsid w:val="00BA27D8"/>
    <w:rsid w:val="00BA4BC7"/>
    <w:rsid w:val="00BA679C"/>
    <w:rsid w:val="00BA6B1B"/>
    <w:rsid w:val="00BA76DE"/>
    <w:rsid w:val="00BA7BAE"/>
    <w:rsid w:val="00BB0C70"/>
    <w:rsid w:val="00BB1113"/>
    <w:rsid w:val="00BB1793"/>
    <w:rsid w:val="00BB17A2"/>
    <w:rsid w:val="00BB1C72"/>
    <w:rsid w:val="00BB2703"/>
    <w:rsid w:val="00BB2E1E"/>
    <w:rsid w:val="00BB309E"/>
    <w:rsid w:val="00BB30C3"/>
    <w:rsid w:val="00BB33E7"/>
    <w:rsid w:val="00BB3EB5"/>
    <w:rsid w:val="00BB403E"/>
    <w:rsid w:val="00BB516C"/>
    <w:rsid w:val="00BB5856"/>
    <w:rsid w:val="00BB5867"/>
    <w:rsid w:val="00BB5BD2"/>
    <w:rsid w:val="00BB7731"/>
    <w:rsid w:val="00BB7DF1"/>
    <w:rsid w:val="00BC0394"/>
    <w:rsid w:val="00BC0AF8"/>
    <w:rsid w:val="00BC1115"/>
    <w:rsid w:val="00BC186F"/>
    <w:rsid w:val="00BC1A64"/>
    <w:rsid w:val="00BC30DC"/>
    <w:rsid w:val="00BC3DDB"/>
    <w:rsid w:val="00BC4257"/>
    <w:rsid w:val="00BC4447"/>
    <w:rsid w:val="00BC4C82"/>
    <w:rsid w:val="00BC4EFF"/>
    <w:rsid w:val="00BC5BE0"/>
    <w:rsid w:val="00BC772A"/>
    <w:rsid w:val="00BC772E"/>
    <w:rsid w:val="00BC7FC5"/>
    <w:rsid w:val="00BD056C"/>
    <w:rsid w:val="00BD1D6F"/>
    <w:rsid w:val="00BD30D8"/>
    <w:rsid w:val="00BD4B3B"/>
    <w:rsid w:val="00BD59D4"/>
    <w:rsid w:val="00BD658F"/>
    <w:rsid w:val="00BD70B4"/>
    <w:rsid w:val="00BD725E"/>
    <w:rsid w:val="00BE1502"/>
    <w:rsid w:val="00BE209A"/>
    <w:rsid w:val="00BE3786"/>
    <w:rsid w:val="00BE469B"/>
    <w:rsid w:val="00BE7738"/>
    <w:rsid w:val="00BF04E5"/>
    <w:rsid w:val="00BF0642"/>
    <w:rsid w:val="00BF0799"/>
    <w:rsid w:val="00BF1DD8"/>
    <w:rsid w:val="00BF1FE0"/>
    <w:rsid w:val="00BF238A"/>
    <w:rsid w:val="00BF2B56"/>
    <w:rsid w:val="00BF2B9D"/>
    <w:rsid w:val="00BF3D29"/>
    <w:rsid w:val="00BF3E14"/>
    <w:rsid w:val="00BF51BA"/>
    <w:rsid w:val="00BF57F4"/>
    <w:rsid w:val="00BF5E5A"/>
    <w:rsid w:val="00BF687B"/>
    <w:rsid w:val="00BF76E6"/>
    <w:rsid w:val="00BF7A37"/>
    <w:rsid w:val="00C02AD8"/>
    <w:rsid w:val="00C033F0"/>
    <w:rsid w:val="00C04209"/>
    <w:rsid w:val="00C04491"/>
    <w:rsid w:val="00C062FC"/>
    <w:rsid w:val="00C072E1"/>
    <w:rsid w:val="00C127E1"/>
    <w:rsid w:val="00C135BB"/>
    <w:rsid w:val="00C13FA9"/>
    <w:rsid w:val="00C14973"/>
    <w:rsid w:val="00C14991"/>
    <w:rsid w:val="00C149EF"/>
    <w:rsid w:val="00C14E5F"/>
    <w:rsid w:val="00C1557C"/>
    <w:rsid w:val="00C15844"/>
    <w:rsid w:val="00C166CE"/>
    <w:rsid w:val="00C17979"/>
    <w:rsid w:val="00C2093B"/>
    <w:rsid w:val="00C20B14"/>
    <w:rsid w:val="00C2209F"/>
    <w:rsid w:val="00C22301"/>
    <w:rsid w:val="00C22E98"/>
    <w:rsid w:val="00C244B8"/>
    <w:rsid w:val="00C24C0C"/>
    <w:rsid w:val="00C25290"/>
    <w:rsid w:val="00C26217"/>
    <w:rsid w:val="00C264E4"/>
    <w:rsid w:val="00C268E8"/>
    <w:rsid w:val="00C3028F"/>
    <w:rsid w:val="00C30548"/>
    <w:rsid w:val="00C30BFD"/>
    <w:rsid w:val="00C31764"/>
    <w:rsid w:val="00C32748"/>
    <w:rsid w:val="00C33240"/>
    <w:rsid w:val="00C33249"/>
    <w:rsid w:val="00C33C80"/>
    <w:rsid w:val="00C34195"/>
    <w:rsid w:val="00C3484A"/>
    <w:rsid w:val="00C34CCB"/>
    <w:rsid w:val="00C34EB6"/>
    <w:rsid w:val="00C3571F"/>
    <w:rsid w:val="00C35A04"/>
    <w:rsid w:val="00C37076"/>
    <w:rsid w:val="00C377F0"/>
    <w:rsid w:val="00C37AB8"/>
    <w:rsid w:val="00C413B6"/>
    <w:rsid w:val="00C41CE6"/>
    <w:rsid w:val="00C42879"/>
    <w:rsid w:val="00C434D8"/>
    <w:rsid w:val="00C43C3A"/>
    <w:rsid w:val="00C44FBF"/>
    <w:rsid w:val="00C45458"/>
    <w:rsid w:val="00C454F6"/>
    <w:rsid w:val="00C47045"/>
    <w:rsid w:val="00C5056F"/>
    <w:rsid w:val="00C51278"/>
    <w:rsid w:val="00C51C3B"/>
    <w:rsid w:val="00C52C3F"/>
    <w:rsid w:val="00C5343D"/>
    <w:rsid w:val="00C54C84"/>
    <w:rsid w:val="00C56145"/>
    <w:rsid w:val="00C569B3"/>
    <w:rsid w:val="00C56AAD"/>
    <w:rsid w:val="00C56CF0"/>
    <w:rsid w:val="00C57137"/>
    <w:rsid w:val="00C5745D"/>
    <w:rsid w:val="00C57B49"/>
    <w:rsid w:val="00C60147"/>
    <w:rsid w:val="00C60A6A"/>
    <w:rsid w:val="00C61104"/>
    <w:rsid w:val="00C61154"/>
    <w:rsid w:val="00C61C20"/>
    <w:rsid w:val="00C61D34"/>
    <w:rsid w:val="00C63E89"/>
    <w:rsid w:val="00C647DA"/>
    <w:rsid w:val="00C64A78"/>
    <w:rsid w:val="00C657B1"/>
    <w:rsid w:val="00C66D7E"/>
    <w:rsid w:val="00C67184"/>
    <w:rsid w:val="00C67889"/>
    <w:rsid w:val="00C70404"/>
    <w:rsid w:val="00C70AE3"/>
    <w:rsid w:val="00C71A2A"/>
    <w:rsid w:val="00C71A3B"/>
    <w:rsid w:val="00C7221A"/>
    <w:rsid w:val="00C722FF"/>
    <w:rsid w:val="00C7334B"/>
    <w:rsid w:val="00C74490"/>
    <w:rsid w:val="00C74A36"/>
    <w:rsid w:val="00C74AB8"/>
    <w:rsid w:val="00C74F52"/>
    <w:rsid w:val="00C76A34"/>
    <w:rsid w:val="00C81CFE"/>
    <w:rsid w:val="00C81E35"/>
    <w:rsid w:val="00C82B9D"/>
    <w:rsid w:val="00C83C3A"/>
    <w:rsid w:val="00C83C61"/>
    <w:rsid w:val="00C843DE"/>
    <w:rsid w:val="00C84428"/>
    <w:rsid w:val="00C85B71"/>
    <w:rsid w:val="00C85E26"/>
    <w:rsid w:val="00C86034"/>
    <w:rsid w:val="00C869C5"/>
    <w:rsid w:val="00C877A6"/>
    <w:rsid w:val="00C87CF6"/>
    <w:rsid w:val="00C87D36"/>
    <w:rsid w:val="00C87D99"/>
    <w:rsid w:val="00C91786"/>
    <w:rsid w:val="00C917FB"/>
    <w:rsid w:val="00C9330D"/>
    <w:rsid w:val="00C9343E"/>
    <w:rsid w:val="00C93D39"/>
    <w:rsid w:val="00C940B3"/>
    <w:rsid w:val="00C95AD5"/>
    <w:rsid w:val="00C96CEA"/>
    <w:rsid w:val="00C97760"/>
    <w:rsid w:val="00C9788D"/>
    <w:rsid w:val="00C97F67"/>
    <w:rsid w:val="00CA063A"/>
    <w:rsid w:val="00CA0A85"/>
    <w:rsid w:val="00CA22AD"/>
    <w:rsid w:val="00CA3311"/>
    <w:rsid w:val="00CA3B57"/>
    <w:rsid w:val="00CA710E"/>
    <w:rsid w:val="00CA714D"/>
    <w:rsid w:val="00CB0F4E"/>
    <w:rsid w:val="00CB247E"/>
    <w:rsid w:val="00CB3A03"/>
    <w:rsid w:val="00CB4299"/>
    <w:rsid w:val="00CB4565"/>
    <w:rsid w:val="00CB5D4F"/>
    <w:rsid w:val="00CB60C2"/>
    <w:rsid w:val="00CB6AF7"/>
    <w:rsid w:val="00CB6DC7"/>
    <w:rsid w:val="00CB7620"/>
    <w:rsid w:val="00CC0296"/>
    <w:rsid w:val="00CC0704"/>
    <w:rsid w:val="00CC0772"/>
    <w:rsid w:val="00CC09FD"/>
    <w:rsid w:val="00CC1D9F"/>
    <w:rsid w:val="00CC2586"/>
    <w:rsid w:val="00CC2755"/>
    <w:rsid w:val="00CC2946"/>
    <w:rsid w:val="00CC2B94"/>
    <w:rsid w:val="00CC50EC"/>
    <w:rsid w:val="00CC596B"/>
    <w:rsid w:val="00CC633B"/>
    <w:rsid w:val="00CC648C"/>
    <w:rsid w:val="00CC6AB9"/>
    <w:rsid w:val="00CC71D1"/>
    <w:rsid w:val="00CC7B89"/>
    <w:rsid w:val="00CD0498"/>
    <w:rsid w:val="00CD0ABC"/>
    <w:rsid w:val="00CD19F9"/>
    <w:rsid w:val="00CD2907"/>
    <w:rsid w:val="00CD3A4B"/>
    <w:rsid w:val="00CD3C0A"/>
    <w:rsid w:val="00CD3D77"/>
    <w:rsid w:val="00CD5411"/>
    <w:rsid w:val="00CE0223"/>
    <w:rsid w:val="00CE032C"/>
    <w:rsid w:val="00CE0B99"/>
    <w:rsid w:val="00CE0EE8"/>
    <w:rsid w:val="00CE1208"/>
    <w:rsid w:val="00CE1BD9"/>
    <w:rsid w:val="00CE1D87"/>
    <w:rsid w:val="00CE29EE"/>
    <w:rsid w:val="00CE2E7A"/>
    <w:rsid w:val="00CE3A23"/>
    <w:rsid w:val="00CE3BEA"/>
    <w:rsid w:val="00CE40FE"/>
    <w:rsid w:val="00CE4D45"/>
    <w:rsid w:val="00CE6518"/>
    <w:rsid w:val="00CE7705"/>
    <w:rsid w:val="00CE7FE9"/>
    <w:rsid w:val="00CF0C9A"/>
    <w:rsid w:val="00CF1211"/>
    <w:rsid w:val="00CF2D89"/>
    <w:rsid w:val="00CF3956"/>
    <w:rsid w:val="00CF3C2E"/>
    <w:rsid w:val="00CF47D3"/>
    <w:rsid w:val="00CF4D9E"/>
    <w:rsid w:val="00CF51B9"/>
    <w:rsid w:val="00CF537A"/>
    <w:rsid w:val="00CF57AA"/>
    <w:rsid w:val="00CF5E55"/>
    <w:rsid w:val="00CF659D"/>
    <w:rsid w:val="00CF7152"/>
    <w:rsid w:val="00D000F9"/>
    <w:rsid w:val="00D026B3"/>
    <w:rsid w:val="00D02A19"/>
    <w:rsid w:val="00D02E63"/>
    <w:rsid w:val="00D02F5B"/>
    <w:rsid w:val="00D032B6"/>
    <w:rsid w:val="00D03728"/>
    <w:rsid w:val="00D037C1"/>
    <w:rsid w:val="00D03D08"/>
    <w:rsid w:val="00D04BEE"/>
    <w:rsid w:val="00D05383"/>
    <w:rsid w:val="00D06E50"/>
    <w:rsid w:val="00D07D7D"/>
    <w:rsid w:val="00D07E4D"/>
    <w:rsid w:val="00D07FBE"/>
    <w:rsid w:val="00D1111C"/>
    <w:rsid w:val="00D122C4"/>
    <w:rsid w:val="00D128A6"/>
    <w:rsid w:val="00D13360"/>
    <w:rsid w:val="00D141B5"/>
    <w:rsid w:val="00D14605"/>
    <w:rsid w:val="00D1517A"/>
    <w:rsid w:val="00D151CA"/>
    <w:rsid w:val="00D16C28"/>
    <w:rsid w:val="00D17016"/>
    <w:rsid w:val="00D173A8"/>
    <w:rsid w:val="00D20B46"/>
    <w:rsid w:val="00D219DE"/>
    <w:rsid w:val="00D21F5A"/>
    <w:rsid w:val="00D22F32"/>
    <w:rsid w:val="00D22FA6"/>
    <w:rsid w:val="00D2364C"/>
    <w:rsid w:val="00D24026"/>
    <w:rsid w:val="00D24CC8"/>
    <w:rsid w:val="00D2577C"/>
    <w:rsid w:val="00D2590E"/>
    <w:rsid w:val="00D25AC1"/>
    <w:rsid w:val="00D25D98"/>
    <w:rsid w:val="00D26305"/>
    <w:rsid w:val="00D268B4"/>
    <w:rsid w:val="00D30AC2"/>
    <w:rsid w:val="00D312F4"/>
    <w:rsid w:val="00D31C6C"/>
    <w:rsid w:val="00D31D55"/>
    <w:rsid w:val="00D32163"/>
    <w:rsid w:val="00D33A8D"/>
    <w:rsid w:val="00D341B0"/>
    <w:rsid w:val="00D34517"/>
    <w:rsid w:val="00D3463E"/>
    <w:rsid w:val="00D351F8"/>
    <w:rsid w:val="00D359C1"/>
    <w:rsid w:val="00D365E3"/>
    <w:rsid w:val="00D367EC"/>
    <w:rsid w:val="00D378BF"/>
    <w:rsid w:val="00D40B63"/>
    <w:rsid w:val="00D40D58"/>
    <w:rsid w:val="00D4104F"/>
    <w:rsid w:val="00D41CF7"/>
    <w:rsid w:val="00D41F0D"/>
    <w:rsid w:val="00D429DC"/>
    <w:rsid w:val="00D43E38"/>
    <w:rsid w:val="00D443EA"/>
    <w:rsid w:val="00D44DE7"/>
    <w:rsid w:val="00D4632F"/>
    <w:rsid w:val="00D46F8F"/>
    <w:rsid w:val="00D46FF5"/>
    <w:rsid w:val="00D47606"/>
    <w:rsid w:val="00D47DAB"/>
    <w:rsid w:val="00D519AA"/>
    <w:rsid w:val="00D52321"/>
    <w:rsid w:val="00D5504E"/>
    <w:rsid w:val="00D5521A"/>
    <w:rsid w:val="00D555E0"/>
    <w:rsid w:val="00D5571B"/>
    <w:rsid w:val="00D55BF8"/>
    <w:rsid w:val="00D56847"/>
    <w:rsid w:val="00D56E0D"/>
    <w:rsid w:val="00D571C8"/>
    <w:rsid w:val="00D57377"/>
    <w:rsid w:val="00D575CC"/>
    <w:rsid w:val="00D57699"/>
    <w:rsid w:val="00D57B15"/>
    <w:rsid w:val="00D57CC2"/>
    <w:rsid w:val="00D57D9B"/>
    <w:rsid w:val="00D57F2A"/>
    <w:rsid w:val="00D610E9"/>
    <w:rsid w:val="00D61A32"/>
    <w:rsid w:val="00D61B08"/>
    <w:rsid w:val="00D62841"/>
    <w:rsid w:val="00D62BA5"/>
    <w:rsid w:val="00D62C55"/>
    <w:rsid w:val="00D62CC6"/>
    <w:rsid w:val="00D62E6A"/>
    <w:rsid w:val="00D63DDB"/>
    <w:rsid w:val="00D64080"/>
    <w:rsid w:val="00D64AC2"/>
    <w:rsid w:val="00D64CFF"/>
    <w:rsid w:val="00D650BE"/>
    <w:rsid w:val="00D65C34"/>
    <w:rsid w:val="00D65DC7"/>
    <w:rsid w:val="00D660A5"/>
    <w:rsid w:val="00D661BB"/>
    <w:rsid w:val="00D664CB"/>
    <w:rsid w:val="00D673B2"/>
    <w:rsid w:val="00D67B0E"/>
    <w:rsid w:val="00D70086"/>
    <w:rsid w:val="00D7088E"/>
    <w:rsid w:val="00D70AC2"/>
    <w:rsid w:val="00D70DBE"/>
    <w:rsid w:val="00D726F1"/>
    <w:rsid w:val="00D72D71"/>
    <w:rsid w:val="00D7306C"/>
    <w:rsid w:val="00D73483"/>
    <w:rsid w:val="00D73C39"/>
    <w:rsid w:val="00D73DAD"/>
    <w:rsid w:val="00D7547B"/>
    <w:rsid w:val="00D7636B"/>
    <w:rsid w:val="00D769DA"/>
    <w:rsid w:val="00D76AFD"/>
    <w:rsid w:val="00D80089"/>
    <w:rsid w:val="00D80819"/>
    <w:rsid w:val="00D80835"/>
    <w:rsid w:val="00D80B0A"/>
    <w:rsid w:val="00D80BA1"/>
    <w:rsid w:val="00D80F50"/>
    <w:rsid w:val="00D81B82"/>
    <w:rsid w:val="00D8205E"/>
    <w:rsid w:val="00D8226C"/>
    <w:rsid w:val="00D83140"/>
    <w:rsid w:val="00D8330A"/>
    <w:rsid w:val="00D84114"/>
    <w:rsid w:val="00D84D9A"/>
    <w:rsid w:val="00D84F75"/>
    <w:rsid w:val="00D84FBC"/>
    <w:rsid w:val="00D857D4"/>
    <w:rsid w:val="00D85F11"/>
    <w:rsid w:val="00D879E9"/>
    <w:rsid w:val="00D90CD7"/>
    <w:rsid w:val="00D92EF8"/>
    <w:rsid w:val="00D932B4"/>
    <w:rsid w:val="00D952F7"/>
    <w:rsid w:val="00D95814"/>
    <w:rsid w:val="00D96A62"/>
    <w:rsid w:val="00D97207"/>
    <w:rsid w:val="00D97636"/>
    <w:rsid w:val="00D97A96"/>
    <w:rsid w:val="00DA159D"/>
    <w:rsid w:val="00DA2631"/>
    <w:rsid w:val="00DA3308"/>
    <w:rsid w:val="00DA40FF"/>
    <w:rsid w:val="00DA5809"/>
    <w:rsid w:val="00DA6AA2"/>
    <w:rsid w:val="00DA6ED2"/>
    <w:rsid w:val="00DA7015"/>
    <w:rsid w:val="00DA7055"/>
    <w:rsid w:val="00DA7A2E"/>
    <w:rsid w:val="00DB23BC"/>
    <w:rsid w:val="00DB3440"/>
    <w:rsid w:val="00DB4EBB"/>
    <w:rsid w:val="00DB57E6"/>
    <w:rsid w:val="00DB6ADC"/>
    <w:rsid w:val="00DB7EE5"/>
    <w:rsid w:val="00DC0CF1"/>
    <w:rsid w:val="00DC0F9F"/>
    <w:rsid w:val="00DC222D"/>
    <w:rsid w:val="00DC2AC0"/>
    <w:rsid w:val="00DC2E01"/>
    <w:rsid w:val="00DC362A"/>
    <w:rsid w:val="00DC37DD"/>
    <w:rsid w:val="00DC3B33"/>
    <w:rsid w:val="00DC3CEB"/>
    <w:rsid w:val="00DC4AC1"/>
    <w:rsid w:val="00DC4EB7"/>
    <w:rsid w:val="00DC543C"/>
    <w:rsid w:val="00DC5D4C"/>
    <w:rsid w:val="00DC5EC5"/>
    <w:rsid w:val="00DC75BE"/>
    <w:rsid w:val="00DD0821"/>
    <w:rsid w:val="00DD0A0B"/>
    <w:rsid w:val="00DD1295"/>
    <w:rsid w:val="00DD15C5"/>
    <w:rsid w:val="00DD2032"/>
    <w:rsid w:val="00DD2373"/>
    <w:rsid w:val="00DD2DA2"/>
    <w:rsid w:val="00DD311D"/>
    <w:rsid w:val="00DD320E"/>
    <w:rsid w:val="00DD3E85"/>
    <w:rsid w:val="00DD5B79"/>
    <w:rsid w:val="00DD5DB6"/>
    <w:rsid w:val="00DD6D01"/>
    <w:rsid w:val="00DE1424"/>
    <w:rsid w:val="00DE14BB"/>
    <w:rsid w:val="00DE19CC"/>
    <w:rsid w:val="00DE26B4"/>
    <w:rsid w:val="00DE277B"/>
    <w:rsid w:val="00DE2F93"/>
    <w:rsid w:val="00DE4200"/>
    <w:rsid w:val="00DE4C2B"/>
    <w:rsid w:val="00DE4F19"/>
    <w:rsid w:val="00DE50F6"/>
    <w:rsid w:val="00DE51F4"/>
    <w:rsid w:val="00DE616A"/>
    <w:rsid w:val="00DF11A7"/>
    <w:rsid w:val="00DF17AD"/>
    <w:rsid w:val="00DF1C55"/>
    <w:rsid w:val="00DF1C57"/>
    <w:rsid w:val="00DF1CDE"/>
    <w:rsid w:val="00DF27EF"/>
    <w:rsid w:val="00DF4A63"/>
    <w:rsid w:val="00DF4C44"/>
    <w:rsid w:val="00DF50FC"/>
    <w:rsid w:val="00DF5C7F"/>
    <w:rsid w:val="00DF5F24"/>
    <w:rsid w:val="00DF65B8"/>
    <w:rsid w:val="00E0027F"/>
    <w:rsid w:val="00E00663"/>
    <w:rsid w:val="00E01265"/>
    <w:rsid w:val="00E01EF4"/>
    <w:rsid w:val="00E025BC"/>
    <w:rsid w:val="00E02903"/>
    <w:rsid w:val="00E03FB7"/>
    <w:rsid w:val="00E04669"/>
    <w:rsid w:val="00E06571"/>
    <w:rsid w:val="00E06E25"/>
    <w:rsid w:val="00E07158"/>
    <w:rsid w:val="00E07F65"/>
    <w:rsid w:val="00E107FE"/>
    <w:rsid w:val="00E11230"/>
    <w:rsid w:val="00E11847"/>
    <w:rsid w:val="00E126CD"/>
    <w:rsid w:val="00E12FE4"/>
    <w:rsid w:val="00E13419"/>
    <w:rsid w:val="00E13763"/>
    <w:rsid w:val="00E13F76"/>
    <w:rsid w:val="00E14E94"/>
    <w:rsid w:val="00E1524C"/>
    <w:rsid w:val="00E1527E"/>
    <w:rsid w:val="00E15558"/>
    <w:rsid w:val="00E161D9"/>
    <w:rsid w:val="00E16D1C"/>
    <w:rsid w:val="00E17180"/>
    <w:rsid w:val="00E17708"/>
    <w:rsid w:val="00E17CAE"/>
    <w:rsid w:val="00E20A59"/>
    <w:rsid w:val="00E215DD"/>
    <w:rsid w:val="00E219C4"/>
    <w:rsid w:val="00E22364"/>
    <w:rsid w:val="00E225A5"/>
    <w:rsid w:val="00E2274E"/>
    <w:rsid w:val="00E22AAE"/>
    <w:rsid w:val="00E22D9E"/>
    <w:rsid w:val="00E22DA4"/>
    <w:rsid w:val="00E230C6"/>
    <w:rsid w:val="00E2397C"/>
    <w:rsid w:val="00E24728"/>
    <w:rsid w:val="00E247C7"/>
    <w:rsid w:val="00E25421"/>
    <w:rsid w:val="00E26566"/>
    <w:rsid w:val="00E26885"/>
    <w:rsid w:val="00E306D3"/>
    <w:rsid w:val="00E30E07"/>
    <w:rsid w:val="00E317E6"/>
    <w:rsid w:val="00E32FFA"/>
    <w:rsid w:val="00E3355F"/>
    <w:rsid w:val="00E33B59"/>
    <w:rsid w:val="00E34867"/>
    <w:rsid w:val="00E34F16"/>
    <w:rsid w:val="00E35287"/>
    <w:rsid w:val="00E353B5"/>
    <w:rsid w:val="00E36435"/>
    <w:rsid w:val="00E36852"/>
    <w:rsid w:val="00E372C6"/>
    <w:rsid w:val="00E37617"/>
    <w:rsid w:val="00E401EE"/>
    <w:rsid w:val="00E403AB"/>
    <w:rsid w:val="00E40A73"/>
    <w:rsid w:val="00E41B62"/>
    <w:rsid w:val="00E4467F"/>
    <w:rsid w:val="00E4477E"/>
    <w:rsid w:val="00E44A24"/>
    <w:rsid w:val="00E4608D"/>
    <w:rsid w:val="00E5016A"/>
    <w:rsid w:val="00E5066F"/>
    <w:rsid w:val="00E508B5"/>
    <w:rsid w:val="00E50962"/>
    <w:rsid w:val="00E50D90"/>
    <w:rsid w:val="00E51117"/>
    <w:rsid w:val="00E52898"/>
    <w:rsid w:val="00E528C7"/>
    <w:rsid w:val="00E529C2"/>
    <w:rsid w:val="00E52C41"/>
    <w:rsid w:val="00E55FC4"/>
    <w:rsid w:val="00E561DE"/>
    <w:rsid w:val="00E566D2"/>
    <w:rsid w:val="00E56CC5"/>
    <w:rsid w:val="00E576B2"/>
    <w:rsid w:val="00E60175"/>
    <w:rsid w:val="00E60C11"/>
    <w:rsid w:val="00E61323"/>
    <w:rsid w:val="00E62D6D"/>
    <w:rsid w:val="00E63762"/>
    <w:rsid w:val="00E63E5D"/>
    <w:rsid w:val="00E64505"/>
    <w:rsid w:val="00E65B27"/>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2C3D"/>
    <w:rsid w:val="00E84128"/>
    <w:rsid w:val="00E85993"/>
    <w:rsid w:val="00E86E7E"/>
    <w:rsid w:val="00E911FC"/>
    <w:rsid w:val="00E915D2"/>
    <w:rsid w:val="00E91C6D"/>
    <w:rsid w:val="00E92710"/>
    <w:rsid w:val="00E933D2"/>
    <w:rsid w:val="00E93A8D"/>
    <w:rsid w:val="00E93B0D"/>
    <w:rsid w:val="00E95468"/>
    <w:rsid w:val="00E965C9"/>
    <w:rsid w:val="00E97DA8"/>
    <w:rsid w:val="00EA1FDC"/>
    <w:rsid w:val="00EA227A"/>
    <w:rsid w:val="00EA2512"/>
    <w:rsid w:val="00EA31B7"/>
    <w:rsid w:val="00EA3AEB"/>
    <w:rsid w:val="00EA4930"/>
    <w:rsid w:val="00EA5AC9"/>
    <w:rsid w:val="00EA6D03"/>
    <w:rsid w:val="00EB0D85"/>
    <w:rsid w:val="00EB0EB9"/>
    <w:rsid w:val="00EB21ED"/>
    <w:rsid w:val="00EB29B6"/>
    <w:rsid w:val="00EB3296"/>
    <w:rsid w:val="00EB3CD3"/>
    <w:rsid w:val="00EB4466"/>
    <w:rsid w:val="00EB4E3C"/>
    <w:rsid w:val="00EB5943"/>
    <w:rsid w:val="00EB5D47"/>
    <w:rsid w:val="00EB6B89"/>
    <w:rsid w:val="00EB7A69"/>
    <w:rsid w:val="00EB7C4C"/>
    <w:rsid w:val="00EC0160"/>
    <w:rsid w:val="00EC06A3"/>
    <w:rsid w:val="00EC07D5"/>
    <w:rsid w:val="00EC1297"/>
    <w:rsid w:val="00EC14F6"/>
    <w:rsid w:val="00EC18B6"/>
    <w:rsid w:val="00EC2A01"/>
    <w:rsid w:val="00EC2D90"/>
    <w:rsid w:val="00EC3184"/>
    <w:rsid w:val="00EC3D44"/>
    <w:rsid w:val="00EC4D43"/>
    <w:rsid w:val="00EC594B"/>
    <w:rsid w:val="00EC6017"/>
    <w:rsid w:val="00EC61C4"/>
    <w:rsid w:val="00EC6AFF"/>
    <w:rsid w:val="00EC7343"/>
    <w:rsid w:val="00ED05E6"/>
    <w:rsid w:val="00ED08E5"/>
    <w:rsid w:val="00ED265C"/>
    <w:rsid w:val="00ED2B34"/>
    <w:rsid w:val="00ED36B7"/>
    <w:rsid w:val="00ED3E07"/>
    <w:rsid w:val="00ED45E1"/>
    <w:rsid w:val="00ED49A2"/>
    <w:rsid w:val="00ED4CA2"/>
    <w:rsid w:val="00ED4E93"/>
    <w:rsid w:val="00ED52CA"/>
    <w:rsid w:val="00ED532B"/>
    <w:rsid w:val="00ED5978"/>
    <w:rsid w:val="00ED5D71"/>
    <w:rsid w:val="00ED7098"/>
    <w:rsid w:val="00ED7723"/>
    <w:rsid w:val="00EE020F"/>
    <w:rsid w:val="00EE0C3C"/>
    <w:rsid w:val="00EE1185"/>
    <w:rsid w:val="00EE17AD"/>
    <w:rsid w:val="00EE2103"/>
    <w:rsid w:val="00EE47FF"/>
    <w:rsid w:val="00EE5472"/>
    <w:rsid w:val="00EE64E3"/>
    <w:rsid w:val="00EE6792"/>
    <w:rsid w:val="00EE6E89"/>
    <w:rsid w:val="00EE724B"/>
    <w:rsid w:val="00EE76FB"/>
    <w:rsid w:val="00EF0457"/>
    <w:rsid w:val="00EF045B"/>
    <w:rsid w:val="00EF21AE"/>
    <w:rsid w:val="00EF234D"/>
    <w:rsid w:val="00EF2C17"/>
    <w:rsid w:val="00EF2E73"/>
    <w:rsid w:val="00EF34C7"/>
    <w:rsid w:val="00EF4195"/>
    <w:rsid w:val="00EF457A"/>
    <w:rsid w:val="00EF5140"/>
    <w:rsid w:val="00EF570E"/>
    <w:rsid w:val="00EF6033"/>
    <w:rsid w:val="00EF6604"/>
    <w:rsid w:val="00EF798C"/>
    <w:rsid w:val="00F0014B"/>
    <w:rsid w:val="00F007C5"/>
    <w:rsid w:val="00F01AE5"/>
    <w:rsid w:val="00F02FE5"/>
    <w:rsid w:val="00F03BA0"/>
    <w:rsid w:val="00F03DD8"/>
    <w:rsid w:val="00F04FB3"/>
    <w:rsid w:val="00F051F0"/>
    <w:rsid w:val="00F0569E"/>
    <w:rsid w:val="00F05A53"/>
    <w:rsid w:val="00F108CB"/>
    <w:rsid w:val="00F11968"/>
    <w:rsid w:val="00F12625"/>
    <w:rsid w:val="00F1270C"/>
    <w:rsid w:val="00F12D70"/>
    <w:rsid w:val="00F12D82"/>
    <w:rsid w:val="00F13094"/>
    <w:rsid w:val="00F13BE9"/>
    <w:rsid w:val="00F13CB5"/>
    <w:rsid w:val="00F176E4"/>
    <w:rsid w:val="00F2023B"/>
    <w:rsid w:val="00F20E67"/>
    <w:rsid w:val="00F2136B"/>
    <w:rsid w:val="00F21B7B"/>
    <w:rsid w:val="00F21F2E"/>
    <w:rsid w:val="00F222E8"/>
    <w:rsid w:val="00F22DAE"/>
    <w:rsid w:val="00F22FAD"/>
    <w:rsid w:val="00F23A5F"/>
    <w:rsid w:val="00F23BDF"/>
    <w:rsid w:val="00F241C3"/>
    <w:rsid w:val="00F2436F"/>
    <w:rsid w:val="00F24EDA"/>
    <w:rsid w:val="00F26715"/>
    <w:rsid w:val="00F26F8C"/>
    <w:rsid w:val="00F27BBD"/>
    <w:rsid w:val="00F30C33"/>
    <w:rsid w:val="00F311AC"/>
    <w:rsid w:val="00F31959"/>
    <w:rsid w:val="00F31D1E"/>
    <w:rsid w:val="00F331F7"/>
    <w:rsid w:val="00F337B7"/>
    <w:rsid w:val="00F33B7A"/>
    <w:rsid w:val="00F34AB0"/>
    <w:rsid w:val="00F34B30"/>
    <w:rsid w:val="00F34DFF"/>
    <w:rsid w:val="00F35440"/>
    <w:rsid w:val="00F3591A"/>
    <w:rsid w:val="00F36228"/>
    <w:rsid w:val="00F37072"/>
    <w:rsid w:val="00F40F7F"/>
    <w:rsid w:val="00F418D0"/>
    <w:rsid w:val="00F41C64"/>
    <w:rsid w:val="00F42CF0"/>
    <w:rsid w:val="00F42D1F"/>
    <w:rsid w:val="00F45996"/>
    <w:rsid w:val="00F45F74"/>
    <w:rsid w:val="00F4676B"/>
    <w:rsid w:val="00F47E35"/>
    <w:rsid w:val="00F50243"/>
    <w:rsid w:val="00F5532C"/>
    <w:rsid w:val="00F559CE"/>
    <w:rsid w:val="00F56117"/>
    <w:rsid w:val="00F5674D"/>
    <w:rsid w:val="00F575EF"/>
    <w:rsid w:val="00F606D4"/>
    <w:rsid w:val="00F608F7"/>
    <w:rsid w:val="00F612D3"/>
    <w:rsid w:val="00F62D87"/>
    <w:rsid w:val="00F63654"/>
    <w:rsid w:val="00F63999"/>
    <w:rsid w:val="00F63E8B"/>
    <w:rsid w:val="00F645F7"/>
    <w:rsid w:val="00F6550F"/>
    <w:rsid w:val="00F6581A"/>
    <w:rsid w:val="00F6592C"/>
    <w:rsid w:val="00F66BEB"/>
    <w:rsid w:val="00F66E54"/>
    <w:rsid w:val="00F67D5E"/>
    <w:rsid w:val="00F70EF9"/>
    <w:rsid w:val="00F727CF"/>
    <w:rsid w:val="00F7304E"/>
    <w:rsid w:val="00F73130"/>
    <w:rsid w:val="00F73A72"/>
    <w:rsid w:val="00F74E5A"/>
    <w:rsid w:val="00F758BD"/>
    <w:rsid w:val="00F75BEF"/>
    <w:rsid w:val="00F76742"/>
    <w:rsid w:val="00F77B77"/>
    <w:rsid w:val="00F804D2"/>
    <w:rsid w:val="00F8104F"/>
    <w:rsid w:val="00F814FB"/>
    <w:rsid w:val="00F81574"/>
    <w:rsid w:val="00F81D6E"/>
    <w:rsid w:val="00F82296"/>
    <w:rsid w:val="00F83BF6"/>
    <w:rsid w:val="00F8404B"/>
    <w:rsid w:val="00F845E3"/>
    <w:rsid w:val="00F845F1"/>
    <w:rsid w:val="00F84ED7"/>
    <w:rsid w:val="00F85843"/>
    <w:rsid w:val="00F85FFC"/>
    <w:rsid w:val="00F86861"/>
    <w:rsid w:val="00F868D3"/>
    <w:rsid w:val="00F9289B"/>
    <w:rsid w:val="00F92FD0"/>
    <w:rsid w:val="00F93016"/>
    <w:rsid w:val="00F93300"/>
    <w:rsid w:val="00F944BA"/>
    <w:rsid w:val="00F94D02"/>
    <w:rsid w:val="00F94F70"/>
    <w:rsid w:val="00F9512F"/>
    <w:rsid w:val="00F952F7"/>
    <w:rsid w:val="00F954CD"/>
    <w:rsid w:val="00F956BD"/>
    <w:rsid w:val="00F95DD3"/>
    <w:rsid w:val="00F973FD"/>
    <w:rsid w:val="00F9769F"/>
    <w:rsid w:val="00F97715"/>
    <w:rsid w:val="00F97EAE"/>
    <w:rsid w:val="00FA1D26"/>
    <w:rsid w:val="00FA1EB6"/>
    <w:rsid w:val="00FA280C"/>
    <w:rsid w:val="00FA296E"/>
    <w:rsid w:val="00FA2E13"/>
    <w:rsid w:val="00FA2E49"/>
    <w:rsid w:val="00FA3701"/>
    <w:rsid w:val="00FA4157"/>
    <w:rsid w:val="00FA4266"/>
    <w:rsid w:val="00FA511A"/>
    <w:rsid w:val="00FA5562"/>
    <w:rsid w:val="00FA5840"/>
    <w:rsid w:val="00FA5ADD"/>
    <w:rsid w:val="00FA5CAC"/>
    <w:rsid w:val="00FA7A5E"/>
    <w:rsid w:val="00FB0256"/>
    <w:rsid w:val="00FB1023"/>
    <w:rsid w:val="00FB109A"/>
    <w:rsid w:val="00FB2077"/>
    <w:rsid w:val="00FB3368"/>
    <w:rsid w:val="00FB3BE7"/>
    <w:rsid w:val="00FB3C17"/>
    <w:rsid w:val="00FB42DC"/>
    <w:rsid w:val="00FB4A5D"/>
    <w:rsid w:val="00FB5B56"/>
    <w:rsid w:val="00FB6435"/>
    <w:rsid w:val="00FB764B"/>
    <w:rsid w:val="00FC109C"/>
    <w:rsid w:val="00FC1CE6"/>
    <w:rsid w:val="00FC208C"/>
    <w:rsid w:val="00FC249D"/>
    <w:rsid w:val="00FC2CB5"/>
    <w:rsid w:val="00FC4640"/>
    <w:rsid w:val="00FC4983"/>
    <w:rsid w:val="00FC5B75"/>
    <w:rsid w:val="00FC5ECB"/>
    <w:rsid w:val="00FC6B5B"/>
    <w:rsid w:val="00FC6E26"/>
    <w:rsid w:val="00FC743E"/>
    <w:rsid w:val="00FC7E00"/>
    <w:rsid w:val="00FD0F57"/>
    <w:rsid w:val="00FD10B7"/>
    <w:rsid w:val="00FD4C36"/>
    <w:rsid w:val="00FD4C50"/>
    <w:rsid w:val="00FD57A1"/>
    <w:rsid w:val="00FD7818"/>
    <w:rsid w:val="00FE01FF"/>
    <w:rsid w:val="00FE1092"/>
    <w:rsid w:val="00FE2D25"/>
    <w:rsid w:val="00FE3007"/>
    <w:rsid w:val="00FE3149"/>
    <w:rsid w:val="00FF0597"/>
    <w:rsid w:val="00FF0A9B"/>
    <w:rsid w:val="00FF0FCD"/>
    <w:rsid w:val="00FF1961"/>
    <w:rsid w:val="00FF1D1E"/>
    <w:rsid w:val="00FF1EF0"/>
    <w:rsid w:val="00FF3630"/>
    <w:rsid w:val="00FF416A"/>
    <w:rsid w:val="00FF57B9"/>
    <w:rsid w:val="00FF5B92"/>
    <w:rsid w:val="00FF6550"/>
    <w:rsid w:val="00FF664E"/>
    <w:rsid w:val="00FF725A"/>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9E6F78"/>
    <w:pPr>
      <w:keepNext/>
      <w:keepLines/>
      <w:pageBreakBefore/>
      <w:widowControl w:val="0"/>
      <w:suppressAutoHyphens/>
      <w:autoSpaceDE w:val="0"/>
      <w:autoSpaceDN w:val="0"/>
      <w:adjustRightInd w:val="0"/>
      <w:spacing w:after="180" w:line="240" w:lineRule="auto"/>
      <w:ind w:right="216"/>
      <w:textAlignment w:val="center"/>
      <w:outlineLvl w:val="1"/>
    </w:pPr>
    <w:rPr>
      <w:rFonts w:eastAsia="Times New Roman" w:cs="Calibri-Bold"/>
      <w:b/>
      <w:bCs/>
      <w:color w:val="000000" w:themeColor="text1"/>
      <w:sz w:val="5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9E6F78"/>
    <w:rPr>
      <w:rFonts w:ascii="Arial" w:eastAsia="Times New Roman" w:hAnsi="Arial" w:cs="Calibri-Bold"/>
      <w:b/>
      <w:bCs/>
      <w:color w:val="000000" w:themeColor="text1"/>
      <w:sz w:val="5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5D7E26"/>
    <w:pPr>
      <w:keepLines/>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5D7E26"/>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 w:type="character" w:customStyle="1" w:styleId="UnresolvedMention6">
    <w:name w:val="Unresolved Mention6"/>
    <w:basedOn w:val="DefaultParagraphFont"/>
    <w:uiPriority w:val="99"/>
    <w:semiHidden/>
    <w:unhideWhenUsed/>
    <w:rsid w:val="000D2147"/>
    <w:rPr>
      <w:color w:val="605E5C"/>
      <w:shd w:val="clear" w:color="auto" w:fill="E1DFDD"/>
    </w:rPr>
  </w:style>
  <w:style w:type="character" w:customStyle="1" w:styleId="UnresolvedMention7">
    <w:name w:val="Unresolved Mention7"/>
    <w:basedOn w:val="DefaultParagraphFont"/>
    <w:uiPriority w:val="99"/>
    <w:semiHidden/>
    <w:unhideWhenUsed/>
    <w:rsid w:val="004569B6"/>
    <w:rPr>
      <w:color w:val="605E5C"/>
      <w:shd w:val="clear" w:color="auto" w:fill="E1DFDD"/>
    </w:rPr>
  </w:style>
  <w:style w:type="character" w:customStyle="1" w:styleId="UnresolvedMention8">
    <w:name w:val="Unresolved Mention8"/>
    <w:basedOn w:val="DefaultParagraphFont"/>
    <w:uiPriority w:val="99"/>
    <w:semiHidden/>
    <w:unhideWhenUsed/>
    <w:rsid w:val="00A30356"/>
    <w:rPr>
      <w:color w:val="605E5C"/>
      <w:shd w:val="clear" w:color="auto" w:fill="E1DFDD"/>
    </w:rPr>
  </w:style>
  <w:style w:type="paragraph" w:styleId="EndnoteText">
    <w:name w:val="endnote text"/>
    <w:basedOn w:val="Normal"/>
    <w:link w:val="EndnoteTextChar"/>
    <w:uiPriority w:val="99"/>
    <w:semiHidden/>
    <w:unhideWhenUsed/>
    <w:rsid w:val="00070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B95"/>
    <w:rPr>
      <w:rFonts w:ascii="Arial" w:hAnsi="Arial"/>
      <w:sz w:val="20"/>
      <w:szCs w:val="20"/>
    </w:rPr>
  </w:style>
  <w:style w:type="character" w:styleId="EndnoteReference">
    <w:name w:val="endnote reference"/>
    <w:basedOn w:val="DefaultParagraphFont"/>
    <w:uiPriority w:val="99"/>
    <w:semiHidden/>
    <w:unhideWhenUsed/>
    <w:rsid w:val="00070B95"/>
    <w:rPr>
      <w:vertAlign w:val="superscript"/>
    </w:rPr>
  </w:style>
  <w:style w:type="character" w:customStyle="1" w:styleId="UnresolvedMention9">
    <w:name w:val="Unresolved Mention9"/>
    <w:basedOn w:val="DefaultParagraphFont"/>
    <w:uiPriority w:val="99"/>
    <w:semiHidden/>
    <w:unhideWhenUsed/>
    <w:rsid w:val="009D482B"/>
    <w:rPr>
      <w:color w:val="605E5C"/>
      <w:shd w:val="clear" w:color="auto" w:fill="E1DFDD"/>
    </w:rPr>
  </w:style>
  <w:style w:type="character" w:customStyle="1" w:styleId="UnresolvedMention10">
    <w:name w:val="Unresolved Mention10"/>
    <w:basedOn w:val="DefaultParagraphFont"/>
    <w:uiPriority w:val="99"/>
    <w:semiHidden/>
    <w:unhideWhenUsed/>
    <w:rsid w:val="003C6F31"/>
    <w:rPr>
      <w:color w:val="605E5C"/>
      <w:shd w:val="clear" w:color="auto" w:fill="E1DFDD"/>
    </w:rPr>
  </w:style>
  <w:style w:type="character" w:customStyle="1" w:styleId="UnresolvedMention11">
    <w:name w:val="Unresolved Mention11"/>
    <w:basedOn w:val="DefaultParagraphFont"/>
    <w:uiPriority w:val="99"/>
    <w:semiHidden/>
    <w:unhideWhenUsed/>
    <w:rsid w:val="009F1843"/>
    <w:rPr>
      <w:color w:val="605E5C"/>
      <w:shd w:val="clear" w:color="auto" w:fill="E1DFDD"/>
    </w:rPr>
  </w:style>
  <w:style w:type="table" w:styleId="ListTable3">
    <w:name w:val="List Table 3"/>
    <w:basedOn w:val="TableNormal"/>
    <w:uiPriority w:val="48"/>
    <w:rsid w:val="007553A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296648381">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528688092">
      <w:bodyDiv w:val="1"/>
      <w:marLeft w:val="0"/>
      <w:marRight w:val="0"/>
      <w:marTop w:val="0"/>
      <w:marBottom w:val="0"/>
      <w:divBdr>
        <w:top w:val="none" w:sz="0" w:space="0" w:color="auto"/>
        <w:left w:val="none" w:sz="0" w:space="0" w:color="auto"/>
        <w:bottom w:val="none" w:sz="0" w:space="0" w:color="auto"/>
        <w:right w:val="none" w:sz="0" w:space="0" w:color="auto"/>
      </w:divBdr>
    </w:div>
    <w:div w:id="535502702">
      <w:bodyDiv w:val="1"/>
      <w:marLeft w:val="0"/>
      <w:marRight w:val="0"/>
      <w:marTop w:val="0"/>
      <w:marBottom w:val="0"/>
      <w:divBdr>
        <w:top w:val="none" w:sz="0" w:space="0" w:color="auto"/>
        <w:left w:val="none" w:sz="0" w:space="0" w:color="auto"/>
        <w:bottom w:val="none" w:sz="0" w:space="0" w:color="auto"/>
        <w:right w:val="none" w:sz="0" w:space="0" w:color="auto"/>
      </w:divBdr>
    </w:div>
    <w:div w:id="737633158">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ath2work@cde.ca.gov" TargetMode="External"/><Relationship Id="rId26" Type="http://schemas.openxmlformats.org/officeDocument/2006/relationships/hyperlink" Target="http://www.clearinghouse.castategearup.org/educators/index.php" TargetMode="External"/><Relationship Id="rId39" Type="http://schemas.openxmlformats.org/officeDocument/2006/relationships/hyperlink" Target="https://www.cteonline.org/" TargetMode="External"/><Relationship Id="rId21" Type="http://schemas.openxmlformats.org/officeDocument/2006/relationships/hyperlink" Target="https://www.cteonline.org/" TargetMode="External"/><Relationship Id="rId34" Type="http://schemas.openxmlformats.org/officeDocument/2006/relationships/hyperlink" Target="https://www.cde.ca.gov/ci/ct/gi/documents/cwpjacmemojune20a1.docx" TargetMode="External"/><Relationship Id="rId42" Type="http://schemas.openxmlformats.org/officeDocument/2006/relationships/hyperlink" Target="https://vision.foundationccc.org/looking-ahead" TargetMode="External"/><Relationship Id="rId47" Type="http://schemas.openxmlformats.org/officeDocument/2006/relationships/hyperlink" Target="https://www2.ed.gov/fund/grant/apply/appforms/gepa427.pdf" TargetMode="External"/><Relationship Id="rId50" Type="http://schemas.openxmlformats.org/officeDocument/2006/relationships/image" Target="media/image2.png"/><Relationship Id="rId55" Type="http://schemas.openxmlformats.org/officeDocument/2006/relationships/image" Target="media/image7.png"/><Relationship Id="rId63" Type="http://schemas.openxmlformats.org/officeDocument/2006/relationships/image" Target="media/image15.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ested.org/perkinsplanfeedback/" TargetMode="External"/><Relationship Id="rId29" Type="http://schemas.openxmlformats.org/officeDocument/2006/relationships/hyperlink" Target="http://www.coeccc.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liforniacareers.info/" TargetMode="External"/><Relationship Id="rId32" Type="http://schemas.openxmlformats.org/officeDocument/2006/relationships/hyperlink" Target="https://misweb04.cccco.edu/ctegrantplan/prod/logon.cfm" TargetMode="External"/><Relationship Id="rId37" Type="http://schemas.openxmlformats.org/officeDocument/2006/relationships/hyperlink" Target="https://www.cccco.edu/-/media/CCCCO-Website/Files/Workforce-and-Economic-Development/Perkins-V/2020-21-nova-perkins-ic-application-questions-cccco-ada.pdf?la=en&amp;hash=ECC1E6F16D32D1AB8BD788AAF97263283085B1AC" TargetMode="External"/><Relationship Id="rId40" Type="http://schemas.openxmlformats.org/officeDocument/2006/relationships/hyperlink" Target="https://www.cde.ca.gov/ci/ct/pk" TargetMode="External"/><Relationship Id="rId45" Type="http://schemas.openxmlformats.org/officeDocument/2006/relationships/hyperlink" Target="https://apply07.grants.gov/apply/forms/sample/SFLLL_1_2-V1.2.pdf" TargetMode="Externa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3.amazonaws.com/PCRN/docs/1830-0029-Perkins_V_State_Plan_Guide-Expires_4-30-22.pdf" TargetMode="External"/><Relationship Id="rId23" Type="http://schemas.openxmlformats.org/officeDocument/2006/relationships/hyperlink" Target="https://cryrop.org/Educators/CTE-Teach/index.html" TargetMode="External"/><Relationship Id="rId28" Type="http://schemas.openxmlformats.org/officeDocument/2006/relationships/hyperlink" Target="https://www.cccco.edu/College-Professionals/Guided-Pathways" TargetMode="External"/><Relationship Id="rId36" Type="http://schemas.openxmlformats.org/officeDocument/2006/relationships/hyperlink" Target="https://www.cde.ca.gov/ci/ct/gi/documents/jul10item04attach2-updated.docx" TargetMode="External"/><Relationship Id="rId49" Type="http://schemas.openxmlformats.org/officeDocument/2006/relationships/image" Target="media/image1.png"/><Relationship Id="rId57" Type="http://schemas.openxmlformats.org/officeDocument/2006/relationships/image" Target="media/image9.png"/><Relationship Id="rId61"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hyperlink" Target="https://www.wested.org/perkinspubliccomment/" TargetMode="External"/><Relationship Id="rId31" Type="http://schemas.openxmlformats.org/officeDocument/2006/relationships/hyperlink" Target="https://www.cde.ca.gov/ci/ct/gi/documents/cwpjacmemojune20a4.docx" TargetMode="External"/><Relationship Id="rId44" Type="http://schemas.openxmlformats.org/officeDocument/2006/relationships/hyperlink" Target="https://www2.ed.gov/fund/grant/apply/appforms/sf424b.pdf" TargetMode="External"/><Relationship Id="rId52" Type="http://schemas.openxmlformats.org/officeDocument/2006/relationships/image" Target="media/image4.png"/><Relationship Id="rId60" Type="http://schemas.openxmlformats.org/officeDocument/2006/relationships/image" Target="media/image12.png"/><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kotamraju@cde.ca.gov" TargetMode="External"/><Relationship Id="rId22" Type="http://schemas.openxmlformats.org/officeDocument/2006/relationships/hyperlink" Target="https://www.cteonline.org/" TargetMode="External"/><Relationship Id="rId27" Type="http://schemas.openxmlformats.org/officeDocument/2006/relationships/hyperlink" Target="http://www.coeccc.net/" TargetMode="External"/><Relationship Id="rId30" Type="http://schemas.openxmlformats.org/officeDocument/2006/relationships/hyperlink" Target="https://www3.cde.ca.gov/pgms/logon.aspx" TargetMode="External"/><Relationship Id="rId35" Type="http://schemas.openxmlformats.org/officeDocument/2006/relationships/hyperlink" Target="https://www.cde.ca.gov/ci/ct/gi/documents/cwpjacmemojune20a3.docx" TargetMode="External"/><Relationship Id="rId43" Type="http://schemas.openxmlformats.org/officeDocument/2006/relationships/hyperlink" Target="https://www6.cde.ca.gov/californiamodel/" TargetMode="External"/><Relationship Id="rId48" Type="http://schemas.openxmlformats.org/officeDocument/2006/relationships/hyperlink" Target="https://www6.cde.ca.gov/californiamodel/ccireport?&amp;year=2019&amp;cdcode=0000000&amp;scode=&amp;reporttype=schools" TargetMode="External"/><Relationship Id="rId56" Type="http://schemas.openxmlformats.org/officeDocument/2006/relationships/image" Target="media/image8.png"/><Relationship Id="rId64"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wested.org/perkinspubliccomment/" TargetMode="External"/><Relationship Id="rId25" Type="http://schemas.openxmlformats.org/officeDocument/2006/relationships/hyperlink" Target="https://www.cacareerzone.org/" TargetMode="External"/><Relationship Id="rId33" Type="http://schemas.openxmlformats.org/officeDocument/2006/relationships/hyperlink" Target="https://www.cccco.edu/-/media/CCCCO-Website/Files/Workforce-and-Economic-Development/Perkins-V/2020-21-nova-perkins-ic-application-questions-cccco-ada.pdf?la=en&amp;hash=ECC1E6F16D32D1AB8BD788AAF97263283085B1AC" TargetMode="External"/><Relationship Id="rId38" Type="http://schemas.openxmlformats.org/officeDocument/2006/relationships/hyperlink" Target="https://cryrop.org/Educators/CTE-Teach/index.html" TargetMode="External"/><Relationship Id="rId46" Type="http://schemas.openxmlformats.org/officeDocument/2006/relationships/hyperlink" Target="https://www2.ed.gov/fund/grant/apply/appforms/ed80-013.pdf" TargetMode="External"/><Relationship Id="rId59" Type="http://schemas.openxmlformats.org/officeDocument/2006/relationships/image" Target="media/image11.png"/><Relationship Id="rId67" Type="http://schemas.openxmlformats.org/officeDocument/2006/relationships/theme" Target="theme/theme1.xml"/><Relationship Id="rId20" Type="http://schemas.openxmlformats.org/officeDocument/2006/relationships/hyperlink" Target="https://www.cde.ca.gov/fg/aa/lc/lcffoverview.asp" TargetMode="External"/><Relationship Id="rId41" Type="http://schemas.openxmlformats.org/officeDocument/2006/relationships/hyperlink" Target="https://www.cde.ca.gov/ci/ct/pk" TargetMode="External"/><Relationship Id="rId54" Type="http://schemas.openxmlformats.org/officeDocument/2006/relationships/image" Target="media/image6.png"/><Relationship Id="rId62"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be/pn/im/infomemofeb2020.asp" TargetMode="External"/><Relationship Id="rId13" Type="http://schemas.openxmlformats.org/officeDocument/2006/relationships/hyperlink" Target="http://www.cde.ca.gov/ta/ac/cm/" TargetMode="External"/><Relationship Id="rId18" Type="http://schemas.openxmlformats.org/officeDocument/2006/relationships/hyperlink" Target="https://www.cde.ca.gov/sp/sw/t1/csss.asp" TargetMode="External"/><Relationship Id="rId26" Type="http://schemas.openxmlformats.org/officeDocument/2006/relationships/hyperlink" Target="http://teacherprepprogram.org/" TargetMode="External"/><Relationship Id="rId3" Type="http://schemas.openxmlformats.org/officeDocument/2006/relationships/hyperlink" Target="https://dq.cde.ca.gov/dataquest/" TargetMode="External"/><Relationship Id="rId21" Type="http://schemas.openxmlformats.org/officeDocument/2006/relationships/hyperlink" Target="https://www.ctc.ca.gov/commission/reports/data/approved-institutions-and-programs" TargetMode="External"/><Relationship Id="rId7" Type="http://schemas.openxmlformats.org/officeDocument/2006/relationships/hyperlink" Target="https://www.csac.ca.gov/post/california-nonresident-tuition-exemption" TargetMode="External"/><Relationship Id="rId12" Type="http://schemas.openxmlformats.org/officeDocument/2006/relationships/hyperlink" Target="https://www.cde.ca.gov/ta/cr/proginst201920.asp" TargetMode="External"/><Relationship Id="rId17" Type="http://schemas.openxmlformats.org/officeDocument/2006/relationships/hyperlink" Target="https://www.cde.ca.gov/sp/el/rm/" TargetMode="External"/><Relationship Id="rId25" Type="http://schemas.openxmlformats.org/officeDocument/2006/relationships/hyperlink" Target="https://www.asccc.org/disciplines-list" TargetMode="External"/><Relationship Id="rId2" Type="http://schemas.openxmlformats.org/officeDocument/2006/relationships/hyperlink" Target="https://www.cccco.edu/About-Us/Key-Facts" TargetMode="External"/><Relationship Id="rId16" Type="http://schemas.openxmlformats.org/officeDocument/2006/relationships/hyperlink" Target="https://www.cccco.edu/About-Us/Chancellors-Office/Divisions/Educational-Services-and-Support/What-we-do/Curriculum-and-Instruction-Unit/Puente-Project" TargetMode="External"/><Relationship Id="rId20" Type="http://schemas.openxmlformats.org/officeDocument/2006/relationships/hyperlink" Target="https://www.ctc.ca.gov/docs/default-source/leaflets/cl888.pdf?sfvrsn=88065bf8_18" TargetMode="External"/><Relationship Id="rId29" Type="http://schemas.openxmlformats.org/officeDocument/2006/relationships/hyperlink" Target="https://learningpolicyinstitute.org/product/teacher-shortages-ca-solutions-brief" TargetMode="External"/><Relationship Id="rId1" Type="http://schemas.openxmlformats.org/officeDocument/2006/relationships/hyperlink" Target="https://www.cde.ca.gov/ds/sd/cb/ceffingertipfacts.asp" TargetMode="External"/><Relationship Id="rId6" Type="http://schemas.openxmlformats.org/officeDocument/2006/relationships/hyperlink" Target="https://www.dor.ca.gov/Content/DorIncludes/documents/CCEPD/Archive2019/CWDB%20WIOA%20State%20Plan%20Subcommittee%20-%20Oct%209%20Packet.pdf" TargetMode="External"/><Relationship Id="rId11" Type="http://schemas.openxmlformats.org/officeDocument/2006/relationships/hyperlink" Target="http://leginfo.legislature.ca.gov/faces/billTextClient.xhtml?bill_id=201920200AB413" TargetMode="External"/><Relationship Id="rId24" Type="http://schemas.openxmlformats.org/officeDocument/2006/relationships/hyperlink" Target="https://www.ctc.ca.gov/docs/default-source/educator-prep/standards/asc-admin-handbook.pdf?sfvrsn=739753b1_50" TargetMode="External"/><Relationship Id="rId5" Type="http://schemas.openxmlformats.org/officeDocument/2006/relationships/hyperlink" Target="https://assessment.cccco.edu/ab-705-implementation" TargetMode="External"/><Relationship Id="rId15" Type="http://schemas.openxmlformats.org/officeDocument/2006/relationships/hyperlink" Target="https://www.cccco.edu/About-Us/Chancellors-Office/Divisions/Educational-Services-and-Support/Special-Populations/What-we-do/Extended-Opportunity-Programs-and-Services" TargetMode="External"/><Relationship Id="rId23" Type="http://schemas.openxmlformats.org/officeDocument/2006/relationships/hyperlink" Target="https://www.ctc.ca.gov/docs/default-source/educator-prep/standards/pps-pdf.pdf?sfvrsn=5b1ecdd6_2" TargetMode="External"/><Relationship Id="rId28" Type="http://schemas.openxmlformats.org/officeDocument/2006/relationships/hyperlink" Target="https://www.cccco.edu/About-Us/Chancellors-Office/Divisions/Institutional-Effectiveness/Institutional-Effectiveness-Partnership-Initiative" TargetMode="External"/><Relationship Id="rId10" Type="http://schemas.openxmlformats.org/officeDocument/2006/relationships/hyperlink" Target="https://www.cde.ca.gov/ds/sd/cb/cefelfacts.asp" TargetMode="External"/><Relationship Id="rId19" Type="http://schemas.openxmlformats.org/officeDocument/2006/relationships/hyperlink" Target="https://www.cde.ca.gov/sp/se/sr/wrkabltyiaryserv.asp" TargetMode="External"/><Relationship Id="rId4" Type="http://schemas.openxmlformats.org/officeDocument/2006/relationships/hyperlink" Target="https://www.cde.ca.gov/ci/gs/hs/sspoverview.asp" TargetMode="External"/><Relationship Id="rId9" Type="http://schemas.openxmlformats.org/officeDocument/2006/relationships/hyperlink" Target="https://www.ccleague.org/sites/default/files/trustees-resources/curriculum_approval_process_publication.pdf" TargetMode="External"/><Relationship Id="rId14" Type="http://schemas.openxmlformats.org/officeDocument/2006/relationships/hyperlink" Target="http://www.cde.ca.gov/ta/ac/cm/" TargetMode="External"/><Relationship Id="rId22" Type="http://schemas.openxmlformats.org/officeDocument/2006/relationships/hyperlink" Target="https://www.ctc.ca.gov/educator-prep/ca-teacher-induction" TargetMode="External"/><Relationship Id="rId27" Type="http://schemas.openxmlformats.org/officeDocument/2006/relationships/hyperlink" Target="https://jfforg-prod-prime.s3.amazonaws.com/media/documents/A_Missing_Link_for_Californias_Pathways_Movement-013017.pdf" TargetMode="External"/><Relationship Id="rId30" Type="http://schemas.openxmlformats.org/officeDocument/2006/relationships/hyperlink" Target="https://www.cccco.edu/-/media/CCCCO-Website/Files/Workforce-and-Economic-Development/DWM/teacher-preparation-programs-ada.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2D30C65ACE8458FF4A8EB82095F9D" ma:contentTypeVersion="2" ma:contentTypeDescription="Create a new document." ma:contentTypeScope="" ma:versionID="f4e73896421ce9614a251b7c2dda68fc">
  <xsd:schema xmlns:xsd="http://www.w3.org/2001/XMLSchema" xmlns:xs="http://www.w3.org/2001/XMLSchema" xmlns:p="http://schemas.microsoft.com/office/2006/metadata/properties" xmlns:ns3="e4b5a569-cfce-4eeb-811c-dd46f7c7b95f" targetNamespace="http://schemas.microsoft.com/office/2006/metadata/properties" ma:root="true" ma:fieldsID="4a0fcb3965717ce0e20fa52a23adced2" ns3:_="">
    <xsd:import namespace="e4b5a569-cfce-4eeb-811c-dd46f7c7b95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a569-cfce-4eeb-811c-dd46f7c7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CC9C5-5822-491B-824D-7E0264905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a569-cfce-4eeb-811c-dd46f7c7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FE6A9-B947-4A0E-B113-6A09EEC019D6}">
  <ds:schemaRefs>
    <ds:schemaRef ds:uri="http://schemas.openxmlformats.org/officeDocument/2006/bibliography"/>
  </ds:schemaRefs>
</ds:datastoreItem>
</file>

<file path=customXml/itemProps4.xml><?xml version="1.0" encoding="utf-8"?>
<ds:datastoreItem xmlns:ds="http://schemas.openxmlformats.org/officeDocument/2006/customXml" ds:itemID="{036FE736-52C0-471B-9155-7700BADC8CB2}">
  <ds:schemaRefs>
    <ds:schemaRef ds:uri="http://schemas.microsoft.com/sharepoint/v3/contenttype/forms"/>
  </ds:schemaRefs>
</ds:datastoreItem>
</file>

<file path=customXml/itemProps5.xml><?xml version="1.0" encoding="utf-8"?>
<ds:datastoreItem xmlns:ds="http://schemas.openxmlformats.org/officeDocument/2006/customXml" ds:itemID="{8111FBFD-7A05-4D2A-9013-73D3A7D47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Template>
  <TotalTime>78</TotalTime>
  <Pages>209</Pages>
  <Words>56033</Words>
  <Characters>319390</Characters>
  <Application>Microsoft Office Word</Application>
  <DocSecurity>0</DocSecurity>
  <Lines>2661</Lines>
  <Paragraphs>749</Paragraphs>
  <ScaleCrop>false</ScaleCrop>
  <HeadingPairs>
    <vt:vector size="2" baseType="variant">
      <vt:variant>
        <vt:lpstr>Title</vt:lpstr>
      </vt:variant>
      <vt:variant>
        <vt:i4>1</vt:i4>
      </vt:variant>
    </vt:vector>
  </HeadingPairs>
  <TitlesOfParts>
    <vt:vector size="1" baseType="lpstr">
      <vt:lpstr>2020-23 Perkins V State Plan - Career Technical Education (CA Dept of Education)</vt:lpstr>
    </vt:vector>
  </TitlesOfParts>
  <Manager/>
  <Company/>
  <LinksUpToDate>false</LinksUpToDate>
  <CharactersWithSpaces>374674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2020-23 Perkins V State Plan - General Information (CA Dept of Education)</dc:title>
  <dc:subject>California Perkins V State Plan - In Fulfillment of the Requirements of the Strengthening Career and Technical Education for the 21st Century Act.</dc:subject>
  <dc:creator>Pradeep Kotamraju</dc:creator>
  <cp:keywords/>
  <dc:description/>
  <cp:lastModifiedBy>Marc Shaffer</cp:lastModifiedBy>
  <cp:revision>20</cp:revision>
  <cp:lastPrinted>2020-02-19T19:51:00Z</cp:lastPrinted>
  <dcterms:created xsi:type="dcterms:W3CDTF">2020-08-11T17:35:00Z</dcterms:created>
  <dcterms:modified xsi:type="dcterms:W3CDTF">2023-06-15T16:10:00Z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0x010100FF82D30C65ACE8458FF4A8EB82095F9D</vt:lpwstr>
  </property>
</Properties>
</file>