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F62C" w14:textId="0F9B782B" w:rsidR="00BA6689" w:rsidRPr="000841EA" w:rsidRDefault="00451662" w:rsidP="000841EA">
      <w:pPr>
        <w:pStyle w:val="Heading1"/>
      </w:pPr>
      <w:r w:rsidRPr="000841EA">
        <w:t xml:space="preserve">2023 </w:t>
      </w:r>
      <w:r w:rsidR="007165D6" w:rsidRPr="000841EA">
        <w:t xml:space="preserve">Mathematics, Science, and Computer Science </w:t>
      </w:r>
    </w:p>
    <w:p w14:paraId="03336225" w14:textId="7A28FA01" w:rsidR="005000EE" w:rsidRPr="000841EA" w:rsidRDefault="007165D6" w:rsidP="000841EA">
      <w:pPr>
        <w:pStyle w:val="Heading1"/>
      </w:pPr>
      <w:r w:rsidRPr="000841EA">
        <w:t>Professional Learning Grant</w:t>
      </w:r>
    </w:p>
    <w:p w14:paraId="32A374B5" w14:textId="6508DC13" w:rsidR="007165D6" w:rsidRPr="00F64907" w:rsidRDefault="007165D6">
      <w:pPr>
        <w:pStyle w:val="Heading2"/>
      </w:pPr>
      <w:r w:rsidRPr="00F64907">
        <w:t>Application Technical Assistance Webinar</w:t>
      </w:r>
      <w:r w:rsidR="00F64907">
        <w:rPr>
          <w:rFonts w:cs="Arial"/>
        </w:rPr>
        <w:t>—</w:t>
      </w:r>
      <w:r w:rsidRPr="00F64907">
        <w:t>March 2</w:t>
      </w:r>
      <w:r w:rsidR="00F64907">
        <w:t>3</w:t>
      </w:r>
      <w:r w:rsidRPr="00F64907">
        <w:t>, 2023</w:t>
      </w:r>
    </w:p>
    <w:p w14:paraId="095D34DA" w14:textId="30F85373" w:rsidR="007165D6" w:rsidRPr="007165D6" w:rsidRDefault="007165D6" w:rsidP="000841EA">
      <w:pPr>
        <w:spacing w:after="240"/>
      </w:pPr>
      <w:r>
        <w:t>The following is a list of questions and answers from the webinar.</w:t>
      </w:r>
    </w:p>
    <w:p w14:paraId="64C7BFBB" w14:textId="06F84772" w:rsidR="007165D6" w:rsidRDefault="007165D6" w:rsidP="000841EA">
      <w:pPr>
        <w:spacing w:after="240"/>
      </w:pPr>
      <w:r>
        <w:t xml:space="preserve">1. </w:t>
      </w:r>
      <w:r w:rsidRPr="008F1054">
        <w:rPr>
          <w:b/>
          <w:bCs/>
        </w:rPr>
        <w:t>Question:</w:t>
      </w:r>
      <w:r>
        <w:t xml:space="preserve"> Would a letter of commitment from a science/math/computer science initiative, project, or center within an </w:t>
      </w:r>
      <w:r w:rsidR="00451662">
        <w:t>Institution of Higher Education (</w:t>
      </w:r>
      <w:r>
        <w:t>IHE</w:t>
      </w:r>
      <w:r w:rsidR="00451662">
        <w:t>)</w:t>
      </w:r>
      <w:r>
        <w:t xml:space="preserve"> meet the letter of commitment requirement for an IHE partner for the consortium?</w:t>
      </w:r>
    </w:p>
    <w:p w14:paraId="0E1561F1" w14:textId="710C2BB7" w:rsidR="007165D6" w:rsidRDefault="007165D6" w:rsidP="000841EA">
      <w:pPr>
        <w:pStyle w:val="ListParagraph"/>
        <w:numPr>
          <w:ilvl w:val="0"/>
          <w:numId w:val="1"/>
        </w:numPr>
        <w:spacing w:after="240"/>
        <w:contextualSpacing w:val="0"/>
      </w:pPr>
      <w:r w:rsidRPr="005C5273">
        <w:rPr>
          <w:b/>
          <w:bCs/>
        </w:rPr>
        <w:t>Answer:</w:t>
      </w:r>
      <w:r>
        <w:t xml:space="preserve"> A letter of commitment must be signed by a person who has the authority to commit the nonprofit organization or </w:t>
      </w:r>
      <w:r w:rsidR="00451662">
        <w:t>IHE</w:t>
      </w:r>
      <w:r>
        <w:t xml:space="preserve"> to the activities they are assigned in the Project Plan.</w:t>
      </w:r>
    </w:p>
    <w:p w14:paraId="2864E485" w14:textId="4BB80F7E" w:rsidR="007165D6" w:rsidRDefault="007165D6" w:rsidP="000841EA">
      <w:pPr>
        <w:spacing w:after="240"/>
      </w:pPr>
      <w:r>
        <w:t xml:space="preserve">2. </w:t>
      </w:r>
      <w:r w:rsidRPr="008F1054">
        <w:rPr>
          <w:b/>
          <w:bCs/>
        </w:rPr>
        <w:t>Question:</w:t>
      </w:r>
      <w:r>
        <w:t xml:space="preserve"> When it states </w:t>
      </w:r>
      <w:r w:rsidR="00F64907">
        <w:t>four to twelve</w:t>
      </w:r>
      <w:r>
        <w:t xml:space="preserve"> inclusive</w:t>
      </w:r>
      <w:r w:rsidR="00F64907">
        <w:t>, d</w:t>
      </w:r>
      <w:r>
        <w:t>oes this mean all these grades are mandatory part of the project?</w:t>
      </w:r>
    </w:p>
    <w:p w14:paraId="4BF5D0A2" w14:textId="7CFFF047" w:rsidR="00E07A04" w:rsidRDefault="00E07A04" w:rsidP="000841EA">
      <w:pPr>
        <w:pStyle w:val="ListParagraph"/>
        <w:numPr>
          <w:ilvl w:val="0"/>
          <w:numId w:val="1"/>
        </w:numPr>
        <w:spacing w:after="240"/>
        <w:contextualSpacing w:val="0"/>
      </w:pPr>
      <w:r w:rsidRPr="005C5273">
        <w:rPr>
          <w:b/>
          <w:bCs/>
        </w:rPr>
        <w:t>Answer:</w:t>
      </w:r>
      <w:r>
        <w:t xml:space="preserve"> </w:t>
      </w:r>
      <w:r w:rsidR="008F1054">
        <w:t>T</w:t>
      </w:r>
      <w:r w:rsidRPr="00E07A04">
        <w:t>he grant project will accomplish multiple goals as described</w:t>
      </w:r>
      <w:r>
        <w:t xml:space="preserve"> in the Request for Applications</w:t>
      </w:r>
      <w:r w:rsidR="00F64907">
        <w:t xml:space="preserve"> (RFA)</w:t>
      </w:r>
      <w:r>
        <w:t xml:space="preserve"> document posted on the </w:t>
      </w:r>
      <w:r w:rsidRPr="00FC5759">
        <w:t xml:space="preserve">2023 </w:t>
      </w:r>
      <w:r w:rsidR="00F64907">
        <w:t>Mathematics, Science, and Computer Science Professional Learning</w:t>
      </w:r>
      <w:r w:rsidRPr="00FC5759">
        <w:t xml:space="preserve"> Grant </w:t>
      </w:r>
      <w:r>
        <w:t>RFA</w:t>
      </w:r>
      <w:r w:rsidRPr="00FC5759">
        <w:t xml:space="preserve"> web page at </w:t>
      </w:r>
      <w:hyperlink r:id="rId9" w:tooltip="link to RFA web page" w:history="1">
        <w:r w:rsidRPr="00B068E6">
          <w:rPr>
            <w:rStyle w:val="Hyperlink"/>
          </w:rPr>
          <w:t>https://www.cde.ca.gov/fg/fo/r12/mscspl23rfa.asp</w:t>
        </w:r>
      </w:hyperlink>
      <w:r>
        <w:rPr>
          <w:rStyle w:val="Hyperlink"/>
        </w:rPr>
        <w:t>.</w:t>
      </w:r>
      <w:r w:rsidRPr="005C5273">
        <w:rPr>
          <w:rStyle w:val="Hyperlink"/>
          <w:color w:val="000000" w:themeColor="text1"/>
          <w:u w:val="none"/>
        </w:rPr>
        <w:t xml:space="preserve"> Support and activities to accomplish these goals must be provided for the following grade levels: </w:t>
      </w:r>
      <w:r w:rsidR="00F64907">
        <w:rPr>
          <w:rStyle w:val="Hyperlink"/>
          <w:color w:val="000000" w:themeColor="text1"/>
          <w:u w:val="none"/>
        </w:rPr>
        <w:t>four, five, six, seven, eight, nine, ten, eleven, and twelve.</w:t>
      </w:r>
    </w:p>
    <w:p w14:paraId="78976A5A" w14:textId="01B1DC2B" w:rsidR="007165D6" w:rsidRDefault="00B75AF1" w:rsidP="000841EA">
      <w:pPr>
        <w:spacing w:after="240"/>
      </w:pPr>
      <w:r>
        <w:t xml:space="preserve">3. </w:t>
      </w:r>
      <w:r w:rsidRPr="008F1054">
        <w:rPr>
          <w:b/>
          <w:bCs/>
        </w:rPr>
        <w:t>Question:</w:t>
      </w:r>
      <w:r>
        <w:t xml:space="preserve"> </w:t>
      </w:r>
      <w:r w:rsidR="007165D6">
        <w:t xml:space="preserve">The list of non-allowable expenses states that 1) rental of a venue to provide professional learning and 2) food services, refreshments, banquets, meals </w:t>
      </w:r>
      <w:r w:rsidR="00F64907">
        <w:t>are</w:t>
      </w:r>
      <w:r w:rsidR="007165D6">
        <w:t xml:space="preserve"> not allowable. Does this mean that contracting with a hotel or facility to host statewide gatherings in-person is not allowable?</w:t>
      </w:r>
    </w:p>
    <w:p w14:paraId="40E193A3" w14:textId="10E60EAD" w:rsidR="00B75AF1" w:rsidRDefault="00B75AF1" w:rsidP="000841EA">
      <w:pPr>
        <w:pStyle w:val="ListParagraph"/>
        <w:numPr>
          <w:ilvl w:val="0"/>
          <w:numId w:val="1"/>
        </w:numPr>
        <w:spacing w:after="240"/>
        <w:contextualSpacing w:val="0"/>
      </w:pPr>
      <w:r w:rsidRPr="005C5273">
        <w:rPr>
          <w:b/>
          <w:bCs/>
        </w:rPr>
        <w:t>Answer:</w:t>
      </w:r>
      <w:r>
        <w:t xml:space="preserve"> </w:t>
      </w:r>
      <w:r w:rsidR="00DB5477" w:rsidRPr="00DB5477">
        <w:t>Per pages 10–11 in the RFA document, the proposed budget can propose to use funds for rental of a venue to provide professional learning. However, the grantee may not use the grant funds for rental of a venue unless the expense is approved by the California Department of Education as a necessary and reasonable expense. Funds provided under this grant may not be used for Food services, refreshments, banquets, or meals.</w:t>
      </w:r>
    </w:p>
    <w:p w14:paraId="6D4F9245" w14:textId="5E012F51" w:rsidR="007165D6" w:rsidRDefault="00D86884" w:rsidP="000841EA">
      <w:pPr>
        <w:spacing w:after="240"/>
      </w:pPr>
      <w:r>
        <w:t xml:space="preserve">4. </w:t>
      </w:r>
      <w:r w:rsidRPr="008F1054">
        <w:rPr>
          <w:b/>
          <w:bCs/>
        </w:rPr>
        <w:t>Question:</w:t>
      </w:r>
      <w:r>
        <w:t xml:space="preserve"> </w:t>
      </w:r>
      <w:r w:rsidR="007165D6">
        <w:t>What does a consortium under this grant look like?</w:t>
      </w:r>
    </w:p>
    <w:p w14:paraId="5A9B1B9F" w14:textId="509A33E8" w:rsidR="00DE2E95" w:rsidRDefault="00D86884" w:rsidP="000841EA">
      <w:pPr>
        <w:pStyle w:val="ListParagraph"/>
        <w:numPr>
          <w:ilvl w:val="0"/>
          <w:numId w:val="1"/>
        </w:numPr>
        <w:spacing w:after="240"/>
        <w:contextualSpacing w:val="0"/>
      </w:pPr>
      <w:r w:rsidRPr="005C5273">
        <w:rPr>
          <w:b/>
          <w:bCs/>
        </w:rPr>
        <w:t>Answer:</w:t>
      </w:r>
      <w:r>
        <w:t xml:space="preserve"> </w:t>
      </w:r>
      <w:r w:rsidRPr="00D86884">
        <w:t>Assembly Bill 185, Chapter 571, Statutes of 2022, Section 53 of the Education Omnibus Budget Trailer Bill for the 2022–23 California State Budget</w:t>
      </w:r>
      <w:r>
        <w:t xml:space="preserve"> provided guidance regarding which entities could be in the consortium “</w:t>
      </w:r>
      <w:r w:rsidRPr="00D86884">
        <w:t>(1) “Consortium” means a lead county office of education partnered with one or more nonprofit entities or institutions of higher education, or both, and may include other county offices of education.</w:t>
      </w:r>
      <w:r>
        <w:t xml:space="preserve">” The proposed consortium should </w:t>
      </w:r>
      <w:r w:rsidR="00DE2E95">
        <w:t xml:space="preserve">provide evidence in the application to demonstrate they have the </w:t>
      </w:r>
      <w:r>
        <w:t xml:space="preserve">experience to </w:t>
      </w:r>
      <w:r w:rsidR="00DE2E95">
        <w:t xml:space="preserve">work </w:t>
      </w:r>
      <w:r w:rsidR="00DE2E95">
        <w:lastRenderedPageBreak/>
        <w:t xml:space="preserve">statewide and </w:t>
      </w:r>
      <w:r w:rsidR="00DE2E95" w:rsidRPr="00DE2E95">
        <w:t xml:space="preserve">accomplish </w:t>
      </w:r>
      <w:r w:rsidR="00DE2E95">
        <w:t>all the</w:t>
      </w:r>
      <w:r w:rsidR="00DE2E95" w:rsidRPr="00DE2E95">
        <w:t xml:space="preserve"> goals </w:t>
      </w:r>
      <w:r w:rsidR="00DE2E95">
        <w:t xml:space="preserve">of the project as </w:t>
      </w:r>
      <w:r w:rsidR="00DE2E95" w:rsidRPr="00DE2E95">
        <w:t>described in the R</w:t>
      </w:r>
      <w:r w:rsidR="008F1054">
        <w:t>FA</w:t>
      </w:r>
      <w:r w:rsidR="00DE2E95" w:rsidRPr="00DE2E95">
        <w:t xml:space="preserve"> document</w:t>
      </w:r>
      <w:r w:rsidR="00DE2E95">
        <w:t>.</w:t>
      </w:r>
    </w:p>
    <w:p w14:paraId="12FAB0DA" w14:textId="46C62951" w:rsidR="007165D6" w:rsidRDefault="00DE2E95" w:rsidP="000841EA">
      <w:pPr>
        <w:spacing w:after="240"/>
      </w:pPr>
      <w:r>
        <w:t xml:space="preserve">5. </w:t>
      </w:r>
      <w:r w:rsidR="008F1054" w:rsidRPr="008F1054">
        <w:rPr>
          <w:b/>
          <w:bCs/>
        </w:rPr>
        <w:t>Question:</w:t>
      </w:r>
      <w:r w:rsidR="008F1054">
        <w:t xml:space="preserve"> </w:t>
      </w:r>
      <w:r w:rsidR="007165D6">
        <w:t>Is the work expected to be more online or could there be in</w:t>
      </w:r>
      <w:r>
        <w:t>-</w:t>
      </w:r>
      <w:r w:rsidR="007165D6">
        <w:t xml:space="preserve">person events or </w:t>
      </w:r>
      <w:r w:rsidR="00F64907">
        <w:t>professional learning</w:t>
      </w:r>
      <w:r w:rsidR="007165D6">
        <w:t>?</w:t>
      </w:r>
    </w:p>
    <w:p w14:paraId="6AFEE9BC" w14:textId="4A4AB88F" w:rsidR="00DE2E95" w:rsidRDefault="008F1054" w:rsidP="000841EA">
      <w:pPr>
        <w:pStyle w:val="ListParagraph"/>
        <w:numPr>
          <w:ilvl w:val="0"/>
          <w:numId w:val="1"/>
        </w:numPr>
        <w:spacing w:after="240"/>
        <w:contextualSpacing w:val="0"/>
      </w:pPr>
      <w:r w:rsidRPr="005C5273">
        <w:rPr>
          <w:b/>
          <w:bCs/>
        </w:rPr>
        <w:t>Answer:</w:t>
      </w:r>
      <w:r>
        <w:t xml:space="preserve"> </w:t>
      </w:r>
      <w:r w:rsidR="00DE2E95" w:rsidRPr="00DE2E95">
        <w:t>Neither online professional learning workshops nor in-person professional learning workshops are prohibited under this grant.</w:t>
      </w:r>
      <w:r w:rsidR="00DE2E95">
        <w:t xml:space="preserve"> The proposed professional learning activities must be made available to educators throughout the state of California and meet the needs of educators. The proposed project plan should consider educators’ time and costs they will incur</w:t>
      </w:r>
      <w:r>
        <w:t xml:space="preserve"> if they</w:t>
      </w:r>
      <w:r w:rsidR="00DE2E95">
        <w:t xml:space="preserve"> are expected to travel to </w:t>
      </w:r>
      <w:r>
        <w:t xml:space="preserve">a </w:t>
      </w:r>
      <w:r w:rsidR="00DE2E95">
        <w:t>professional learning workshop.</w:t>
      </w:r>
    </w:p>
    <w:p w14:paraId="63315184" w14:textId="09C66C46" w:rsidR="007165D6" w:rsidRDefault="007165D6" w:rsidP="00386BC8">
      <w:pPr>
        <w:spacing w:after="960"/>
      </w:pPr>
      <w:r>
        <w:t xml:space="preserve">If you have questions, please </w:t>
      </w:r>
      <w:r w:rsidR="008F1054">
        <w:t>send them via email to</w:t>
      </w:r>
      <w:r>
        <w:t xml:space="preserve"> </w:t>
      </w:r>
      <w:hyperlink r:id="rId10" w:tooltip="Email address" w:history="1">
        <w:r w:rsidRPr="008F1054">
          <w:rPr>
            <w:rStyle w:val="Hyperlink"/>
          </w:rPr>
          <w:t>PLSMO@cde.ca.gov</w:t>
        </w:r>
      </w:hyperlink>
      <w:r>
        <w:t>.</w:t>
      </w:r>
    </w:p>
    <w:p w14:paraId="1C3466C4" w14:textId="73D8C5E9" w:rsidR="00386BC8" w:rsidRPr="00386BC8" w:rsidRDefault="00386BC8" w:rsidP="000841EA">
      <w:pPr>
        <w:spacing w:after="240"/>
        <w:rPr>
          <w:szCs w:val="24"/>
        </w:rPr>
      </w:pPr>
      <w:r w:rsidRPr="00386BC8">
        <w:rPr>
          <w:rFonts w:cs="Arial"/>
          <w:color w:val="000000"/>
          <w:szCs w:val="24"/>
          <w:shd w:val="clear" w:color="auto" w:fill="FFFFFF"/>
        </w:rPr>
        <w:t>California Department of Education</w:t>
      </w:r>
      <w:bookmarkStart w:id="0" w:name="_GoBack"/>
      <w:bookmarkEnd w:id="0"/>
      <w:r w:rsidRPr="00386BC8">
        <w:rPr>
          <w:rFonts w:cs="Arial"/>
          <w:color w:val="000000"/>
          <w:szCs w:val="24"/>
        </w:rPr>
        <w:br/>
      </w:r>
      <w:r w:rsidRPr="00386BC8">
        <w:rPr>
          <w:rFonts w:cs="Arial"/>
          <w:color w:val="000000"/>
          <w:szCs w:val="24"/>
          <w:shd w:val="clear" w:color="auto" w:fill="FFFFFF"/>
        </w:rPr>
        <w:t>April 2023</w:t>
      </w:r>
    </w:p>
    <w:sectPr w:rsidR="00386BC8" w:rsidRPr="00386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E31F7"/>
    <w:multiLevelType w:val="hybridMultilevel"/>
    <w:tmpl w:val="01E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D6"/>
    <w:rsid w:val="000841EA"/>
    <w:rsid w:val="00270963"/>
    <w:rsid w:val="00363FCF"/>
    <w:rsid w:val="00386BC8"/>
    <w:rsid w:val="00423E82"/>
    <w:rsid w:val="00442B30"/>
    <w:rsid w:val="00451662"/>
    <w:rsid w:val="005C5273"/>
    <w:rsid w:val="00676C69"/>
    <w:rsid w:val="007165D6"/>
    <w:rsid w:val="008F1054"/>
    <w:rsid w:val="009D22A1"/>
    <w:rsid w:val="00AE6C07"/>
    <w:rsid w:val="00B10F67"/>
    <w:rsid w:val="00B514DA"/>
    <w:rsid w:val="00B72CAD"/>
    <w:rsid w:val="00B75AF1"/>
    <w:rsid w:val="00BA6689"/>
    <w:rsid w:val="00CF51E6"/>
    <w:rsid w:val="00D03933"/>
    <w:rsid w:val="00D225C9"/>
    <w:rsid w:val="00D563FC"/>
    <w:rsid w:val="00D86884"/>
    <w:rsid w:val="00DB5477"/>
    <w:rsid w:val="00DE2E95"/>
    <w:rsid w:val="00E07A04"/>
    <w:rsid w:val="00F6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2D13"/>
  <w15:chartTrackingRefBased/>
  <w15:docId w15:val="{A223B144-C0DF-4DD9-8B7B-9B80A1E9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F67"/>
    <w:pPr>
      <w:spacing w:after="0" w:line="240" w:lineRule="auto"/>
    </w:pPr>
    <w:rPr>
      <w:rFonts w:cstheme="minorBidi"/>
      <w:szCs w:val="22"/>
    </w:rPr>
  </w:style>
  <w:style w:type="paragraph" w:styleId="Heading1">
    <w:name w:val="heading 1"/>
    <w:basedOn w:val="Normal"/>
    <w:next w:val="Normal"/>
    <w:link w:val="Heading1Char"/>
    <w:autoRedefine/>
    <w:uiPriority w:val="9"/>
    <w:qFormat/>
    <w:rsid w:val="000841EA"/>
    <w:pPr>
      <w:keepNext/>
      <w:keepLines/>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F64907"/>
    <w:pPr>
      <w:keepNext/>
      <w:keepLines/>
      <w:spacing w:before="360" w:after="240"/>
      <w:jc w:val="center"/>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363FCF"/>
    <w:pPr>
      <w:keepNext/>
      <w:keepLines/>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1EA"/>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F64907"/>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363FCF"/>
    <w:rPr>
      <w:rFonts w:eastAsiaTheme="majorEastAsia" w:cstheme="majorBidi"/>
      <w:b/>
      <w:color w:val="000000" w:themeColor="text1"/>
    </w:rPr>
  </w:style>
  <w:style w:type="character" w:styleId="Hyperlink">
    <w:name w:val="Hyperlink"/>
    <w:rsid w:val="00E07A04"/>
    <w:rPr>
      <w:rFonts w:ascii="Arial" w:hAnsi="Arial"/>
      <w:color w:val="0000FF"/>
      <w:sz w:val="24"/>
      <w:u w:val="single"/>
    </w:rPr>
  </w:style>
  <w:style w:type="character" w:styleId="UnresolvedMention">
    <w:name w:val="Unresolved Mention"/>
    <w:basedOn w:val="DefaultParagraphFont"/>
    <w:uiPriority w:val="99"/>
    <w:semiHidden/>
    <w:unhideWhenUsed/>
    <w:rsid w:val="00E07A04"/>
    <w:rPr>
      <w:color w:val="605E5C"/>
      <w:shd w:val="clear" w:color="auto" w:fill="E1DFDD"/>
    </w:rPr>
  </w:style>
  <w:style w:type="paragraph" w:styleId="ListParagraph">
    <w:name w:val="List Paragraph"/>
    <w:basedOn w:val="Normal"/>
    <w:uiPriority w:val="34"/>
    <w:qFormat/>
    <w:rsid w:val="005C5273"/>
    <w:pPr>
      <w:ind w:left="720"/>
      <w:contextualSpacing/>
    </w:pPr>
  </w:style>
  <w:style w:type="paragraph" w:styleId="Revision">
    <w:name w:val="Revision"/>
    <w:hidden/>
    <w:uiPriority w:val="99"/>
    <w:semiHidden/>
    <w:rsid w:val="000841EA"/>
    <w:pPr>
      <w:spacing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LSMO@cde.ca.gov" TargetMode="External"/><Relationship Id="rId4" Type="http://schemas.openxmlformats.org/officeDocument/2006/relationships/customXml" Target="../customXml/item4.xml"/><Relationship Id="rId9" Type="http://schemas.openxmlformats.org/officeDocument/2006/relationships/hyperlink" Target="https://www.cde.ca.gov/fg/fo/r12/mscspl23rf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BE0B-51D6-4EEF-A911-7023E5497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915FB-5493-477A-964E-1BD5E033C045}">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3.xml><?xml version="1.0" encoding="utf-8"?>
<ds:datastoreItem xmlns:ds="http://schemas.openxmlformats.org/officeDocument/2006/customXml" ds:itemID="{90F8F904-B252-445C-99E3-70509AE5AF78}">
  <ds:schemaRefs>
    <ds:schemaRef ds:uri="http://schemas.microsoft.com/sharepoint/v3/contenttype/forms"/>
  </ds:schemaRefs>
</ds:datastoreItem>
</file>

<file path=customXml/itemProps4.xml><?xml version="1.0" encoding="utf-8"?>
<ds:datastoreItem xmlns:ds="http://schemas.openxmlformats.org/officeDocument/2006/customXml" ds:itemID="{F319E83B-8140-43B6-9D9A-B9E06BD8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FAQ-23: Mathematics, Science, and Computer Science Professional Learning (CA Dept of Education)</vt:lpstr>
    </vt:vector>
  </TitlesOfParts>
  <Company>California Department of Education</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FAQ-23: Mathematics, Science, and Computer Science Professional Learning (CA Dept of Education)</dc:title>
  <dc:subject>2023 Mathematics, Science, and Computer Science Professional Learning Grant Application Technical Assistance Webinar Questions &amp; Answers from March 23, 2023.</dc:subject>
  <dc:creator>CDE</dc:creator>
  <cp:keywords/>
  <dc:description/>
  <cp:lastModifiedBy>Alice Ng</cp:lastModifiedBy>
  <cp:revision>4</cp:revision>
  <dcterms:created xsi:type="dcterms:W3CDTF">2023-04-04T18:42:00Z</dcterms:created>
  <dcterms:modified xsi:type="dcterms:W3CDTF">2023-04-05T18:30:00Z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