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C284" w14:textId="26B6793A" w:rsidR="009313D6" w:rsidRPr="00112A87" w:rsidRDefault="00524AE7" w:rsidP="009C3EA4">
      <w:pPr>
        <w:jc w:val="center"/>
        <w:rPr>
          <w:rFonts w:cs="Arial"/>
          <w:sz w:val="32"/>
          <w:szCs w:val="24"/>
        </w:rPr>
      </w:pPr>
      <w:bookmarkStart w:id="0" w:name="_Toc95141850"/>
      <w:r w:rsidRPr="00112A87">
        <w:rPr>
          <w:rFonts w:cs="Arial"/>
          <w:b/>
          <w:sz w:val="32"/>
          <w:szCs w:val="24"/>
        </w:rPr>
        <w:t>California Department of Education</w:t>
      </w:r>
    </w:p>
    <w:p w14:paraId="680E693A" w14:textId="4A4ED349" w:rsidR="00C9574A" w:rsidRPr="00D24383" w:rsidRDefault="00C9574A" w:rsidP="000F711A">
      <w:pPr>
        <w:pStyle w:val="Heading1"/>
        <w:spacing w:before="480" w:after="0"/>
        <w:jc w:val="center"/>
      </w:pPr>
      <w:bookmarkStart w:id="1" w:name="_Toc100318027"/>
      <w:bookmarkStart w:id="2" w:name="_Toc95472514"/>
      <w:bookmarkStart w:id="3" w:name="_Toc140496110"/>
      <w:r w:rsidRPr="00D24383">
        <w:t>Report to the Legislature</w:t>
      </w:r>
      <w:r w:rsidR="009313D6" w:rsidRPr="00D24383">
        <w:t>:</w:t>
      </w:r>
      <w:bookmarkStart w:id="4" w:name="_Toc100318028"/>
      <w:bookmarkEnd w:id="1"/>
      <w:r w:rsidR="000F711A">
        <w:br/>
      </w:r>
      <w:r w:rsidRPr="00D24383">
        <w:t>California American Indian Education Centers</w:t>
      </w:r>
      <w:bookmarkEnd w:id="0"/>
      <w:bookmarkEnd w:id="2"/>
      <w:bookmarkEnd w:id="3"/>
      <w:bookmarkEnd w:id="4"/>
    </w:p>
    <w:p w14:paraId="0BE7CD96" w14:textId="77777777" w:rsidR="00C9574A" w:rsidRPr="00D24383" w:rsidRDefault="00C9574A" w:rsidP="00656120">
      <w:pPr>
        <w:spacing w:before="240" w:after="720"/>
        <w:jc w:val="center"/>
        <w:rPr>
          <w:rFonts w:cs="Arial"/>
          <w:szCs w:val="24"/>
        </w:rPr>
      </w:pPr>
      <w:bookmarkStart w:id="5" w:name="_Toc529878782"/>
      <w:bookmarkStart w:id="6" w:name="_Toc529884149"/>
      <w:bookmarkStart w:id="7" w:name="_Toc529946433"/>
      <w:r w:rsidRPr="00D24383">
        <w:rPr>
          <w:rFonts w:cs="Arial"/>
          <w:noProof/>
          <w:szCs w:val="24"/>
        </w:rPr>
        <w:drawing>
          <wp:inline distT="0" distB="0" distL="0" distR="0" wp14:anchorId="2B1425D4" wp14:editId="3EFBF8ED">
            <wp:extent cx="2085975" cy="2085975"/>
            <wp:effectExtent l="0" t="0" r="9525" b="9525"/>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California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bookmarkEnd w:id="5"/>
      <w:bookmarkEnd w:id="6"/>
      <w:bookmarkEnd w:id="7"/>
    </w:p>
    <w:p w14:paraId="65BCFA3B" w14:textId="77777777" w:rsidR="009C3EA4" w:rsidRDefault="00C9574A" w:rsidP="00C122BA">
      <w:pPr>
        <w:spacing w:before="840"/>
        <w:jc w:val="center"/>
        <w:rPr>
          <w:rFonts w:cs="Arial"/>
          <w:b/>
          <w:szCs w:val="24"/>
        </w:rPr>
      </w:pPr>
      <w:r w:rsidRPr="00D24383">
        <w:rPr>
          <w:rFonts w:cs="Arial"/>
          <w:b/>
          <w:szCs w:val="24"/>
        </w:rPr>
        <w:t>Prepared by</w:t>
      </w:r>
      <w:r w:rsidR="009C3EA4">
        <w:rPr>
          <w:rFonts w:cs="Arial"/>
          <w:b/>
          <w:szCs w:val="24"/>
        </w:rPr>
        <w:t>:</w:t>
      </w:r>
    </w:p>
    <w:p w14:paraId="218A76B9" w14:textId="77777777" w:rsidR="00656120" w:rsidRDefault="00C9574A" w:rsidP="00656120">
      <w:pPr>
        <w:spacing w:after="0"/>
        <w:jc w:val="center"/>
        <w:rPr>
          <w:rFonts w:cs="Arial"/>
          <w:b/>
          <w:sz w:val="28"/>
          <w:szCs w:val="28"/>
        </w:rPr>
      </w:pPr>
      <w:r w:rsidRPr="009C3EA4">
        <w:rPr>
          <w:rFonts w:cs="Arial"/>
          <w:b/>
          <w:sz w:val="28"/>
          <w:szCs w:val="28"/>
        </w:rPr>
        <w:t>Student Achievement and Support Division</w:t>
      </w:r>
    </w:p>
    <w:p w14:paraId="56C69C1A" w14:textId="32166E19" w:rsidR="00C9574A" w:rsidRPr="009C3EA4" w:rsidRDefault="00C9574A" w:rsidP="00656120">
      <w:pPr>
        <w:jc w:val="center"/>
        <w:rPr>
          <w:rFonts w:cs="Arial"/>
          <w:b/>
          <w:sz w:val="28"/>
          <w:szCs w:val="28"/>
        </w:rPr>
      </w:pPr>
      <w:r w:rsidRPr="009C3EA4">
        <w:rPr>
          <w:rFonts w:cs="Arial"/>
          <w:b/>
          <w:sz w:val="28"/>
          <w:szCs w:val="28"/>
        </w:rPr>
        <w:t>Student Support Services Branch</w:t>
      </w:r>
    </w:p>
    <w:p w14:paraId="1C5F7C85" w14:textId="72613763" w:rsidR="00C9574A" w:rsidRPr="00D24383" w:rsidRDefault="002D06D3" w:rsidP="009C3EA4">
      <w:pPr>
        <w:spacing w:before="240" w:after="720"/>
        <w:jc w:val="center"/>
        <w:rPr>
          <w:rFonts w:cs="Arial"/>
          <w:b/>
          <w:szCs w:val="24"/>
        </w:rPr>
      </w:pPr>
      <w:r>
        <w:rPr>
          <w:rFonts w:cs="Arial"/>
          <w:b/>
          <w:szCs w:val="24"/>
        </w:rPr>
        <w:t>June</w:t>
      </w:r>
      <w:r w:rsidR="00C9574A" w:rsidRPr="00D24383">
        <w:rPr>
          <w:rFonts w:cs="Arial"/>
          <w:b/>
          <w:szCs w:val="24"/>
        </w:rPr>
        <w:t xml:space="preserve"> 2022</w:t>
      </w:r>
    </w:p>
    <w:p w14:paraId="1638C373" w14:textId="77777777" w:rsidR="00C9574A" w:rsidRPr="00D24383" w:rsidRDefault="00C9574A" w:rsidP="009C3EA4">
      <w:pPr>
        <w:spacing w:before="960"/>
        <w:ind w:left="1440" w:hanging="1350"/>
        <w:rPr>
          <w:rFonts w:cs="Arial"/>
          <w:szCs w:val="24"/>
        </w:rPr>
      </w:pPr>
      <w:r w:rsidRPr="00D24383">
        <w:rPr>
          <w:rFonts w:cs="Arial"/>
          <w:i/>
          <w:szCs w:val="24"/>
        </w:rPr>
        <w:t>Description</w:t>
      </w:r>
      <w:r w:rsidRPr="00D24383">
        <w:rPr>
          <w:rFonts w:cs="Arial"/>
          <w:szCs w:val="24"/>
        </w:rPr>
        <w:t>:</w:t>
      </w:r>
      <w:r w:rsidRPr="00D24383">
        <w:rPr>
          <w:rFonts w:cs="Arial"/>
          <w:szCs w:val="24"/>
        </w:rPr>
        <w:tab/>
        <w:t>This report includes information from the 2015</w:t>
      </w:r>
      <w:r w:rsidR="00B20286" w:rsidRPr="00D24383">
        <w:rPr>
          <w:rFonts w:cs="Arial"/>
          <w:szCs w:val="24"/>
        </w:rPr>
        <w:t>–</w:t>
      </w:r>
      <w:r w:rsidRPr="00D24383">
        <w:rPr>
          <w:rFonts w:cs="Arial"/>
          <w:szCs w:val="24"/>
        </w:rPr>
        <w:t>16, 2016</w:t>
      </w:r>
      <w:r w:rsidR="00B20286" w:rsidRPr="00D24383">
        <w:rPr>
          <w:rFonts w:cs="Arial"/>
          <w:szCs w:val="24"/>
        </w:rPr>
        <w:t>–</w:t>
      </w:r>
      <w:r w:rsidRPr="00D24383">
        <w:rPr>
          <w:rFonts w:cs="Arial"/>
          <w:szCs w:val="24"/>
        </w:rPr>
        <w:t>17, 2017</w:t>
      </w:r>
      <w:r w:rsidR="00B20286" w:rsidRPr="00D24383">
        <w:rPr>
          <w:rFonts w:cs="Arial"/>
          <w:szCs w:val="24"/>
        </w:rPr>
        <w:t>–</w:t>
      </w:r>
      <w:r w:rsidRPr="00D24383">
        <w:rPr>
          <w:rFonts w:cs="Arial"/>
          <w:szCs w:val="24"/>
        </w:rPr>
        <w:t>18, 2018</w:t>
      </w:r>
      <w:r w:rsidR="00B20286" w:rsidRPr="00D24383">
        <w:rPr>
          <w:rFonts w:cs="Arial"/>
          <w:szCs w:val="24"/>
        </w:rPr>
        <w:t>–</w:t>
      </w:r>
      <w:r w:rsidRPr="00D24383">
        <w:rPr>
          <w:rFonts w:cs="Arial"/>
          <w:szCs w:val="24"/>
        </w:rPr>
        <w:t>19, and 2019</w:t>
      </w:r>
      <w:r w:rsidR="00B20286" w:rsidRPr="00D24383">
        <w:rPr>
          <w:rFonts w:cs="Arial"/>
          <w:szCs w:val="24"/>
        </w:rPr>
        <w:t>–</w:t>
      </w:r>
      <w:r w:rsidRPr="00D24383">
        <w:rPr>
          <w:rFonts w:cs="Arial"/>
          <w:szCs w:val="24"/>
        </w:rPr>
        <w:t>20 school years.</w:t>
      </w:r>
    </w:p>
    <w:p w14:paraId="1AAED10C" w14:textId="77777777" w:rsidR="00C9574A" w:rsidRPr="00D24383" w:rsidRDefault="00C9574A" w:rsidP="00D24383">
      <w:pPr>
        <w:spacing w:before="240"/>
        <w:rPr>
          <w:rFonts w:cs="Arial"/>
          <w:szCs w:val="24"/>
        </w:rPr>
      </w:pPr>
      <w:r w:rsidRPr="00D24383">
        <w:rPr>
          <w:rFonts w:cs="Arial"/>
          <w:i/>
          <w:szCs w:val="24"/>
        </w:rPr>
        <w:t>Authority</w:t>
      </w:r>
      <w:r w:rsidRPr="00D24383">
        <w:rPr>
          <w:rFonts w:cs="Arial"/>
          <w:szCs w:val="24"/>
        </w:rPr>
        <w:t>:</w:t>
      </w:r>
      <w:r w:rsidRPr="00D24383">
        <w:rPr>
          <w:rFonts w:cs="Arial"/>
          <w:szCs w:val="24"/>
        </w:rPr>
        <w:tab/>
        <w:t xml:space="preserve">California </w:t>
      </w:r>
      <w:r w:rsidRPr="00D7794F">
        <w:rPr>
          <w:rFonts w:cs="Arial"/>
          <w:i/>
          <w:szCs w:val="24"/>
        </w:rPr>
        <w:t>Education Code</w:t>
      </w:r>
      <w:r w:rsidRPr="00D24383">
        <w:rPr>
          <w:rFonts w:cs="Arial"/>
          <w:szCs w:val="24"/>
        </w:rPr>
        <w:t xml:space="preserve"> 33384(a)(2)</w:t>
      </w:r>
    </w:p>
    <w:p w14:paraId="3F966AAA" w14:textId="77777777" w:rsidR="00C9574A" w:rsidRPr="00D24383" w:rsidRDefault="00C9574A" w:rsidP="00D24383">
      <w:pPr>
        <w:spacing w:before="240"/>
        <w:rPr>
          <w:rFonts w:cs="Arial"/>
          <w:szCs w:val="24"/>
        </w:rPr>
      </w:pPr>
      <w:r w:rsidRPr="00D24383">
        <w:rPr>
          <w:rFonts w:cs="Arial"/>
          <w:i/>
          <w:szCs w:val="24"/>
        </w:rPr>
        <w:t>Recipient</w:t>
      </w:r>
      <w:r w:rsidRPr="00D24383">
        <w:rPr>
          <w:rFonts w:cs="Arial"/>
          <w:szCs w:val="24"/>
        </w:rPr>
        <w:t>:</w:t>
      </w:r>
      <w:r w:rsidRPr="00D24383">
        <w:rPr>
          <w:rFonts w:cs="Arial"/>
          <w:szCs w:val="24"/>
        </w:rPr>
        <w:tab/>
        <w:t>California Legislature</w:t>
      </w:r>
    </w:p>
    <w:p w14:paraId="0886C32B" w14:textId="77777777" w:rsidR="00C9574A" w:rsidRPr="00D24383" w:rsidRDefault="00C9574A" w:rsidP="00D24383">
      <w:pPr>
        <w:spacing w:before="240"/>
        <w:rPr>
          <w:rFonts w:cs="Arial"/>
          <w:szCs w:val="24"/>
        </w:rPr>
        <w:sectPr w:rsidR="00C9574A" w:rsidRPr="00D24383" w:rsidSect="006D1C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rsidRPr="00D24383">
        <w:rPr>
          <w:rFonts w:cs="Arial"/>
          <w:i/>
          <w:szCs w:val="24"/>
        </w:rPr>
        <w:t>Due Date</w:t>
      </w:r>
      <w:r w:rsidRPr="00D24383">
        <w:rPr>
          <w:rFonts w:cs="Arial"/>
          <w:szCs w:val="24"/>
        </w:rPr>
        <w:t>:</w:t>
      </w:r>
      <w:r w:rsidRPr="00D24383">
        <w:rPr>
          <w:rFonts w:cs="Arial"/>
          <w:szCs w:val="24"/>
        </w:rPr>
        <w:tab/>
        <w:t>On or before January 31, 2021</w:t>
      </w:r>
    </w:p>
    <w:bookmarkStart w:id="8" w:name="_Toc95472515" w:displacedByCustomXml="next"/>
    <w:bookmarkStart w:id="9" w:name="_Toc95472436" w:displacedByCustomXml="next"/>
    <w:bookmarkStart w:id="10" w:name="_Toc100318029" w:displacedByCustomXml="next"/>
    <w:bookmarkStart w:id="11" w:name="_Toc140496111" w:displacedByCustomXml="next"/>
    <w:sdt>
      <w:sdtPr>
        <w:rPr>
          <w:rFonts w:eastAsiaTheme="minorHAnsi" w:cstheme="minorBidi"/>
          <w:b w:val="0"/>
          <w:sz w:val="24"/>
          <w:szCs w:val="22"/>
        </w:rPr>
        <w:id w:val="-806700114"/>
        <w:docPartObj>
          <w:docPartGallery w:val="Table of Contents"/>
          <w:docPartUnique/>
        </w:docPartObj>
      </w:sdtPr>
      <w:sdtEndPr>
        <w:rPr>
          <w:rFonts w:cs="Arial"/>
          <w:bCs/>
          <w:noProof/>
          <w:szCs w:val="24"/>
        </w:rPr>
      </w:sdtEndPr>
      <w:sdtContent>
        <w:p w14:paraId="26C6A30F" w14:textId="7E0A71B0" w:rsidR="003826EB" w:rsidRDefault="00D24383" w:rsidP="003826EB">
          <w:pPr>
            <w:pStyle w:val="Heading2"/>
            <w:jc w:val="center"/>
            <w:rPr>
              <w:rFonts w:asciiTheme="minorHAnsi" w:eastAsiaTheme="minorEastAsia" w:hAnsiTheme="minorHAnsi"/>
              <w:noProof/>
              <w:sz w:val="22"/>
            </w:rPr>
          </w:pPr>
          <w:r w:rsidRPr="00D24383">
            <w:t>Table of Contents</w:t>
          </w:r>
          <w:bookmarkEnd w:id="11"/>
          <w:bookmarkEnd w:id="10"/>
          <w:bookmarkEnd w:id="9"/>
          <w:bookmarkEnd w:id="8"/>
          <w:r w:rsidRPr="00D24383">
            <w:rPr>
              <w:rFonts w:cs="Arial"/>
              <w:b w:val="0"/>
              <w:szCs w:val="24"/>
            </w:rPr>
            <w:fldChar w:fldCharType="begin"/>
          </w:r>
          <w:r w:rsidRPr="00D24383">
            <w:rPr>
              <w:rFonts w:cs="Arial"/>
              <w:szCs w:val="24"/>
            </w:rPr>
            <w:instrText xml:space="preserve"> TOC \o "1-3" \h \z \u </w:instrText>
          </w:r>
          <w:r w:rsidRPr="00D24383">
            <w:rPr>
              <w:rFonts w:cs="Arial"/>
              <w:b w:val="0"/>
              <w:szCs w:val="24"/>
            </w:rPr>
            <w:fldChar w:fldCharType="separate"/>
          </w:r>
        </w:p>
        <w:p w14:paraId="5D55B514" w14:textId="399C6390" w:rsidR="003826EB" w:rsidRDefault="00000000">
          <w:pPr>
            <w:pStyle w:val="TOC2"/>
            <w:tabs>
              <w:tab w:val="right" w:leader="dot" w:pos="9350"/>
            </w:tabs>
            <w:rPr>
              <w:rFonts w:asciiTheme="minorHAnsi" w:eastAsiaTheme="minorEastAsia" w:hAnsiTheme="minorHAnsi"/>
              <w:noProof/>
              <w:sz w:val="22"/>
            </w:rPr>
          </w:pPr>
          <w:hyperlink w:anchor="_Toc140496112" w:history="1">
            <w:r w:rsidR="003826EB" w:rsidRPr="00272126">
              <w:rPr>
                <w:rStyle w:val="Hyperlink"/>
                <w:noProof/>
              </w:rPr>
              <w:t>Executive Summary</w:t>
            </w:r>
            <w:r w:rsidR="003826EB">
              <w:rPr>
                <w:noProof/>
                <w:webHidden/>
              </w:rPr>
              <w:tab/>
            </w:r>
            <w:r w:rsidR="003826EB">
              <w:rPr>
                <w:noProof/>
                <w:webHidden/>
              </w:rPr>
              <w:fldChar w:fldCharType="begin"/>
            </w:r>
            <w:r w:rsidR="003826EB">
              <w:rPr>
                <w:noProof/>
                <w:webHidden/>
              </w:rPr>
              <w:instrText xml:space="preserve"> PAGEREF _Toc140496112 \h </w:instrText>
            </w:r>
            <w:r w:rsidR="003826EB">
              <w:rPr>
                <w:noProof/>
                <w:webHidden/>
              </w:rPr>
            </w:r>
            <w:r w:rsidR="003826EB">
              <w:rPr>
                <w:noProof/>
                <w:webHidden/>
              </w:rPr>
              <w:fldChar w:fldCharType="separate"/>
            </w:r>
            <w:r w:rsidR="003826EB">
              <w:rPr>
                <w:noProof/>
                <w:webHidden/>
              </w:rPr>
              <w:t>2</w:t>
            </w:r>
            <w:r w:rsidR="003826EB">
              <w:rPr>
                <w:noProof/>
                <w:webHidden/>
              </w:rPr>
              <w:fldChar w:fldCharType="end"/>
            </w:r>
          </w:hyperlink>
        </w:p>
        <w:p w14:paraId="3C10A425" w14:textId="7EC7D4DA" w:rsidR="003826EB" w:rsidRDefault="00000000">
          <w:pPr>
            <w:pStyle w:val="TOC2"/>
            <w:tabs>
              <w:tab w:val="right" w:leader="dot" w:pos="9350"/>
            </w:tabs>
            <w:rPr>
              <w:rFonts w:asciiTheme="minorHAnsi" w:eastAsiaTheme="minorEastAsia" w:hAnsiTheme="minorHAnsi"/>
              <w:noProof/>
              <w:sz w:val="22"/>
            </w:rPr>
          </w:pPr>
          <w:hyperlink w:anchor="_Toc140496113" w:history="1">
            <w:r w:rsidR="003826EB" w:rsidRPr="00272126">
              <w:rPr>
                <w:rStyle w:val="Hyperlink"/>
                <w:noProof/>
              </w:rPr>
              <w:t>Introduction</w:t>
            </w:r>
            <w:r w:rsidR="003826EB">
              <w:rPr>
                <w:noProof/>
                <w:webHidden/>
              </w:rPr>
              <w:tab/>
            </w:r>
            <w:r w:rsidR="003826EB">
              <w:rPr>
                <w:noProof/>
                <w:webHidden/>
              </w:rPr>
              <w:fldChar w:fldCharType="begin"/>
            </w:r>
            <w:r w:rsidR="003826EB">
              <w:rPr>
                <w:noProof/>
                <w:webHidden/>
              </w:rPr>
              <w:instrText xml:space="preserve"> PAGEREF _Toc140496113 \h </w:instrText>
            </w:r>
            <w:r w:rsidR="003826EB">
              <w:rPr>
                <w:noProof/>
                <w:webHidden/>
              </w:rPr>
            </w:r>
            <w:r w:rsidR="003826EB">
              <w:rPr>
                <w:noProof/>
                <w:webHidden/>
              </w:rPr>
              <w:fldChar w:fldCharType="separate"/>
            </w:r>
            <w:r w:rsidR="003826EB">
              <w:rPr>
                <w:noProof/>
                <w:webHidden/>
              </w:rPr>
              <w:t>3</w:t>
            </w:r>
            <w:r w:rsidR="003826EB">
              <w:rPr>
                <w:noProof/>
                <w:webHidden/>
              </w:rPr>
              <w:fldChar w:fldCharType="end"/>
            </w:r>
          </w:hyperlink>
        </w:p>
        <w:p w14:paraId="6575FE26" w14:textId="5D78F2AB" w:rsidR="003826EB" w:rsidRDefault="00000000">
          <w:pPr>
            <w:pStyle w:val="TOC3"/>
            <w:tabs>
              <w:tab w:val="right" w:leader="dot" w:pos="9350"/>
            </w:tabs>
            <w:rPr>
              <w:rFonts w:asciiTheme="minorHAnsi" w:eastAsiaTheme="minorEastAsia" w:hAnsiTheme="minorHAnsi"/>
              <w:noProof/>
              <w:sz w:val="22"/>
            </w:rPr>
          </w:pPr>
          <w:hyperlink w:anchor="_Toc140496114" w:history="1">
            <w:r w:rsidR="003826EB" w:rsidRPr="00272126">
              <w:rPr>
                <w:rStyle w:val="Hyperlink"/>
                <w:noProof/>
              </w:rPr>
              <w:t>Purpose and Intent of the Program</w:t>
            </w:r>
            <w:r w:rsidR="003826EB">
              <w:rPr>
                <w:noProof/>
                <w:webHidden/>
              </w:rPr>
              <w:tab/>
            </w:r>
            <w:r w:rsidR="003826EB">
              <w:rPr>
                <w:noProof/>
                <w:webHidden/>
              </w:rPr>
              <w:fldChar w:fldCharType="begin"/>
            </w:r>
            <w:r w:rsidR="003826EB">
              <w:rPr>
                <w:noProof/>
                <w:webHidden/>
              </w:rPr>
              <w:instrText xml:space="preserve"> PAGEREF _Toc140496114 \h </w:instrText>
            </w:r>
            <w:r w:rsidR="003826EB">
              <w:rPr>
                <w:noProof/>
                <w:webHidden/>
              </w:rPr>
            </w:r>
            <w:r w:rsidR="003826EB">
              <w:rPr>
                <w:noProof/>
                <w:webHidden/>
              </w:rPr>
              <w:fldChar w:fldCharType="separate"/>
            </w:r>
            <w:r w:rsidR="003826EB">
              <w:rPr>
                <w:noProof/>
                <w:webHidden/>
              </w:rPr>
              <w:t>3</w:t>
            </w:r>
            <w:r w:rsidR="003826EB">
              <w:rPr>
                <w:noProof/>
                <w:webHidden/>
              </w:rPr>
              <w:fldChar w:fldCharType="end"/>
            </w:r>
          </w:hyperlink>
        </w:p>
        <w:p w14:paraId="7AA3E86B" w14:textId="50770F33" w:rsidR="003826EB" w:rsidRDefault="00000000">
          <w:pPr>
            <w:pStyle w:val="TOC3"/>
            <w:tabs>
              <w:tab w:val="right" w:leader="dot" w:pos="9350"/>
            </w:tabs>
            <w:rPr>
              <w:rFonts w:asciiTheme="minorHAnsi" w:eastAsiaTheme="minorEastAsia" w:hAnsiTheme="minorHAnsi"/>
              <w:noProof/>
              <w:sz w:val="22"/>
            </w:rPr>
          </w:pPr>
          <w:hyperlink w:anchor="_Toc140496115" w:history="1">
            <w:r w:rsidR="003826EB" w:rsidRPr="00272126">
              <w:rPr>
                <w:rStyle w:val="Hyperlink"/>
                <w:noProof/>
              </w:rPr>
              <w:t>Need for the Program</w:t>
            </w:r>
            <w:r w:rsidR="003826EB">
              <w:rPr>
                <w:noProof/>
                <w:webHidden/>
              </w:rPr>
              <w:tab/>
            </w:r>
            <w:r w:rsidR="003826EB">
              <w:rPr>
                <w:noProof/>
                <w:webHidden/>
              </w:rPr>
              <w:fldChar w:fldCharType="begin"/>
            </w:r>
            <w:r w:rsidR="003826EB">
              <w:rPr>
                <w:noProof/>
                <w:webHidden/>
              </w:rPr>
              <w:instrText xml:space="preserve"> PAGEREF _Toc140496115 \h </w:instrText>
            </w:r>
            <w:r w:rsidR="003826EB">
              <w:rPr>
                <w:noProof/>
                <w:webHidden/>
              </w:rPr>
            </w:r>
            <w:r w:rsidR="003826EB">
              <w:rPr>
                <w:noProof/>
                <w:webHidden/>
              </w:rPr>
              <w:fldChar w:fldCharType="separate"/>
            </w:r>
            <w:r w:rsidR="003826EB">
              <w:rPr>
                <w:noProof/>
                <w:webHidden/>
              </w:rPr>
              <w:t>4</w:t>
            </w:r>
            <w:r w:rsidR="003826EB">
              <w:rPr>
                <w:noProof/>
                <w:webHidden/>
              </w:rPr>
              <w:fldChar w:fldCharType="end"/>
            </w:r>
          </w:hyperlink>
        </w:p>
        <w:p w14:paraId="7D18514B" w14:textId="185BC2E9" w:rsidR="003826EB" w:rsidRDefault="00000000">
          <w:pPr>
            <w:pStyle w:val="TOC2"/>
            <w:tabs>
              <w:tab w:val="right" w:leader="dot" w:pos="9350"/>
            </w:tabs>
            <w:rPr>
              <w:rFonts w:asciiTheme="minorHAnsi" w:eastAsiaTheme="minorEastAsia" w:hAnsiTheme="minorHAnsi"/>
              <w:noProof/>
              <w:sz w:val="22"/>
            </w:rPr>
          </w:pPr>
          <w:hyperlink w:anchor="_Toc140496116" w:history="1">
            <w:r w:rsidR="003826EB" w:rsidRPr="00272126">
              <w:rPr>
                <w:rStyle w:val="Hyperlink"/>
                <w:rFonts w:cs="Arial"/>
                <w:noProof/>
              </w:rPr>
              <w:t>AIEC Services</w:t>
            </w:r>
            <w:r w:rsidR="003826EB">
              <w:rPr>
                <w:noProof/>
                <w:webHidden/>
              </w:rPr>
              <w:tab/>
            </w:r>
            <w:r w:rsidR="003826EB">
              <w:rPr>
                <w:noProof/>
                <w:webHidden/>
              </w:rPr>
              <w:fldChar w:fldCharType="begin"/>
            </w:r>
            <w:r w:rsidR="003826EB">
              <w:rPr>
                <w:noProof/>
                <w:webHidden/>
              </w:rPr>
              <w:instrText xml:space="preserve"> PAGEREF _Toc140496116 \h </w:instrText>
            </w:r>
            <w:r w:rsidR="003826EB">
              <w:rPr>
                <w:noProof/>
                <w:webHidden/>
              </w:rPr>
            </w:r>
            <w:r w:rsidR="003826EB">
              <w:rPr>
                <w:noProof/>
                <w:webHidden/>
              </w:rPr>
              <w:fldChar w:fldCharType="separate"/>
            </w:r>
            <w:r w:rsidR="003826EB">
              <w:rPr>
                <w:noProof/>
                <w:webHidden/>
              </w:rPr>
              <w:t>14</w:t>
            </w:r>
            <w:r w:rsidR="003826EB">
              <w:rPr>
                <w:noProof/>
                <w:webHidden/>
              </w:rPr>
              <w:fldChar w:fldCharType="end"/>
            </w:r>
          </w:hyperlink>
        </w:p>
        <w:p w14:paraId="28F3B756" w14:textId="26CE9CCE" w:rsidR="003826EB" w:rsidRDefault="00000000">
          <w:pPr>
            <w:pStyle w:val="TOC2"/>
            <w:tabs>
              <w:tab w:val="right" w:leader="dot" w:pos="9350"/>
            </w:tabs>
            <w:rPr>
              <w:rFonts w:asciiTheme="minorHAnsi" w:eastAsiaTheme="minorEastAsia" w:hAnsiTheme="minorHAnsi"/>
              <w:noProof/>
              <w:sz w:val="22"/>
            </w:rPr>
          </w:pPr>
          <w:hyperlink w:anchor="_Toc140496117" w:history="1">
            <w:r w:rsidR="003826EB" w:rsidRPr="00272126">
              <w:rPr>
                <w:rStyle w:val="Hyperlink"/>
                <w:rFonts w:cs="Arial"/>
                <w:noProof/>
              </w:rPr>
              <w:t>Funding</w:t>
            </w:r>
            <w:r w:rsidR="003826EB">
              <w:rPr>
                <w:noProof/>
                <w:webHidden/>
              </w:rPr>
              <w:tab/>
            </w:r>
            <w:r w:rsidR="003826EB">
              <w:rPr>
                <w:noProof/>
                <w:webHidden/>
              </w:rPr>
              <w:fldChar w:fldCharType="begin"/>
            </w:r>
            <w:r w:rsidR="003826EB">
              <w:rPr>
                <w:noProof/>
                <w:webHidden/>
              </w:rPr>
              <w:instrText xml:space="preserve"> PAGEREF _Toc140496117 \h </w:instrText>
            </w:r>
            <w:r w:rsidR="003826EB">
              <w:rPr>
                <w:noProof/>
                <w:webHidden/>
              </w:rPr>
            </w:r>
            <w:r w:rsidR="003826EB">
              <w:rPr>
                <w:noProof/>
                <w:webHidden/>
              </w:rPr>
              <w:fldChar w:fldCharType="separate"/>
            </w:r>
            <w:r w:rsidR="003826EB">
              <w:rPr>
                <w:noProof/>
                <w:webHidden/>
              </w:rPr>
              <w:t>20</w:t>
            </w:r>
            <w:r w:rsidR="003826EB">
              <w:rPr>
                <w:noProof/>
                <w:webHidden/>
              </w:rPr>
              <w:fldChar w:fldCharType="end"/>
            </w:r>
          </w:hyperlink>
        </w:p>
        <w:p w14:paraId="28CD3948" w14:textId="3F749B15" w:rsidR="003826EB" w:rsidRDefault="00000000">
          <w:pPr>
            <w:pStyle w:val="TOC2"/>
            <w:tabs>
              <w:tab w:val="right" w:leader="dot" w:pos="9350"/>
            </w:tabs>
            <w:rPr>
              <w:rFonts w:asciiTheme="minorHAnsi" w:eastAsiaTheme="minorEastAsia" w:hAnsiTheme="minorHAnsi"/>
              <w:noProof/>
              <w:sz w:val="22"/>
            </w:rPr>
          </w:pPr>
          <w:hyperlink w:anchor="_Toc140496118" w:history="1">
            <w:r w:rsidR="003826EB" w:rsidRPr="00272126">
              <w:rPr>
                <w:rStyle w:val="Hyperlink"/>
                <w:rFonts w:cs="Arial"/>
                <w:noProof/>
              </w:rPr>
              <w:t>State-Level Monitoring</w:t>
            </w:r>
            <w:r w:rsidR="003826EB">
              <w:rPr>
                <w:noProof/>
                <w:webHidden/>
              </w:rPr>
              <w:tab/>
            </w:r>
            <w:r w:rsidR="003826EB">
              <w:rPr>
                <w:noProof/>
                <w:webHidden/>
              </w:rPr>
              <w:fldChar w:fldCharType="begin"/>
            </w:r>
            <w:r w:rsidR="003826EB">
              <w:rPr>
                <w:noProof/>
                <w:webHidden/>
              </w:rPr>
              <w:instrText xml:space="preserve"> PAGEREF _Toc140496118 \h </w:instrText>
            </w:r>
            <w:r w:rsidR="003826EB">
              <w:rPr>
                <w:noProof/>
                <w:webHidden/>
              </w:rPr>
            </w:r>
            <w:r w:rsidR="003826EB">
              <w:rPr>
                <w:noProof/>
                <w:webHidden/>
              </w:rPr>
              <w:fldChar w:fldCharType="separate"/>
            </w:r>
            <w:r w:rsidR="003826EB">
              <w:rPr>
                <w:noProof/>
                <w:webHidden/>
              </w:rPr>
              <w:t>20</w:t>
            </w:r>
            <w:r w:rsidR="003826EB">
              <w:rPr>
                <w:noProof/>
                <w:webHidden/>
              </w:rPr>
              <w:fldChar w:fldCharType="end"/>
            </w:r>
          </w:hyperlink>
        </w:p>
        <w:p w14:paraId="641B4D3B" w14:textId="09E90F60" w:rsidR="003826EB" w:rsidRDefault="00000000">
          <w:pPr>
            <w:pStyle w:val="TOC2"/>
            <w:tabs>
              <w:tab w:val="right" w:leader="dot" w:pos="9350"/>
            </w:tabs>
            <w:rPr>
              <w:rFonts w:asciiTheme="minorHAnsi" w:eastAsiaTheme="minorEastAsia" w:hAnsiTheme="minorHAnsi"/>
              <w:noProof/>
              <w:sz w:val="22"/>
            </w:rPr>
          </w:pPr>
          <w:hyperlink w:anchor="_Toc140496119" w:history="1">
            <w:r w:rsidR="003826EB" w:rsidRPr="00272126">
              <w:rPr>
                <w:rStyle w:val="Hyperlink"/>
                <w:rFonts w:cs="Arial"/>
                <w:noProof/>
              </w:rPr>
              <w:t>Conclusion</w:t>
            </w:r>
            <w:r w:rsidR="003826EB">
              <w:rPr>
                <w:noProof/>
                <w:webHidden/>
              </w:rPr>
              <w:tab/>
            </w:r>
            <w:r w:rsidR="003826EB">
              <w:rPr>
                <w:noProof/>
                <w:webHidden/>
              </w:rPr>
              <w:fldChar w:fldCharType="begin"/>
            </w:r>
            <w:r w:rsidR="003826EB">
              <w:rPr>
                <w:noProof/>
                <w:webHidden/>
              </w:rPr>
              <w:instrText xml:space="preserve"> PAGEREF _Toc140496119 \h </w:instrText>
            </w:r>
            <w:r w:rsidR="003826EB">
              <w:rPr>
                <w:noProof/>
                <w:webHidden/>
              </w:rPr>
            </w:r>
            <w:r w:rsidR="003826EB">
              <w:rPr>
                <w:noProof/>
                <w:webHidden/>
              </w:rPr>
              <w:fldChar w:fldCharType="separate"/>
            </w:r>
            <w:r w:rsidR="003826EB">
              <w:rPr>
                <w:noProof/>
                <w:webHidden/>
              </w:rPr>
              <w:t>20</w:t>
            </w:r>
            <w:r w:rsidR="003826EB">
              <w:rPr>
                <w:noProof/>
                <w:webHidden/>
              </w:rPr>
              <w:fldChar w:fldCharType="end"/>
            </w:r>
          </w:hyperlink>
        </w:p>
        <w:p w14:paraId="066EB49E" w14:textId="08F2A7DC" w:rsidR="003826EB" w:rsidRDefault="00000000">
          <w:pPr>
            <w:pStyle w:val="TOC2"/>
            <w:tabs>
              <w:tab w:val="right" w:leader="dot" w:pos="9350"/>
            </w:tabs>
            <w:rPr>
              <w:rFonts w:asciiTheme="minorHAnsi" w:eastAsiaTheme="minorEastAsia" w:hAnsiTheme="minorHAnsi"/>
              <w:noProof/>
              <w:sz w:val="22"/>
            </w:rPr>
          </w:pPr>
          <w:hyperlink w:anchor="_Toc140496120" w:history="1">
            <w:r w:rsidR="003826EB" w:rsidRPr="00272126">
              <w:rPr>
                <w:rStyle w:val="Hyperlink"/>
                <w:rFonts w:cs="Arial"/>
                <w:noProof/>
              </w:rPr>
              <w:t>Recommendations</w:t>
            </w:r>
            <w:r w:rsidR="003826EB">
              <w:rPr>
                <w:noProof/>
                <w:webHidden/>
              </w:rPr>
              <w:tab/>
            </w:r>
            <w:r w:rsidR="003826EB">
              <w:rPr>
                <w:noProof/>
                <w:webHidden/>
              </w:rPr>
              <w:fldChar w:fldCharType="begin"/>
            </w:r>
            <w:r w:rsidR="003826EB">
              <w:rPr>
                <w:noProof/>
                <w:webHidden/>
              </w:rPr>
              <w:instrText xml:space="preserve"> PAGEREF _Toc140496120 \h </w:instrText>
            </w:r>
            <w:r w:rsidR="003826EB">
              <w:rPr>
                <w:noProof/>
                <w:webHidden/>
              </w:rPr>
            </w:r>
            <w:r w:rsidR="003826EB">
              <w:rPr>
                <w:noProof/>
                <w:webHidden/>
              </w:rPr>
              <w:fldChar w:fldCharType="separate"/>
            </w:r>
            <w:r w:rsidR="003826EB">
              <w:rPr>
                <w:noProof/>
                <w:webHidden/>
              </w:rPr>
              <w:t>21</w:t>
            </w:r>
            <w:r w:rsidR="003826EB">
              <w:rPr>
                <w:noProof/>
                <w:webHidden/>
              </w:rPr>
              <w:fldChar w:fldCharType="end"/>
            </w:r>
          </w:hyperlink>
        </w:p>
        <w:p w14:paraId="1BE4EA3A" w14:textId="4DEA0B77" w:rsidR="00D24383" w:rsidRPr="00D24383" w:rsidRDefault="00D24383" w:rsidP="00D24383">
          <w:pPr>
            <w:spacing w:before="240"/>
            <w:rPr>
              <w:rFonts w:cs="Arial"/>
              <w:szCs w:val="24"/>
            </w:rPr>
          </w:pPr>
          <w:r w:rsidRPr="00D24383">
            <w:rPr>
              <w:rFonts w:cs="Arial"/>
              <w:b/>
              <w:bCs/>
              <w:noProof/>
              <w:szCs w:val="24"/>
            </w:rPr>
            <w:fldChar w:fldCharType="end"/>
          </w:r>
        </w:p>
      </w:sdtContent>
    </w:sdt>
    <w:p w14:paraId="1C61CA5D" w14:textId="42AD36FE" w:rsidR="00D24383" w:rsidRPr="00D24383" w:rsidRDefault="00D24383" w:rsidP="00D24383">
      <w:pPr>
        <w:pStyle w:val="Heading2"/>
        <w:spacing w:after="240"/>
        <w:jc w:val="center"/>
        <w:rPr>
          <w:rFonts w:cs="Arial"/>
          <w:sz w:val="24"/>
          <w:szCs w:val="24"/>
        </w:rPr>
        <w:sectPr w:rsidR="00D24383" w:rsidRPr="00D24383" w:rsidSect="00A1799B">
          <w:head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14:paraId="34FA0012" w14:textId="6D5CFEAC" w:rsidR="00C9574A" w:rsidRPr="00D24383" w:rsidRDefault="00C9574A" w:rsidP="00656120">
      <w:pPr>
        <w:pStyle w:val="Heading2"/>
        <w:spacing w:before="0"/>
        <w:jc w:val="center"/>
      </w:pPr>
      <w:bookmarkStart w:id="12" w:name="_Toc140496112"/>
      <w:r w:rsidRPr="00D24383">
        <w:lastRenderedPageBreak/>
        <w:t>Executive Summary</w:t>
      </w:r>
      <w:bookmarkEnd w:id="12"/>
    </w:p>
    <w:p w14:paraId="75E175E6" w14:textId="101B2BAF" w:rsidR="00C9574A" w:rsidRPr="004B227E" w:rsidRDefault="009861DC" w:rsidP="00FE054E">
      <w:pPr>
        <w:pStyle w:val="NormalWeb"/>
        <w:shd w:val="clear" w:color="auto" w:fill="FFFFFF"/>
        <w:spacing w:before="0" w:beforeAutospacing="0" w:after="0" w:afterAutospacing="0"/>
        <w:rPr>
          <w:rFonts w:ascii="Arial" w:hAnsi="Arial" w:cs="Arial"/>
        </w:rPr>
      </w:pPr>
      <w:r w:rsidRPr="004B227E">
        <w:rPr>
          <w:rFonts w:ascii="Arial" w:hAnsi="Arial" w:cs="Arial"/>
        </w:rPr>
        <w:t xml:space="preserve">This report contains findings and recommendations regarding the California </w:t>
      </w:r>
      <w:r>
        <w:rPr>
          <w:rFonts w:ascii="Arial" w:hAnsi="Arial" w:cs="Arial"/>
        </w:rPr>
        <w:t xml:space="preserve">American </w:t>
      </w:r>
      <w:r w:rsidRPr="004B227E">
        <w:rPr>
          <w:rFonts w:ascii="Arial" w:hAnsi="Arial" w:cs="Arial"/>
        </w:rPr>
        <w:t>Indian Education Centers</w:t>
      </w:r>
      <w:r>
        <w:rPr>
          <w:rFonts w:ascii="Arial" w:hAnsi="Arial" w:cs="Arial"/>
        </w:rPr>
        <w:t xml:space="preserve"> (AIECs) program, as</w:t>
      </w:r>
      <w:r w:rsidRPr="004B227E">
        <w:rPr>
          <w:rFonts w:ascii="Arial" w:hAnsi="Arial" w:cs="Arial"/>
        </w:rPr>
        <w:t xml:space="preserve"> </w:t>
      </w:r>
      <w:r w:rsidR="00EA1EA7" w:rsidRPr="004B227E">
        <w:rPr>
          <w:rFonts w:ascii="Arial" w:hAnsi="Arial" w:cs="Arial"/>
        </w:rPr>
        <w:t xml:space="preserve">required by California </w:t>
      </w:r>
      <w:r w:rsidR="00EA1EA7" w:rsidRPr="004B227E">
        <w:rPr>
          <w:rFonts w:ascii="Arial" w:hAnsi="Arial" w:cs="Arial"/>
          <w:i/>
        </w:rPr>
        <w:t>Education Code</w:t>
      </w:r>
      <w:r w:rsidR="00EA1EA7" w:rsidRPr="004B227E">
        <w:rPr>
          <w:rFonts w:ascii="Arial" w:hAnsi="Arial" w:cs="Arial"/>
        </w:rPr>
        <w:t xml:space="preserve"> </w:t>
      </w:r>
      <w:r w:rsidR="004B227E" w:rsidRPr="004B227E">
        <w:rPr>
          <w:rFonts w:ascii="Arial" w:hAnsi="Arial" w:cs="Arial"/>
        </w:rPr>
        <w:t>(</w:t>
      </w:r>
      <w:r w:rsidR="004B227E" w:rsidRPr="004B227E">
        <w:rPr>
          <w:rFonts w:ascii="Arial" w:hAnsi="Arial" w:cs="Arial"/>
          <w:i/>
        </w:rPr>
        <w:t>EC</w:t>
      </w:r>
      <w:r w:rsidR="004B227E" w:rsidRPr="004B227E">
        <w:rPr>
          <w:rFonts w:ascii="Arial" w:hAnsi="Arial" w:cs="Arial"/>
        </w:rPr>
        <w:t xml:space="preserve">) </w:t>
      </w:r>
      <w:r w:rsidR="00EA1EA7" w:rsidRPr="004B227E">
        <w:rPr>
          <w:rFonts w:ascii="Arial" w:hAnsi="Arial" w:cs="Arial"/>
        </w:rPr>
        <w:t>Section 33384(a)(2)</w:t>
      </w:r>
      <w:r w:rsidR="00EB1602" w:rsidRPr="004B227E">
        <w:rPr>
          <w:rFonts w:ascii="Arial" w:hAnsi="Arial" w:cs="Arial"/>
        </w:rPr>
        <w:t xml:space="preserve"> which states</w:t>
      </w:r>
      <w:r>
        <w:rPr>
          <w:rFonts w:ascii="Arial" w:hAnsi="Arial" w:cs="Arial"/>
        </w:rPr>
        <w:t xml:space="preserve"> that </w:t>
      </w:r>
      <w:r w:rsidR="00EB1602" w:rsidRPr="004B227E">
        <w:rPr>
          <w:rStyle w:val="Heading2Char"/>
          <w:rFonts w:ascii="Arial" w:hAnsi="Arial" w:cs="Arial"/>
          <w:sz w:val="24"/>
          <w:szCs w:val="24"/>
        </w:rPr>
        <w:t>“</w:t>
      </w:r>
      <w:r>
        <w:rPr>
          <w:rStyle w:val="added-material"/>
          <w:rFonts w:ascii="Arial" w:eastAsiaTheme="majorEastAsia" w:hAnsi="Arial" w:cs="Arial"/>
        </w:rPr>
        <w:t>o</w:t>
      </w:r>
      <w:r w:rsidR="00EA1EA7" w:rsidRPr="004B227E">
        <w:rPr>
          <w:rStyle w:val="added-material"/>
          <w:rFonts w:ascii="Arial" w:eastAsiaTheme="majorEastAsia" w:hAnsi="Arial" w:cs="Arial"/>
        </w:rPr>
        <w:t xml:space="preserve">n or before January 1, 2021, and every five years thereafter, the </w:t>
      </w:r>
      <w:r w:rsidR="00EA1EA7" w:rsidRPr="00FE054E">
        <w:rPr>
          <w:rStyle w:val="added-material"/>
          <w:rFonts w:ascii="Arial" w:eastAsiaTheme="majorEastAsia" w:hAnsi="Arial" w:cs="Arial"/>
        </w:rPr>
        <w:t>department shall report all of the following information to the appropriate fiscal and policy committees of the Legislature</w:t>
      </w:r>
      <w:r w:rsidR="001A5B38">
        <w:rPr>
          <w:rStyle w:val="added-material"/>
          <w:rFonts w:ascii="Arial" w:eastAsiaTheme="majorEastAsia" w:hAnsi="Arial" w:cs="Arial"/>
        </w:rPr>
        <w:t>:</w:t>
      </w:r>
      <w:r w:rsidR="00FE054E" w:rsidRPr="00FE054E">
        <w:rPr>
          <w:rStyle w:val="Heading2Char"/>
          <w:rFonts w:ascii="Helvetica Neue" w:hAnsi="Helvetica Neue"/>
        </w:rPr>
        <w:t xml:space="preserve"> </w:t>
      </w:r>
      <w:r w:rsidR="00FE054E" w:rsidRPr="00FE054E">
        <w:rPr>
          <w:rStyle w:val="added-material"/>
          <w:rFonts w:ascii="Helvetica Neue" w:eastAsiaTheme="majorEastAsia" w:hAnsi="Helvetica Neue"/>
        </w:rPr>
        <w:t>(A)</w:t>
      </w:r>
      <w:r w:rsidR="001A5B38">
        <w:rPr>
          <w:rStyle w:val="added-material"/>
          <w:rFonts w:ascii="Helvetica Neue" w:eastAsiaTheme="majorEastAsia" w:hAnsi="Helvetica Neue"/>
        </w:rPr>
        <w:t xml:space="preserve"> </w:t>
      </w:r>
      <w:r w:rsidR="00FE054E" w:rsidRPr="00FE054E">
        <w:rPr>
          <w:rStyle w:val="added-material"/>
          <w:rFonts w:ascii="Helvetica Neue" w:eastAsiaTheme="majorEastAsia" w:hAnsi="Helvetica Neue"/>
        </w:rPr>
        <w:t>Consolidated results for all centers, consistent with federal law regarding the privacy of pupil information</w:t>
      </w:r>
      <w:r w:rsidR="001A5B38">
        <w:rPr>
          <w:rStyle w:val="added-material"/>
          <w:rFonts w:ascii="Helvetica Neue" w:eastAsiaTheme="majorEastAsia" w:hAnsi="Helvetica Neue"/>
        </w:rPr>
        <w:t>;</w:t>
      </w:r>
      <w:r w:rsidR="00656120">
        <w:rPr>
          <w:rStyle w:val="added-material"/>
          <w:rFonts w:ascii="Helvetica Neue" w:eastAsiaTheme="majorEastAsia" w:hAnsi="Helvetica Neue"/>
        </w:rPr>
        <w:t xml:space="preserve"> </w:t>
      </w:r>
      <w:r w:rsidR="00FE054E" w:rsidRPr="00FE054E">
        <w:rPr>
          <w:rStyle w:val="added-material"/>
          <w:rFonts w:ascii="Helvetica Neue" w:eastAsiaTheme="majorEastAsia" w:hAnsi="Helvetica Neue"/>
        </w:rPr>
        <w:t>(B)</w:t>
      </w:r>
      <w:r w:rsidR="001A5B38">
        <w:rPr>
          <w:rStyle w:val="added-material"/>
          <w:rFonts w:ascii="Helvetica Neue" w:eastAsiaTheme="majorEastAsia" w:hAnsi="Helvetica Neue"/>
        </w:rPr>
        <w:t xml:space="preserve"> </w:t>
      </w:r>
      <w:r w:rsidR="00FE054E" w:rsidRPr="00FE054E">
        <w:rPr>
          <w:rStyle w:val="added-material"/>
          <w:rFonts w:ascii="Helvetica Neue" w:eastAsiaTheme="majorEastAsia" w:hAnsi="Helvetica Neue"/>
        </w:rPr>
        <w:t>Information required to evaluate the consolidated results</w:t>
      </w:r>
      <w:r w:rsidR="001A5B38">
        <w:rPr>
          <w:rStyle w:val="added-material"/>
          <w:rFonts w:ascii="Helvetica Neue" w:eastAsiaTheme="majorEastAsia" w:hAnsi="Helvetica Neue"/>
        </w:rPr>
        <w:t>;</w:t>
      </w:r>
      <w:r w:rsidR="00FE054E">
        <w:rPr>
          <w:rStyle w:val="added-material"/>
          <w:rFonts w:ascii="Helvetica Neue" w:eastAsiaTheme="majorEastAsia" w:hAnsi="Helvetica Neue"/>
        </w:rPr>
        <w:t xml:space="preserve"> </w:t>
      </w:r>
      <w:r w:rsidR="00FE054E" w:rsidRPr="00FE054E">
        <w:rPr>
          <w:rStyle w:val="added-material"/>
          <w:rFonts w:ascii="Helvetica Neue" w:eastAsiaTheme="majorEastAsia" w:hAnsi="Helvetica Neue"/>
        </w:rPr>
        <w:t>(C)</w:t>
      </w:r>
      <w:r w:rsidR="001A5B38">
        <w:rPr>
          <w:rStyle w:val="added-material"/>
          <w:rFonts w:ascii="Helvetica Neue" w:eastAsiaTheme="majorEastAsia" w:hAnsi="Helvetica Neue"/>
        </w:rPr>
        <w:t xml:space="preserve"> </w:t>
      </w:r>
      <w:r w:rsidR="00FE054E" w:rsidRPr="00FE054E">
        <w:rPr>
          <w:rStyle w:val="added-material"/>
          <w:rFonts w:ascii="Helvetica Neue" w:eastAsiaTheme="majorEastAsia" w:hAnsi="Helvetica Neue"/>
        </w:rPr>
        <w:t>Recommendations for program improvement.</w:t>
      </w:r>
      <w:r w:rsidR="00EB1602" w:rsidRPr="00FE054E">
        <w:rPr>
          <w:rStyle w:val="added-material"/>
          <w:rFonts w:ascii="Arial" w:eastAsiaTheme="majorEastAsia" w:hAnsi="Arial" w:cs="Arial"/>
        </w:rPr>
        <w:t xml:space="preserve">” </w:t>
      </w:r>
      <w:r w:rsidR="00EB1602" w:rsidRPr="00FE054E">
        <w:rPr>
          <w:rFonts w:ascii="Arial" w:hAnsi="Arial" w:cs="Arial"/>
        </w:rPr>
        <w:t>The</w:t>
      </w:r>
      <w:r w:rsidR="00C9574A" w:rsidRPr="00FE054E">
        <w:rPr>
          <w:rFonts w:ascii="Arial" w:hAnsi="Arial" w:cs="Arial"/>
        </w:rPr>
        <w:t xml:space="preserve"> program </w:t>
      </w:r>
      <w:r w:rsidR="00C9574A" w:rsidRPr="004B227E">
        <w:rPr>
          <w:rFonts w:ascii="Arial" w:hAnsi="Arial" w:cs="Arial"/>
        </w:rPr>
        <w:t>was established to strengthen the delivery of instructional services to</w:t>
      </w:r>
      <w:r w:rsidR="00D6557B" w:rsidRPr="004B227E">
        <w:rPr>
          <w:rFonts w:ascii="Arial" w:hAnsi="Arial" w:cs="Arial"/>
        </w:rPr>
        <w:t xml:space="preserve"> </w:t>
      </w:r>
      <w:r w:rsidR="009B0E00" w:rsidRPr="004B227E">
        <w:rPr>
          <w:rFonts w:ascii="Arial" w:hAnsi="Arial" w:cs="Arial"/>
        </w:rPr>
        <w:t xml:space="preserve">American </w:t>
      </w:r>
      <w:r w:rsidR="00C9574A" w:rsidRPr="004B227E">
        <w:rPr>
          <w:rFonts w:ascii="Arial" w:hAnsi="Arial" w:cs="Arial"/>
        </w:rPr>
        <w:t xml:space="preserve">Indian students within the public schools </w:t>
      </w:r>
      <w:proofErr w:type="gramStart"/>
      <w:r w:rsidR="00C9574A" w:rsidRPr="004B227E">
        <w:rPr>
          <w:rFonts w:ascii="Arial" w:hAnsi="Arial" w:cs="Arial"/>
        </w:rPr>
        <w:t>through the use of</w:t>
      </w:r>
      <w:proofErr w:type="gramEnd"/>
      <w:r w:rsidR="00C9574A" w:rsidRPr="004B227E">
        <w:rPr>
          <w:rFonts w:ascii="Arial" w:hAnsi="Arial" w:cs="Arial"/>
        </w:rPr>
        <w:t xml:space="preserve"> educational resource centers</w:t>
      </w:r>
      <w:r w:rsidR="00EB1602" w:rsidRPr="004B227E">
        <w:rPr>
          <w:rFonts w:ascii="Arial" w:hAnsi="Arial" w:cs="Arial"/>
        </w:rPr>
        <w:t xml:space="preserve">. </w:t>
      </w:r>
      <w:r w:rsidR="00C9574A" w:rsidRPr="004B227E">
        <w:rPr>
          <w:rFonts w:ascii="Arial" w:hAnsi="Arial" w:cs="Arial"/>
        </w:rPr>
        <w:t>The primary focus of the AIECs</w:t>
      </w:r>
      <w:r>
        <w:rPr>
          <w:rFonts w:ascii="Arial" w:hAnsi="Arial" w:cs="Arial"/>
        </w:rPr>
        <w:t xml:space="preserve"> </w:t>
      </w:r>
      <w:r w:rsidR="00C9574A" w:rsidRPr="004B227E">
        <w:rPr>
          <w:rFonts w:ascii="Arial" w:hAnsi="Arial" w:cs="Arial"/>
        </w:rPr>
        <w:t>is on providing direct services to improve achievement in reading/language arts</w:t>
      </w:r>
      <w:r w:rsidR="00656120">
        <w:rPr>
          <w:rFonts w:ascii="Arial" w:hAnsi="Arial" w:cs="Arial"/>
        </w:rPr>
        <w:t>,</w:t>
      </w:r>
      <w:r w:rsidR="00C9574A" w:rsidRPr="004B227E">
        <w:rPr>
          <w:rFonts w:ascii="Arial" w:hAnsi="Arial" w:cs="Arial"/>
        </w:rPr>
        <w:t xml:space="preserve"> and mathematics.</w:t>
      </w:r>
      <w:r w:rsidR="00B20286" w:rsidRPr="004B227E">
        <w:rPr>
          <w:rFonts w:ascii="Arial" w:hAnsi="Arial" w:cs="Arial"/>
        </w:rPr>
        <w:t xml:space="preserve"> </w:t>
      </w:r>
      <w:r w:rsidR="00C9574A" w:rsidRPr="004B227E">
        <w:rPr>
          <w:rFonts w:ascii="Arial" w:hAnsi="Arial" w:cs="Arial"/>
        </w:rPr>
        <w:t>A secondary</w:t>
      </w:r>
      <w:r w:rsidR="00532670" w:rsidRPr="004B227E">
        <w:rPr>
          <w:rFonts w:ascii="Arial" w:hAnsi="Arial" w:cs="Arial"/>
        </w:rPr>
        <w:t xml:space="preserve"> </w:t>
      </w:r>
      <w:r w:rsidR="00C9574A" w:rsidRPr="004B227E">
        <w:rPr>
          <w:rFonts w:ascii="Arial" w:hAnsi="Arial" w:cs="Arial"/>
        </w:rPr>
        <w:t>but equally important</w:t>
      </w:r>
      <w:r w:rsidR="00532670" w:rsidRPr="004B227E">
        <w:rPr>
          <w:rFonts w:ascii="Arial" w:hAnsi="Arial" w:cs="Arial"/>
        </w:rPr>
        <w:t xml:space="preserve"> </w:t>
      </w:r>
      <w:r w:rsidR="00C9574A" w:rsidRPr="004B227E">
        <w:rPr>
          <w:rFonts w:ascii="Arial" w:hAnsi="Arial" w:cs="Arial"/>
        </w:rPr>
        <w:t xml:space="preserve">purpose is to build student self-concept through cultural activities. </w:t>
      </w:r>
      <w:r w:rsidR="0040336F">
        <w:rPr>
          <w:rFonts w:ascii="Arial" w:hAnsi="Arial" w:cs="Arial"/>
        </w:rPr>
        <w:t>The</w:t>
      </w:r>
      <w:r w:rsidR="00C9574A" w:rsidRPr="004B227E">
        <w:rPr>
          <w:rFonts w:ascii="Arial" w:hAnsi="Arial" w:cs="Arial"/>
        </w:rPr>
        <w:t xml:space="preserve"> desired outcome of these activities is to create a skilled, educated workforce in the American Indian community and in California.</w:t>
      </w:r>
    </w:p>
    <w:p w14:paraId="6574DDB5" w14:textId="75F3F382" w:rsidR="00C9574A" w:rsidRPr="004B227E" w:rsidRDefault="00C9574A" w:rsidP="004B227E">
      <w:pPr>
        <w:spacing w:before="240"/>
        <w:rPr>
          <w:rFonts w:cs="Arial"/>
          <w:szCs w:val="24"/>
        </w:rPr>
      </w:pPr>
      <w:r w:rsidRPr="004B227E">
        <w:rPr>
          <w:rFonts w:cs="Arial"/>
          <w:szCs w:val="24"/>
        </w:rPr>
        <w:t>Since their implementation, the AIECs have touched the lives</w:t>
      </w:r>
      <w:r w:rsidR="0059779F" w:rsidRPr="004B227E">
        <w:rPr>
          <w:rFonts w:cs="Arial"/>
          <w:szCs w:val="24"/>
        </w:rPr>
        <w:t xml:space="preserve"> of</w:t>
      </w:r>
      <w:r w:rsidRPr="004B227E">
        <w:rPr>
          <w:rFonts w:cs="Arial"/>
          <w:szCs w:val="24"/>
        </w:rPr>
        <w:t xml:space="preserve"> hundreds of American Indian families. In 2013</w:t>
      </w:r>
      <w:r w:rsidR="0057251A" w:rsidRPr="004B227E">
        <w:rPr>
          <w:rFonts w:cs="Arial"/>
          <w:szCs w:val="24"/>
        </w:rPr>
        <w:t>–</w:t>
      </w:r>
      <w:r w:rsidRPr="004B227E">
        <w:rPr>
          <w:rFonts w:cs="Arial"/>
          <w:szCs w:val="24"/>
        </w:rPr>
        <w:t xml:space="preserve">19, </w:t>
      </w:r>
      <w:r w:rsidR="00532670" w:rsidRPr="004B227E">
        <w:rPr>
          <w:rFonts w:cs="Arial"/>
          <w:szCs w:val="24"/>
        </w:rPr>
        <w:t xml:space="preserve">over </w:t>
      </w:r>
      <w:r w:rsidRPr="004B227E">
        <w:rPr>
          <w:rFonts w:cs="Arial"/>
          <w:szCs w:val="24"/>
        </w:rPr>
        <w:t>1</w:t>
      </w:r>
      <w:r w:rsidR="00532670" w:rsidRPr="004B227E">
        <w:rPr>
          <w:rFonts w:cs="Arial"/>
          <w:szCs w:val="24"/>
        </w:rPr>
        <w:t>,</w:t>
      </w:r>
      <w:r w:rsidRPr="004B227E">
        <w:rPr>
          <w:rFonts w:cs="Arial"/>
          <w:szCs w:val="24"/>
        </w:rPr>
        <w:t xml:space="preserve">500 American Indian students received services </w:t>
      </w:r>
      <w:r w:rsidR="0088038D">
        <w:rPr>
          <w:rFonts w:cs="Arial"/>
          <w:szCs w:val="24"/>
        </w:rPr>
        <w:t>during</w:t>
      </w:r>
      <w:r w:rsidRPr="004B227E">
        <w:rPr>
          <w:rFonts w:cs="Arial"/>
          <w:szCs w:val="24"/>
        </w:rPr>
        <w:t xml:space="preserve"> the school year and </w:t>
      </w:r>
      <w:r w:rsidR="00713B35" w:rsidRPr="004B227E">
        <w:rPr>
          <w:rFonts w:cs="Arial"/>
          <w:szCs w:val="24"/>
        </w:rPr>
        <w:t xml:space="preserve">over </w:t>
      </w:r>
      <w:r w:rsidRPr="004B227E">
        <w:rPr>
          <w:rFonts w:cs="Arial"/>
          <w:szCs w:val="24"/>
        </w:rPr>
        <w:t>1</w:t>
      </w:r>
      <w:r w:rsidR="00532670" w:rsidRPr="004B227E">
        <w:rPr>
          <w:rFonts w:cs="Arial"/>
          <w:szCs w:val="24"/>
        </w:rPr>
        <w:t>,</w:t>
      </w:r>
      <w:r w:rsidRPr="004B227E">
        <w:rPr>
          <w:rFonts w:cs="Arial"/>
          <w:szCs w:val="24"/>
        </w:rPr>
        <w:t>000 American Indian students received services in the summer. Thousands of California residents</w:t>
      </w:r>
      <w:r w:rsidR="00713B35" w:rsidRPr="004B227E">
        <w:rPr>
          <w:rFonts w:cs="Arial"/>
          <w:szCs w:val="24"/>
        </w:rPr>
        <w:t>,</w:t>
      </w:r>
      <w:r w:rsidRPr="004B227E">
        <w:rPr>
          <w:rFonts w:cs="Arial"/>
          <w:szCs w:val="24"/>
        </w:rPr>
        <w:t xml:space="preserve"> both American Indians and non-native</w:t>
      </w:r>
      <w:r w:rsidR="0088038D">
        <w:rPr>
          <w:rFonts w:cs="Arial"/>
          <w:szCs w:val="24"/>
        </w:rPr>
        <w:t xml:space="preserve"> students</w:t>
      </w:r>
      <w:r w:rsidR="00713B35" w:rsidRPr="004B227E">
        <w:rPr>
          <w:rFonts w:cs="Arial"/>
          <w:szCs w:val="24"/>
        </w:rPr>
        <w:t>,</w:t>
      </w:r>
      <w:r w:rsidRPr="004B227E">
        <w:rPr>
          <w:rFonts w:cs="Arial"/>
          <w:szCs w:val="24"/>
        </w:rPr>
        <w:t xml:space="preserve"> received the benefits of the AIECs’ cultural programming.</w:t>
      </w:r>
    </w:p>
    <w:p w14:paraId="2F7F510F" w14:textId="02BC0D57" w:rsidR="000C4AA6" w:rsidRPr="004B227E" w:rsidRDefault="009861DC" w:rsidP="004B227E">
      <w:pPr>
        <w:spacing w:before="240"/>
        <w:rPr>
          <w:rFonts w:cs="Arial"/>
          <w:szCs w:val="24"/>
        </w:rPr>
      </w:pPr>
      <w:r>
        <w:rPr>
          <w:rFonts w:cs="Arial"/>
          <w:szCs w:val="24"/>
        </w:rPr>
        <w:t>This r</w:t>
      </w:r>
      <w:r w:rsidR="00C9574A" w:rsidRPr="004B227E">
        <w:rPr>
          <w:rFonts w:cs="Arial"/>
          <w:szCs w:val="24"/>
        </w:rPr>
        <w:t>eport indicate</w:t>
      </w:r>
      <w:r w:rsidR="00533FBA" w:rsidRPr="004B227E">
        <w:rPr>
          <w:rFonts w:cs="Arial"/>
          <w:szCs w:val="24"/>
        </w:rPr>
        <w:t>s</w:t>
      </w:r>
      <w:r w:rsidR="00C9574A" w:rsidRPr="004B227E">
        <w:rPr>
          <w:rFonts w:cs="Arial"/>
          <w:szCs w:val="24"/>
        </w:rPr>
        <w:t xml:space="preserve"> that the AIECs are providing the services enumerated in </w:t>
      </w:r>
      <w:r w:rsidR="00284006" w:rsidRPr="004B227E">
        <w:rPr>
          <w:rFonts w:cs="Arial"/>
          <w:i/>
          <w:szCs w:val="24"/>
        </w:rPr>
        <w:t>EC</w:t>
      </w:r>
      <w:r w:rsidR="00C9574A" w:rsidRPr="004B227E">
        <w:rPr>
          <w:rFonts w:cs="Arial"/>
          <w:szCs w:val="24"/>
        </w:rPr>
        <w:t xml:space="preserve"> Section 33381. Key findings include:</w:t>
      </w:r>
    </w:p>
    <w:p w14:paraId="40A4A258" w14:textId="6422C9B5" w:rsidR="000C4AA6" w:rsidRPr="004B227E" w:rsidRDefault="000C4AA6" w:rsidP="0048570F">
      <w:pPr>
        <w:pStyle w:val="ListParagraph"/>
        <w:numPr>
          <w:ilvl w:val="0"/>
          <w:numId w:val="3"/>
        </w:numPr>
        <w:spacing w:before="240"/>
        <w:contextualSpacing w:val="0"/>
        <w:rPr>
          <w:rFonts w:cs="Arial"/>
          <w:szCs w:val="24"/>
        </w:rPr>
      </w:pPr>
      <w:r w:rsidRPr="004B227E">
        <w:rPr>
          <w:rFonts w:cs="Arial"/>
          <w:szCs w:val="24"/>
        </w:rPr>
        <w:t xml:space="preserve">All centers report that they are providing programs that </w:t>
      </w:r>
      <w:proofErr w:type="gramStart"/>
      <w:r w:rsidRPr="004B227E">
        <w:rPr>
          <w:rFonts w:cs="Arial"/>
          <w:szCs w:val="24"/>
        </w:rPr>
        <w:t>are designed</w:t>
      </w:r>
      <w:proofErr w:type="gramEnd"/>
      <w:r w:rsidRPr="004B227E">
        <w:rPr>
          <w:rFonts w:cs="Arial"/>
          <w:szCs w:val="24"/>
        </w:rPr>
        <w:t xml:space="preserve"> to improve the self-concept of participants by focusing on cultural activities</w:t>
      </w:r>
    </w:p>
    <w:p w14:paraId="78FA2EB7" w14:textId="32082DC3" w:rsidR="000C4AA6" w:rsidRPr="004B227E" w:rsidRDefault="00C9574A" w:rsidP="0048570F">
      <w:pPr>
        <w:pStyle w:val="ListParagraph"/>
        <w:numPr>
          <w:ilvl w:val="0"/>
          <w:numId w:val="3"/>
        </w:numPr>
        <w:spacing w:before="240"/>
        <w:contextualSpacing w:val="0"/>
        <w:rPr>
          <w:rFonts w:cs="Arial"/>
          <w:szCs w:val="24"/>
        </w:rPr>
      </w:pPr>
      <w:r w:rsidRPr="004B227E">
        <w:rPr>
          <w:rFonts w:cs="Arial"/>
          <w:szCs w:val="24"/>
        </w:rPr>
        <w:t>All centers report that they are providing academic services with particular emphasis on reading and mathematics</w:t>
      </w:r>
    </w:p>
    <w:p w14:paraId="09F9C956" w14:textId="3908EF96" w:rsidR="000C4AA6" w:rsidRPr="004B227E" w:rsidRDefault="00C9574A" w:rsidP="0048570F">
      <w:pPr>
        <w:pStyle w:val="ListParagraph"/>
        <w:numPr>
          <w:ilvl w:val="0"/>
          <w:numId w:val="3"/>
        </w:numPr>
        <w:spacing w:before="240"/>
        <w:contextualSpacing w:val="0"/>
        <w:rPr>
          <w:rFonts w:cs="Arial"/>
          <w:szCs w:val="24"/>
        </w:rPr>
      </w:pPr>
      <w:r w:rsidRPr="004B227E">
        <w:rPr>
          <w:rFonts w:cs="Arial"/>
          <w:szCs w:val="24"/>
        </w:rPr>
        <w:t>The participating students report greater self-image/self-confidence and academic success</w:t>
      </w:r>
    </w:p>
    <w:p w14:paraId="0EDCAAFE" w14:textId="57EFEFC9" w:rsidR="00EB1602" w:rsidRPr="004B227E" w:rsidRDefault="0040336F" w:rsidP="004B227E">
      <w:pPr>
        <w:tabs>
          <w:tab w:val="right" w:pos="9360"/>
        </w:tabs>
        <w:autoSpaceDE w:val="0"/>
        <w:autoSpaceDN w:val="0"/>
        <w:adjustRightInd w:val="0"/>
        <w:spacing w:before="240"/>
        <w:rPr>
          <w:rFonts w:cs="Arial"/>
          <w:bCs/>
          <w:szCs w:val="24"/>
        </w:rPr>
      </w:pPr>
      <w:r w:rsidRPr="004B227E">
        <w:rPr>
          <w:rFonts w:cs="Arial"/>
          <w:bCs/>
          <w:szCs w:val="24"/>
        </w:rPr>
        <w:t xml:space="preserve">You can find this report </w:t>
      </w:r>
      <w:r>
        <w:rPr>
          <w:rFonts w:cs="Arial"/>
          <w:bCs/>
          <w:szCs w:val="24"/>
        </w:rPr>
        <w:t>on</w:t>
      </w:r>
      <w:r w:rsidRPr="004B227E">
        <w:rPr>
          <w:rFonts w:cs="Arial"/>
          <w:bCs/>
          <w:szCs w:val="24"/>
        </w:rPr>
        <w:t xml:space="preserve"> the California Department of Education</w:t>
      </w:r>
      <w:r>
        <w:rPr>
          <w:rFonts w:cs="Arial"/>
          <w:bCs/>
          <w:szCs w:val="24"/>
        </w:rPr>
        <w:t xml:space="preserve"> (CDE) American Indian Resources web page at </w:t>
      </w:r>
      <w:hyperlink r:id="rId21" w:tooltip="The California Department of Education's (CDE's) American Indian Resources web page" w:history="1">
        <w:r w:rsidRPr="00D62A47">
          <w:rPr>
            <w:rStyle w:val="Hyperlink"/>
            <w:rFonts w:cs="Arial"/>
            <w:bCs/>
            <w:szCs w:val="24"/>
          </w:rPr>
          <w:t>https://www.cde.ca.gov/sp/ai/re/lraiec21.asp</w:t>
        </w:r>
      </w:hyperlink>
      <w:r>
        <w:rPr>
          <w:rFonts w:cs="Arial"/>
          <w:bCs/>
          <w:szCs w:val="24"/>
        </w:rPr>
        <w:t xml:space="preserve">. </w:t>
      </w:r>
      <w:r w:rsidR="00EB1602" w:rsidRPr="004B227E">
        <w:rPr>
          <w:rFonts w:cs="Arial"/>
          <w:iCs/>
          <w:color w:val="000000"/>
          <w:szCs w:val="24"/>
        </w:rPr>
        <w:t>If you have any questions regarding this report</w:t>
      </w:r>
      <w:r w:rsidR="00BC2E04">
        <w:rPr>
          <w:rFonts w:cs="Arial"/>
          <w:iCs/>
          <w:color w:val="000000"/>
          <w:szCs w:val="24"/>
        </w:rPr>
        <w:t xml:space="preserve"> or would like a copy of this report</w:t>
      </w:r>
      <w:r w:rsidR="00EB1602" w:rsidRPr="004B227E">
        <w:rPr>
          <w:rFonts w:cs="Arial"/>
          <w:iCs/>
          <w:color w:val="000000"/>
          <w:szCs w:val="24"/>
        </w:rPr>
        <w:t xml:space="preserve">, </w:t>
      </w:r>
      <w:r w:rsidR="00EB1602" w:rsidRPr="004B227E">
        <w:rPr>
          <w:rFonts w:cs="Arial"/>
          <w:iCs/>
          <w:szCs w:val="24"/>
        </w:rPr>
        <w:t>please contact Judy Delgado, American Indian Education Consultant, Student Achievement</w:t>
      </w:r>
      <w:r w:rsidR="002002E3">
        <w:rPr>
          <w:rFonts w:cs="Arial"/>
          <w:iCs/>
          <w:szCs w:val="24"/>
        </w:rPr>
        <w:t xml:space="preserve"> and Support</w:t>
      </w:r>
      <w:r w:rsidR="00EB1602" w:rsidRPr="004B227E">
        <w:rPr>
          <w:rFonts w:cs="Arial"/>
          <w:iCs/>
          <w:szCs w:val="24"/>
        </w:rPr>
        <w:t xml:space="preserve"> Division, by phone at 916-319-0506 </w:t>
      </w:r>
      <w:r w:rsidR="00EB1602" w:rsidRPr="004B227E">
        <w:rPr>
          <w:rFonts w:cs="Arial"/>
          <w:iCs/>
          <w:color w:val="000000"/>
          <w:szCs w:val="24"/>
        </w:rPr>
        <w:t xml:space="preserve">or by email </w:t>
      </w:r>
      <w:r w:rsidR="00EB1602" w:rsidRPr="004B227E">
        <w:rPr>
          <w:rFonts w:cs="Arial"/>
          <w:iCs/>
          <w:szCs w:val="24"/>
        </w:rPr>
        <w:t>at</w:t>
      </w:r>
      <w:r w:rsidR="00EB1602" w:rsidRPr="004B227E">
        <w:rPr>
          <w:rFonts w:cs="Arial"/>
          <w:iCs/>
          <w:color w:val="FF0000"/>
          <w:szCs w:val="24"/>
        </w:rPr>
        <w:t xml:space="preserve"> </w:t>
      </w:r>
      <w:hyperlink r:id="rId22" w:history="1">
        <w:r w:rsidR="004B227E" w:rsidRPr="00BA500F">
          <w:rPr>
            <w:rStyle w:val="Hyperlink"/>
            <w:rFonts w:cs="Arial"/>
            <w:iCs/>
            <w:szCs w:val="24"/>
          </w:rPr>
          <w:t>JuDelgado@cde.ca.gov</w:t>
        </w:r>
      </w:hyperlink>
      <w:r w:rsidR="00EB1602" w:rsidRPr="004B227E">
        <w:rPr>
          <w:rFonts w:cs="Arial"/>
          <w:iCs/>
          <w:color w:val="000000"/>
          <w:szCs w:val="24"/>
        </w:rPr>
        <w:t>.</w:t>
      </w:r>
    </w:p>
    <w:p w14:paraId="2315F315" w14:textId="23BE7F36" w:rsidR="00EB1602" w:rsidRPr="004B0BA0" w:rsidRDefault="00EB1602" w:rsidP="004B0BA0">
      <w:pPr>
        <w:tabs>
          <w:tab w:val="right" w:pos="9360"/>
        </w:tabs>
        <w:autoSpaceDE w:val="0"/>
        <w:autoSpaceDN w:val="0"/>
        <w:adjustRightInd w:val="0"/>
        <w:spacing w:before="240"/>
        <w:rPr>
          <w:rFonts w:cs="Arial"/>
          <w:iCs/>
          <w:color w:val="000000"/>
          <w:szCs w:val="24"/>
        </w:rPr>
        <w:sectPr w:rsidR="00EB1602" w:rsidRPr="004B0BA0" w:rsidSect="00A1799B">
          <w:pgSz w:w="12240" w:h="15840"/>
          <w:pgMar w:top="1440" w:right="1440" w:bottom="1440" w:left="1440" w:header="720" w:footer="720" w:gutter="0"/>
          <w:cols w:space="720"/>
          <w:docGrid w:linePitch="360"/>
        </w:sectPr>
      </w:pPr>
    </w:p>
    <w:p w14:paraId="26D02C53" w14:textId="77777777" w:rsidR="00A429BD" w:rsidRDefault="00971B58" w:rsidP="00C122BA">
      <w:pPr>
        <w:pStyle w:val="Heading2"/>
        <w:jc w:val="center"/>
      </w:pPr>
      <w:bookmarkStart w:id="13" w:name="_Toc140496113"/>
      <w:r w:rsidRPr="00D24383">
        <w:lastRenderedPageBreak/>
        <w:t>Introduction</w:t>
      </w:r>
      <w:bookmarkEnd w:id="13"/>
    </w:p>
    <w:p w14:paraId="0474541D" w14:textId="467CC34A" w:rsidR="00C9574A" w:rsidRPr="00D24383" w:rsidRDefault="00C9574A" w:rsidP="00D24383">
      <w:pPr>
        <w:spacing w:before="240"/>
        <w:rPr>
          <w:rFonts w:cs="Arial"/>
          <w:szCs w:val="24"/>
        </w:rPr>
      </w:pPr>
      <w:r w:rsidRPr="00D24383">
        <w:rPr>
          <w:rFonts w:cs="Arial"/>
          <w:szCs w:val="24"/>
        </w:rPr>
        <w:t>In 1974, California set precedence in its goal to honor historical obligations in the education of American Indian people through the establishment of the AIEC Program</w:t>
      </w:r>
      <w:r w:rsidR="00DF2705">
        <w:rPr>
          <w:rFonts w:cs="Arial"/>
          <w:szCs w:val="24"/>
        </w:rPr>
        <w:t xml:space="preserve"> through </w:t>
      </w:r>
      <w:r w:rsidR="00DF2705" w:rsidRPr="00DF2705">
        <w:rPr>
          <w:rFonts w:cs="Arial"/>
          <w:szCs w:val="24"/>
        </w:rPr>
        <w:t>SB 2264</w:t>
      </w:r>
      <w:r w:rsidR="001C70F6">
        <w:rPr>
          <w:rFonts w:cs="Arial"/>
          <w:szCs w:val="24"/>
        </w:rPr>
        <w:t>,</w:t>
      </w:r>
      <w:r w:rsidR="00DF2705" w:rsidRPr="00DF2705">
        <w:rPr>
          <w:rFonts w:cs="Arial"/>
          <w:szCs w:val="24"/>
        </w:rPr>
        <w:t xml:space="preserve"> </w:t>
      </w:r>
      <w:r w:rsidR="00DF2705">
        <w:rPr>
          <w:rFonts w:cs="Arial"/>
          <w:szCs w:val="24"/>
        </w:rPr>
        <w:t xml:space="preserve">which </w:t>
      </w:r>
      <w:r w:rsidR="00DF2705" w:rsidRPr="00DF2705">
        <w:rPr>
          <w:rFonts w:cs="Arial"/>
          <w:szCs w:val="24"/>
        </w:rPr>
        <w:t xml:space="preserve">established </w:t>
      </w:r>
      <w:r w:rsidR="00DF2705" w:rsidRPr="00DF2705">
        <w:rPr>
          <w:rFonts w:cs="Arial"/>
          <w:i/>
          <w:szCs w:val="24"/>
        </w:rPr>
        <w:t>EC</w:t>
      </w:r>
      <w:r w:rsidR="00DF2705" w:rsidRPr="00DF2705">
        <w:rPr>
          <w:rFonts w:cs="Arial"/>
          <w:szCs w:val="24"/>
        </w:rPr>
        <w:t xml:space="preserve"> sections 526-530, currently </w:t>
      </w:r>
      <w:r w:rsidR="00DF2705" w:rsidRPr="00DF2705">
        <w:rPr>
          <w:rFonts w:cs="Arial"/>
          <w:i/>
          <w:szCs w:val="24"/>
        </w:rPr>
        <w:t>EC</w:t>
      </w:r>
      <w:r w:rsidR="00DF2705" w:rsidRPr="00DF2705">
        <w:rPr>
          <w:rFonts w:cs="Arial"/>
          <w:szCs w:val="24"/>
        </w:rPr>
        <w:t xml:space="preserve"> sections 33380-85</w:t>
      </w:r>
      <w:r w:rsidR="00DF2705">
        <w:rPr>
          <w:rFonts w:cs="Arial"/>
          <w:szCs w:val="24"/>
        </w:rPr>
        <w:t xml:space="preserve">. The </w:t>
      </w:r>
      <w:r w:rsidRPr="00D24383">
        <w:rPr>
          <w:rFonts w:cs="Arial"/>
          <w:szCs w:val="24"/>
        </w:rPr>
        <w:t xml:space="preserve">intent is to provide educational services that promote American Indian student academic success by providing community-based programs to address the unique academic and cultural needs of American Indian students in public schools in California. The initial allocation totaled $400,000, of which $350,000 was awarded to </w:t>
      </w:r>
      <w:proofErr w:type="gramStart"/>
      <w:r w:rsidR="0059779F">
        <w:rPr>
          <w:rFonts w:cs="Arial"/>
          <w:szCs w:val="24"/>
        </w:rPr>
        <w:t>10</w:t>
      </w:r>
      <w:proofErr w:type="gramEnd"/>
      <w:r w:rsidRPr="00D24383">
        <w:rPr>
          <w:rFonts w:cs="Arial"/>
          <w:szCs w:val="24"/>
        </w:rPr>
        <w:t xml:space="preserve"> programs through a grant application process</w:t>
      </w:r>
      <w:r w:rsidR="00041F31" w:rsidRPr="00D24383">
        <w:rPr>
          <w:rFonts w:cs="Arial"/>
          <w:szCs w:val="24"/>
        </w:rPr>
        <w:t xml:space="preserve"> and</w:t>
      </w:r>
      <w:r w:rsidRPr="00D24383">
        <w:rPr>
          <w:rFonts w:cs="Arial"/>
          <w:szCs w:val="24"/>
        </w:rPr>
        <w:t xml:space="preserve"> $50,000 was used for state administration. The funds have risen to the 2019</w:t>
      </w:r>
      <w:r w:rsidR="00B20286" w:rsidRPr="00D24383">
        <w:rPr>
          <w:rFonts w:cs="Arial"/>
          <w:szCs w:val="24"/>
        </w:rPr>
        <w:t>–</w:t>
      </w:r>
      <w:r w:rsidRPr="00D24383">
        <w:rPr>
          <w:rFonts w:cs="Arial"/>
          <w:szCs w:val="24"/>
        </w:rPr>
        <w:t xml:space="preserve">20 allocation of $4,468,000, which is allocated to the </w:t>
      </w:r>
      <w:proofErr w:type="gramStart"/>
      <w:r w:rsidRPr="00D24383">
        <w:rPr>
          <w:rFonts w:cs="Arial"/>
          <w:szCs w:val="24"/>
        </w:rPr>
        <w:t>23</w:t>
      </w:r>
      <w:proofErr w:type="gramEnd"/>
      <w:r w:rsidRPr="00D24383">
        <w:rPr>
          <w:rFonts w:cs="Arial"/>
          <w:szCs w:val="24"/>
        </w:rPr>
        <w:t xml:space="preserve"> currently</w:t>
      </w:r>
      <w:r w:rsidR="001C70F6">
        <w:rPr>
          <w:rFonts w:cs="Arial"/>
          <w:szCs w:val="24"/>
        </w:rPr>
        <w:t xml:space="preserve"> </w:t>
      </w:r>
      <w:r w:rsidRPr="00D24383">
        <w:rPr>
          <w:rFonts w:cs="Arial"/>
          <w:szCs w:val="24"/>
        </w:rPr>
        <w:t>funded AIECs.</w:t>
      </w:r>
    </w:p>
    <w:p w14:paraId="7DCB80B9" w14:textId="204BBD3F" w:rsidR="00C9574A" w:rsidRPr="00D24383" w:rsidRDefault="00C9574A" w:rsidP="00D24383">
      <w:pPr>
        <w:spacing w:before="240"/>
        <w:rPr>
          <w:rFonts w:cs="Arial"/>
          <w:szCs w:val="24"/>
        </w:rPr>
      </w:pPr>
      <w:r w:rsidRPr="00D24383">
        <w:rPr>
          <w:rFonts w:cs="Arial"/>
          <w:szCs w:val="24"/>
        </w:rPr>
        <w:t>Each of the centers serve</w:t>
      </w:r>
      <w:r w:rsidR="003E151A" w:rsidRPr="00D24383">
        <w:rPr>
          <w:rFonts w:cs="Arial"/>
          <w:szCs w:val="24"/>
        </w:rPr>
        <w:t>s</w:t>
      </w:r>
      <w:r w:rsidRPr="00D24383">
        <w:rPr>
          <w:rFonts w:cs="Arial"/>
          <w:szCs w:val="24"/>
        </w:rPr>
        <w:t xml:space="preserve"> as an educational resource in American Indian communities for American Indian students, parents, and public schools. A student’s heritage may be from any of the 109 recognized California tribes, one of the </w:t>
      </w:r>
      <w:proofErr w:type="gramStart"/>
      <w:r w:rsidRPr="00D24383">
        <w:rPr>
          <w:rFonts w:cs="Arial"/>
          <w:szCs w:val="24"/>
        </w:rPr>
        <w:t>many</w:t>
      </w:r>
      <w:proofErr w:type="gramEnd"/>
      <w:r w:rsidRPr="00D24383">
        <w:rPr>
          <w:rFonts w:cs="Arial"/>
          <w:szCs w:val="24"/>
        </w:rPr>
        <w:t xml:space="preserve"> unrecognized California </w:t>
      </w:r>
      <w:r w:rsidR="003E151A" w:rsidRPr="00D24383">
        <w:rPr>
          <w:rFonts w:cs="Arial"/>
          <w:szCs w:val="24"/>
        </w:rPr>
        <w:t>t</w:t>
      </w:r>
      <w:r w:rsidRPr="00D24383">
        <w:rPr>
          <w:rFonts w:cs="Arial"/>
          <w:szCs w:val="24"/>
        </w:rPr>
        <w:t>ribes, or any of the hundreds of tribes from across the country. The primary emphasis is on direct services to improve achievement in reading/language arts and mathematics. A secondary purpose is to build student self-concept through cultural activities. A primary outcome of these activities is to create a skilled, educated workforce in the American Indian community and in California.</w:t>
      </w:r>
    </w:p>
    <w:p w14:paraId="03162F26" w14:textId="77777777" w:rsidR="00C9574A" w:rsidRPr="00D24383" w:rsidRDefault="00B20286" w:rsidP="005F61CB">
      <w:pPr>
        <w:pStyle w:val="Heading3"/>
      </w:pPr>
      <w:bookmarkStart w:id="14" w:name="_Toc140496114"/>
      <w:r w:rsidRPr="00D24383">
        <w:t xml:space="preserve">Purpose and </w:t>
      </w:r>
      <w:r w:rsidRPr="005F61CB">
        <w:t>Intent</w:t>
      </w:r>
      <w:r w:rsidRPr="00D24383">
        <w:t xml:space="preserve"> of the Program</w:t>
      </w:r>
      <w:bookmarkEnd w:id="14"/>
    </w:p>
    <w:p w14:paraId="051B74B0" w14:textId="2A21848A" w:rsidR="00C9574A" w:rsidRPr="00D24383" w:rsidRDefault="00C9574A" w:rsidP="482B1D78">
      <w:pPr>
        <w:spacing w:before="240"/>
        <w:rPr>
          <w:rFonts w:cs="Arial"/>
        </w:rPr>
      </w:pPr>
      <w:r w:rsidRPr="482B1D78">
        <w:rPr>
          <w:rFonts w:cs="Arial"/>
        </w:rPr>
        <w:t xml:space="preserve">The purpose and intent of this program </w:t>
      </w:r>
      <w:proofErr w:type="gramStart"/>
      <w:r w:rsidR="009861DC" w:rsidRPr="482B1D78">
        <w:rPr>
          <w:rFonts w:cs="Arial"/>
        </w:rPr>
        <w:t>are</w:t>
      </w:r>
      <w:r w:rsidRPr="482B1D78">
        <w:rPr>
          <w:rFonts w:cs="Arial"/>
        </w:rPr>
        <w:t xml:space="preserve"> enumerated</w:t>
      </w:r>
      <w:proofErr w:type="gramEnd"/>
      <w:r w:rsidRPr="482B1D78">
        <w:rPr>
          <w:rFonts w:cs="Arial"/>
        </w:rPr>
        <w:t xml:space="preserve"> in </w:t>
      </w:r>
      <w:r w:rsidRPr="482B1D78">
        <w:rPr>
          <w:rFonts w:cs="Arial"/>
          <w:i/>
          <w:iCs/>
        </w:rPr>
        <w:t>EC</w:t>
      </w:r>
      <w:r w:rsidRPr="482B1D78">
        <w:rPr>
          <w:rFonts w:cs="Arial"/>
        </w:rPr>
        <w:t xml:space="preserve"> </w:t>
      </w:r>
      <w:r w:rsidR="00DF2705">
        <w:rPr>
          <w:rFonts w:cs="Arial"/>
        </w:rPr>
        <w:t>S</w:t>
      </w:r>
      <w:r w:rsidRPr="482B1D78">
        <w:rPr>
          <w:rFonts w:cs="Arial"/>
        </w:rPr>
        <w:t>ection</w:t>
      </w:r>
      <w:r w:rsidR="00FE054E">
        <w:rPr>
          <w:rFonts w:cs="Arial"/>
        </w:rPr>
        <w:t xml:space="preserve"> 33381 </w:t>
      </w:r>
      <w:r w:rsidRPr="482B1D78">
        <w:rPr>
          <w:rFonts w:cs="Arial"/>
        </w:rPr>
        <w:t>and include:</w:t>
      </w:r>
    </w:p>
    <w:p w14:paraId="09583A0B"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 xml:space="preserve">Improve the academic achievement of American Indian pupils in kindergarten and grades </w:t>
      </w:r>
      <w:r w:rsidR="003E151A" w:rsidRPr="00D24383">
        <w:rPr>
          <w:rFonts w:cs="Arial"/>
          <w:szCs w:val="24"/>
        </w:rPr>
        <w:t>one</w:t>
      </w:r>
      <w:r w:rsidRPr="00D24383">
        <w:rPr>
          <w:rFonts w:cs="Arial"/>
          <w:szCs w:val="24"/>
        </w:rPr>
        <w:t xml:space="preserve"> to </w:t>
      </w:r>
      <w:r w:rsidR="003E151A" w:rsidRPr="00D24383">
        <w:rPr>
          <w:rFonts w:cs="Arial"/>
          <w:szCs w:val="24"/>
        </w:rPr>
        <w:t>twelve</w:t>
      </w:r>
      <w:r w:rsidRPr="00D24383">
        <w:rPr>
          <w:rFonts w:cs="Arial"/>
          <w:szCs w:val="24"/>
        </w:rPr>
        <w:t>, inclusive</w:t>
      </w:r>
      <w:r w:rsidR="003E151A" w:rsidRPr="00D24383">
        <w:rPr>
          <w:rFonts w:cs="Arial"/>
          <w:szCs w:val="24"/>
        </w:rPr>
        <w:t>ly</w:t>
      </w:r>
    </w:p>
    <w:p w14:paraId="18B761A6"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Improve the self-concept and sense of identity of American Indian pupils and adults</w:t>
      </w:r>
    </w:p>
    <w:p w14:paraId="4E29E796"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Serve as a center for related community activities</w:t>
      </w:r>
    </w:p>
    <w:p w14:paraId="38A646FA"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Provide individual and group counseling to pupils and adults related to personal adjustment, academic progress, and vocational planning</w:t>
      </w:r>
    </w:p>
    <w:p w14:paraId="5DFDA45C"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Create and offer coordinated programs with the public schools</w:t>
      </w:r>
    </w:p>
    <w:p w14:paraId="66973875"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Provide a focus for summer cultural, recreational, and academic experiences</w:t>
      </w:r>
    </w:p>
    <w:p w14:paraId="525DD4F1"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lastRenderedPageBreak/>
        <w:t>Create and offer adult classes and activities that benefit parents or guardians of pupils in its programs</w:t>
      </w:r>
    </w:p>
    <w:p w14:paraId="74BF05BA"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Provide training programs to develop pathways to college and the workplace for American Indian pupils</w:t>
      </w:r>
    </w:p>
    <w:p w14:paraId="5F4BAB27" w14:textId="77777777" w:rsidR="00C9574A" w:rsidRPr="00D24383" w:rsidRDefault="00C9574A" w:rsidP="00D24383">
      <w:pPr>
        <w:pStyle w:val="ListParagraph"/>
        <w:numPr>
          <w:ilvl w:val="0"/>
          <w:numId w:val="4"/>
        </w:numPr>
        <w:spacing w:before="240"/>
        <w:contextualSpacing w:val="0"/>
        <w:rPr>
          <w:rFonts w:cs="Arial"/>
          <w:szCs w:val="24"/>
        </w:rPr>
      </w:pPr>
      <w:r w:rsidRPr="00D24383">
        <w:rPr>
          <w:rFonts w:cs="Arial"/>
          <w:szCs w:val="24"/>
        </w:rPr>
        <w:t xml:space="preserve">Provide American Indian educational resource materials to pupils, their parents, and the schools they attend </w:t>
      </w:r>
      <w:proofErr w:type="gramStart"/>
      <w:r w:rsidRPr="00D24383">
        <w:rPr>
          <w:rFonts w:cs="Arial"/>
          <w:szCs w:val="24"/>
        </w:rPr>
        <w:t>in order to</w:t>
      </w:r>
      <w:proofErr w:type="gramEnd"/>
      <w:r w:rsidRPr="00D24383">
        <w:rPr>
          <w:rFonts w:cs="Arial"/>
          <w:szCs w:val="24"/>
        </w:rPr>
        <w:t xml:space="preserve"> ensure appropriate tribal histories and cultures are made available</w:t>
      </w:r>
    </w:p>
    <w:p w14:paraId="74F1D74C" w14:textId="77777777" w:rsidR="00C9574A" w:rsidRPr="00D24383" w:rsidRDefault="00B20286" w:rsidP="005F61CB">
      <w:pPr>
        <w:pStyle w:val="Heading3"/>
      </w:pPr>
      <w:bookmarkStart w:id="15" w:name="_Toc140496115"/>
      <w:r w:rsidRPr="00D24383">
        <w:t>Need for the Program</w:t>
      </w:r>
      <w:bookmarkEnd w:id="15"/>
    </w:p>
    <w:p w14:paraId="7CDD8088" w14:textId="034A4B52" w:rsidR="0057251A" w:rsidRPr="00D24383" w:rsidRDefault="00C9574A" w:rsidP="00D24383">
      <w:pPr>
        <w:spacing w:before="240"/>
        <w:rPr>
          <w:rFonts w:cs="Arial"/>
          <w:szCs w:val="24"/>
        </w:rPr>
      </w:pPr>
      <w:r w:rsidRPr="00D24383">
        <w:rPr>
          <w:rFonts w:cs="Arial"/>
          <w:szCs w:val="24"/>
        </w:rPr>
        <w:t>Studies show that children from lower-income families are more likely than students from wealthier backgr</w:t>
      </w:r>
      <w:r w:rsidR="0059779F">
        <w:rPr>
          <w:rFonts w:cs="Arial"/>
          <w:szCs w:val="24"/>
        </w:rPr>
        <w:t>o</w:t>
      </w:r>
      <w:r w:rsidRPr="00D24383">
        <w:rPr>
          <w:rFonts w:cs="Arial"/>
          <w:szCs w:val="24"/>
        </w:rPr>
        <w:t>unds to have low test scores, and they are at higher risk of dropping out of school</w:t>
      </w:r>
      <w:r w:rsidR="0059779F">
        <w:rPr>
          <w:rFonts w:cs="Arial"/>
          <w:szCs w:val="24"/>
        </w:rPr>
        <w:t>.</w:t>
      </w:r>
      <w:r w:rsidR="00B0375D" w:rsidRPr="00D24383">
        <w:rPr>
          <w:rStyle w:val="FootnoteReference"/>
          <w:rFonts w:cs="Arial"/>
          <w:szCs w:val="24"/>
        </w:rPr>
        <w:footnoteReference w:id="1"/>
      </w:r>
      <w:r w:rsidR="00B20286" w:rsidRPr="00D24383">
        <w:rPr>
          <w:rFonts w:cs="Arial"/>
          <w:szCs w:val="24"/>
        </w:rPr>
        <w:t xml:space="preserve"> </w:t>
      </w:r>
      <w:r w:rsidRPr="00D24383">
        <w:rPr>
          <w:rFonts w:cs="Arial"/>
          <w:szCs w:val="24"/>
        </w:rPr>
        <w:t xml:space="preserve">Table 1 shows the percent of children living in poverty in California and </w:t>
      </w:r>
      <w:r w:rsidR="009861DC">
        <w:rPr>
          <w:rFonts w:cs="Arial"/>
          <w:szCs w:val="24"/>
        </w:rPr>
        <w:t>n</w:t>
      </w:r>
      <w:r w:rsidRPr="00D24383">
        <w:rPr>
          <w:rFonts w:cs="Arial"/>
          <w:szCs w:val="24"/>
        </w:rPr>
        <w:t xml:space="preserve">ationwide </w:t>
      </w:r>
      <w:r w:rsidR="00533FBA" w:rsidRPr="00D24383">
        <w:rPr>
          <w:rFonts w:cs="Arial"/>
          <w:szCs w:val="24"/>
        </w:rPr>
        <w:t xml:space="preserve">in </w:t>
      </w:r>
      <w:r w:rsidRPr="00D24383">
        <w:rPr>
          <w:rFonts w:cs="Arial"/>
          <w:szCs w:val="24"/>
        </w:rPr>
        <w:t>2015,</w:t>
      </w:r>
      <w:r w:rsidR="003E151A" w:rsidRPr="00D24383">
        <w:rPr>
          <w:rFonts w:cs="Arial"/>
          <w:szCs w:val="24"/>
        </w:rPr>
        <w:t xml:space="preserve"> </w:t>
      </w:r>
      <w:r w:rsidRPr="00D24383">
        <w:rPr>
          <w:rFonts w:cs="Arial"/>
          <w:szCs w:val="24"/>
        </w:rPr>
        <w:t>2016</w:t>
      </w:r>
      <w:r w:rsidR="003E151A" w:rsidRPr="00D24383">
        <w:rPr>
          <w:rFonts w:cs="Arial"/>
          <w:szCs w:val="24"/>
        </w:rPr>
        <w:t xml:space="preserve">, </w:t>
      </w:r>
      <w:r w:rsidRPr="00D24383">
        <w:rPr>
          <w:rFonts w:cs="Arial"/>
          <w:szCs w:val="24"/>
        </w:rPr>
        <w:t>2017</w:t>
      </w:r>
      <w:r w:rsidR="003E151A" w:rsidRPr="00D24383">
        <w:rPr>
          <w:rFonts w:cs="Arial"/>
          <w:szCs w:val="24"/>
        </w:rPr>
        <w:t xml:space="preserve">, </w:t>
      </w:r>
      <w:r w:rsidRPr="00D24383">
        <w:rPr>
          <w:rFonts w:cs="Arial"/>
          <w:szCs w:val="24"/>
        </w:rPr>
        <w:t>2018</w:t>
      </w:r>
      <w:r w:rsidR="003E151A" w:rsidRPr="00D24383">
        <w:rPr>
          <w:rFonts w:cs="Arial"/>
          <w:szCs w:val="24"/>
        </w:rPr>
        <w:t>,</w:t>
      </w:r>
      <w:r w:rsidRPr="00D24383">
        <w:rPr>
          <w:rFonts w:cs="Arial"/>
          <w:szCs w:val="24"/>
        </w:rPr>
        <w:t xml:space="preserve"> and 2019. The percentage of single-race American Indian and Alaska Native people who were in poverty in 2015 is 33 percent, 2016 is unavailable, 2017 is 2</w:t>
      </w:r>
      <w:r w:rsidR="00510589">
        <w:rPr>
          <w:rFonts w:cs="Arial"/>
          <w:szCs w:val="24"/>
        </w:rPr>
        <w:t>0</w:t>
      </w:r>
      <w:r w:rsidRPr="00D24383">
        <w:rPr>
          <w:rFonts w:cs="Arial"/>
          <w:szCs w:val="24"/>
        </w:rPr>
        <w:t xml:space="preserve"> percent, 2018 is 20 percent, and 2019 is 2</w:t>
      </w:r>
      <w:r w:rsidR="00510589">
        <w:rPr>
          <w:rFonts w:cs="Arial"/>
          <w:szCs w:val="24"/>
        </w:rPr>
        <w:t>0</w:t>
      </w:r>
      <w:r w:rsidRPr="00D24383">
        <w:rPr>
          <w:rFonts w:cs="Arial"/>
          <w:szCs w:val="24"/>
        </w:rPr>
        <w:t xml:space="preserve"> percent. These rates are the second</w:t>
      </w:r>
      <w:r w:rsidR="0040336F">
        <w:rPr>
          <w:rFonts w:cs="Arial"/>
          <w:szCs w:val="24"/>
        </w:rPr>
        <w:t>-</w:t>
      </w:r>
      <w:r w:rsidRPr="00D24383">
        <w:rPr>
          <w:rFonts w:cs="Arial"/>
          <w:szCs w:val="24"/>
        </w:rPr>
        <w:t>highest rate of any rac</w:t>
      </w:r>
      <w:r w:rsidR="00D5067D">
        <w:rPr>
          <w:rFonts w:cs="Arial"/>
          <w:szCs w:val="24"/>
        </w:rPr>
        <w:t>ial</w:t>
      </w:r>
      <w:r w:rsidRPr="00D24383">
        <w:rPr>
          <w:rFonts w:cs="Arial"/>
          <w:szCs w:val="24"/>
        </w:rPr>
        <w:t xml:space="preserve"> group</w:t>
      </w:r>
      <w:r w:rsidR="0059779F">
        <w:rPr>
          <w:rFonts w:cs="Arial"/>
          <w:szCs w:val="24"/>
        </w:rPr>
        <w:t>.</w:t>
      </w:r>
      <w:r w:rsidR="00B0375D" w:rsidRPr="00D24383">
        <w:rPr>
          <w:rStyle w:val="FootnoteReference"/>
          <w:rFonts w:cs="Arial"/>
          <w:szCs w:val="24"/>
        </w:rPr>
        <w:footnoteReference w:id="2"/>
      </w:r>
    </w:p>
    <w:p w14:paraId="61DB3AD7" w14:textId="147EAC6A" w:rsidR="00AD38B8" w:rsidRDefault="00AD38B8" w:rsidP="00D24383">
      <w:pPr>
        <w:spacing w:before="240"/>
        <w:rPr>
          <w:rFonts w:cs="Arial"/>
          <w:b/>
          <w:szCs w:val="24"/>
        </w:rPr>
      </w:pPr>
      <w:r w:rsidRPr="00D24383">
        <w:rPr>
          <w:rFonts w:cs="Arial"/>
          <w:b/>
          <w:szCs w:val="24"/>
        </w:rPr>
        <w:t xml:space="preserve">Table 1: </w:t>
      </w:r>
      <w:r w:rsidR="009114EB" w:rsidRPr="00D24383">
        <w:rPr>
          <w:rFonts w:cs="Arial"/>
          <w:b/>
          <w:szCs w:val="24"/>
        </w:rPr>
        <w:t xml:space="preserve">Percentage of </w:t>
      </w:r>
      <w:r w:rsidRPr="00D24383">
        <w:rPr>
          <w:rFonts w:cs="Arial"/>
          <w:b/>
          <w:szCs w:val="24"/>
        </w:rPr>
        <w:t>Children in Poverty,</w:t>
      </w:r>
      <w:r w:rsidR="009114EB" w:rsidRPr="00D24383">
        <w:rPr>
          <w:rFonts w:cs="Arial"/>
          <w:b/>
          <w:szCs w:val="24"/>
        </w:rPr>
        <w:t xml:space="preserve"> in</w:t>
      </w:r>
      <w:r w:rsidRPr="00D24383">
        <w:rPr>
          <w:rFonts w:cs="Arial"/>
          <w:b/>
          <w:szCs w:val="24"/>
        </w:rPr>
        <w:t xml:space="preserve"> </w:t>
      </w:r>
      <w:proofErr w:type="gramStart"/>
      <w:r w:rsidRPr="00D24383">
        <w:rPr>
          <w:rFonts w:cs="Arial"/>
          <w:b/>
          <w:szCs w:val="24"/>
        </w:rPr>
        <w:t>Regions</w:t>
      </w:r>
      <w:proofErr w:type="gramEnd"/>
      <w:r w:rsidRPr="00D24383">
        <w:rPr>
          <w:rFonts w:cs="Arial"/>
          <w:b/>
          <w:szCs w:val="24"/>
        </w:rPr>
        <w:t xml:space="preserve"> of 10,000 Residents or More, by Race/Ethnicity</w:t>
      </w:r>
      <w:r w:rsidR="009114EB" w:rsidRPr="00D24383">
        <w:rPr>
          <w:rFonts w:cs="Arial"/>
          <w:b/>
          <w:szCs w:val="24"/>
        </w:rPr>
        <w:t>, in 2015–19</w:t>
      </w:r>
      <w:r w:rsidR="00E47842">
        <w:rPr>
          <w:rStyle w:val="FootnoteReference"/>
          <w:rFonts w:cs="Arial"/>
          <w:b/>
          <w:szCs w:val="24"/>
        </w:rPr>
        <w:footnoteReference w:id="3"/>
      </w:r>
    </w:p>
    <w:p w14:paraId="5AA90C10" w14:textId="26240A5F" w:rsidR="003F2F1C" w:rsidRPr="003F2F1C" w:rsidRDefault="003F2F1C" w:rsidP="00D24383">
      <w:pPr>
        <w:spacing w:before="240"/>
        <w:rPr>
          <w:rFonts w:cs="Arial"/>
          <w:szCs w:val="24"/>
        </w:rPr>
      </w:pPr>
      <w:r w:rsidRPr="00D24383">
        <w:rPr>
          <w:rFonts w:cs="Arial"/>
          <w:szCs w:val="24"/>
        </w:rPr>
        <w:t xml:space="preserve">S – Estimates </w:t>
      </w:r>
      <w:proofErr w:type="gramStart"/>
      <w:r>
        <w:rPr>
          <w:rFonts w:cs="Arial"/>
          <w:szCs w:val="24"/>
        </w:rPr>
        <w:t xml:space="preserve">are </w:t>
      </w:r>
      <w:r w:rsidRPr="00D24383">
        <w:rPr>
          <w:rFonts w:cs="Arial"/>
          <w:szCs w:val="24"/>
        </w:rPr>
        <w:t>suppressed</w:t>
      </w:r>
      <w:proofErr w:type="gramEnd"/>
      <w:r w:rsidRPr="00D24383">
        <w:rPr>
          <w:rFonts w:cs="Arial"/>
          <w:szCs w:val="24"/>
        </w:rPr>
        <w:t xml:space="preserve"> when the confidence interval around the percentage is greater than or equal to 10 percentage points.</w:t>
      </w:r>
    </w:p>
    <w:tbl>
      <w:tblPr>
        <w:tblStyle w:val="TableGrid"/>
        <w:tblW w:w="5000" w:type="pct"/>
        <w:tblLook w:val="04A0" w:firstRow="1" w:lastRow="0" w:firstColumn="1" w:lastColumn="0" w:noHBand="0" w:noVBand="1"/>
        <w:tblDescription w:val="This table contains percentages of Children in Poverty in Regions of 10,000 Residents or More, reported by Race/Ethnicity, in 2015–19."/>
      </w:tblPr>
      <w:tblGrid>
        <w:gridCol w:w="3322"/>
        <w:gridCol w:w="1848"/>
        <w:gridCol w:w="836"/>
        <w:gridCol w:w="836"/>
        <w:gridCol w:w="836"/>
        <w:gridCol w:w="836"/>
        <w:gridCol w:w="836"/>
      </w:tblGrid>
      <w:tr w:rsidR="00D24383" w:rsidRPr="00D24383" w14:paraId="235A6FE6" w14:textId="77777777" w:rsidTr="00651831">
        <w:trPr>
          <w:cantSplit/>
          <w:trHeight w:val="432"/>
          <w:tblHeader/>
        </w:trPr>
        <w:tc>
          <w:tcPr>
            <w:tcW w:w="1776" w:type="pct"/>
            <w:shd w:val="clear" w:color="auto" w:fill="D9D9D9" w:themeFill="background1" w:themeFillShade="D9"/>
            <w:vAlign w:val="center"/>
          </w:tcPr>
          <w:p w14:paraId="5C421140" w14:textId="0BE1F5AA" w:rsidR="00617FBA" w:rsidRPr="00D24383" w:rsidRDefault="00617FBA" w:rsidP="00D24383">
            <w:pPr>
              <w:spacing w:before="240" w:after="240"/>
              <w:jc w:val="center"/>
              <w:rPr>
                <w:rFonts w:cs="Arial"/>
                <w:b/>
                <w:szCs w:val="24"/>
              </w:rPr>
            </w:pPr>
            <w:r w:rsidRPr="00D24383">
              <w:rPr>
                <w:rFonts w:cs="Arial"/>
                <w:b/>
                <w:szCs w:val="24"/>
              </w:rPr>
              <w:t>Data Type</w:t>
            </w:r>
          </w:p>
        </w:tc>
        <w:tc>
          <w:tcPr>
            <w:tcW w:w="988" w:type="pct"/>
            <w:shd w:val="clear" w:color="auto" w:fill="D9D9D9" w:themeFill="background1" w:themeFillShade="D9"/>
            <w:vAlign w:val="center"/>
          </w:tcPr>
          <w:p w14:paraId="6D9CB564" w14:textId="3D705497" w:rsidR="00617FBA" w:rsidRPr="00D24383" w:rsidRDefault="00617FBA" w:rsidP="00D24383">
            <w:pPr>
              <w:spacing w:before="240" w:after="240"/>
              <w:jc w:val="center"/>
              <w:rPr>
                <w:rFonts w:cs="Arial"/>
                <w:b/>
                <w:szCs w:val="24"/>
              </w:rPr>
            </w:pPr>
            <w:r w:rsidRPr="00D24383">
              <w:rPr>
                <w:rFonts w:cs="Arial"/>
                <w:b/>
                <w:szCs w:val="24"/>
              </w:rPr>
              <w:t>Location</w:t>
            </w:r>
          </w:p>
        </w:tc>
        <w:tc>
          <w:tcPr>
            <w:tcW w:w="447" w:type="pct"/>
            <w:shd w:val="clear" w:color="auto" w:fill="D9D9D9" w:themeFill="background1" w:themeFillShade="D9"/>
            <w:vAlign w:val="center"/>
          </w:tcPr>
          <w:p w14:paraId="2FE7A1CF" w14:textId="1FC128B6" w:rsidR="00617FBA" w:rsidRPr="00D24383" w:rsidRDefault="00617FBA" w:rsidP="00D24383">
            <w:pPr>
              <w:spacing w:before="240" w:after="240"/>
              <w:jc w:val="center"/>
              <w:rPr>
                <w:rFonts w:cs="Arial"/>
                <w:b/>
                <w:szCs w:val="24"/>
              </w:rPr>
            </w:pPr>
            <w:r w:rsidRPr="00D24383">
              <w:rPr>
                <w:rFonts w:cs="Arial"/>
                <w:b/>
                <w:szCs w:val="24"/>
              </w:rPr>
              <w:t>2015</w:t>
            </w:r>
          </w:p>
        </w:tc>
        <w:tc>
          <w:tcPr>
            <w:tcW w:w="447" w:type="pct"/>
            <w:shd w:val="clear" w:color="auto" w:fill="D9D9D9" w:themeFill="background1" w:themeFillShade="D9"/>
            <w:vAlign w:val="center"/>
          </w:tcPr>
          <w:p w14:paraId="64374C00" w14:textId="1D7ECBB3" w:rsidR="00617FBA" w:rsidRPr="00D24383" w:rsidRDefault="00617FBA" w:rsidP="00D24383">
            <w:pPr>
              <w:spacing w:before="240" w:after="240"/>
              <w:jc w:val="center"/>
              <w:rPr>
                <w:rFonts w:cs="Arial"/>
                <w:b/>
                <w:szCs w:val="24"/>
              </w:rPr>
            </w:pPr>
            <w:r w:rsidRPr="00D24383">
              <w:rPr>
                <w:rFonts w:cs="Arial"/>
                <w:b/>
                <w:szCs w:val="24"/>
              </w:rPr>
              <w:t>2016</w:t>
            </w:r>
          </w:p>
        </w:tc>
        <w:tc>
          <w:tcPr>
            <w:tcW w:w="447" w:type="pct"/>
            <w:shd w:val="clear" w:color="auto" w:fill="D9D9D9" w:themeFill="background1" w:themeFillShade="D9"/>
            <w:vAlign w:val="center"/>
          </w:tcPr>
          <w:p w14:paraId="386B98FB" w14:textId="4CC118B9" w:rsidR="00617FBA" w:rsidRPr="00D24383" w:rsidRDefault="00617FBA" w:rsidP="00D24383">
            <w:pPr>
              <w:spacing w:before="240" w:after="240"/>
              <w:jc w:val="center"/>
              <w:rPr>
                <w:rFonts w:cs="Arial"/>
                <w:b/>
                <w:szCs w:val="24"/>
              </w:rPr>
            </w:pPr>
            <w:r w:rsidRPr="00D24383">
              <w:rPr>
                <w:rFonts w:cs="Arial"/>
                <w:b/>
                <w:szCs w:val="24"/>
              </w:rPr>
              <w:t>2017</w:t>
            </w:r>
          </w:p>
        </w:tc>
        <w:tc>
          <w:tcPr>
            <w:tcW w:w="447" w:type="pct"/>
            <w:shd w:val="clear" w:color="auto" w:fill="D9D9D9" w:themeFill="background1" w:themeFillShade="D9"/>
            <w:vAlign w:val="center"/>
          </w:tcPr>
          <w:p w14:paraId="12D8AE20" w14:textId="3A6FE313" w:rsidR="00617FBA" w:rsidRPr="00D24383" w:rsidRDefault="00617FBA" w:rsidP="00D24383">
            <w:pPr>
              <w:spacing w:before="240" w:after="240"/>
              <w:jc w:val="center"/>
              <w:rPr>
                <w:rFonts w:cs="Arial"/>
                <w:b/>
                <w:szCs w:val="24"/>
              </w:rPr>
            </w:pPr>
            <w:r w:rsidRPr="00D24383">
              <w:rPr>
                <w:rFonts w:cs="Arial"/>
                <w:b/>
                <w:szCs w:val="24"/>
              </w:rPr>
              <w:t>2018</w:t>
            </w:r>
          </w:p>
        </w:tc>
        <w:tc>
          <w:tcPr>
            <w:tcW w:w="447" w:type="pct"/>
            <w:shd w:val="clear" w:color="auto" w:fill="D9D9D9" w:themeFill="background1" w:themeFillShade="D9"/>
            <w:vAlign w:val="center"/>
          </w:tcPr>
          <w:p w14:paraId="1D9CCC68" w14:textId="34145009" w:rsidR="00617FBA" w:rsidRPr="00D24383" w:rsidRDefault="00617FBA" w:rsidP="00D24383">
            <w:pPr>
              <w:spacing w:before="240" w:after="240"/>
              <w:jc w:val="center"/>
              <w:rPr>
                <w:rFonts w:cs="Arial"/>
                <w:b/>
                <w:szCs w:val="24"/>
              </w:rPr>
            </w:pPr>
            <w:r w:rsidRPr="00D24383">
              <w:rPr>
                <w:rFonts w:cs="Arial"/>
                <w:b/>
                <w:szCs w:val="24"/>
              </w:rPr>
              <w:t>2019</w:t>
            </w:r>
          </w:p>
        </w:tc>
      </w:tr>
      <w:tr w:rsidR="00D24383" w:rsidRPr="00D24383" w14:paraId="28401286" w14:textId="77777777" w:rsidTr="00651831">
        <w:trPr>
          <w:cantSplit/>
          <w:trHeight w:val="432"/>
        </w:trPr>
        <w:tc>
          <w:tcPr>
            <w:tcW w:w="1776" w:type="pct"/>
            <w:vAlign w:val="center"/>
          </w:tcPr>
          <w:p w14:paraId="5F839448" w14:textId="25A5F0F0" w:rsidR="00617FBA" w:rsidRPr="00D24383" w:rsidRDefault="00617FBA" w:rsidP="00D24383">
            <w:pPr>
              <w:spacing w:before="240" w:after="240"/>
              <w:jc w:val="center"/>
              <w:rPr>
                <w:rFonts w:cs="Arial"/>
                <w:szCs w:val="24"/>
              </w:rPr>
            </w:pPr>
            <w:r w:rsidRPr="00D24383">
              <w:rPr>
                <w:rFonts w:cs="Arial"/>
                <w:szCs w:val="24"/>
              </w:rPr>
              <w:t>American Indian</w:t>
            </w:r>
          </w:p>
        </w:tc>
        <w:tc>
          <w:tcPr>
            <w:tcW w:w="988" w:type="pct"/>
            <w:vAlign w:val="center"/>
          </w:tcPr>
          <w:p w14:paraId="55DC842B" w14:textId="1D967947" w:rsidR="00617FBA" w:rsidRPr="00D24383" w:rsidRDefault="00617FBA" w:rsidP="00D24383">
            <w:pPr>
              <w:spacing w:before="240" w:after="240"/>
              <w:jc w:val="center"/>
              <w:rPr>
                <w:rFonts w:cs="Arial"/>
                <w:szCs w:val="24"/>
              </w:rPr>
            </w:pPr>
            <w:r w:rsidRPr="00D24383">
              <w:rPr>
                <w:rFonts w:cs="Arial"/>
                <w:szCs w:val="24"/>
              </w:rPr>
              <w:t>United States</w:t>
            </w:r>
          </w:p>
        </w:tc>
        <w:tc>
          <w:tcPr>
            <w:tcW w:w="447" w:type="pct"/>
            <w:vAlign w:val="center"/>
          </w:tcPr>
          <w:p w14:paraId="07C742B0" w14:textId="76132EB4" w:rsidR="00617FBA" w:rsidRPr="00D24383" w:rsidRDefault="00617FBA" w:rsidP="00D24383">
            <w:pPr>
              <w:spacing w:before="240" w:after="240"/>
              <w:jc w:val="center"/>
              <w:rPr>
                <w:rFonts w:cs="Arial"/>
                <w:szCs w:val="24"/>
              </w:rPr>
            </w:pPr>
            <w:r w:rsidRPr="00D24383">
              <w:rPr>
                <w:rFonts w:cs="Arial"/>
                <w:szCs w:val="24"/>
              </w:rPr>
              <w:t>34%</w:t>
            </w:r>
          </w:p>
        </w:tc>
        <w:tc>
          <w:tcPr>
            <w:tcW w:w="447" w:type="pct"/>
            <w:vAlign w:val="center"/>
          </w:tcPr>
          <w:p w14:paraId="0255FDFB" w14:textId="0E2EA20D" w:rsidR="00617FBA" w:rsidRPr="00D24383" w:rsidRDefault="00617FBA" w:rsidP="00D24383">
            <w:pPr>
              <w:spacing w:before="240" w:after="240"/>
              <w:jc w:val="center"/>
              <w:rPr>
                <w:rFonts w:cs="Arial"/>
                <w:szCs w:val="24"/>
              </w:rPr>
            </w:pPr>
            <w:r w:rsidRPr="00D24383">
              <w:rPr>
                <w:rFonts w:cs="Arial"/>
                <w:szCs w:val="24"/>
              </w:rPr>
              <w:t>34%</w:t>
            </w:r>
          </w:p>
        </w:tc>
        <w:tc>
          <w:tcPr>
            <w:tcW w:w="447" w:type="pct"/>
            <w:vAlign w:val="center"/>
          </w:tcPr>
          <w:p w14:paraId="37FD47D2" w14:textId="50CEB902" w:rsidR="00617FBA" w:rsidRPr="00D24383" w:rsidRDefault="00617FBA" w:rsidP="00D24383">
            <w:pPr>
              <w:spacing w:before="240" w:after="240"/>
              <w:jc w:val="center"/>
              <w:rPr>
                <w:rFonts w:cs="Arial"/>
                <w:szCs w:val="24"/>
              </w:rPr>
            </w:pPr>
            <w:r w:rsidRPr="00D24383">
              <w:rPr>
                <w:rFonts w:cs="Arial"/>
                <w:szCs w:val="24"/>
              </w:rPr>
              <w:t>33%</w:t>
            </w:r>
          </w:p>
        </w:tc>
        <w:tc>
          <w:tcPr>
            <w:tcW w:w="447" w:type="pct"/>
            <w:vAlign w:val="center"/>
          </w:tcPr>
          <w:p w14:paraId="0AB921A1" w14:textId="31D27B28" w:rsidR="00617FBA" w:rsidRPr="00D24383" w:rsidRDefault="00617FBA" w:rsidP="00D24383">
            <w:pPr>
              <w:spacing w:before="240" w:after="240"/>
              <w:jc w:val="center"/>
              <w:rPr>
                <w:rFonts w:cs="Arial"/>
                <w:szCs w:val="24"/>
              </w:rPr>
            </w:pPr>
            <w:r w:rsidRPr="00D24383">
              <w:rPr>
                <w:rFonts w:cs="Arial"/>
                <w:szCs w:val="24"/>
              </w:rPr>
              <w:t>31%</w:t>
            </w:r>
          </w:p>
        </w:tc>
        <w:tc>
          <w:tcPr>
            <w:tcW w:w="447" w:type="pct"/>
            <w:vAlign w:val="center"/>
          </w:tcPr>
          <w:p w14:paraId="7B4BDBE6" w14:textId="628B72AB" w:rsidR="00617FBA" w:rsidRPr="00D24383" w:rsidRDefault="00617FBA" w:rsidP="00D24383">
            <w:pPr>
              <w:spacing w:before="240" w:after="240"/>
              <w:jc w:val="center"/>
              <w:rPr>
                <w:rFonts w:cs="Arial"/>
                <w:szCs w:val="24"/>
              </w:rPr>
            </w:pPr>
            <w:r w:rsidRPr="00D24383">
              <w:rPr>
                <w:rFonts w:cs="Arial"/>
                <w:szCs w:val="24"/>
              </w:rPr>
              <w:t>30%</w:t>
            </w:r>
          </w:p>
        </w:tc>
      </w:tr>
      <w:tr w:rsidR="00D24383" w:rsidRPr="00D24383" w14:paraId="0C6DA2B2" w14:textId="77777777" w:rsidTr="00651831">
        <w:trPr>
          <w:cantSplit/>
          <w:trHeight w:val="432"/>
        </w:trPr>
        <w:tc>
          <w:tcPr>
            <w:tcW w:w="1776" w:type="pct"/>
            <w:vAlign w:val="center"/>
          </w:tcPr>
          <w:p w14:paraId="3D135DD8" w14:textId="01E34A23" w:rsidR="00617FBA" w:rsidRPr="00D24383" w:rsidRDefault="00617FBA" w:rsidP="00D24383">
            <w:pPr>
              <w:spacing w:before="240" w:after="240"/>
              <w:jc w:val="center"/>
              <w:rPr>
                <w:rFonts w:cs="Arial"/>
                <w:szCs w:val="24"/>
              </w:rPr>
            </w:pPr>
            <w:r w:rsidRPr="00D24383">
              <w:rPr>
                <w:rFonts w:cs="Arial"/>
                <w:szCs w:val="24"/>
              </w:rPr>
              <w:t>American Indian</w:t>
            </w:r>
          </w:p>
        </w:tc>
        <w:tc>
          <w:tcPr>
            <w:tcW w:w="988" w:type="pct"/>
            <w:vAlign w:val="center"/>
          </w:tcPr>
          <w:p w14:paraId="2B040608" w14:textId="6F18E84D" w:rsidR="00617FBA" w:rsidRPr="00D24383" w:rsidRDefault="00617FBA" w:rsidP="00D24383">
            <w:pPr>
              <w:spacing w:before="240" w:after="240"/>
              <w:jc w:val="center"/>
              <w:rPr>
                <w:rFonts w:cs="Arial"/>
                <w:szCs w:val="24"/>
              </w:rPr>
            </w:pPr>
            <w:r w:rsidRPr="00D24383">
              <w:rPr>
                <w:rFonts w:cs="Arial"/>
                <w:szCs w:val="24"/>
              </w:rPr>
              <w:t>California</w:t>
            </w:r>
          </w:p>
        </w:tc>
        <w:tc>
          <w:tcPr>
            <w:tcW w:w="447" w:type="pct"/>
            <w:vAlign w:val="center"/>
          </w:tcPr>
          <w:p w14:paraId="54681D39" w14:textId="287E5F41" w:rsidR="00617FBA" w:rsidRPr="00D24383" w:rsidRDefault="00617FBA" w:rsidP="00D24383">
            <w:pPr>
              <w:spacing w:before="240" w:after="240"/>
              <w:jc w:val="center"/>
              <w:rPr>
                <w:rFonts w:cs="Arial"/>
                <w:szCs w:val="24"/>
              </w:rPr>
            </w:pPr>
            <w:r w:rsidRPr="00D24383">
              <w:rPr>
                <w:rFonts w:cs="Arial"/>
                <w:szCs w:val="24"/>
              </w:rPr>
              <w:t>33%</w:t>
            </w:r>
          </w:p>
        </w:tc>
        <w:tc>
          <w:tcPr>
            <w:tcW w:w="447" w:type="pct"/>
            <w:vAlign w:val="center"/>
          </w:tcPr>
          <w:p w14:paraId="3935F604" w14:textId="1319039A" w:rsidR="00617FBA" w:rsidRPr="00D24383" w:rsidRDefault="00617FBA" w:rsidP="00D24383">
            <w:pPr>
              <w:spacing w:before="240" w:after="240"/>
              <w:jc w:val="center"/>
              <w:rPr>
                <w:rFonts w:cs="Arial"/>
                <w:szCs w:val="24"/>
              </w:rPr>
            </w:pPr>
            <w:r w:rsidRPr="00D24383">
              <w:rPr>
                <w:rFonts w:cs="Arial"/>
                <w:szCs w:val="24"/>
              </w:rPr>
              <w:t>S</w:t>
            </w:r>
          </w:p>
        </w:tc>
        <w:tc>
          <w:tcPr>
            <w:tcW w:w="447" w:type="pct"/>
            <w:vAlign w:val="center"/>
          </w:tcPr>
          <w:p w14:paraId="662BB6EA" w14:textId="2205D206" w:rsidR="00617FBA" w:rsidRPr="00D24383" w:rsidRDefault="00617FBA" w:rsidP="00D24383">
            <w:pPr>
              <w:spacing w:before="240" w:after="240"/>
              <w:jc w:val="center"/>
              <w:rPr>
                <w:rFonts w:cs="Arial"/>
                <w:szCs w:val="24"/>
              </w:rPr>
            </w:pPr>
            <w:r w:rsidRPr="00D24383">
              <w:rPr>
                <w:rFonts w:cs="Arial"/>
                <w:szCs w:val="24"/>
              </w:rPr>
              <w:t>20%</w:t>
            </w:r>
          </w:p>
        </w:tc>
        <w:tc>
          <w:tcPr>
            <w:tcW w:w="447" w:type="pct"/>
            <w:vAlign w:val="center"/>
          </w:tcPr>
          <w:p w14:paraId="36152971" w14:textId="6796585A" w:rsidR="00617FBA" w:rsidRPr="00D24383" w:rsidRDefault="00617FBA" w:rsidP="00D24383">
            <w:pPr>
              <w:spacing w:before="240" w:after="240"/>
              <w:jc w:val="center"/>
              <w:rPr>
                <w:rFonts w:cs="Arial"/>
                <w:szCs w:val="24"/>
              </w:rPr>
            </w:pPr>
            <w:r w:rsidRPr="00D24383">
              <w:rPr>
                <w:rFonts w:cs="Arial"/>
                <w:szCs w:val="24"/>
              </w:rPr>
              <w:t>20%</w:t>
            </w:r>
          </w:p>
        </w:tc>
        <w:tc>
          <w:tcPr>
            <w:tcW w:w="447" w:type="pct"/>
            <w:vAlign w:val="center"/>
          </w:tcPr>
          <w:p w14:paraId="64E3A63F" w14:textId="4698C539" w:rsidR="00617FBA" w:rsidRPr="00D24383" w:rsidRDefault="00617FBA" w:rsidP="00D24383">
            <w:pPr>
              <w:spacing w:before="240" w:after="240"/>
              <w:jc w:val="center"/>
              <w:rPr>
                <w:rFonts w:cs="Arial"/>
                <w:szCs w:val="24"/>
              </w:rPr>
            </w:pPr>
            <w:r w:rsidRPr="00D24383">
              <w:rPr>
                <w:rFonts w:cs="Arial"/>
                <w:szCs w:val="24"/>
              </w:rPr>
              <w:t>20%</w:t>
            </w:r>
          </w:p>
        </w:tc>
      </w:tr>
      <w:tr w:rsidR="00D24383" w:rsidRPr="00D24383" w14:paraId="7EC2301F" w14:textId="77777777" w:rsidTr="00651831">
        <w:trPr>
          <w:cantSplit/>
          <w:trHeight w:val="432"/>
        </w:trPr>
        <w:tc>
          <w:tcPr>
            <w:tcW w:w="1776" w:type="pct"/>
            <w:vAlign w:val="center"/>
          </w:tcPr>
          <w:p w14:paraId="6507380A" w14:textId="5B142F26" w:rsidR="00617FBA" w:rsidRPr="00D24383" w:rsidRDefault="00617FBA" w:rsidP="00D24383">
            <w:pPr>
              <w:spacing w:before="240" w:after="240"/>
              <w:jc w:val="center"/>
              <w:rPr>
                <w:rFonts w:cs="Arial"/>
                <w:szCs w:val="24"/>
              </w:rPr>
            </w:pPr>
            <w:r w:rsidRPr="00D24383">
              <w:rPr>
                <w:rFonts w:cs="Arial"/>
                <w:szCs w:val="24"/>
              </w:rPr>
              <w:t>Asian and Pacific Islander</w:t>
            </w:r>
          </w:p>
        </w:tc>
        <w:tc>
          <w:tcPr>
            <w:tcW w:w="988" w:type="pct"/>
            <w:vAlign w:val="center"/>
          </w:tcPr>
          <w:p w14:paraId="60FDCC5F" w14:textId="5C12CBEA" w:rsidR="00617FBA" w:rsidRPr="00D24383" w:rsidRDefault="00617FBA" w:rsidP="00D24383">
            <w:pPr>
              <w:spacing w:before="240" w:after="240"/>
              <w:jc w:val="center"/>
              <w:rPr>
                <w:rFonts w:cs="Arial"/>
                <w:szCs w:val="24"/>
              </w:rPr>
            </w:pPr>
            <w:r w:rsidRPr="00D24383">
              <w:rPr>
                <w:rFonts w:cs="Arial"/>
                <w:szCs w:val="24"/>
              </w:rPr>
              <w:t>United States</w:t>
            </w:r>
          </w:p>
        </w:tc>
        <w:tc>
          <w:tcPr>
            <w:tcW w:w="447" w:type="pct"/>
            <w:vAlign w:val="center"/>
          </w:tcPr>
          <w:p w14:paraId="03963234" w14:textId="1BC08794" w:rsidR="00617FBA" w:rsidRPr="00D24383" w:rsidRDefault="00617FBA" w:rsidP="00D24383">
            <w:pPr>
              <w:spacing w:before="240" w:after="240"/>
              <w:jc w:val="center"/>
              <w:rPr>
                <w:rFonts w:cs="Arial"/>
                <w:szCs w:val="24"/>
              </w:rPr>
            </w:pPr>
            <w:r w:rsidRPr="00D24383">
              <w:rPr>
                <w:rFonts w:cs="Arial"/>
                <w:szCs w:val="24"/>
              </w:rPr>
              <w:t>13%</w:t>
            </w:r>
          </w:p>
        </w:tc>
        <w:tc>
          <w:tcPr>
            <w:tcW w:w="447" w:type="pct"/>
            <w:vAlign w:val="center"/>
          </w:tcPr>
          <w:p w14:paraId="3410B8A0" w14:textId="77F09D6C" w:rsidR="00617FBA" w:rsidRPr="00D24383" w:rsidRDefault="00617FBA" w:rsidP="00D24383">
            <w:pPr>
              <w:spacing w:before="240" w:after="240"/>
              <w:jc w:val="center"/>
              <w:rPr>
                <w:rFonts w:cs="Arial"/>
                <w:szCs w:val="24"/>
              </w:rPr>
            </w:pPr>
            <w:r w:rsidRPr="00D24383">
              <w:rPr>
                <w:rFonts w:cs="Arial"/>
                <w:szCs w:val="24"/>
              </w:rPr>
              <w:t>12%</w:t>
            </w:r>
          </w:p>
        </w:tc>
        <w:tc>
          <w:tcPr>
            <w:tcW w:w="447" w:type="pct"/>
            <w:vAlign w:val="center"/>
          </w:tcPr>
          <w:p w14:paraId="0087B3C3" w14:textId="014DFCF1" w:rsidR="00617FBA" w:rsidRPr="00D24383" w:rsidRDefault="00617FBA" w:rsidP="00D24383">
            <w:pPr>
              <w:spacing w:before="240" w:after="240"/>
              <w:jc w:val="center"/>
              <w:rPr>
                <w:rFonts w:cs="Arial"/>
                <w:szCs w:val="24"/>
              </w:rPr>
            </w:pPr>
            <w:r w:rsidRPr="00D24383">
              <w:rPr>
                <w:rFonts w:cs="Arial"/>
                <w:szCs w:val="24"/>
              </w:rPr>
              <w:t>11%</w:t>
            </w:r>
          </w:p>
        </w:tc>
        <w:tc>
          <w:tcPr>
            <w:tcW w:w="447" w:type="pct"/>
            <w:vAlign w:val="center"/>
          </w:tcPr>
          <w:p w14:paraId="7107E6F3" w14:textId="1B8CFA18" w:rsidR="00617FBA" w:rsidRPr="00D24383" w:rsidRDefault="00617FBA" w:rsidP="00D24383">
            <w:pPr>
              <w:spacing w:before="240" w:after="240"/>
              <w:jc w:val="center"/>
              <w:rPr>
                <w:rFonts w:cs="Arial"/>
                <w:szCs w:val="24"/>
              </w:rPr>
            </w:pPr>
            <w:r w:rsidRPr="00D24383">
              <w:rPr>
                <w:rFonts w:cs="Arial"/>
                <w:szCs w:val="24"/>
              </w:rPr>
              <w:t>11%</w:t>
            </w:r>
          </w:p>
        </w:tc>
        <w:tc>
          <w:tcPr>
            <w:tcW w:w="447" w:type="pct"/>
            <w:vAlign w:val="center"/>
          </w:tcPr>
          <w:p w14:paraId="5733F170" w14:textId="06C6FEBF" w:rsidR="00617FBA" w:rsidRPr="00D24383" w:rsidRDefault="00617FBA" w:rsidP="00D24383">
            <w:pPr>
              <w:spacing w:before="240" w:after="240"/>
              <w:jc w:val="center"/>
              <w:rPr>
                <w:rFonts w:cs="Arial"/>
                <w:szCs w:val="24"/>
              </w:rPr>
            </w:pPr>
            <w:r w:rsidRPr="00D24383">
              <w:rPr>
                <w:rFonts w:cs="Arial"/>
                <w:szCs w:val="24"/>
              </w:rPr>
              <w:t>10%</w:t>
            </w:r>
          </w:p>
        </w:tc>
      </w:tr>
      <w:tr w:rsidR="00D24383" w:rsidRPr="00D24383" w14:paraId="5EAA81ED" w14:textId="77777777" w:rsidTr="00651831">
        <w:trPr>
          <w:cantSplit/>
          <w:trHeight w:val="432"/>
        </w:trPr>
        <w:tc>
          <w:tcPr>
            <w:tcW w:w="1776" w:type="pct"/>
            <w:vAlign w:val="center"/>
          </w:tcPr>
          <w:p w14:paraId="7ABD1EAD" w14:textId="4221269B" w:rsidR="00617FBA" w:rsidRPr="00D24383" w:rsidRDefault="00617FBA" w:rsidP="00D24383">
            <w:pPr>
              <w:spacing w:before="240" w:after="240"/>
              <w:jc w:val="center"/>
              <w:rPr>
                <w:rFonts w:cs="Arial"/>
                <w:szCs w:val="24"/>
              </w:rPr>
            </w:pPr>
            <w:r w:rsidRPr="00D24383">
              <w:rPr>
                <w:rFonts w:cs="Arial"/>
                <w:szCs w:val="24"/>
              </w:rPr>
              <w:t>Asian and Pacific Islander</w:t>
            </w:r>
          </w:p>
        </w:tc>
        <w:tc>
          <w:tcPr>
            <w:tcW w:w="988" w:type="pct"/>
            <w:vAlign w:val="center"/>
          </w:tcPr>
          <w:p w14:paraId="444ED825" w14:textId="45F93888" w:rsidR="00617FBA" w:rsidRPr="00D24383" w:rsidRDefault="00617FBA" w:rsidP="00D24383">
            <w:pPr>
              <w:spacing w:before="240" w:after="240"/>
              <w:jc w:val="center"/>
              <w:rPr>
                <w:rFonts w:cs="Arial"/>
                <w:szCs w:val="24"/>
              </w:rPr>
            </w:pPr>
            <w:r w:rsidRPr="00D24383">
              <w:rPr>
                <w:rFonts w:cs="Arial"/>
                <w:szCs w:val="24"/>
              </w:rPr>
              <w:t>California</w:t>
            </w:r>
          </w:p>
        </w:tc>
        <w:tc>
          <w:tcPr>
            <w:tcW w:w="447" w:type="pct"/>
            <w:vAlign w:val="center"/>
          </w:tcPr>
          <w:p w14:paraId="1FC6E2AD" w14:textId="41A9BB65" w:rsidR="00617FBA" w:rsidRPr="00D24383" w:rsidRDefault="00617FBA" w:rsidP="00D24383">
            <w:pPr>
              <w:spacing w:before="240" w:after="240"/>
              <w:jc w:val="center"/>
              <w:rPr>
                <w:rFonts w:cs="Arial"/>
                <w:szCs w:val="24"/>
              </w:rPr>
            </w:pPr>
            <w:r w:rsidRPr="00D24383">
              <w:rPr>
                <w:rFonts w:cs="Arial"/>
                <w:szCs w:val="24"/>
              </w:rPr>
              <w:t>12%</w:t>
            </w:r>
          </w:p>
        </w:tc>
        <w:tc>
          <w:tcPr>
            <w:tcW w:w="447" w:type="pct"/>
            <w:vAlign w:val="center"/>
          </w:tcPr>
          <w:p w14:paraId="2BF2DB85" w14:textId="187CC59B" w:rsidR="00617FBA" w:rsidRPr="00D24383" w:rsidRDefault="00617FBA" w:rsidP="00D24383">
            <w:pPr>
              <w:spacing w:before="240" w:after="240"/>
              <w:jc w:val="center"/>
              <w:rPr>
                <w:rFonts w:cs="Arial"/>
                <w:szCs w:val="24"/>
              </w:rPr>
            </w:pPr>
            <w:r w:rsidRPr="00D24383">
              <w:rPr>
                <w:rFonts w:cs="Arial"/>
                <w:szCs w:val="24"/>
              </w:rPr>
              <w:t>12%</w:t>
            </w:r>
          </w:p>
        </w:tc>
        <w:tc>
          <w:tcPr>
            <w:tcW w:w="447" w:type="pct"/>
            <w:vAlign w:val="center"/>
          </w:tcPr>
          <w:p w14:paraId="1EDC3A89" w14:textId="2F4E3332" w:rsidR="00617FBA" w:rsidRPr="00D24383" w:rsidRDefault="00617FBA" w:rsidP="00D24383">
            <w:pPr>
              <w:spacing w:before="240" w:after="240"/>
              <w:jc w:val="center"/>
              <w:rPr>
                <w:rFonts w:cs="Arial"/>
                <w:szCs w:val="24"/>
              </w:rPr>
            </w:pPr>
            <w:r w:rsidRPr="00D24383">
              <w:rPr>
                <w:rFonts w:cs="Arial"/>
                <w:szCs w:val="24"/>
              </w:rPr>
              <w:t>10%</w:t>
            </w:r>
          </w:p>
        </w:tc>
        <w:tc>
          <w:tcPr>
            <w:tcW w:w="447" w:type="pct"/>
            <w:vAlign w:val="center"/>
          </w:tcPr>
          <w:p w14:paraId="01BE5C9C" w14:textId="4B75081B" w:rsidR="00617FBA" w:rsidRPr="00D24383" w:rsidRDefault="00617FBA" w:rsidP="00D24383">
            <w:pPr>
              <w:spacing w:before="240" w:after="240"/>
              <w:jc w:val="center"/>
              <w:rPr>
                <w:rFonts w:cs="Arial"/>
                <w:szCs w:val="24"/>
              </w:rPr>
            </w:pPr>
            <w:r w:rsidRPr="00D24383">
              <w:rPr>
                <w:rFonts w:cs="Arial"/>
                <w:szCs w:val="24"/>
              </w:rPr>
              <w:t>10%</w:t>
            </w:r>
          </w:p>
        </w:tc>
        <w:tc>
          <w:tcPr>
            <w:tcW w:w="447" w:type="pct"/>
            <w:vAlign w:val="center"/>
          </w:tcPr>
          <w:p w14:paraId="7EF3810B" w14:textId="0F547384" w:rsidR="00617FBA" w:rsidRPr="00D24383" w:rsidRDefault="00617FBA" w:rsidP="00D24383">
            <w:pPr>
              <w:spacing w:before="240" w:after="240"/>
              <w:jc w:val="center"/>
              <w:rPr>
                <w:rFonts w:cs="Arial"/>
                <w:szCs w:val="24"/>
              </w:rPr>
            </w:pPr>
            <w:r w:rsidRPr="00D24383">
              <w:rPr>
                <w:rFonts w:cs="Arial"/>
                <w:szCs w:val="24"/>
              </w:rPr>
              <w:t>8%</w:t>
            </w:r>
          </w:p>
        </w:tc>
      </w:tr>
      <w:tr w:rsidR="00D24383" w:rsidRPr="00D24383" w14:paraId="50661940" w14:textId="77777777" w:rsidTr="00651831">
        <w:trPr>
          <w:cantSplit/>
          <w:trHeight w:val="432"/>
        </w:trPr>
        <w:tc>
          <w:tcPr>
            <w:tcW w:w="1776" w:type="pct"/>
            <w:vAlign w:val="center"/>
          </w:tcPr>
          <w:p w14:paraId="4E47467A" w14:textId="26DB7381" w:rsidR="00617FBA" w:rsidRPr="00D24383" w:rsidRDefault="00617FBA" w:rsidP="00D24383">
            <w:pPr>
              <w:spacing w:before="240" w:after="240"/>
              <w:jc w:val="center"/>
              <w:rPr>
                <w:rFonts w:cs="Arial"/>
                <w:szCs w:val="24"/>
              </w:rPr>
            </w:pPr>
            <w:r w:rsidRPr="00D24383">
              <w:rPr>
                <w:rFonts w:cs="Arial"/>
                <w:szCs w:val="24"/>
              </w:rPr>
              <w:lastRenderedPageBreak/>
              <w:t>Black or African American</w:t>
            </w:r>
          </w:p>
        </w:tc>
        <w:tc>
          <w:tcPr>
            <w:tcW w:w="988" w:type="pct"/>
            <w:vAlign w:val="center"/>
          </w:tcPr>
          <w:p w14:paraId="1F6786F2" w14:textId="59933128" w:rsidR="00617FBA" w:rsidRPr="00D24383" w:rsidRDefault="00617FBA" w:rsidP="00D24383">
            <w:pPr>
              <w:spacing w:before="240" w:after="240"/>
              <w:jc w:val="center"/>
              <w:rPr>
                <w:rFonts w:cs="Arial"/>
                <w:szCs w:val="24"/>
              </w:rPr>
            </w:pPr>
            <w:r w:rsidRPr="00D24383">
              <w:rPr>
                <w:rFonts w:cs="Arial"/>
                <w:szCs w:val="24"/>
              </w:rPr>
              <w:t>United States</w:t>
            </w:r>
          </w:p>
        </w:tc>
        <w:tc>
          <w:tcPr>
            <w:tcW w:w="447" w:type="pct"/>
            <w:vAlign w:val="center"/>
          </w:tcPr>
          <w:p w14:paraId="61B0B679" w14:textId="250676DF" w:rsidR="00617FBA" w:rsidRPr="00D24383" w:rsidRDefault="00617FBA" w:rsidP="00D24383">
            <w:pPr>
              <w:spacing w:before="240" w:after="240"/>
              <w:jc w:val="center"/>
              <w:rPr>
                <w:rFonts w:cs="Arial"/>
                <w:szCs w:val="24"/>
              </w:rPr>
            </w:pPr>
            <w:r w:rsidRPr="00D24383">
              <w:rPr>
                <w:rFonts w:cs="Arial"/>
                <w:szCs w:val="24"/>
              </w:rPr>
              <w:t>30%</w:t>
            </w:r>
          </w:p>
        </w:tc>
        <w:tc>
          <w:tcPr>
            <w:tcW w:w="447" w:type="pct"/>
            <w:vAlign w:val="center"/>
          </w:tcPr>
          <w:p w14:paraId="53552183" w14:textId="41C71AFD" w:rsidR="00617FBA" w:rsidRPr="00D24383" w:rsidRDefault="00617FBA" w:rsidP="00D24383">
            <w:pPr>
              <w:spacing w:before="240" w:after="240"/>
              <w:jc w:val="center"/>
              <w:rPr>
                <w:rFonts w:cs="Arial"/>
                <w:szCs w:val="24"/>
              </w:rPr>
            </w:pPr>
            <w:r w:rsidRPr="00D24383">
              <w:rPr>
                <w:rFonts w:cs="Arial"/>
                <w:szCs w:val="24"/>
              </w:rPr>
              <w:t>34%</w:t>
            </w:r>
          </w:p>
        </w:tc>
        <w:tc>
          <w:tcPr>
            <w:tcW w:w="447" w:type="pct"/>
            <w:vAlign w:val="center"/>
          </w:tcPr>
          <w:p w14:paraId="03F38B77" w14:textId="0949866D" w:rsidR="00617FBA" w:rsidRPr="00D24383" w:rsidRDefault="00617FBA" w:rsidP="00D24383">
            <w:pPr>
              <w:spacing w:before="240" w:after="240"/>
              <w:jc w:val="center"/>
              <w:rPr>
                <w:rFonts w:cs="Arial"/>
                <w:szCs w:val="24"/>
              </w:rPr>
            </w:pPr>
            <w:r w:rsidRPr="00D24383">
              <w:rPr>
                <w:rFonts w:cs="Arial"/>
                <w:szCs w:val="24"/>
              </w:rPr>
              <w:t>33%</w:t>
            </w:r>
          </w:p>
        </w:tc>
        <w:tc>
          <w:tcPr>
            <w:tcW w:w="447" w:type="pct"/>
            <w:vAlign w:val="center"/>
          </w:tcPr>
          <w:p w14:paraId="313A04C9" w14:textId="092351BE" w:rsidR="00617FBA" w:rsidRPr="00D24383" w:rsidRDefault="00617FBA" w:rsidP="00D24383">
            <w:pPr>
              <w:spacing w:before="240" w:after="240"/>
              <w:jc w:val="center"/>
              <w:rPr>
                <w:rFonts w:cs="Arial"/>
                <w:szCs w:val="24"/>
              </w:rPr>
            </w:pPr>
            <w:r w:rsidRPr="00D24383">
              <w:rPr>
                <w:rFonts w:cs="Arial"/>
                <w:szCs w:val="24"/>
              </w:rPr>
              <w:t>32%</w:t>
            </w:r>
          </w:p>
        </w:tc>
        <w:tc>
          <w:tcPr>
            <w:tcW w:w="447" w:type="pct"/>
            <w:vAlign w:val="center"/>
          </w:tcPr>
          <w:p w14:paraId="19D66179" w14:textId="42C0E503" w:rsidR="00617FBA" w:rsidRPr="00D24383" w:rsidRDefault="00617FBA" w:rsidP="00D24383">
            <w:pPr>
              <w:spacing w:before="240" w:after="240"/>
              <w:jc w:val="center"/>
              <w:rPr>
                <w:rFonts w:cs="Arial"/>
                <w:szCs w:val="24"/>
              </w:rPr>
            </w:pPr>
            <w:r w:rsidRPr="00D24383">
              <w:rPr>
                <w:rFonts w:cs="Arial"/>
                <w:szCs w:val="24"/>
              </w:rPr>
              <w:t>31%</w:t>
            </w:r>
          </w:p>
        </w:tc>
      </w:tr>
      <w:tr w:rsidR="00D24383" w:rsidRPr="00D24383" w14:paraId="27078B35" w14:textId="77777777" w:rsidTr="00651831">
        <w:trPr>
          <w:cantSplit/>
          <w:trHeight w:val="432"/>
        </w:trPr>
        <w:tc>
          <w:tcPr>
            <w:tcW w:w="1776" w:type="pct"/>
            <w:vAlign w:val="center"/>
          </w:tcPr>
          <w:p w14:paraId="77E39239" w14:textId="09BF013E" w:rsidR="00617FBA" w:rsidRPr="00D24383" w:rsidRDefault="00617FBA" w:rsidP="00D24383">
            <w:pPr>
              <w:spacing w:before="240" w:after="240"/>
              <w:jc w:val="center"/>
              <w:rPr>
                <w:rFonts w:cs="Arial"/>
                <w:szCs w:val="24"/>
              </w:rPr>
            </w:pPr>
            <w:r w:rsidRPr="00D24383">
              <w:rPr>
                <w:rFonts w:cs="Arial"/>
                <w:szCs w:val="24"/>
              </w:rPr>
              <w:t>Black or African American</w:t>
            </w:r>
          </w:p>
        </w:tc>
        <w:tc>
          <w:tcPr>
            <w:tcW w:w="988" w:type="pct"/>
            <w:vAlign w:val="center"/>
          </w:tcPr>
          <w:p w14:paraId="706D9D13" w14:textId="76BDD676" w:rsidR="00617FBA" w:rsidRPr="00D24383" w:rsidRDefault="00617FBA" w:rsidP="00D24383">
            <w:pPr>
              <w:spacing w:before="240" w:after="240"/>
              <w:jc w:val="center"/>
              <w:rPr>
                <w:rFonts w:cs="Arial"/>
                <w:szCs w:val="24"/>
              </w:rPr>
            </w:pPr>
            <w:r w:rsidRPr="00D24383">
              <w:rPr>
                <w:rFonts w:cs="Arial"/>
                <w:szCs w:val="24"/>
              </w:rPr>
              <w:t>California</w:t>
            </w:r>
          </w:p>
        </w:tc>
        <w:tc>
          <w:tcPr>
            <w:tcW w:w="447" w:type="pct"/>
            <w:vAlign w:val="center"/>
          </w:tcPr>
          <w:p w14:paraId="382FD238" w14:textId="51DC6AE5" w:rsidR="00617FBA" w:rsidRPr="00D24383" w:rsidRDefault="00617FBA" w:rsidP="00D24383">
            <w:pPr>
              <w:spacing w:before="240" w:after="240"/>
              <w:jc w:val="center"/>
              <w:rPr>
                <w:rFonts w:cs="Arial"/>
                <w:szCs w:val="24"/>
              </w:rPr>
            </w:pPr>
            <w:r w:rsidRPr="00D24383">
              <w:rPr>
                <w:rFonts w:cs="Arial"/>
                <w:szCs w:val="24"/>
              </w:rPr>
              <w:t>31%</w:t>
            </w:r>
          </w:p>
        </w:tc>
        <w:tc>
          <w:tcPr>
            <w:tcW w:w="447" w:type="pct"/>
            <w:vAlign w:val="center"/>
          </w:tcPr>
          <w:p w14:paraId="1DA092FA" w14:textId="5DA763E5" w:rsidR="00617FBA" w:rsidRPr="00D24383" w:rsidRDefault="00617FBA" w:rsidP="00D24383">
            <w:pPr>
              <w:spacing w:before="240" w:after="240"/>
              <w:jc w:val="center"/>
              <w:rPr>
                <w:rFonts w:cs="Arial"/>
                <w:szCs w:val="24"/>
              </w:rPr>
            </w:pPr>
            <w:r w:rsidRPr="00D24383">
              <w:rPr>
                <w:rFonts w:cs="Arial"/>
                <w:szCs w:val="24"/>
              </w:rPr>
              <w:t>30%</w:t>
            </w:r>
          </w:p>
        </w:tc>
        <w:tc>
          <w:tcPr>
            <w:tcW w:w="447" w:type="pct"/>
            <w:vAlign w:val="center"/>
          </w:tcPr>
          <w:p w14:paraId="34333220" w14:textId="546CAAEF" w:rsidR="00617FBA" w:rsidRPr="00D24383" w:rsidRDefault="00617FBA" w:rsidP="00D24383">
            <w:pPr>
              <w:spacing w:before="240" w:after="240"/>
              <w:jc w:val="center"/>
              <w:rPr>
                <w:rFonts w:cs="Arial"/>
                <w:szCs w:val="24"/>
              </w:rPr>
            </w:pPr>
            <w:r w:rsidRPr="00D24383">
              <w:rPr>
                <w:rFonts w:cs="Arial"/>
                <w:szCs w:val="24"/>
              </w:rPr>
              <w:t>29%</w:t>
            </w:r>
          </w:p>
        </w:tc>
        <w:tc>
          <w:tcPr>
            <w:tcW w:w="447" w:type="pct"/>
            <w:vAlign w:val="center"/>
          </w:tcPr>
          <w:p w14:paraId="2B16BD09" w14:textId="7FD448FC" w:rsidR="00617FBA" w:rsidRPr="00D24383" w:rsidRDefault="00617FBA" w:rsidP="00D24383">
            <w:pPr>
              <w:spacing w:before="240" w:after="240"/>
              <w:jc w:val="center"/>
              <w:rPr>
                <w:rFonts w:cs="Arial"/>
                <w:szCs w:val="24"/>
              </w:rPr>
            </w:pPr>
            <w:r w:rsidRPr="00D24383">
              <w:rPr>
                <w:rFonts w:cs="Arial"/>
                <w:szCs w:val="24"/>
              </w:rPr>
              <w:t>28%</w:t>
            </w:r>
          </w:p>
        </w:tc>
        <w:tc>
          <w:tcPr>
            <w:tcW w:w="447" w:type="pct"/>
            <w:vAlign w:val="center"/>
          </w:tcPr>
          <w:p w14:paraId="225EB9B8" w14:textId="1AD57CB5" w:rsidR="00617FBA" w:rsidRPr="00D24383" w:rsidRDefault="00617FBA" w:rsidP="00D24383">
            <w:pPr>
              <w:spacing w:before="240" w:after="240"/>
              <w:jc w:val="center"/>
              <w:rPr>
                <w:rFonts w:cs="Arial"/>
                <w:szCs w:val="24"/>
              </w:rPr>
            </w:pPr>
            <w:r w:rsidRPr="00D24383">
              <w:rPr>
                <w:rFonts w:cs="Arial"/>
                <w:szCs w:val="24"/>
              </w:rPr>
              <w:t>26%</w:t>
            </w:r>
          </w:p>
        </w:tc>
      </w:tr>
      <w:tr w:rsidR="00D24383" w:rsidRPr="00D24383" w14:paraId="443CD022" w14:textId="77777777" w:rsidTr="00651831">
        <w:trPr>
          <w:cantSplit/>
          <w:trHeight w:val="432"/>
        </w:trPr>
        <w:tc>
          <w:tcPr>
            <w:tcW w:w="1776" w:type="pct"/>
            <w:vAlign w:val="center"/>
          </w:tcPr>
          <w:p w14:paraId="67742F0B" w14:textId="0ED60DCC" w:rsidR="00617FBA" w:rsidRPr="00D24383" w:rsidRDefault="00617FBA" w:rsidP="00D24383">
            <w:pPr>
              <w:spacing w:before="240" w:after="240"/>
              <w:jc w:val="center"/>
              <w:rPr>
                <w:rFonts w:cs="Arial"/>
                <w:szCs w:val="24"/>
              </w:rPr>
            </w:pPr>
            <w:r w:rsidRPr="00D24383">
              <w:rPr>
                <w:rFonts w:cs="Arial"/>
                <w:szCs w:val="24"/>
              </w:rPr>
              <w:t>Hispanic or Latino</w:t>
            </w:r>
          </w:p>
        </w:tc>
        <w:tc>
          <w:tcPr>
            <w:tcW w:w="988" w:type="pct"/>
            <w:vAlign w:val="center"/>
          </w:tcPr>
          <w:p w14:paraId="6F3D9B13" w14:textId="0950975E" w:rsidR="00617FBA" w:rsidRPr="00D24383" w:rsidRDefault="00617FBA" w:rsidP="00D24383">
            <w:pPr>
              <w:spacing w:before="240" w:after="240"/>
              <w:jc w:val="center"/>
              <w:rPr>
                <w:rFonts w:cs="Arial"/>
                <w:szCs w:val="24"/>
              </w:rPr>
            </w:pPr>
            <w:r w:rsidRPr="00D24383">
              <w:rPr>
                <w:rFonts w:cs="Arial"/>
                <w:szCs w:val="24"/>
              </w:rPr>
              <w:t>United States</w:t>
            </w:r>
          </w:p>
        </w:tc>
        <w:tc>
          <w:tcPr>
            <w:tcW w:w="447" w:type="pct"/>
            <w:vAlign w:val="center"/>
          </w:tcPr>
          <w:p w14:paraId="29731F31" w14:textId="5161B28E" w:rsidR="00617FBA" w:rsidRPr="00D24383" w:rsidRDefault="00617FBA" w:rsidP="00D24383">
            <w:pPr>
              <w:spacing w:before="240" w:after="240"/>
              <w:jc w:val="center"/>
              <w:rPr>
                <w:rFonts w:cs="Arial"/>
                <w:szCs w:val="24"/>
              </w:rPr>
            </w:pPr>
            <w:r w:rsidRPr="00D24383">
              <w:rPr>
                <w:rFonts w:cs="Arial"/>
                <w:szCs w:val="24"/>
              </w:rPr>
              <w:t>31%</w:t>
            </w:r>
          </w:p>
        </w:tc>
        <w:tc>
          <w:tcPr>
            <w:tcW w:w="447" w:type="pct"/>
            <w:vAlign w:val="center"/>
          </w:tcPr>
          <w:p w14:paraId="408054DF" w14:textId="18D6E024" w:rsidR="00617FBA" w:rsidRPr="00D24383" w:rsidRDefault="00617FBA" w:rsidP="00D24383">
            <w:pPr>
              <w:spacing w:before="240" w:after="240"/>
              <w:jc w:val="center"/>
              <w:rPr>
                <w:rFonts w:cs="Arial"/>
                <w:szCs w:val="24"/>
              </w:rPr>
            </w:pPr>
            <w:r w:rsidRPr="00D24383">
              <w:rPr>
                <w:rFonts w:cs="Arial"/>
                <w:szCs w:val="24"/>
              </w:rPr>
              <w:t>28%</w:t>
            </w:r>
          </w:p>
        </w:tc>
        <w:tc>
          <w:tcPr>
            <w:tcW w:w="447" w:type="pct"/>
            <w:vAlign w:val="center"/>
          </w:tcPr>
          <w:p w14:paraId="1644C016" w14:textId="7E3705AE" w:rsidR="00617FBA" w:rsidRPr="00D24383" w:rsidRDefault="00617FBA" w:rsidP="00D24383">
            <w:pPr>
              <w:spacing w:before="240" w:after="240"/>
              <w:jc w:val="center"/>
              <w:rPr>
                <w:rFonts w:cs="Arial"/>
                <w:szCs w:val="24"/>
              </w:rPr>
            </w:pPr>
            <w:r w:rsidRPr="00D24383">
              <w:rPr>
                <w:rFonts w:cs="Arial"/>
                <w:szCs w:val="24"/>
              </w:rPr>
              <w:t>26%</w:t>
            </w:r>
          </w:p>
        </w:tc>
        <w:tc>
          <w:tcPr>
            <w:tcW w:w="447" w:type="pct"/>
            <w:vAlign w:val="center"/>
          </w:tcPr>
          <w:p w14:paraId="6689D3FF" w14:textId="26FB299D" w:rsidR="00617FBA" w:rsidRPr="00D24383" w:rsidRDefault="00617FBA" w:rsidP="00D24383">
            <w:pPr>
              <w:spacing w:before="240" w:after="240"/>
              <w:jc w:val="center"/>
              <w:rPr>
                <w:rFonts w:cs="Arial"/>
                <w:szCs w:val="24"/>
              </w:rPr>
            </w:pPr>
            <w:r w:rsidRPr="00D24383">
              <w:rPr>
                <w:rFonts w:cs="Arial"/>
                <w:szCs w:val="24"/>
              </w:rPr>
              <w:t>26%</w:t>
            </w:r>
          </w:p>
        </w:tc>
        <w:tc>
          <w:tcPr>
            <w:tcW w:w="447" w:type="pct"/>
            <w:vAlign w:val="center"/>
          </w:tcPr>
          <w:p w14:paraId="5096CCD4" w14:textId="54858647" w:rsidR="00617FBA" w:rsidRPr="00D24383" w:rsidRDefault="00617FBA" w:rsidP="00D24383">
            <w:pPr>
              <w:spacing w:before="240" w:after="240"/>
              <w:jc w:val="center"/>
              <w:rPr>
                <w:rFonts w:cs="Arial"/>
                <w:szCs w:val="24"/>
              </w:rPr>
            </w:pPr>
            <w:r w:rsidRPr="00D24383">
              <w:rPr>
                <w:rFonts w:cs="Arial"/>
                <w:szCs w:val="24"/>
              </w:rPr>
              <w:t>23%</w:t>
            </w:r>
          </w:p>
        </w:tc>
      </w:tr>
      <w:tr w:rsidR="00D24383" w:rsidRPr="00D24383" w14:paraId="4EC68B68" w14:textId="77777777" w:rsidTr="00651831">
        <w:trPr>
          <w:cantSplit/>
          <w:trHeight w:val="432"/>
        </w:trPr>
        <w:tc>
          <w:tcPr>
            <w:tcW w:w="1776" w:type="pct"/>
            <w:vAlign w:val="center"/>
          </w:tcPr>
          <w:p w14:paraId="6C099080" w14:textId="080C6492" w:rsidR="00617FBA" w:rsidRPr="00D24383" w:rsidRDefault="00617FBA" w:rsidP="00D24383">
            <w:pPr>
              <w:spacing w:before="240" w:after="240"/>
              <w:jc w:val="center"/>
              <w:rPr>
                <w:rFonts w:cs="Arial"/>
                <w:szCs w:val="24"/>
              </w:rPr>
            </w:pPr>
            <w:r w:rsidRPr="00D24383">
              <w:rPr>
                <w:rFonts w:cs="Arial"/>
                <w:szCs w:val="24"/>
              </w:rPr>
              <w:t>Hispanic or Latino</w:t>
            </w:r>
          </w:p>
        </w:tc>
        <w:tc>
          <w:tcPr>
            <w:tcW w:w="988" w:type="pct"/>
            <w:vAlign w:val="center"/>
          </w:tcPr>
          <w:p w14:paraId="45F96AC5" w14:textId="75347BCD" w:rsidR="00617FBA" w:rsidRPr="00D24383" w:rsidRDefault="00617FBA" w:rsidP="00D24383">
            <w:pPr>
              <w:spacing w:before="240" w:after="240"/>
              <w:jc w:val="center"/>
              <w:rPr>
                <w:rFonts w:cs="Arial"/>
                <w:szCs w:val="24"/>
              </w:rPr>
            </w:pPr>
            <w:r w:rsidRPr="00D24383">
              <w:rPr>
                <w:rFonts w:cs="Arial"/>
                <w:szCs w:val="24"/>
              </w:rPr>
              <w:t>California</w:t>
            </w:r>
          </w:p>
        </w:tc>
        <w:tc>
          <w:tcPr>
            <w:tcW w:w="447" w:type="pct"/>
            <w:vAlign w:val="center"/>
          </w:tcPr>
          <w:p w14:paraId="0C81F38B" w14:textId="08FF6BEC" w:rsidR="00617FBA" w:rsidRPr="00D24383" w:rsidRDefault="00B07537" w:rsidP="00D24383">
            <w:pPr>
              <w:spacing w:before="240" w:after="240"/>
              <w:jc w:val="center"/>
              <w:rPr>
                <w:rFonts w:cs="Arial"/>
                <w:szCs w:val="24"/>
              </w:rPr>
            </w:pPr>
            <w:r w:rsidRPr="00D24383">
              <w:rPr>
                <w:rFonts w:cs="Arial"/>
                <w:szCs w:val="24"/>
              </w:rPr>
              <w:t>29%</w:t>
            </w:r>
          </w:p>
        </w:tc>
        <w:tc>
          <w:tcPr>
            <w:tcW w:w="447" w:type="pct"/>
            <w:vAlign w:val="center"/>
          </w:tcPr>
          <w:p w14:paraId="7068C527" w14:textId="0830F05D" w:rsidR="00617FBA" w:rsidRPr="00D24383" w:rsidRDefault="00B07537" w:rsidP="00D24383">
            <w:pPr>
              <w:spacing w:before="240" w:after="240"/>
              <w:jc w:val="center"/>
              <w:rPr>
                <w:rFonts w:cs="Arial"/>
                <w:szCs w:val="24"/>
              </w:rPr>
            </w:pPr>
            <w:r w:rsidRPr="00D24383">
              <w:rPr>
                <w:rFonts w:cs="Arial"/>
                <w:szCs w:val="24"/>
              </w:rPr>
              <w:t>27%</w:t>
            </w:r>
          </w:p>
        </w:tc>
        <w:tc>
          <w:tcPr>
            <w:tcW w:w="447" w:type="pct"/>
            <w:vAlign w:val="center"/>
          </w:tcPr>
          <w:p w14:paraId="7E606911" w14:textId="35F4EDE9" w:rsidR="00617FBA" w:rsidRPr="00D24383" w:rsidRDefault="00B07537" w:rsidP="00D24383">
            <w:pPr>
              <w:spacing w:before="240" w:after="240"/>
              <w:jc w:val="center"/>
              <w:rPr>
                <w:rFonts w:cs="Arial"/>
                <w:szCs w:val="24"/>
              </w:rPr>
            </w:pPr>
            <w:r w:rsidRPr="00D24383">
              <w:rPr>
                <w:rFonts w:cs="Arial"/>
                <w:szCs w:val="24"/>
              </w:rPr>
              <w:t>24%</w:t>
            </w:r>
          </w:p>
        </w:tc>
        <w:tc>
          <w:tcPr>
            <w:tcW w:w="447" w:type="pct"/>
            <w:vAlign w:val="center"/>
          </w:tcPr>
          <w:p w14:paraId="53ABB3C6" w14:textId="5EBC8649" w:rsidR="00617FBA" w:rsidRPr="00D24383" w:rsidRDefault="00B07537" w:rsidP="00D24383">
            <w:pPr>
              <w:spacing w:before="240" w:after="240"/>
              <w:jc w:val="center"/>
              <w:rPr>
                <w:rFonts w:cs="Arial"/>
                <w:szCs w:val="24"/>
              </w:rPr>
            </w:pPr>
            <w:r w:rsidRPr="00D24383">
              <w:rPr>
                <w:rFonts w:cs="Arial"/>
                <w:szCs w:val="24"/>
              </w:rPr>
              <w:t>23%</w:t>
            </w:r>
          </w:p>
        </w:tc>
        <w:tc>
          <w:tcPr>
            <w:tcW w:w="447" w:type="pct"/>
            <w:vAlign w:val="center"/>
          </w:tcPr>
          <w:p w14:paraId="7D1CA3D8" w14:textId="3A30D760" w:rsidR="00617FBA" w:rsidRPr="00D24383" w:rsidRDefault="00B07537" w:rsidP="00D24383">
            <w:pPr>
              <w:spacing w:before="240" w:after="240"/>
              <w:jc w:val="center"/>
              <w:rPr>
                <w:rFonts w:cs="Arial"/>
                <w:szCs w:val="24"/>
              </w:rPr>
            </w:pPr>
            <w:r w:rsidRPr="00D24383">
              <w:rPr>
                <w:rFonts w:cs="Arial"/>
                <w:szCs w:val="24"/>
              </w:rPr>
              <w:t>21%</w:t>
            </w:r>
          </w:p>
        </w:tc>
      </w:tr>
      <w:tr w:rsidR="00D24383" w:rsidRPr="00D24383" w14:paraId="5EB2CF07" w14:textId="77777777" w:rsidTr="00651831">
        <w:trPr>
          <w:cantSplit/>
          <w:trHeight w:val="432"/>
        </w:trPr>
        <w:tc>
          <w:tcPr>
            <w:tcW w:w="1776" w:type="pct"/>
            <w:vAlign w:val="center"/>
          </w:tcPr>
          <w:p w14:paraId="31DEEB06" w14:textId="18A9A820" w:rsidR="00617FBA" w:rsidRPr="00D24383" w:rsidRDefault="00617FBA" w:rsidP="00D24383">
            <w:pPr>
              <w:spacing w:before="240" w:after="240"/>
              <w:jc w:val="center"/>
              <w:rPr>
                <w:rFonts w:cs="Arial"/>
                <w:szCs w:val="24"/>
              </w:rPr>
            </w:pPr>
            <w:r w:rsidRPr="00D24383">
              <w:rPr>
                <w:rFonts w:cs="Arial"/>
                <w:szCs w:val="24"/>
              </w:rPr>
              <w:t>White</w:t>
            </w:r>
            <w:r w:rsidR="002F0202" w:rsidRPr="00D24383">
              <w:rPr>
                <w:rFonts w:cs="Arial"/>
                <w:szCs w:val="24"/>
              </w:rPr>
              <w:t>, Non-Hispanic</w:t>
            </w:r>
          </w:p>
        </w:tc>
        <w:tc>
          <w:tcPr>
            <w:tcW w:w="988" w:type="pct"/>
            <w:vAlign w:val="center"/>
          </w:tcPr>
          <w:p w14:paraId="4FEB21A4" w14:textId="1290B50C" w:rsidR="00617FBA" w:rsidRPr="00D24383" w:rsidRDefault="00617FBA" w:rsidP="00D24383">
            <w:pPr>
              <w:spacing w:before="240" w:after="240"/>
              <w:jc w:val="center"/>
              <w:rPr>
                <w:rFonts w:cs="Arial"/>
                <w:szCs w:val="24"/>
              </w:rPr>
            </w:pPr>
            <w:r w:rsidRPr="00D24383">
              <w:rPr>
                <w:rFonts w:cs="Arial"/>
                <w:szCs w:val="24"/>
              </w:rPr>
              <w:t>United States</w:t>
            </w:r>
          </w:p>
        </w:tc>
        <w:tc>
          <w:tcPr>
            <w:tcW w:w="447" w:type="pct"/>
            <w:vAlign w:val="center"/>
          </w:tcPr>
          <w:p w14:paraId="0A766FF7" w14:textId="6D8FBE88" w:rsidR="00617FBA" w:rsidRPr="00D24383" w:rsidRDefault="00B07537" w:rsidP="00D24383">
            <w:pPr>
              <w:spacing w:before="240" w:after="240"/>
              <w:jc w:val="center"/>
              <w:rPr>
                <w:rFonts w:cs="Arial"/>
                <w:szCs w:val="24"/>
              </w:rPr>
            </w:pPr>
            <w:r w:rsidRPr="00D24383">
              <w:rPr>
                <w:rFonts w:cs="Arial"/>
                <w:szCs w:val="24"/>
              </w:rPr>
              <w:t>12%</w:t>
            </w:r>
          </w:p>
        </w:tc>
        <w:tc>
          <w:tcPr>
            <w:tcW w:w="447" w:type="pct"/>
            <w:vAlign w:val="center"/>
          </w:tcPr>
          <w:p w14:paraId="7CB212F8" w14:textId="53AC7193" w:rsidR="00617FBA" w:rsidRPr="00D24383" w:rsidRDefault="00B07537" w:rsidP="00D24383">
            <w:pPr>
              <w:spacing w:before="240" w:after="240"/>
              <w:jc w:val="center"/>
              <w:rPr>
                <w:rFonts w:cs="Arial"/>
                <w:szCs w:val="24"/>
              </w:rPr>
            </w:pPr>
            <w:r w:rsidRPr="00D24383">
              <w:rPr>
                <w:rFonts w:cs="Arial"/>
                <w:szCs w:val="24"/>
              </w:rPr>
              <w:t>12%</w:t>
            </w:r>
          </w:p>
        </w:tc>
        <w:tc>
          <w:tcPr>
            <w:tcW w:w="447" w:type="pct"/>
            <w:vAlign w:val="center"/>
          </w:tcPr>
          <w:p w14:paraId="568EB5CB" w14:textId="4E9239F7" w:rsidR="00617FBA" w:rsidRPr="00D24383" w:rsidRDefault="00B07537" w:rsidP="00D24383">
            <w:pPr>
              <w:spacing w:before="240" w:after="240"/>
              <w:jc w:val="center"/>
              <w:rPr>
                <w:rFonts w:cs="Arial"/>
                <w:szCs w:val="24"/>
              </w:rPr>
            </w:pPr>
            <w:r w:rsidRPr="00D24383">
              <w:rPr>
                <w:rFonts w:cs="Arial"/>
                <w:szCs w:val="24"/>
              </w:rPr>
              <w:t>11%</w:t>
            </w:r>
          </w:p>
        </w:tc>
        <w:tc>
          <w:tcPr>
            <w:tcW w:w="447" w:type="pct"/>
            <w:vAlign w:val="center"/>
          </w:tcPr>
          <w:p w14:paraId="3BE116C5" w14:textId="55792A60" w:rsidR="00617FBA" w:rsidRPr="00D24383" w:rsidRDefault="00B07537" w:rsidP="00D24383">
            <w:pPr>
              <w:spacing w:before="240" w:after="240"/>
              <w:jc w:val="center"/>
              <w:rPr>
                <w:rFonts w:cs="Arial"/>
                <w:szCs w:val="24"/>
              </w:rPr>
            </w:pPr>
            <w:r w:rsidRPr="00D24383">
              <w:rPr>
                <w:rFonts w:cs="Arial"/>
                <w:szCs w:val="24"/>
              </w:rPr>
              <w:t>11%</w:t>
            </w:r>
          </w:p>
        </w:tc>
        <w:tc>
          <w:tcPr>
            <w:tcW w:w="447" w:type="pct"/>
            <w:vAlign w:val="center"/>
          </w:tcPr>
          <w:p w14:paraId="45335E3B" w14:textId="75BD52E4" w:rsidR="00617FBA" w:rsidRPr="00D24383" w:rsidRDefault="00B07537" w:rsidP="00D24383">
            <w:pPr>
              <w:spacing w:before="240" w:after="240"/>
              <w:jc w:val="center"/>
              <w:rPr>
                <w:rFonts w:cs="Arial"/>
                <w:szCs w:val="24"/>
              </w:rPr>
            </w:pPr>
            <w:r w:rsidRPr="00D24383">
              <w:rPr>
                <w:rFonts w:cs="Arial"/>
                <w:szCs w:val="24"/>
              </w:rPr>
              <w:t>10%</w:t>
            </w:r>
          </w:p>
        </w:tc>
      </w:tr>
      <w:tr w:rsidR="00D24383" w:rsidRPr="00D24383" w14:paraId="3B9279D6" w14:textId="77777777" w:rsidTr="00651831">
        <w:trPr>
          <w:cantSplit/>
          <w:trHeight w:val="432"/>
        </w:trPr>
        <w:tc>
          <w:tcPr>
            <w:tcW w:w="1776" w:type="pct"/>
            <w:vAlign w:val="center"/>
          </w:tcPr>
          <w:p w14:paraId="0CBD3855" w14:textId="68AA68C1" w:rsidR="00617FBA" w:rsidRPr="00D24383" w:rsidRDefault="00617FBA" w:rsidP="00D24383">
            <w:pPr>
              <w:spacing w:before="240" w:after="240"/>
              <w:jc w:val="center"/>
              <w:rPr>
                <w:rFonts w:cs="Arial"/>
                <w:szCs w:val="24"/>
              </w:rPr>
            </w:pPr>
            <w:r w:rsidRPr="00D24383">
              <w:rPr>
                <w:rFonts w:cs="Arial"/>
                <w:szCs w:val="24"/>
              </w:rPr>
              <w:t>White</w:t>
            </w:r>
            <w:r w:rsidR="002F0202" w:rsidRPr="00D24383">
              <w:rPr>
                <w:rFonts w:cs="Arial"/>
                <w:szCs w:val="24"/>
              </w:rPr>
              <w:t>, Non-Hispanic</w:t>
            </w:r>
          </w:p>
        </w:tc>
        <w:tc>
          <w:tcPr>
            <w:tcW w:w="988" w:type="pct"/>
            <w:vAlign w:val="center"/>
          </w:tcPr>
          <w:p w14:paraId="5226C0DC" w14:textId="353C933E" w:rsidR="00617FBA" w:rsidRPr="00D24383" w:rsidRDefault="00617FBA" w:rsidP="00D24383">
            <w:pPr>
              <w:spacing w:before="240" w:after="240"/>
              <w:jc w:val="center"/>
              <w:rPr>
                <w:rFonts w:cs="Arial"/>
                <w:szCs w:val="24"/>
              </w:rPr>
            </w:pPr>
            <w:r w:rsidRPr="00D24383">
              <w:rPr>
                <w:rFonts w:cs="Arial"/>
                <w:szCs w:val="24"/>
              </w:rPr>
              <w:t>California</w:t>
            </w:r>
          </w:p>
        </w:tc>
        <w:tc>
          <w:tcPr>
            <w:tcW w:w="447" w:type="pct"/>
            <w:vAlign w:val="center"/>
          </w:tcPr>
          <w:p w14:paraId="33C1A9AA" w14:textId="617DB21D" w:rsidR="00617FBA" w:rsidRPr="00D24383" w:rsidRDefault="00651831" w:rsidP="00D24383">
            <w:pPr>
              <w:spacing w:before="240" w:after="240"/>
              <w:jc w:val="center"/>
              <w:rPr>
                <w:rFonts w:cs="Arial"/>
                <w:szCs w:val="24"/>
              </w:rPr>
            </w:pPr>
            <w:r w:rsidRPr="00D24383">
              <w:rPr>
                <w:rFonts w:cs="Arial"/>
                <w:szCs w:val="24"/>
              </w:rPr>
              <w:t>10%</w:t>
            </w:r>
          </w:p>
        </w:tc>
        <w:tc>
          <w:tcPr>
            <w:tcW w:w="447" w:type="pct"/>
            <w:vAlign w:val="center"/>
          </w:tcPr>
          <w:p w14:paraId="2796AE42" w14:textId="3530B9F4" w:rsidR="00617FBA" w:rsidRPr="00D24383" w:rsidRDefault="00651831" w:rsidP="00D24383">
            <w:pPr>
              <w:spacing w:before="240" w:after="240"/>
              <w:jc w:val="center"/>
              <w:rPr>
                <w:rFonts w:cs="Arial"/>
                <w:szCs w:val="24"/>
              </w:rPr>
            </w:pPr>
            <w:r w:rsidRPr="00D24383">
              <w:rPr>
                <w:rFonts w:cs="Arial"/>
                <w:szCs w:val="24"/>
              </w:rPr>
              <w:t>10%</w:t>
            </w:r>
          </w:p>
        </w:tc>
        <w:tc>
          <w:tcPr>
            <w:tcW w:w="447" w:type="pct"/>
            <w:vAlign w:val="center"/>
          </w:tcPr>
          <w:p w14:paraId="5AA7E919" w14:textId="15BBD6D0" w:rsidR="00617FBA" w:rsidRPr="00D24383" w:rsidRDefault="00651831" w:rsidP="00D24383">
            <w:pPr>
              <w:spacing w:before="240" w:after="240"/>
              <w:jc w:val="center"/>
              <w:rPr>
                <w:rFonts w:cs="Arial"/>
                <w:szCs w:val="24"/>
              </w:rPr>
            </w:pPr>
            <w:r w:rsidRPr="00D24383">
              <w:rPr>
                <w:rFonts w:cs="Arial"/>
                <w:szCs w:val="24"/>
              </w:rPr>
              <w:t>9%</w:t>
            </w:r>
          </w:p>
        </w:tc>
        <w:tc>
          <w:tcPr>
            <w:tcW w:w="447" w:type="pct"/>
            <w:vAlign w:val="center"/>
          </w:tcPr>
          <w:p w14:paraId="76A65D17" w14:textId="67D5D4AB" w:rsidR="00617FBA" w:rsidRPr="00D24383" w:rsidRDefault="00651831" w:rsidP="00D24383">
            <w:pPr>
              <w:spacing w:before="240" w:after="240"/>
              <w:jc w:val="center"/>
              <w:rPr>
                <w:rFonts w:cs="Arial"/>
                <w:szCs w:val="24"/>
              </w:rPr>
            </w:pPr>
            <w:r w:rsidRPr="00D24383">
              <w:rPr>
                <w:rFonts w:cs="Arial"/>
                <w:szCs w:val="24"/>
              </w:rPr>
              <w:t>9%</w:t>
            </w:r>
          </w:p>
        </w:tc>
        <w:tc>
          <w:tcPr>
            <w:tcW w:w="447" w:type="pct"/>
            <w:vAlign w:val="center"/>
          </w:tcPr>
          <w:p w14:paraId="674E229B" w14:textId="42B947CD" w:rsidR="00617FBA" w:rsidRPr="00D24383" w:rsidRDefault="00651831" w:rsidP="00D24383">
            <w:pPr>
              <w:spacing w:before="240" w:after="240"/>
              <w:jc w:val="center"/>
              <w:rPr>
                <w:rFonts w:cs="Arial"/>
                <w:szCs w:val="24"/>
              </w:rPr>
            </w:pPr>
            <w:r w:rsidRPr="00D24383">
              <w:rPr>
                <w:rFonts w:cs="Arial"/>
                <w:szCs w:val="24"/>
              </w:rPr>
              <w:t>7%</w:t>
            </w:r>
          </w:p>
        </w:tc>
      </w:tr>
      <w:tr w:rsidR="00D24383" w:rsidRPr="00D24383" w14:paraId="784A65C3" w14:textId="77777777" w:rsidTr="00651831">
        <w:trPr>
          <w:cantSplit/>
          <w:trHeight w:val="432"/>
        </w:trPr>
        <w:tc>
          <w:tcPr>
            <w:tcW w:w="1776" w:type="pct"/>
            <w:vAlign w:val="center"/>
          </w:tcPr>
          <w:p w14:paraId="7D58E54C" w14:textId="0946D120" w:rsidR="00617FBA" w:rsidRPr="00D24383" w:rsidRDefault="00617FBA" w:rsidP="00D24383">
            <w:pPr>
              <w:spacing w:before="240" w:after="240"/>
              <w:jc w:val="center"/>
              <w:rPr>
                <w:rFonts w:cs="Arial"/>
                <w:szCs w:val="24"/>
              </w:rPr>
            </w:pPr>
            <w:r w:rsidRPr="00D24383">
              <w:rPr>
                <w:rFonts w:cs="Arial"/>
                <w:szCs w:val="24"/>
              </w:rPr>
              <w:t>Two or More Races</w:t>
            </w:r>
          </w:p>
        </w:tc>
        <w:tc>
          <w:tcPr>
            <w:tcW w:w="988" w:type="pct"/>
            <w:vAlign w:val="center"/>
          </w:tcPr>
          <w:p w14:paraId="56619DA7" w14:textId="17E4A9E8" w:rsidR="00617FBA" w:rsidRPr="00D24383" w:rsidRDefault="00617FBA" w:rsidP="00D24383">
            <w:pPr>
              <w:spacing w:before="240" w:after="240"/>
              <w:jc w:val="center"/>
              <w:rPr>
                <w:rFonts w:cs="Arial"/>
                <w:szCs w:val="24"/>
              </w:rPr>
            </w:pPr>
            <w:r w:rsidRPr="00D24383">
              <w:rPr>
                <w:rFonts w:cs="Arial"/>
                <w:szCs w:val="24"/>
              </w:rPr>
              <w:t>United States</w:t>
            </w:r>
          </w:p>
        </w:tc>
        <w:tc>
          <w:tcPr>
            <w:tcW w:w="447" w:type="pct"/>
            <w:vAlign w:val="center"/>
          </w:tcPr>
          <w:p w14:paraId="79E9F20C" w14:textId="788EEB2A" w:rsidR="00617FBA" w:rsidRPr="00D24383" w:rsidRDefault="00651831" w:rsidP="00D24383">
            <w:pPr>
              <w:spacing w:before="240" w:after="240"/>
              <w:jc w:val="center"/>
              <w:rPr>
                <w:rFonts w:cs="Arial"/>
                <w:szCs w:val="24"/>
              </w:rPr>
            </w:pPr>
            <w:r w:rsidRPr="00D24383">
              <w:rPr>
                <w:rFonts w:cs="Arial"/>
                <w:szCs w:val="24"/>
              </w:rPr>
              <w:t>21%</w:t>
            </w:r>
          </w:p>
        </w:tc>
        <w:tc>
          <w:tcPr>
            <w:tcW w:w="447" w:type="pct"/>
            <w:vAlign w:val="center"/>
          </w:tcPr>
          <w:p w14:paraId="1EF7A328" w14:textId="1EEF40C7" w:rsidR="00617FBA" w:rsidRPr="00D24383" w:rsidRDefault="00651831" w:rsidP="00D24383">
            <w:pPr>
              <w:spacing w:before="240" w:after="240"/>
              <w:jc w:val="center"/>
              <w:rPr>
                <w:rFonts w:cs="Arial"/>
                <w:szCs w:val="24"/>
              </w:rPr>
            </w:pPr>
            <w:r w:rsidRPr="00D24383">
              <w:rPr>
                <w:rFonts w:cs="Arial"/>
                <w:szCs w:val="24"/>
              </w:rPr>
              <w:t>20%</w:t>
            </w:r>
          </w:p>
        </w:tc>
        <w:tc>
          <w:tcPr>
            <w:tcW w:w="447" w:type="pct"/>
            <w:vAlign w:val="center"/>
          </w:tcPr>
          <w:p w14:paraId="1D3B057B" w14:textId="5914FD65" w:rsidR="00617FBA" w:rsidRPr="00D24383" w:rsidRDefault="00651831" w:rsidP="00D24383">
            <w:pPr>
              <w:spacing w:before="240" w:after="240"/>
              <w:jc w:val="center"/>
              <w:rPr>
                <w:rFonts w:cs="Arial"/>
                <w:szCs w:val="24"/>
              </w:rPr>
            </w:pPr>
            <w:r w:rsidRPr="00D24383">
              <w:rPr>
                <w:rFonts w:cs="Arial"/>
                <w:szCs w:val="24"/>
              </w:rPr>
              <w:t>19%</w:t>
            </w:r>
          </w:p>
        </w:tc>
        <w:tc>
          <w:tcPr>
            <w:tcW w:w="447" w:type="pct"/>
            <w:vAlign w:val="center"/>
          </w:tcPr>
          <w:p w14:paraId="7C4E1240" w14:textId="05AE10B9" w:rsidR="00617FBA" w:rsidRPr="00D24383" w:rsidRDefault="00651831" w:rsidP="00D24383">
            <w:pPr>
              <w:spacing w:before="240" w:after="240"/>
              <w:jc w:val="center"/>
              <w:rPr>
                <w:rFonts w:cs="Arial"/>
                <w:szCs w:val="24"/>
              </w:rPr>
            </w:pPr>
            <w:r w:rsidRPr="00D24383">
              <w:rPr>
                <w:rFonts w:cs="Arial"/>
                <w:szCs w:val="24"/>
              </w:rPr>
              <w:t>18%</w:t>
            </w:r>
          </w:p>
        </w:tc>
        <w:tc>
          <w:tcPr>
            <w:tcW w:w="447" w:type="pct"/>
            <w:vAlign w:val="center"/>
          </w:tcPr>
          <w:p w14:paraId="5A1F27E5" w14:textId="1026BC8C" w:rsidR="00617FBA" w:rsidRPr="00D24383" w:rsidRDefault="00651831" w:rsidP="00D24383">
            <w:pPr>
              <w:spacing w:before="240" w:after="240"/>
              <w:jc w:val="center"/>
              <w:rPr>
                <w:rFonts w:cs="Arial"/>
                <w:szCs w:val="24"/>
              </w:rPr>
            </w:pPr>
            <w:r w:rsidRPr="00D24383">
              <w:rPr>
                <w:rFonts w:cs="Arial"/>
                <w:szCs w:val="24"/>
              </w:rPr>
              <w:t>17%</w:t>
            </w:r>
          </w:p>
        </w:tc>
      </w:tr>
      <w:tr w:rsidR="00D24383" w:rsidRPr="00D24383" w14:paraId="379FCFBD" w14:textId="77777777" w:rsidTr="00651831">
        <w:trPr>
          <w:cantSplit/>
          <w:trHeight w:val="432"/>
        </w:trPr>
        <w:tc>
          <w:tcPr>
            <w:tcW w:w="1776" w:type="pct"/>
            <w:vAlign w:val="center"/>
          </w:tcPr>
          <w:p w14:paraId="592EE76B" w14:textId="0AF74677" w:rsidR="00617FBA" w:rsidRPr="00D24383" w:rsidRDefault="00617FBA" w:rsidP="00D24383">
            <w:pPr>
              <w:spacing w:before="240" w:after="240"/>
              <w:jc w:val="center"/>
              <w:rPr>
                <w:rFonts w:cs="Arial"/>
                <w:szCs w:val="24"/>
              </w:rPr>
            </w:pPr>
            <w:r w:rsidRPr="00D24383">
              <w:rPr>
                <w:rFonts w:cs="Arial"/>
                <w:szCs w:val="24"/>
              </w:rPr>
              <w:t>Two or More Races</w:t>
            </w:r>
          </w:p>
        </w:tc>
        <w:tc>
          <w:tcPr>
            <w:tcW w:w="988" w:type="pct"/>
            <w:vAlign w:val="center"/>
          </w:tcPr>
          <w:p w14:paraId="7770DE31" w14:textId="078B5EE4" w:rsidR="00617FBA" w:rsidRPr="00D24383" w:rsidRDefault="00617FBA" w:rsidP="00D24383">
            <w:pPr>
              <w:spacing w:before="240" w:after="240"/>
              <w:jc w:val="center"/>
              <w:rPr>
                <w:rFonts w:cs="Arial"/>
                <w:szCs w:val="24"/>
              </w:rPr>
            </w:pPr>
            <w:r w:rsidRPr="00D24383">
              <w:rPr>
                <w:rFonts w:cs="Arial"/>
                <w:szCs w:val="24"/>
              </w:rPr>
              <w:t>California</w:t>
            </w:r>
          </w:p>
        </w:tc>
        <w:tc>
          <w:tcPr>
            <w:tcW w:w="447" w:type="pct"/>
            <w:vAlign w:val="center"/>
          </w:tcPr>
          <w:p w14:paraId="4008F456" w14:textId="1AF82C1D" w:rsidR="00617FBA" w:rsidRPr="00D24383" w:rsidRDefault="00651831" w:rsidP="00D24383">
            <w:pPr>
              <w:spacing w:before="240" w:after="240"/>
              <w:jc w:val="center"/>
              <w:rPr>
                <w:rFonts w:cs="Arial"/>
                <w:szCs w:val="24"/>
              </w:rPr>
            </w:pPr>
            <w:r w:rsidRPr="00D24383">
              <w:rPr>
                <w:rFonts w:cs="Arial"/>
                <w:szCs w:val="24"/>
              </w:rPr>
              <w:t>15%</w:t>
            </w:r>
          </w:p>
        </w:tc>
        <w:tc>
          <w:tcPr>
            <w:tcW w:w="447" w:type="pct"/>
            <w:vAlign w:val="center"/>
          </w:tcPr>
          <w:p w14:paraId="32926EDF" w14:textId="1B3443B5" w:rsidR="00617FBA" w:rsidRPr="00D24383" w:rsidRDefault="00651831" w:rsidP="00D24383">
            <w:pPr>
              <w:spacing w:before="240" w:after="240"/>
              <w:jc w:val="center"/>
              <w:rPr>
                <w:rFonts w:cs="Arial"/>
                <w:szCs w:val="24"/>
              </w:rPr>
            </w:pPr>
            <w:r w:rsidRPr="00D24383">
              <w:rPr>
                <w:rFonts w:cs="Arial"/>
                <w:szCs w:val="24"/>
              </w:rPr>
              <w:t>14%</w:t>
            </w:r>
          </w:p>
        </w:tc>
        <w:tc>
          <w:tcPr>
            <w:tcW w:w="447" w:type="pct"/>
            <w:vAlign w:val="center"/>
          </w:tcPr>
          <w:p w14:paraId="36B41C81" w14:textId="42466A82" w:rsidR="00617FBA" w:rsidRPr="00D24383" w:rsidRDefault="00651831" w:rsidP="00D24383">
            <w:pPr>
              <w:spacing w:before="240" w:after="240"/>
              <w:jc w:val="center"/>
              <w:rPr>
                <w:rFonts w:cs="Arial"/>
                <w:szCs w:val="24"/>
              </w:rPr>
            </w:pPr>
            <w:r w:rsidRPr="00D24383">
              <w:rPr>
                <w:rFonts w:cs="Arial"/>
                <w:szCs w:val="24"/>
              </w:rPr>
              <w:t>13%</w:t>
            </w:r>
          </w:p>
        </w:tc>
        <w:tc>
          <w:tcPr>
            <w:tcW w:w="447" w:type="pct"/>
            <w:vAlign w:val="center"/>
          </w:tcPr>
          <w:p w14:paraId="36B6633F" w14:textId="63FF40A9" w:rsidR="00617FBA" w:rsidRPr="00D24383" w:rsidRDefault="00651831" w:rsidP="00D24383">
            <w:pPr>
              <w:spacing w:before="240" w:after="240"/>
              <w:jc w:val="center"/>
              <w:rPr>
                <w:rFonts w:cs="Arial"/>
                <w:szCs w:val="24"/>
              </w:rPr>
            </w:pPr>
            <w:r w:rsidRPr="00D24383">
              <w:rPr>
                <w:rFonts w:cs="Arial"/>
                <w:szCs w:val="24"/>
              </w:rPr>
              <w:t>12%</w:t>
            </w:r>
          </w:p>
        </w:tc>
        <w:tc>
          <w:tcPr>
            <w:tcW w:w="447" w:type="pct"/>
            <w:vAlign w:val="center"/>
          </w:tcPr>
          <w:p w14:paraId="0E0A2E53" w14:textId="2DD9F425" w:rsidR="00617FBA" w:rsidRPr="00D24383" w:rsidRDefault="00651831" w:rsidP="00D24383">
            <w:pPr>
              <w:spacing w:before="240" w:after="240"/>
              <w:jc w:val="center"/>
              <w:rPr>
                <w:rFonts w:cs="Arial"/>
                <w:szCs w:val="24"/>
              </w:rPr>
            </w:pPr>
            <w:r w:rsidRPr="00D24383">
              <w:rPr>
                <w:rFonts w:cs="Arial"/>
                <w:szCs w:val="24"/>
              </w:rPr>
              <w:t>11%</w:t>
            </w:r>
          </w:p>
        </w:tc>
      </w:tr>
    </w:tbl>
    <w:p w14:paraId="7BE5F17C" w14:textId="3B94C80E" w:rsidR="00C9574A" w:rsidRPr="00D24383" w:rsidRDefault="00C9574A" w:rsidP="00D24383">
      <w:pPr>
        <w:spacing w:before="240"/>
        <w:rPr>
          <w:rFonts w:cs="Arial"/>
          <w:szCs w:val="24"/>
        </w:rPr>
      </w:pPr>
      <w:r w:rsidRPr="00D24383">
        <w:rPr>
          <w:rFonts w:cs="Arial"/>
          <w:szCs w:val="24"/>
        </w:rPr>
        <w:t>Table 2 shows the poverty rate of children living in poverty in the years 2013</w:t>
      </w:r>
      <w:r w:rsidR="00B20286" w:rsidRPr="00D24383">
        <w:rPr>
          <w:rFonts w:cs="Arial"/>
          <w:szCs w:val="24"/>
        </w:rPr>
        <w:t>–</w:t>
      </w:r>
      <w:r w:rsidRPr="00D24383">
        <w:rPr>
          <w:rFonts w:cs="Arial"/>
          <w:szCs w:val="24"/>
        </w:rPr>
        <w:t>17 (</w:t>
      </w:r>
      <w:r w:rsidR="0021441D" w:rsidRPr="00D24383">
        <w:rPr>
          <w:rFonts w:cs="Arial"/>
          <w:szCs w:val="24"/>
        </w:rPr>
        <w:t>American Community Survey [ACS]</w:t>
      </w:r>
      <w:r w:rsidRPr="00D24383">
        <w:rPr>
          <w:rFonts w:cs="Arial"/>
          <w:szCs w:val="24"/>
        </w:rPr>
        <w:t xml:space="preserve"> data for 2012</w:t>
      </w:r>
      <w:r w:rsidR="00B20286" w:rsidRPr="00D24383">
        <w:rPr>
          <w:rFonts w:cs="Arial"/>
          <w:szCs w:val="24"/>
        </w:rPr>
        <w:t>–</w:t>
      </w:r>
      <w:r w:rsidRPr="00D24383">
        <w:rPr>
          <w:rFonts w:cs="Arial"/>
          <w:szCs w:val="24"/>
        </w:rPr>
        <w:t>16 and 2013</w:t>
      </w:r>
      <w:r w:rsidR="00B20286" w:rsidRPr="00D24383">
        <w:rPr>
          <w:rFonts w:cs="Arial"/>
          <w:szCs w:val="24"/>
        </w:rPr>
        <w:t>–</w:t>
      </w:r>
      <w:r w:rsidRPr="00D24383">
        <w:rPr>
          <w:rFonts w:cs="Arial"/>
          <w:szCs w:val="24"/>
        </w:rPr>
        <w:t xml:space="preserve">17 </w:t>
      </w:r>
      <w:proofErr w:type="gramStart"/>
      <w:r w:rsidRPr="00D24383">
        <w:rPr>
          <w:rFonts w:cs="Arial"/>
          <w:szCs w:val="24"/>
        </w:rPr>
        <w:t>are</w:t>
      </w:r>
      <w:proofErr w:type="gramEnd"/>
      <w:r w:rsidRPr="00D24383">
        <w:rPr>
          <w:rFonts w:cs="Arial"/>
          <w:szCs w:val="24"/>
        </w:rPr>
        <w:t xml:space="preserve"> available</w:t>
      </w:r>
      <w:r w:rsidR="008A5DD9" w:rsidRPr="00D24383">
        <w:rPr>
          <w:rFonts w:cs="Arial"/>
          <w:szCs w:val="24"/>
        </w:rPr>
        <w:t>)</w:t>
      </w:r>
      <w:r w:rsidR="00D5067D">
        <w:rPr>
          <w:rFonts w:cs="Arial"/>
          <w:szCs w:val="24"/>
        </w:rPr>
        <w:t>.</w:t>
      </w:r>
    </w:p>
    <w:p w14:paraId="411ED382" w14:textId="7C75EB47" w:rsidR="0021441D" w:rsidRDefault="0021441D" w:rsidP="00D24383">
      <w:pPr>
        <w:spacing w:before="240"/>
        <w:rPr>
          <w:rFonts w:cs="Arial"/>
          <w:b/>
          <w:szCs w:val="24"/>
        </w:rPr>
      </w:pPr>
      <w:r w:rsidRPr="00D24383">
        <w:rPr>
          <w:rFonts w:cs="Arial"/>
          <w:b/>
          <w:szCs w:val="24"/>
        </w:rPr>
        <w:t xml:space="preserve">Table 2: Percentage of Persons Under </w:t>
      </w:r>
      <w:r w:rsidR="0059779F">
        <w:rPr>
          <w:rFonts w:cs="Arial"/>
          <w:b/>
          <w:szCs w:val="24"/>
        </w:rPr>
        <w:t>Eighteen</w:t>
      </w:r>
      <w:r w:rsidRPr="00D24383">
        <w:rPr>
          <w:rFonts w:cs="Arial"/>
          <w:b/>
          <w:szCs w:val="24"/>
        </w:rPr>
        <w:t xml:space="preserve"> who are Living Below the Poverty Level, by County, </w:t>
      </w:r>
      <w:r w:rsidR="009114EB" w:rsidRPr="00D24383">
        <w:rPr>
          <w:rFonts w:cs="Arial"/>
          <w:b/>
          <w:szCs w:val="24"/>
        </w:rPr>
        <w:t xml:space="preserve">Reported to </w:t>
      </w:r>
      <w:r w:rsidRPr="00D24383">
        <w:rPr>
          <w:rFonts w:cs="Arial"/>
          <w:b/>
          <w:szCs w:val="24"/>
        </w:rPr>
        <w:t>ACS</w:t>
      </w:r>
      <w:r w:rsidR="009114EB" w:rsidRPr="00D24383">
        <w:rPr>
          <w:rFonts w:cs="Arial"/>
          <w:b/>
          <w:szCs w:val="24"/>
        </w:rPr>
        <w:t>, in 2013–17</w:t>
      </w:r>
      <w:r w:rsidR="00BC72EA">
        <w:rPr>
          <w:rStyle w:val="FootnoteReference"/>
          <w:rFonts w:cs="Arial"/>
          <w:b/>
          <w:szCs w:val="24"/>
        </w:rPr>
        <w:footnoteReference w:id="4"/>
      </w:r>
    </w:p>
    <w:p w14:paraId="52D005B1" w14:textId="2687EE06" w:rsidR="003F2F1C" w:rsidRPr="003F2F1C" w:rsidRDefault="003F2F1C" w:rsidP="00D24383">
      <w:pPr>
        <w:spacing w:before="240"/>
        <w:rPr>
          <w:rFonts w:cs="Arial"/>
          <w:szCs w:val="24"/>
        </w:rPr>
      </w:pPr>
      <w:r w:rsidRPr="00D24383">
        <w:rPr>
          <w:rFonts w:cs="Arial"/>
          <w:szCs w:val="24"/>
        </w:rPr>
        <w:t xml:space="preserve">S – Estimates </w:t>
      </w:r>
      <w:proofErr w:type="gramStart"/>
      <w:r>
        <w:rPr>
          <w:rFonts w:cs="Arial"/>
          <w:szCs w:val="24"/>
        </w:rPr>
        <w:t xml:space="preserve">are </w:t>
      </w:r>
      <w:r w:rsidRPr="00D24383">
        <w:rPr>
          <w:rFonts w:cs="Arial"/>
          <w:szCs w:val="24"/>
        </w:rPr>
        <w:t>suppressed</w:t>
      </w:r>
      <w:proofErr w:type="gramEnd"/>
      <w:r w:rsidRPr="00D24383">
        <w:rPr>
          <w:rFonts w:cs="Arial"/>
          <w:szCs w:val="24"/>
        </w:rPr>
        <w:t xml:space="preserve"> when the confidence interval around the percentage is greater than or equal to 10 percentage points.</w:t>
      </w:r>
    </w:p>
    <w:tbl>
      <w:tblPr>
        <w:tblStyle w:val="TableGrid"/>
        <w:tblW w:w="5000" w:type="pct"/>
        <w:tblLook w:val="04A0" w:firstRow="1" w:lastRow="0" w:firstColumn="1" w:lastColumn="0" w:noHBand="0" w:noVBand="1"/>
        <w:tblDescription w:val="This table contains Percentage of Persons Under 18 who are Living Below the Poverty Level, by County, Reported to American Community Survey (ACS), in 2013–17."/>
      </w:tblPr>
      <w:tblGrid>
        <w:gridCol w:w="4660"/>
        <w:gridCol w:w="4690"/>
      </w:tblGrid>
      <w:tr w:rsidR="00D24383" w:rsidRPr="00D24383" w14:paraId="2E8F96BD" w14:textId="77777777" w:rsidTr="00C5604B">
        <w:trPr>
          <w:cantSplit/>
          <w:trHeight w:val="432"/>
          <w:tblHeader/>
        </w:trPr>
        <w:tc>
          <w:tcPr>
            <w:tcW w:w="2492" w:type="pct"/>
            <w:shd w:val="clear" w:color="auto" w:fill="D9D9D9" w:themeFill="background1" w:themeFillShade="D9"/>
            <w:vAlign w:val="center"/>
          </w:tcPr>
          <w:p w14:paraId="220E2346" w14:textId="594D9CA7" w:rsidR="0021441D" w:rsidRPr="00D24383" w:rsidRDefault="0021441D" w:rsidP="00D24383">
            <w:pPr>
              <w:spacing w:before="240" w:after="240"/>
              <w:jc w:val="center"/>
              <w:rPr>
                <w:rFonts w:cs="Arial"/>
                <w:b/>
                <w:szCs w:val="24"/>
              </w:rPr>
            </w:pPr>
            <w:r w:rsidRPr="00D24383">
              <w:rPr>
                <w:rFonts w:cs="Arial"/>
                <w:b/>
                <w:szCs w:val="24"/>
              </w:rPr>
              <w:t>County</w:t>
            </w:r>
          </w:p>
        </w:tc>
        <w:tc>
          <w:tcPr>
            <w:tcW w:w="2508" w:type="pct"/>
            <w:shd w:val="clear" w:color="auto" w:fill="D9D9D9" w:themeFill="background1" w:themeFillShade="D9"/>
            <w:vAlign w:val="center"/>
          </w:tcPr>
          <w:p w14:paraId="136BEDD4" w14:textId="2E7C3416" w:rsidR="0021441D" w:rsidRPr="00D24383" w:rsidRDefault="0021441D" w:rsidP="00D24383">
            <w:pPr>
              <w:spacing w:before="240" w:after="240"/>
              <w:jc w:val="center"/>
              <w:rPr>
                <w:rFonts w:cs="Arial"/>
                <w:b/>
                <w:szCs w:val="24"/>
              </w:rPr>
            </w:pPr>
            <w:r w:rsidRPr="00D24383">
              <w:rPr>
                <w:rFonts w:cs="Arial"/>
                <w:b/>
                <w:szCs w:val="24"/>
              </w:rPr>
              <w:t>Percentage</w:t>
            </w:r>
          </w:p>
        </w:tc>
      </w:tr>
      <w:tr w:rsidR="00D24383" w:rsidRPr="00D24383" w14:paraId="225D7142" w14:textId="77777777" w:rsidTr="00C5604B">
        <w:trPr>
          <w:cantSplit/>
          <w:trHeight w:val="432"/>
        </w:trPr>
        <w:tc>
          <w:tcPr>
            <w:tcW w:w="2492" w:type="pct"/>
            <w:vAlign w:val="center"/>
          </w:tcPr>
          <w:p w14:paraId="55969764" w14:textId="196844A8" w:rsidR="0021441D" w:rsidRPr="00D24383" w:rsidRDefault="0021441D" w:rsidP="00D24383">
            <w:pPr>
              <w:spacing w:before="240" w:after="240"/>
              <w:jc w:val="center"/>
              <w:rPr>
                <w:rFonts w:cs="Arial"/>
                <w:szCs w:val="24"/>
              </w:rPr>
            </w:pPr>
            <w:r w:rsidRPr="00D24383">
              <w:rPr>
                <w:rFonts w:cs="Arial"/>
                <w:szCs w:val="24"/>
              </w:rPr>
              <w:t>Alameda</w:t>
            </w:r>
          </w:p>
        </w:tc>
        <w:tc>
          <w:tcPr>
            <w:tcW w:w="2508" w:type="pct"/>
            <w:vAlign w:val="center"/>
          </w:tcPr>
          <w:p w14:paraId="0D3AC327" w14:textId="6D3BC2CE" w:rsidR="0021441D" w:rsidRPr="00D24383" w:rsidRDefault="0021441D" w:rsidP="00D24383">
            <w:pPr>
              <w:spacing w:before="240" w:after="240"/>
              <w:jc w:val="center"/>
              <w:rPr>
                <w:rFonts w:cs="Arial"/>
                <w:szCs w:val="24"/>
              </w:rPr>
            </w:pPr>
            <w:r w:rsidRPr="00D24383">
              <w:rPr>
                <w:rFonts w:cs="Arial"/>
                <w:szCs w:val="24"/>
              </w:rPr>
              <w:t>13.0%</w:t>
            </w:r>
          </w:p>
        </w:tc>
      </w:tr>
      <w:tr w:rsidR="00D24383" w:rsidRPr="00D24383" w14:paraId="0431285E" w14:textId="77777777" w:rsidTr="00C5604B">
        <w:trPr>
          <w:cantSplit/>
          <w:trHeight w:val="432"/>
        </w:trPr>
        <w:tc>
          <w:tcPr>
            <w:tcW w:w="2492" w:type="pct"/>
            <w:vAlign w:val="center"/>
          </w:tcPr>
          <w:p w14:paraId="75CEAC64" w14:textId="501E8F69" w:rsidR="0021441D" w:rsidRPr="00D24383" w:rsidRDefault="0021441D" w:rsidP="00D24383">
            <w:pPr>
              <w:spacing w:before="240" w:after="240"/>
              <w:jc w:val="center"/>
              <w:rPr>
                <w:rFonts w:cs="Arial"/>
                <w:szCs w:val="24"/>
              </w:rPr>
            </w:pPr>
            <w:r w:rsidRPr="00D24383">
              <w:rPr>
                <w:rFonts w:cs="Arial"/>
                <w:szCs w:val="24"/>
              </w:rPr>
              <w:t>Alpine</w:t>
            </w:r>
          </w:p>
        </w:tc>
        <w:tc>
          <w:tcPr>
            <w:tcW w:w="2508" w:type="pct"/>
            <w:vAlign w:val="center"/>
          </w:tcPr>
          <w:p w14:paraId="14B87A1B" w14:textId="1BFBB4DE"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639F188D" w14:textId="77777777" w:rsidTr="00C5604B">
        <w:trPr>
          <w:cantSplit/>
          <w:trHeight w:val="432"/>
        </w:trPr>
        <w:tc>
          <w:tcPr>
            <w:tcW w:w="2492" w:type="pct"/>
            <w:vAlign w:val="center"/>
          </w:tcPr>
          <w:p w14:paraId="6CE6475B" w14:textId="3F7099B1" w:rsidR="0021441D" w:rsidRPr="00D24383" w:rsidRDefault="0021441D" w:rsidP="00D24383">
            <w:pPr>
              <w:spacing w:before="240" w:after="240"/>
              <w:jc w:val="center"/>
              <w:rPr>
                <w:rFonts w:cs="Arial"/>
                <w:szCs w:val="24"/>
              </w:rPr>
            </w:pPr>
            <w:r w:rsidRPr="00D24383">
              <w:rPr>
                <w:rFonts w:cs="Arial"/>
                <w:szCs w:val="24"/>
              </w:rPr>
              <w:lastRenderedPageBreak/>
              <w:t>Amador</w:t>
            </w:r>
          </w:p>
        </w:tc>
        <w:tc>
          <w:tcPr>
            <w:tcW w:w="2508" w:type="pct"/>
            <w:vAlign w:val="center"/>
          </w:tcPr>
          <w:p w14:paraId="594C6A83" w14:textId="67411BF9"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31D98827" w14:textId="77777777" w:rsidTr="00C5604B">
        <w:trPr>
          <w:cantSplit/>
          <w:trHeight w:val="432"/>
        </w:trPr>
        <w:tc>
          <w:tcPr>
            <w:tcW w:w="2492" w:type="pct"/>
            <w:vAlign w:val="center"/>
          </w:tcPr>
          <w:p w14:paraId="697DC7D1" w14:textId="5DC50061" w:rsidR="0021441D" w:rsidRPr="00D24383" w:rsidRDefault="0021441D" w:rsidP="00D24383">
            <w:pPr>
              <w:spacing w:before="240" w:after="240"/>
              <w:jc w:val="center"/>
              <w:rPr>
                <w:rFonts w:cs="Arial"/>
                <w:szCs w:val="24"/>
              </w:rPr>
            </w:pPr>
            <w:r w:rsidRPr="00D24383">
              <w:rPr>
                <w:rFonts w:cs="Arial"/>
                <w:szCs w:val="24"/>
              </w:rPr>
              <w:t>Butte</w:t>
            </w:r>
          </w:p>
        </w:tc>
        <w:tc>
          <w:tcPr>
            <w:tcW w:w="2508" w:type="pct"/>
            <w:vAlign w:val="center"/>
          </w:tcPr>
          <w:p w14:paraId="19677AAA" w14:textId="3BEA4D1C" w:rsidR="0021441D" w:rsidRPr="00D24383" w:rsidRDefault="0021441D" w:rsidP="00D24383">
            <w:pPr>
              <w:spacing w:before="240" w:after="240"/>
              <w:jc w:val="center"/>
              <w:rPr>
                <w:rFonts w:cs="Arial"/>
                <w:szCs w:val="24"/>
              </w:rPr>
            </w:pPr>
            <w:r w:rsidRPr="00D24383">
              <w:rPr>
                <w:rFonts w:cs="Arial"/>
                <w:szCs w:val="24"/>
              </w:rPr>
              <w:t>21.5%</w:t>
            </w:r>
          </w:p>
        </w:tc>
      </w:tr>
      <w:tr w:rsidR="00D24383" w:rsidRPr="00D24383" w14:paraId="71C0DFE6" w14:textId="77777777" w:rsidTr="00C5604B">
        <w:trPr>
          <w:cantSplit/>
          <w:trHeight w:val="432"/>
        </w:trPr>
        <w:tc>
          <w:tcPr>
            <w:tcW w:w="2492" w:type="pct"/>
            <w:vAlign w:val="center"/>
          </w:tcPr>
          <w:p w14:paraId="01490315" w14:textId="69AC6459" w:rsidR="0021441D" w:rsidRPr="00D24383" w:rsidRDefault="0021441D" w:rsidP="00D24383">
            <w:pPr>
              <w:spacing w:before="240" w:after="240"/>
              <w:jc w:val="center"/>
              <w:rPr>
                <w:rFonts w:cs="Arial"/>
                <w:szCs w:val="24"/>
              </w:rPr>
            </w:pPr>
            <w:r w:rsidRPr="00D24383">
              <w:rPr>
                <w:rFonts w:cs="Arial"/>
                <w:szCs w:val="24"/>
              </w:rPr>
              <w:t>Calaveras</w:t>
            </w:r>
          </w:p>
        </w:tc>
        <w:tc>
          <w:tcPr>
            <w:tcW w:w="2508" w:type="pct"/>
            <w:vAlign w:val="center"/>
          </w:tcPr>
          <w:p w14:paraId="6907F7F8" w14:textId="71DBA9FE"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4A5AB0A1" w14:textId="77777777" w:rsidTr="00C5604B">
        <w:trPr>
          <w:cantSplit/>
          <w:trHeight w:val="432"/>
        </w:trPr>
        <w:tc>
          <w:tcPr>
            <w:tcW w:w="2492" w:type="pct"/>
            <w:vAlign w:val="center"/>
          </w:tcPr>
          <w:p w14:paraId="0F5A7B0F" w14:textId="1592A5BE" w:rsidR="0021441D" w:rsidRPr="00D24383" w:rsidRDefault="0021441D" w:rsidP="00D24383">
            <w:pPr>
              <w:spacing w:before="240" w:after="240"/>
              <w:jc w:val="center"/>
              <w:rPr>
                <w:rFonts w:cs="Arial"/>
                <w:szCs w:val="24"/>
              </w:rPr>
            </w:pPr>
            <w:r w:rsidRPr="00D24383">
              <w:rPr>
                <w:rFonts w:cs="Arial"/>
                <w:szCs w:val="24"/>
              </w:rPr>
              <w:t>Colusa</w:t>
            </w:r>
          </w:p>
        </w:tc>
        <w:tc>
          <w:tcPr>
            <w:tcW w:w="2508" w:type="pct"/>
            <w:vAlign w:val="center"/>
          </w:tcPr>
          <w:p w14:paraId="1D2FB5B5" w14:textId="34C22F1D" w:rsidR="0021441D" w:rsidRPr="00D24383" w:rsidRDefault="0021441D" w:rsidP="00D24383">
            <w:pPr>
              <w:spacing w:before="240" w:after="240"/>
              <w:jc w:val="center"/>
              <w:rPr>
                <w:rFonts w:cs="Arial"/>
                <w:szCs w:val="24"/>
              </w:rPr>
            </w:pPr>
            <w:r w:rsidRPr="00D24383">
              <w:rPr>
                <w:rFonts w:cs="Arial"/>
                <w:szCs w:val="24"/>
              </w:rPr>
              <w:t>20.7%</w:t>
            </w:r>
          </w:p>
        </w:tc>
      </w:tr>
      <w:tr w:rsidR="00D24383" w:rsidRPr="00D24383" w14:paraId="605BF599" w14:textId="77777777" w:rsidTr="00C5604B">
        <w:trPr>
          <w:cantSplit/>
          <w:trHeight w:val="432"/>
        </w:trPr>
        <w:tc>
          <w:tcPr>
            <w:tcW w:w="2492" w:type="pct"/>
            <w:vAlign w:val="center"/>
          </w:tcPr>
          <w:p w14:paraId="1436DC18" w14:textId="35ED23B8" w:rsidR="0021441D" w:rsidRPr="00D24383" w:rsidRDefault="0021441D" w:rsidP="00D24383">
            <w:pPr>
              <w:spacing w:before="240" w:after="240"/>
              <w:jc w:val="center"/>
              <w:rPr>
                <w:rFonts w:cs="Arial"/>
                <w:szCs w:val="24"/>
              </w:rPr>
            </w:pPr>
            <w:r w:rsidRPr="00D24383">
              <w:rPr>
                <w:rFonts w:cs="Arial"/>
                <w:szCs w:val="24"/>
              </w:rPr>
              <w:t>Contra Costa</w:t>
            </w:r>
          </w:p>
        </w:tc>
        <w:tc>
          <w:tcPr>
            <w:tcW w:w="2508" w:type="pct"/>
            <w:vAlign w:val="center"/>
          </w:tcPr>
          <w:p w14:paraId="17A642C3" w14:textId="53CB9544" w:rsidR="0021441D" w:rsidRPr="00D24383" w:rsidRDefault="0021441D" w:rsidP="00D24383">
            <w:pPr>
              <w:spacing w:before="240" w:after="240"/>
              <w:jc w:val="center"/>
              <w:rPr>
                <w:rFonts w:cs="Arial"/>
                <w:szCs w:val="24"/>
              </w:rPr>
            </w:pPr>
            <w:r w:rsidRPr="00D24383">
              <w:rPr>
                <w:rFonts w:cs="Arial"/>
                <w:szCs w:val="24"/>
              </w:rPr>
              <w:t>12.4%</w:t>
            </w:r>
          </w:p>
        </w:tc>
      </w:tr>
      <w:tr w:rsidR="00D24383" w:rsidRPr="00D24383" w14:paraId="457AEC8C" w14:textId="77777777" w:rsidTr="00C5604B">
        <w:trPr>
          <w:cantSplit/>
          <w:trHeight w:val="432"/>
        </w:trPr>
        <w:tc>
          <w:tcPr>
            <w:tcW w:w="2492" w:type="pct"/>
            <w:vAlign w:val="center"/>
          </w:tcPr>
          <w:p w14:paraId="42E9E8B7" w14:textId="65801E70" w:rsidR="0021441D" w:rsidRPr="00D24383" w:rsidRDefault="0021441D" w:rsidP="00D24383">
            <w:pPr>
              <w:spacing w:before="240" w:after="240"/>
              <w:jc w:val="center"/>
              <w:rPr>
                <w:rFonts w:cs="Arial"/>
                <w:szCs w:val="24"/>
              </w:rPr>
            </w:pPr>
            <w:r w:rsidRPr="00D24383">
              <w:rPr>
                <w:rFonts w:cs="Arial"/>
                <w:szCs w:val="24"/>
              </w:rPr>
              <w:t>Del Norte</w:t>
            </w:r>
          </w:p>
        </w:tc>
        <w:tc>
          <w:tcPr>
            <w:tcW w:w="2508" w:type="pct"/>
            <w:vAlign w:val="center"/>
          </w:tcPr>
          <w:p w14:paraId="2291912B" w14:textId="246FFBA8"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088C75AB" w14:textId="77777777" w:rsidTr="00C5604B">
        <w:trPr>
          <w:cantSplit/>
          <w:trHeight w:val="432"/>
        </w:trPr>
        <w:tc>
          <w:tcPr>
            <w:tcW w:w="2492" w:type="pct"/>
            <w:vAlign w:val="center"/>
          </w:tcPr>
          <w:p w14:paraId="17D18D1B" w14:textId="7F1C8B4C" w:rsidR="0021441D" w:rsidRPr="00D24383" w:rsidRDefault="0021441D" w:rsidP="00D24383">
            <w:pPr>
              <w:spacing w:before="240" w:after="240"/>
              <w:jc w:val="center"/>
              <w:rPr>
                <w:rFonts w:cs="Arial"/>
                <w:szCs w:val="24"/>
              </w:rPr>
            </w:pPr>
            <w:r w:rsidRPr="00D24383">
              <w:rPr>
                <w:rFonts w:cs="Arial"/>
                <w:szCs w:val="24"/>
              </w:rPr>
              <w:t>El Dorado</w:t>
            </w:r>
          </w:p>
        </w:tc>
        <w:tc>
          <w:tcPr>
            <w:tcW w:w="2508" w:type="pct"/>
            <w:vAlign w:val="center"/>
          </w:tcPr>
          <w:p w14:paraId="5D1EFAE8" w14:textId="27463E68" w:rsidR="0021441D" w:rsidRPr="00D24383" w:rsidRDefault="0021441D" w:rsidP="00D24383">
            <w:pPr>
              <w:spacing w:before="240" w:after="240"/>
              <w:jc w:val="center"/>
              <w:rPr>
                <w:rFonts w:cs="Arial"/>
                <w:szCs w:val="24"/>
              </w:rPr>
            </w:pPr>
            <w:r w:rsidRPr="00D24383">
              <w:rPr>
                <w:rFonts w:cs="Arial"/>
                <w:szCs w:val="24"/>
              </w:rPr>
              <w:t>11.6%</w:t>
            </w:r>
          </w:p>
        </w:tc>
      </w:tr>
      <w:tr w:rsidR="00D24383" w:rsidRPr="00D24383" w14:paraId="0A1FD337" w14:textId="77777777" w:rsidTr="00C5604B">
        <w:trPr>
          <w:cantSplit/>
          <w:trHeight w:val="432"/>
        </w:trPr>
        <w:tc>
          <w:tcPr>
            <w:tcW w:w="2492" w:type="pct"/>
            <w:vAlign w:val="center"/>
          </w:tcPr>
          <w:p w14:paraId="0F8ADD5E" w14:textId="0518CFEF" w:rsidR="0021441D" w:rsidRPr="00D24383" w:rsidRDefault="0021441D" w:rsidP="00D24383">
            <w:pPr>
              <w:spacing w:before="240" w:after="240"/>
              <w:jc w:val="center"/>
              <w:rPr>
                <w:rFonts w:cs="Arial"/>
                <w:szCs w:val="24"/>
              </w:rPr>
            </w:pPr>
            <w:r w:rsidRPr="00D24383">
              <w:rPr>
                <w:rFonts w:cs="Arial"/>
                <w:szCs w:val="24"/>
              </w:rPr>
              <w:t>Fresno</w:t>
            </w:r>
          </w:p>
        </w:tc>
        <w:tc>
          <w:tcPr>
            <w:tcW w:w="2508" w:type="pct"/>
            <w:vAlign w:val="center"/>
          </w:tcPr>
          <w:p w14:paraId="5D5B141F" w14:textId="1C171D87" w:rsidR="0021441D" w:rsidRPr="00D24383" w:rsidRDefault="0021441D" w:rsidP="00D24383">
            <w:pPr>
              <w:spacing w:before="240" w:after="240"/>
              <w:jc w:val="center"/>
              <w:rPr>
                <w:rFonts w:cs="Arial"/>
                <w:szCs w:val="24"/>
              </w:rPr>
            </w:pPr>
            <w:r w:rsidRPr="00D24383">
              <w:rPr>
                <w:rFonts w:cs="Arial"/>
                <w:szCs w:val="24"/>
              </w:rPr>
              <w:t>36.5%</w:t>
            </w:r>
          </w:p>
        </w:tc>
      </w:tr>
      <w:tr w:rsidR="00D24383" w:rsidRPr="00D24383" w14:paraId="24BDB6B5" w14:textId="77777777" w:rsidTr="00C5604B">
        <w:trPr>
          <w:cantSplit/>
          <w:trHeight w:val="432"/>
        </w:trPr>
        <w:tc>
          <w:tcPr>
            <w:tcW w:w="2492" w:type="pct"/>
            <w:vAlign w:val="center"/>
          </w:tcPr>
          <w:p w14:paraId="01F69251" w14:textId="23EDB7E7" w:rsidR="0021441D" w:rsidRPr="00D24383" w:rsidRDefault="0021441D" w:rsidP="00D24383">
            <w:pPr>
              <w:spacing w:before="240" w:after="240"/>
              <w:jc w:val="center"/>
              <w:rPr>
                <w:rFonts w:cs="Arial"/>
                <w:szCs w:val="24"/>
              </w:rPr>
            </w:pPr>
            <w:r w:rsidRPr="00D24383">
              <w:rPr>
                <w:rFonts w:cs="Arial"/>
                <w:szCs w:val="24"/>
              </w:rPr>
              <w:t>Glenn</w:t>
            </w:r>
          </w:p>
        </w:tc>
        <w:tc>
          <w:tcPr>
            <w:tcW w:w="2508" w:type="pct"/>
            <w:vAlign w:val="center"/>
          </w:tcPr>
          <w:p w14:paraId="6B57DCC7" w14:textId="1F49C954"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28D2936E" w14:textId="77777777" w:rsidTr="00C5604B">
        <w:trPr>
          <w:cantSplit/>
          <w:trHeight w:val="432"/>
        </w:trPr>
        <w:tc>
          <w:tcPr>
            <w:tcW w:w="2492" w:type="pct"/>
            <w:vAlign w:val="center"/>
          </w:tcPr>
          <w:p w14:paraId="1D170444" w14:textId="71B4D59B" w:rsidR="0021441D" w:rsidRPr="00D24383" w:rsidRDefault="0021441D" w:rsidP="00D24383">
            <w:pPr>
              <w:spacing w:before="240" w:after="240"/>
              <w:jc w:val="center"/>
              <w:rPr>
                <w:rFonts w:cs="Arial"/>
                <w:szCs w:val="24"/>
              </w:rPr>
            </w:pPr>
            <w:r w:rsidRPr="00D24383">
              <w:rPr>
                <w:rFonts w:cs="Arial"/>
                <w:szCs w:val="24"/>
              </w:rPr>
              <w:t>Humboldt</w:t>
            </w:r>
          </w:p>
        </w:tc>
        <w:tc>
          <w:tcPr>
            <w:tcW w:w="2508" w:type="pct"/>
            <w:vAlign w:val="center"/>
          </w:tcPr>
          <w:p w14:paraId="170B5542" w14:textId="39CAC710" w:rsidR="0021441D" w:rsidRPr="00D24383" w:rsidRDefault="0021441D" w:rsidP="00D24383">
            <w:pPr>
              <w:spacing w:before="240" w:after="240"/>
              <w:jc w:val="center"/>
              <w:rPr>
                <w:rFonts w:cs="Arial"/>
                <w:szCs w:val="24"/>
              </w:rPr>
            </w:pPr>
            <w:r w:rsidRPr="00D24383">
              <w:rPr>
                <w:rFonts w:cs="Arial"/>
                <w:szCs w:val="24"/>
              </w:rPr>
              <w:t>22.5%</w:t>
            </w:r>
          </w:p>
        </w:tc>
      </w:tr>
      <w:tr w:rsidR="00D24383" w:rsidRPr="00D24383" w14:paraId="6B50FEDC" w14:textId="77777777" w:rsidTr="00C5604B">
        <w:trPr>
          <w:cantSplit/>
          <w:trHeight w:val="432"/>
        </w:trPr>
        <w:tc>
          <w:tcPr>
            <w:tcW w:w="2492" w:type="pct"/>
            <w:vAlign w:val="center"/>
          </w:tcPr>
          <w:p w14:paraId="316E9D42" w14:textId="4173A075" w:rsidR="0021441D" w:rsidRPr="00D24383" w:rsidRDefault="0021441D" w:rsidP="00D24383">
            <w:pPr>
              <w:spacing w:before="240" w:after="240"/>
              <w:jc w:val="center"/>
              <w:rPr>
                <w:rFonts w:cs="Arial"/>
                <w:szCs w:val="24"/>
              </w:rPr>
            </w:pPr>
            <w:r w:rsidRPr="00D24383">
              <w:rPr>
                <w:rFonts w:cs="Arial"/>
                <w:szCs w:val="24"/>
              </w:rPr>
              <w:t>Imperial</w:t>
            </w:r>
          </w:p>
        </w:tc>
        <w:tc>
          <w:tcPr>
            <w:tcW w:w="2508" w:type="pct"/>
            <w:vAlign w:val="center"/>
          </w:tcPr>
          <w:p w14:paraId="7B93AC96" w14:textId="3D9EA335" w:rsidR="0021441D" w:rsidRPr="00D24383" w:rsidRDefault="0021441D" w:rsidP="00D24383">
            <w:pPr>
              <w:spacing w:before="240" w:after="240"/>
              <w:jc w:val="center"/>
              <w:rPr>
                <w:rFonts w:cs="Arial"/>
                <w:szCs w:val="24"/>
              </w:rPr>
            </w:pPr>
            <w:r w:rsidRPr="00D24383">
              <w:rPr>
                <w:rFonts w:cs="Arial"/>
                <w:szCs w:val="24"/>
              </w:rPr>
              <w:t>31.0%</w:t>
            </w:r>
          </w:p>
        </w:tc>
      </w:tr>
      <w:tr w:rsidR="00D24383" w:rsidRPr="00D24383" w14:paraId="43B4230D" w14:textId="77777777" w:rsidTr="00C5604B">
        <w:trPr>
          <w:cantSplit/>
          <w:trHeight w:val="432"/>
        </w:trPr>
        <w:tc>
          <w:tcPr>
            <w:tcW w:w="2492" w:type="pct"/>
            <w:vAlign w:val="center"/>
          </w:tcPr>
          <w:p w14:paraId="1D4E2E3E" w14:textId="0BDF79CE" w:rsidR="0021441D" w:rsidRPr="00D24383" w:rsidRDefault="0021441D" w:rsidP="00D24383">
            <w:pPr>
              <w:spacing w:before="240" w:after="240"/>
              <w:jc w:val="center"/>
              <w:rPr>
                <w:rFonts w:cs="Arial"/>
                <w:szCs w:val="24"/>
              </w:rPr>
            </w:pPr>
            <w:r w:rsidRPr="00D24383">
              <w:rPr>
                <w:rFonts w:cs="Arial"/>
                <w:szCs w:val="24"/>
              </w:rPr>
              <w:t>Inyo</w:t>
            </w:r>
          </w:p>
        </w:tc>
        <w:tc>
          <w:tcPr>
            <w:tcW w:w="2508" w:type="pct"/>
            <w:vAlign w:val="center"/>
          </w:tcPr>
          <w:p w14:paraId="5B50BECA" w14:textId="244368CA" w:rsidR="0021441D" w:rsidRPr="00D24383" w:rsidRDefault="0021441D" w:rsidP="00D24383">
            <w:pPr>
              <w:spacing w:before="240" w:after="240"/>
              <w:jc w:val="center"/>
              <w:rPr>
                <w:rFonts w:cs="Arial"/>
                <w:szCs w:val="24"/>
              </w:rPr>
            </w:pPr>
            <w:r w:rsidRPr="00D24383">
              <w:rPr>
                <w:rFonts w:cs="Arial"/>
                <w:szCs w:val="24"/>
              </w:rPr>
              <w:t>13.3%</w:t>
            </w:r>
          </w:p>
        </w:tc>
      </w:tr>
      <w:tr w:rsidR="00D24383" w:rsidRPr="00D24383" w14:paraId="601C67D5" w14:textId="77777777" w:rsidTr="00C5604B">
        <w:trPr>
          <w:cantSplit/>
          <w:trHeight w:val="432"/>
        </w:trPr>
        <w:tc>
          <w:tcPr>
            <w:tcW w:w="2492" w:type="pct"/>
            <w:vAlign w:val="center"/>
          </w:tcPr>
          <w:p w14:paraId="70B17120" w14:textId="17508A63" w:rsidR="0021441D" w:rsidRPr="00D24383" w:rsidRDefault="0021441D" w:rsidP="00D24383">
            <w:pPr>
              <w:spacing w:before="240" w:after="240"/>
              <w:jc w:val="center"/>
              <w:rPr>
                <w:rFonts w:cs="Arial"/>
                <w:szCs w:val="24"/>
              </w:rPr>
            </w:pPr>
            <w:r w:rsidRPr="00D24383">
              <w:rPr>
                <w:rFonts w:cs="Arial"/>
                <w:szCs w:val="24"/>
              </w:rPr>
              <w:t>Kern</w:t>
            </w:r>
          </w:p>
        </w:tc>
        <w:tc>
          <w:tcPr>
            <w:tcW w:w="2508" w:type="pct"/>
            <w:vAlign w:val="center"/>
          </w:tcPr>
          <w:p w14:paraId="624DDCCC" w14:textId="32FD5F2D" w:rsidR="0021441D" w:rsidRPr="00D24383" w:rsidRDefault="0021441D" w:rsidP="00D24383">
            <w:pPr>
              <w:spacing w:before="240" w:after="240"/>
              <w:jc w:val="center"/>
              <w:rPr>
                <w:rFonts w:cs="Arial"/>
                <w:szCs w:val="24"/>
              </w:rPr>
            </w:pPr>
            <w:r w:rsidRPr="00D24383">
              <w:rPr>
                <w:rFonts w:cs="Arial"/>
                <w:szCs w:val="24"/>
              </w:rPr>
              <w:t>31.3%</w:t>
            </w:r>
          </w:p>
        </w:tc>
      </w:tr>
      <w:tr w:rsidR="00D24383" w:rsidRPr="00D24383" w14:paraId="77EC3654" w14:textId="77777777" w:rsidTr="00C5604B">
        <w:trPr>
          <w:cantSplit/>
          <w:trHeight w:val="432"/>
        </w:trPr>
        <w:tc>
          <w:tcPr>
            <w:tcW w:w="2492" w:type="pct"/>
            <w:vAlign w:val="center"/>
          </w:tcPr>
          <w:p w14:paraId="3CC83B88" w14:textId="07D9B470" w:rsidR="0021441D" w:rsidRPr="00D24383" w:rsidRDefault="0021441D" w:rsidP="00D24383">
            <w:pPr>
              <w:spacing w:before="240" w:after="240"/>
              <w:jc w:val="center"/>
              <w:rPr>
                <w:rFonts w:cs="Arial"/>
                <w:szCs w:val="24"/>
              </w:rPr>
            </w:pPr>
            <w:r w:rsidRPr="00D24383">
              <w:rPr>
                <w:rFonts w:cs="Arial"/>
                <w:szCs w:val="24"/>
              </w:rPr>
              <w:t>Kings</w:t>
            </w:r>
          </w:p>
        </w:tc>
        <w:tc>
          <w:tcPr>
            <w:tcW w:w="2508" w:type="pct"/>
            <w:vAlign w:val="center"/>
          </w:tcPr>
          <w:p w14:paraId="68A0B27C" w14:textId="516AA267" w:rsidR="0021441D" w:rsidRPr="00D24383" w:rsidRDefault="0021441D" w:rsidP="00D24383">
            <w:pPr>
              <w:spacing w:before="240" w:after="240"/>
              <w:jc w:val="center"/>
              <w:rPr>
                <w:rFonts w:cs="Arial"/>
                <w:szCs w:val="24"/>
              </w:rPr>
            </w:pPr>
            <w:r w:rsidRPr="00D24383">
              <w:rPr>
                <w:rFonts w:cs="Arial"/>
                <w:szCs w:val="24"/>
              </w:rPr>
              <w:t>28.7%</w:t>
            </w:r>
          </w:p>
        </w:tc>
      </w:tr>
      <w:tr w:rsidR="00D24383" w:rsidRPr="00D24383" w14:paraId="587E0F97" w14:textId="77777777" w:rsidTr="00C5604B">
        <w:trPr>
          <w:cantSplit/>
          <w:trHeight w:val="432"/>
        </w:trPr>
        <w:tc>
          <w:tcPr>
            <w:tcW w:w="2492" w:type="pct"/>
            <w:vAlign w:val="center"/>
          </w:tcPr>
          <w:p w14:paraId="3BED3B50" w14:textId="45EBD034" w:rsidR="0021441D" w:rsidRPr="00D24383" w:rsidRDefault="0021441D" w:rsidP="00D24383">
            <w:pPr>
              <w:spacing w:before="240" w:after="240"/>
              <w:jc w:val="center"/>
              <w:rPr>
                <w:rFonts w:cs="Arial"/>
                <w:szCs w:val="24"/>
              </w:rPr>
            </w:pPr>
            <w:r w:rsidRPr="00D24383">
              <w:rPr>
                <w:rFonts w:cs="Arial"/>
                <w:szCs w:val="24"/>
              </w:rPr>
              <w:t>Lake</w:t>
            </w:r>
          </w:p>
        </w:tc>
        <w:tc>
          <w:tcPr>
            <w:tcW w:w="2508" w:type="pct"/>
            <w:vAlign w:val="center"/>
          </w:tcPr>
          <w:p w14:paraId="17093D36" w14:textId="2E88C9FE" w:rsidR="0021441D" w:rsidRPr="00D24383" w:rsidRDefault="0021441D" w:rsidP="00D24383">
            <w:pPr>
              <w:spacing w:before="240" w:after="240"/>
              <w:jc w:val="center"/>
              <w:rPr>
                <w:rFonts w:cs="Arial"/>
                <w:szCs w:val="24"/>
              </w:rPr>
            </w:pPr>
            <w:r w:rsidRPr="00D24383">
              <w:rPr>
                <w:rFonts w:cs="Arial"/>
                <w:szCs w:val="24"/>
              </w:rPr>
              <w:t>31.6%</w:t>
            </w:r>
          </w:p>
        </w:tc>
      </w:tr>
      <w:tr w:rsidR="00D24383" w:rsidRPr="00D24383" w14:paraId="0184BA7D" w14:textId="77777777" w:rsidTr="00C5604B">
        <w:trPr>
          <w:cantSplit/>
          <w:trHeight w:val="432"/>
        </w:trPr>
        <w:tc>
          <w:tcPr>
            <w:tcW w:w="2492" w:type="pct"/>
            <w:vAlign w:val="center"/>
          </w:tcPr>
          <w:p w14:paraId="7728FEED" w14:textId="029F387B" w:rsidR="0021441D" w:rsidRPr="00D24383" w:rsidRDefault="0021441D" w:rsidP="00D24383">
            <w:pPr>
              <w:spacing w:before="240" w:after="240"/>
              <w:jc w:val="center"/>
              <w:rPr>
                <w:rFonts w:cs="Arial"/>
                <w:szCs w:val="24"/>
              </w:rPr>
            </w:pPr>
            <w:r w:rsidRPr="00D24383">
              <w:rPr>
                <w:rFonts w:cs="Arial"/>
                <w:szCs w:val="24"/>
              </w:rPr>
              <w:lastRenderedPageBreak/>
              <w:t>Lassen</w:t>
            </w:r>
          </w:p>
        </w:tc>
        <w:tc>
          <w:tcPr>
            <w:tcW w:w="2508" w:type="pct"/>
            <w:vAlign w:val="center"/>
          </w:tcPr>
          <w:p w14:paraId="7AC8B996" w14:textId="037C893D" w:rsidR="0021441D" w:rsidRPr="00D24383" w:rsidRDefault="0021441D" w:rsidP="00D24383">
            <w:pPr>
              <w:spacing w:before="240" w:after="240"/>
              <w:jc w:val="center"/>
              <w:rPr>
                <w:rFonts w:cs="Arial"/>
                <w:szCs w:val="24"/>
              </w:rPr>
            </w:pPr>
            <w:r w:rsidRPr="00D24383">
              <w:rPr>
                <w:rFonts w:cs="Arial"/>
                <w:szCs w:val="24"/>
              </w:rPr>
              <w:t>20.7%</w:t>
            </w:r>
          </w:p>
        </w:tc>
      </w:tr>
      <w:tr w:rsidR="00D24383" w:rsidRPr="00D24383" w14:paraId="77F14CA0" w14:textId="77777777" w:rsidTr="00C5604B">
        <w:trPr>
          <w:cantSplit/>
          <w:trHeight w:val="432"/>
        </w:trPr>
        <w:tc>
          <w:tcPr>
            <w:tcW w:w="2492" w:type="pct"/>
            <w:vAlign w:val="center"/>
          </w:tcPr>
          <w:p w14:paraId="5BF2FEC9" w14:textId="31467524" w:rsidR="0021441D" w:rsidRPr="00D24383" w:rsidRDefault="0021441D" w:rsidP="00D24383">
            <w:pPr>
              <w:spacing w:before="240" w:after="240"/>
              <w:jc w:val="center"/>
              <w:rPr>
                <w:rFonts w:cs="Arial"/>
                <w:szCs w:val="24"/>
              </w:rPr>
            </w:pPr>
            <w:r w:rsidRPr="00D24383">
              <w:rPr>
                <w:rFonts w:cs="Arial"/>
                <w:szCs w:val="24"/>
              </w:rPr>
              <w:t>Los Angeles</w:t>
            </w:r>
          </w:p>
        </w:tc>
        <w:tc>
          <w:tcPr>
            <w:tcW w:w="2508" w:type="pct"/>
            <w:vAlign w:val="center"/>
          </w:tcPr>
          <w:p w14:paraId="142559C3" w14:textId="13BD1878" w:rsidR="0021441D" w:rsidRPr="00D24383" w:rsidRDefault="0021441D" w:rsidP="00D24383">
            <w:pPr>
              <w:spacing w:before="240" w:after="240"/>
              <w:jc w:val="center"/>
              <w:rPr>
                <w:rFonts w:cs="Arial"/>
                <w:szCs w:val="24"/>
              </w:rPr>
            </w:pPr>
            <w:r w:rsidRPr="00D24383">
              <w:rPr>
                <w:rFonts w:cs="Arial"/>
                <w:szCs w:val="24"/>
              </w:rPr>
              <w:t>24.0%</w:t>
            </w:r>
          </w:p>
        </w:tc>
      </w:tr>
      <w:tr w:rsidR="00D24383" w:rsidRPr="00D24383" w14:paraId="3CB3F8BF" w14:textId="77777777" w:rsidTr="00C5604B">
        <w:trPr>
          <w:cantSplit/>
          <w:trHeight w:val="432"/>
        </w:trPr>
        <w:tc>
          <w:tcPr>
            <w:tcW w:w="2492" w:type="pct"/>
            <w:vAlign w:val="center"/>
          </w:tcPr>
          <w:p w14:paraId="7F159E91" w14:textId="7708B13B" w:rsidR="0021441D" w:rsidRPr="00D24383" w:rsidRDefault="0021441D" w:rsidP="00D24383">
            <w:pPr>
              <w:spacing w:before="240" w:after="240"/>
              <w:jc w:val="center"/>
              <w:rPr>
                <w:rFonts w:cs="Arial"/>
                <w:szCs w:val="24"/>
              </w:rPr>
            </w:pPr>
            <w:r w:rsidRPr="00D24383">
              <w:rPr>
                <w:rFonts w:cs="Arial"/>
                <w:szCs w:val="24"/>
              </w:rPr>
              <w:t>Madera</w:t>
            </w:r>
          </w:p>
        </w:tc>
        <w:tc>
          <w:tcPr>
            <w:tcW w:w="2508" w:type="pct"/>
            <w:vAlign w:val="center"/>
          </w:tcPr>
          <w:p w14:paraId="7B711809" w14:textId="06E8BD7F" w:rsidR="0021441D" w:rsidRPr="00D24383" w:rsidRDefault="0021441D" w:rsidP="00D24383">
            <w:pPr>
              <w:spacing w:before="240" w:after="240"/>
              <w:jc w:val="center"/>
              <w:rPr>
                <w:rFonts w:cs="Arial"/>
                <w:szCs w:val="24"/>
              </w:rPr>
            </w:pPr>
            <w:r w:rsidRPr="00D24383">
              <w:rPr>
                <w:rFonts w:cs="Arial"/>
                <w:szCs w:val="24"/>
              </w:rPr>
              <w:t>31.5%</w:t>
            </w:r>
          </w:p>
        </w:tc>
      </w:tr>
      <w:tr w:rsidR="00D24383" w:rsidRPr="00D24383" w14:paraId="73FA21F0" w14:textId="77777777" w:rsidTr="00C5604B">
        <w:trPr>
          <w:cantSplit/>
          <w:trHeight w:val="432"/>
        </w:trPr>
        <w:tc>
          <w:tcPr>
            <w:tcW w:w="2492" w:type="pct"/>
            <w:vAlign w:val="center"/>
          </w:tcPr>
          <w:p w14:paraId="5F5A8B61" w14:textId="23841C65" w:rsidR="0021441D" w:rsidRPr="00D24383" w:rsidRDefault="0021441D" w:rsidP="00D24383">
            <w:pPr>
              <w:spacing w:before="240" w:after="240"/>
              <w:jc w:val="center"/>
              <w:rPr>
                <w:rFonts w:cs="Arial"/>
                <w:szCs w:val="24"/>
              </w:rPr>
            </w:pPr>
            <w:r w:rsidRPr="00D24383">
              <w:rPr>
                <w:rFonts w:cs="Arial"/>
                <w:szCs w:val="24"/>
              </w:rPr>
              <w:t>Marin</w:t>
            </w:r>
          </w:p>
        </w:tc>
        <w:tc>
          <w:tcPr>
            <w:tcW w:w="2508" w:type="pct"/>
            <w:vAlign w:val="center"/>
          </w:tcPr>
          <w:p w14:paraId="2FA1F9D5" w14:textId="1FA119FB" w:rsidR="0021441D" w:rsidRPr="00D24383" w:rsidRDefault="0021441D" w:rsidP="00D24383">
            <w:pPr>
              <w:spacing w:before="240" w:after="240"/>
              <w:jc w:val="center"/>
              <w:rPr>
                <w:rFonts w:cs="Arial"/>
                <w:szCs w:val="24"/>
              </w:rPr>
            </w:pPr>
            <w:r w:rsidRPr="00D24383">
              <w:rPr>
                <w:rFonts w:cs="Arial"/>
                <w:szCs w:val="24"/>
              </w:rPr>
              <w:t>9.7%</w:t>
            </w:r>
          </w:p>
        </w:tc>
      </w:tr>
      <w:tr w:rsidR="00D24383" w:rsidRPr="00D24383" w14:paraId="07245CBE" w14:textId="77777777" w:rsidTr="00C5604B">
        <w:trPr>
          <w:cantSplit/>
          <w:trHeight w:val="432"/>
        </w:trPr>
        <w:tc>
          <w:tcPr>
            <w:tcW w:w="2492" w:type="pct"/>
            <w:vAlign w:val="center"/>
          </w:tcPr>
          <w:p w14:paraId="5DF4F1EA" w14:textId="1E422131" w:rsidR="0021441D" w:rsidRPr="00D24383" w:rsidRDefault="0021441D" w:rsidP="00D24383">
            <w:pPr>
              <w:spacing w:before="240" w:after="240"/>
              <w:jc w:val="center"/>
              <w:rPr>
                <w:rFonts w:cs="Arial"/>
                <w:szCs w:val="24"/>
              </w:rPr>
            </w:pPr>
            <w:r w:rsidRPr="00D24383">
              <w:rPr>
                <w:rFonts w:cs="Arial"/>
                <w:szCs w:val="24"/>
              </w:rPr>
              <w:t>Mariposa</w:t>
            </w:r>
          </w:p>
        </w:tc>
        <w:tc>
          <w:tcPr>
            <w:tcW w:w="2508" w:type="pct"/>
            <w:vAlign w:val="center"/>
          </w:tcPr>
          <w:p w14:paraId="18F1966C" w14:textId="1C837A98"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74A6B468" w14:textId="77777777" w:rsidTr="00C5604B">
        <w:trPr>
          <w:cantSplit/>
          <w:trHeight w:val="432"/>
        </w:trPr>
        <w:tc>
          <w:tcPr>
            <w:tcW w:w="2492" w:type="pct"/>
            <w:vAlign w:val="center"/>
          </w:tcPr>
          <w:p w14:paraId="19069EA5" w14:textId="6A0007C0" w:rsidR="0021441D" w:rsidRPr="00D24383" w:rsidRDefault="0021441D" w:rsidP="00D24383">
            <w:pPr>
              <w:spacing w:before="240" w:after="240"/>
              <w:jc w:val="center"/>
              <w:rPr>
                <w:rFonts w:cs="Arial"/>
                <w:szCs w:val="24"/>
              </w:rPr>
            </w:pPr>
            <w:r w:rsidRPr="00D24383">
              <w:rPr>
                <w:rFonts w:cs="Arial"/>
                <w:szCs w:val="24"/>
              </w:rPr>
              <w:t>Mendocino</w:t>
            </w:r>
          </w:p>
        </w:tc>
        <w:tc>
          <w:tcPr>
            <w:tcW w:w="2508" w:type="pct"/>
            <w:vAlign w:val="center"/>
          </w:tcPr>
          <w:p w14:paraId="2E00ED92" w14:textId="1189B3E4" w:rsidR="0021441D" w:rsidRPr="00D24383" w:rsidRDefault="0021441D" w:rsidP="00D24383">
            <w:pPr>
              <w:spacing w:before="240" w:after="240"/>
              <w:jc w:val="center"/>
              <w:rPr>
                <w:rFonts w:cs="Arial"/>
                <w:szCs w:val="24"/>
              </w:rPr>
            </w:pPr>
            <w:r w:rsidRPr="00D24383">
              <w:rPr>
                <w:rFonts w:cs="Arial"/>
                <w:szCs w:val="24"/>
              </w:rPr>
              <w:t>24.4%</w:t>
            </w:r>
          </w:p>
        </w:tc>
      </w:tr>
      <w:tr w:rsidR="00D24383" w:rsidRPr="00D24383" w14:paraId="383C5193" w14:textId="77777777" w:rsidTr="00C5604B">
        <w:trPr>
          <w:cantSplit/>
          <w:trHeight w:val="432"/>
        </w:trPr>
        <w:tc>
          <w:tcPr>
            <w:tcW w:w="2492" w:type="pct"/>
            <w:vAlign w:val="center"/>
          </w:tcPr>
          <w:p w14:paraId="3A63E6BA" w14:textId="1E363E5F" w:rsidR="0021441D" w:rsidRPr="00D24383" w:rsidRDefault="0021441D" w:rsidP="00D24383">
            <w:pPr>
              <w:spacing w:before="240" w:after="240"/>
              <w:jc w:val="center"/>
              <w:rPr>
                <w:rFonts w:cs="Arial"/>
                <w:szCs w:val="24"/>
              </w:rPr>
            </w:pPr>
            <w:r w:rsidRPr="00D24383">
              <w:rPr>
                <w:rFonts w:cs="Arial"/>
                <w:szCs w:val="24"/>
              </w:rPr>
              <w:t>Merced</w:t>
            </w:r>
          </w:p>
        </w:tc>
        <w:tc>
          <w:tcPr>
            <w:tcW w:w="2508" w:type="pct"/>
            <w:vAlign w:val="center"/>
          </w:tcPr>
          <w:p w14:paraId="25974B9B" w14:textId="0249FE47" w:rsidR="0021441D" w:rsidRPr="00D24383" w:rsidRDefault="0021441D" w:rsidP="00D24383">
            <w:pPr>
              <w:spacing w:before="240" w:after="240"/>
              <w:jc w:val="center"/>
              <w:rPr>
                <w:rFonts w:cs="Arial"/>
                <w:szCs w:val="24"/>
              </w:rPr>
            </w:pPr>
            <w:r w:rsidRPr="00D24383">
              <w:rPr>
                <w:rFonts w:cs="Arial"/>
                <w:szCs w:val="24"/>
              </w:rPr>
              <w:t>33.4%</w:t>
            </w:r>
          </w:p>
        </w:tc>
      </w:tr>
      <w:tr w:rsidR="00D24383" w:rsidRPr="00D24383" w14:paraId="1B5FF716" w14:textId="77777777" w:rsidTr="00C5604B">
        <w:trPr>
          <w:cantSplit/>
          <w:trHeight w:val="432"/>
        </w:trPr>
        <w:tc>
          <w:tcPr>
            <w:tcW w:w="2492" w:type="pct"/>
            <w:vAlign w:val="center"/>
          </w:tcPr>
          <w:p w14:paraId="7D124D30" w14:textId="22039263" w:rsidR="0021441D" w:rsidRPr="00D24383" w:rsidRDefault="0021441D" w:rsidP="00D24383">
            <w:pPr>
              <w:spacing w:before="240" w:after="240"/>
              <w:jc w:val="center"/>
              <w:rPr>
                <w:rFonts w:cs="Arial"/>
                <w:szCs w:val="24"/>
              </w:rPr>
            </w:pPr>
            <w:r w:rsidRPr="00D24383">
              <w:rPr>
                <w:rFonts w:cs="Arial"/>
                <w:szCs w:val="24"/>
              </w:rPr>
              <w:t>Modoc</w:t>
            </w:r>
          </w:p>
        </w:tc>
        <w:tc>
          <w:tcPr>
            <w:tcW w:w="2508" w:type="pct"/>
            <w:vAlign w:val="center"/>
          </w:tcPr>
          <w:p w14:paraId="42283402" w14:textId="6C3CF30E"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0F5043B7" w14:textId="77777777" w:rsidTr="00C5604B">
        <w:trPr>
          <w:cantSplit/>
          <w:trHeight w:val="432"/>
        </w:trPr>
        <w:tc>
          <w:tcPr>
            <w:tcW w:w="2492" w:type="pct"/>
            <w:vAlign w:val="center"/>
          </w:tcPr>
          <w:p w14:paraId="4B96CFF9" w14:textId="7E13AB90" w:rsidR="0021441D" w:rsidRPr="00D24383" w:rsidRDefault="0021441D" w:rsidP="00D24383">
            <w:pPr>
              <w:spacing w:before="240" w:after="240"/>
              <w:jc w:val="center"/>
              <w:rPr>
                <w:rFonts w:cs="Arial"/>
                <w:szCs w:val="24"/>
              </w:rPr>
            </w:pPr>
            <w:r w:rsidRPr="00D24383">
              <w:rPr>
                <w:rFonts w:cs="Arial"/>
                <w:szCs w:val="24"/>
              </w:rPr>
              <w:t>Mono</w:t>
            </w:r>
          </w:p>
        </w:tc>
        <w:tc>
          <w:tcPr>
            <w:tcW w:w="2508" w:type="pct"/>
            <w:vAlign w:val="center"/>
          </w:tcPr>
          <w:p w14:paraId="73B55A25" w14:textId="70FCBD22"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690BB83F" w14:textId="77777777" w:rsidTr="00C5604B">
        <w:trPr>
          <w:cantSplit/>
          <w:trHeight w:val="432"/>
        </w:trPr>
        <w:tc>
          <w:tcPr>
            <w:tcW w:w="2492" w:type="pct"/>
            <w:vAlign w:val="center"/>
          </w:tcPr>
          <w:p w14:paraId="15428A24" w14:textId="53A9BE14" w:rsidR="0021441D" w:rsidRPr="00D24383" w:rsidRDefault="0021441D" w:rsidP="00D24383">
            <w:pPr>
              <w:spacing w:before="240" w:after="240"/>
              <w:jc w:val="center"/>
              <w:rPr>
                <w:rFonts w:cs="Arial"/>
                <w:szCs w:val="24"/>
              </w:rPr>
            </w:pPr>
            <w:r w:rsidRPr="00D24383">
              <w:rPr>
                <w:rFonts w:cs="Arial"/>
                <w:szCs w:val="24"/>
              </w:rPr>
              <w:t>Monterey</w:t>
            </w:r>
          </w:p>
        </w:tc>
        <w:tc>
          <w:tcPr>
            <w:tcW w:w="2508" w:type="pct"/>
            <w:vAlign w:val="center"/>
          </w:tcPr>
          <w:p w14:paraId="34BA4592" w14:textId="7002048E" w:rsidR="0021441D" w:rsidRPr="00D24383" w:rsidRDefault="0021441D" w:rsidP="00D24383">
            <w:pPr>
              <w:spacing w:before="240" w:after="240"/>
              <w:jc w:val="center"/>
              <w:rPr>
                <w:rFonts w:cs="Arial"/>
                <w:szCs w:val="24"/>
              </w:rPr>
            </w:pPr>
            <w:r w:rsidRPr="00D24383">
              <w:rPr>
                <w:rFonts w:cs="Arial"/>
                <w:szCs w:val="24"/>
              </w:rPr>
              <w:t>21.6%</w:t>
            </w:r>
          </w:p>
        </w:tc>
      </w:tr>
      <w:tr w:rsidR="00D24383" w:rsidRPr="00D24383" w14:paraId="5108E9DF" w14:textId="77777777" w:rsidTr="00C5604B">
        <w:trPr>
          <w:cantSplit/>
          <w:trHeight w:val="432"/>
        </w:trPr>
        <w:tc>
          <w:tcPr>
            <w:tcW w:w="2492" w:type="pct"/>
            <w:vAlign w:val="center"/>
          </w:tcPr>
          <w:p w14:paraId="01A82A4C" w14:textId="31EDEE64" w:rsidR="0021441D" w:rsidRPr="00D24383" w:rsidRDefault="0021441D" w:rsidP="00D24383">
            <w:pPr>
              <w:spacing w:before="240" w:after="240"/>
              <w:jc w:val="center"/>
              <w:rPr>
                <w:rFonts w:cs="Arial"/>
                <w:szCs w:val="24"/>
              </w:rPr>
            </w:pPr>
            <w:r w:rsidRPr="00D24383">
              <w:rPr>
                <w:rFonts w:cs="Arial"/>
                <w:szCs w:val="24"/>
              </w:rPr>
              <w:t>Napa</w:t>
            </w:r>
          </w:p>
        </w:tc>
        <w:tc>
          <w:tcPr>
            <w:tcW w:w="2508" w:type="pct"/>
            <w:vAlign w:val="center"/>
          </w:tcPr>
          <w:p w14:paraId="2B6B5E2F" w14:textId="779DE6F5" w:rsidR="0021441D" w:rsidRPr="00D24383" w:rsidRDefault="0021441D" w:rsidP="00D24383">
            <w:pPr>
              <w:spacing w:before="240" w:after="240"/>
              <w:jc w:val="center"/>
              <w:rPr>
                <w:rFonts w:cs="Arial"/>
                <w:szCs w:val="24"/>
              </w:rPr>
            </w:pPr>
            <w:r w:rsidRPr="00D24383">
              <w:rPr>
                <w:rFonts w:cs="Arial"/>
                <w:szCs w:val="24"/>
              </w:rPr>
              <w:t>9.0%</w:t>
            </w:r>
          </w:p>
        </w:tc>
      </w:tr>
      <w:tr w:rsidR="00D24383" w:rsidRPr="00D24383" w14:paraId="638306E7" w14:textId="77777777" w:rsidTr="00C5604B">
        <w:trPr>
          <w:cantSplit/>
          <w:trHeight w:val="432"/>
        </w:trPr>
        <w:tc>
          <w:tcPr>
            <w:tcW w:w="2492" w:type="pct"/>
            <w:vAlign w:val="center"/>
          </w:tcPr>
          <w:p w14:paraId="5E00E936" w14:textId="0FDF461A" w:rsidR="0021441D" w:rsidRPr="00D24383" w:rsidRDefault="0021441D" w:rsidP="00D24383">
            <w:pPr>
              <w:spacing w:before="240" w:after="240"/>
              <w:jc w:val="center"/>
              <w:rPr>
                <w:rFonts w:cs="Arial"/>
                <w:szCs w:val="24"/>
              </w:rPr>
            </w:pPr>
            <w:r w:rsidRPr="00D24383">
              <w:rPr>
                <w:rFonts w:cs="Arial"/>
                <w:szCs w:val="24"/>
              </w:rPr>
              <w:t>Nevada</w:t>
            </w:r>
          </w:p>
        </w:tc>
        <w:tc>
          <w:tcPr>
            <w:tcW w:w="2508" w:type="pct"/>
            <w:vAlign w:val="center"/>
          </w:tcPr>
          <w:p w14:paraId="63FFB301" w14:textId="73978546" w:rsidR="0021441D" w:rsidRPr="00D24383" w:rsidRDefault="0021441D" w:rsidP="00D24383">
            <w:pPr>
              <w:spacing w:before="240" w:after="240"/>
              <w:jc w:val="center"/>
              <w:rPr>
                <w:rFonts w:cs="Arial"/>
                <w:szCs w:val="24"/>
              </w:rPr>
            </w:pPr>
            <w:r w:rsidRPr="00D24383">
              <w:rPr>
                <w:rFonts w:cs="Arial"/>
                <w:szCs w:val="24"/>
              </w:rPr>
              <w:t>15.1%</w:t>
            </w:r>
          </w:p>
        </w:tc>
      </w:tr>
      <w:tr w:rsidR="00D24383" w:rsidRPr="00D24383" w14:paraId="7807BECD" w14:textId="77777777" w:rsidTr="00C5604B">
        <w:trPr>
          <w:cantSplit/>
          <w:trHeight w:val="432"/>
        </w:trPr>
        <w:tc>
          <w:tcPr>
            <w:tcW w:w="2492" w:type="pct"/>
            <w:vAlign w:val="center"/>
          </w:tcPr>
          <w:p w14:paraId="34ACA815" w14:textId="039109C6" w:rsidR="0021441D" w:rsidRPr="00D24383" w:rsidRDefault="0021441D" w:rsidP="00D24383">
            <w:pPr>
              <w:spacing w:before="240" w:after="240"/>
              <w:jc w:val="center"/>
              <w:rPr>
                <w:rFonts w:cs="Arial"/>
                <w:szCs w:val="24"/>
              </w:rPr>
            </w:pPr>
            <w:r w:rsidRPr="00D24383">
              <w:rPr>
                <w:rFonts w:cs="Arial"/>
                <w:szCs w:val="24"/>
              </w:rPr>
              <w:t>Orange</w:t>
            </w:r>
          </w:p>
        </w:tc>
        <w:tc>
          <w:tcPr>
            <w:tcW w:w="2508" w:type="pct"/>
            <w:vAlign w:val="center"/>
          </w:tcPr>
          <w:p w14:paraId="5EB8F123" w14:textId="47530665" w:rsidR="0021441D" w:rsidRPr="00D24383" w:rsidRDefault="0021441D" w:rsidP="00D24383">
            <w:pPr>
              <w:spacing w:before="240" w:after="240"/>
              <w:jc w:val="center"/>
              <w:rPr>
                <w:rFonts w:cs="Arial"/>
                <w:szCs w:val="24"/>
              </w:rPr>
            </w:pPr>
            <w:r w:rsidRPr="00D24383">
              <w:rPr>
                <w:rFonts w:cs="Arial"/>
                <w:szCs w:val="24"/>
              </w:rPr>
              <w:t>16.4%</w:t>
            </w:r>
          </w:p>
        </w:tc>
      </w:tr>
      <w:tr w:rsidR="00D24383" w:rsidRPr="00D24383" w14:paraId="1B2CDB94" w14:textId="77777777" w:rsidTr="00C5604B">
        <w:trPr>
          <w:cantSplit/>
          <w:trHeight w:val="432"/>
        </w:trPr>
        <w:tc>
          <w:tcPr>
            <w:tcW w:w="2492" w:type="pct"/>
            <w:vAlign w:val="center"/>
          </w:tcPr>
          <w:p w14:paraId="5C2FBEAC" w14:textId="6E30987D" w:rsidR="0021441D" w:rsidRPr="00D24383" w:rsidRDefault="0021441D" w:rsidP="00D24383">
            <w:pPr>
              <w:spacing w:before="240" w:after="240"/>
              <w:jc w:val="center"/>
              <w:rPr>
                <w:rFonts w:cs="Arial"/>
                <w:szCs w:val="24"/>
              </w:rPr>
            </w:pPr>
            <w:r w:rsidRPr="00D24383">
              <w:rPr>
                <w:rFonts w:cs="Arial"/>
                <w:szCs w:val="24"/>
              </w:rPr>
              <w:t>Placer</w:t>
            </w:r>
          </w:p>
        </w:tc>
        <w:tc>
          <w:tcPr>
            <w:tcW w:w="2508" w:type="pct"/>
            <w:vAlign w:val="center"/>
          </w:tcPr>
          <w:p w14:paraId="2EB2C499" w14:textId="60F29958" w:rsidR="0021441D" w:rsidRPr="00D24383" w:rsidRDefault="0021441D" w:rsidP="00D24383">
            <w:pPr>
              <w:spacing w:before="240" w:after="240"/>
              <w:jc w:val="center"/>
              <w:rPr>
                <w:rFonts w:cs="Arial"/>
                <w:szCs w:val="24"/>
              </w:rPr>
            </w:pPr>
            <w:r w:rsidRPr="00D24383">
              <w:rPr>
                <w:rFonts w:cs="Arial"/>
                <w:szCs w:val="24"/>
              </w:rPr>
              <w:t>8.3%</w:t>
            </w:r>
          </w:p>
        </w:tc>
      </w:tr>
      <w:tr w:rsidR="00D24383" w:rsidRPr="00D24383" w14:paraId="52CD5E88" w14:textId="77777777" w:rsidTr="00C5604B">
        <w:trPr>
          <w:cantSplit/>
          <w:trHeight w:val="432"/>
        </w:trPr>
        <w:tc>
          <w:tcPr>
            <w:tcW w:w="2492" w:type="pct"/>
            <w:vAlign w:val="center"/>
          </w:tcPr>
          <w:p w14:paraId="22F086DF" w14:textId="5956F004" w:rsidR="0021441D" w:rsidRPr="00D24383" w:rsidRDefault="0021441D" w:rsidP="00D24383">
            <w:pPr>
              <w:spacing w:before="240" w:after="240"/>
              <w:jc w:val="center"/>
              <w:rPr>
                <w:rFonts w:cs="Arial"/>
                <w:szCs w:val="24"/>
              </w:rPr>
            </w:pPr>
            <w:r w:rsidRPr="00D24383">
              <w:rPr>
                <w:rFonts w:cs="Arial"/>
                <w:szCs w:val="24"/>
              </w:rPr>
              <w:t>Plumas</w:t>
            </w:r>
          </w:p>
        </w:tc>
        <w:tc>
          <w:tcPr>
            <w:tcW w:w="2508" w:type="pct"/>
            <w:vAlign w:val="center"/>
          </w:tcPr>
          <w:p w14:paraId="0072E525" w14:textId="3476F991" w:rsidR="0021441D" w:rsidRPr="00D24383" w:rsidRDefault="0021441D" w:rsidP="00D24383">
            <w:pPr>
              <w:spacing w:before="240" w:after="240"/>
              <w:jc w:val="center"/>
              <w:rPr>
                <w:rFonts w:cs="Arial"/>
                <w:szCs w:val="24"/>
              </w:rPr>
            </w:pPr>
            <w:r w:rsidRPr="00D24383">
              <w:rPr>
                <w:rFonts w:cs="Arial"/>
                <w:szCs w:val="24"/>
              </w:rPr>
              <w:t>12.8%</w:t>
            </w:r>
          </w:p>
        </w:tc>
      </w:tr>
      <w:tr w:rsidR="00D24383" w:rsidRPr="00D24383" w14:paraId="3AE0205D" w14:textId="77777777" w:rsidTr="00C5604B">
        <w:trPr>
          <w:cantSplit/>
          <w:trHeight w:val="432"/>
        </w:trPr>
        <w:tc>
          <w:tcPr>
            <w:tcW w:w="2492" w:type="pct"/>
            <w:vAlign w:val="center"/>
          </w:tcPr>
          <w:p w14:paraId="2BB07A0D" w14:textId="7742A5FD" w:rsidR="0021441D" w:rsidRPr="00D24383" w:rsidRDefault="0021441D" w:rsidP="00D24383">
            <w:pPr>
              <w:spacing w:before="240" w:after="240"/>
              <w:jc w:val="center"/>
              <w:rPr>
                <w:rFonts w:cs="Arial"/>
                <w:szCs w:val="24"/>
              </w:rPr>
            </w:pPr>
            <w:r w:rsidRPr="00D24383">
              <w:rPr>
                <w:rFonts w:cs="Arial"/>
                <w:szCs w:val="24"/>
              </w:rPr>
              <w:lastRenderedPageBreak/>
              <w:t>Riverside</w:t>
            </w:r>
          </w:p>
        </w:tc>
        <w:tc>
          <w:tcPr>
            <w:tcW w:w="2508" w:type="pct"/>
            <w:vAlign w:val="center"/>
          </w:tcPr>
          <w:p w14:paraId="2C470038" w14:textId="64F594FF" w:rsidR="0021441D" w:rsidRPr="00D24383" w:rsidRDefault="0021441D" w:rsidP="00D24383">
            <w:pPr>
              <w:spacing w:before="240" w:after="240"/>
              <w:jc w:val="center"/>
              <w:rPr>
                <w:rFonts w:cs="Arial"/>
                <w:szCs w:val="24"/>
              </w:rPr>
            </w:pPr>
            <w:r w:rsidRPr="00D24383">
              <w:rPr>
                <w:rFonts w:cs="Arial"/>
                <w:szCs w:val="24"/>
              </w:rPr>
              <w:t>21.3%</w:t>
            </w:r>
          </w:p>
        </w:tc>
      </w:tr>
      <w:tr w:rsidR="00D24383" w:rsidRPr="00D24383" w14:paraId="013B79D2" w14:textId="77777777" w:rsidTr="00C5604B">
        <w:trPr>
          <w:cantSplit/>
          <w:trHeight w:val="432"/>
        </w:trPr>
        <w:tc>
          <w:tcPr>
            <w:tcW w:w="2492" w:type="pct"/>
            <w:vAlign w:val="center"/>
          </w:tcPr>
          <w:p w14:paraId="43465638" w14:textId="52E6C143" w:rsidR="0021441D" w:rsidRPr="00D24383" w:rsidRDefault="0021441D" w:rsidP="00D24383">
            <w:pPr>
              <w:spacing w:before="240" w:after="240"/>
              <w:jc w:val="center"/>
              <w:rPr>
                <w:rFonts w:cs="Arial"/>
                <w:szCs w:val="24"/>
              </w:rPr>
            </w:pPr>
            <w:r w:rsidRPr="00D24383">
              <w:rPr>
                <w:rFonts w:cs="Arial"/>
                <w:szCs w:val="24"/>
              </w:rPr>
              <w:t>Sacramento</w:t>
            </w:r>
          </w:p>
        </w:tc>
        <w:tc>
          <w:tcPr>
            <w:tcW w:w="2508" w:type="pct"/>
            <w:vAlign w:val="center"/>
          </w:tcPr>
          <w:p w14:paraId="7C66724A" w14:textId="136B581A" w:rsidR="0021441D" w:rsidRPr="00D24383" w:rsidRDefault="0021441D" w:rsidP="00D24383">
            <w:pPr>
              <w:spacing w:before="240" w:after="240"/>
              <w:jc w:val="center"/>
              <w:rPr>
                <w:rFonts w:cs="Arial"/>
                <w:szCs w:val="24"/>
              </w:rPr>
            </w:pPr>
            <w:r w:rsidRPr="00D24383">
              <w:rPr>
                <w:rFonts w:cs="Arial"/>
                <w:szCs w:val="24"/>
              </w:rPr>
              <w:t>22.6%</w:t>
            </w:r>
          </w:p>
        </w:tc>
      </w:tr>
      <w:tr w:rsidR="00D24383" w:rsidRPr="00D24383" w14:paraId="62F46C9B" w14:textId="77777777" w:rsidTr="00C5604B">
        <w:trPr>
          <w:cantSplit/>
          <w:trHeight w:val="432"/>
        </w:trPr>
        <w:tc>
          <w:tcPr>
            <w:tcW w:w="2492" w:type="pct"/>
            <w:vAlign w:val="center"/>
          </w:tcPr>
          <w:p w14:paraId="61BD275B" w14:textId="799105F9" w:rsidR="0021441D" w:rsidRPr="00D24383" w:rsidRDefault="0021441D" w:rsidP="00D24383">
            <w:pPr>
              <w:spacing w:before="240" w:after="240"/>
              <w:jc w:val="center"/>
              <w:rPr>
                <w:rFonts w:cs="Arial"/>
                <w:szCs w:val="24"/>
              </w:rPr>
            </w:pPr>
            <w:r w:rsidRPr="00D24383">
              <w:rPr>
                <w:rFonts w:cs="Arial"/>
                <w:szCs w:val="24"/>
              </w:rPr>
              <w:t>San Benito</w:t>
            </w:r>
          </w:p>
        </w:tc>
        <w:tc>
          <w:tcPr>
            <w:tcW w:w="2508" w:type="pct"/>
            <w:vAlign w:val="center"/>
          </w:tcPr>
          <w:p w14:paraId="309BC57F" w14:textId="10FB7D66" w:rsidR="0021441D" w:rsidRPr="00D24383" w:rsidRDefault="0021441D" w:rsidP="00D24383">
            <w:pPr>
              <w:spacing w:before="240" w:after="240"/>
              <w:jc w:val="center"/>
              <w:rPr>
                <w:rFonts w:cs="Arial"/>
                <w:szCs w:val="24"/>
              </w:rPr>
            </w:pPr>
            <w:r w:rsidRPr="00D24383">
              <w:rPr>
                <w:rFonts w:cs="Arial"/>
                <w:szCs w:val="24"/>
              </w:rPr>
              <w:t>14.4%</w:t>
            </w:r>
          </w:p>
        </w:tc>
      </w:tr>
      <w:tr w:rsidR="00D24383" w:rsidRPr="00D24383" w14:paraId="227E2940" w14:textId="77777777" w:rsidTr="00C5604B">
        <w:trPr>
          <w:cantSplit/>
          <w:trHeight w:val="432"/>
        </w:trPr>
        <w:tc>
          <w:tcPr>
            <w:tcW w:w="2492" w:type="pct"/>
            <w:vAlign w:val="center"/>
          </w:tcPr>
          <w:p w14:paraId="55F75D7C" w14:textId="4B9F0B1B" w:rsidR="0021441D" w:rsidRPr="00D24383" w:rsidRDefault="0021441D" w:rsidP="00D24383">
            <w:pPr>
              <w:spacing w:before="240" w:after="240"/>
              <w:jc w:val="center"/>
              <w:rPr>
                <w:rFonts w:cs="Arial"/>
                <w:szCs w:val="24"/>
              </w:rPr>
            </w:pPr>
            <w:r w:rsidRPr="00D24383">
              <w:rPr>
                <w:rFonts w:cs="Arial"/>
                <w:szCs w:val="24"/>
              </w:rPr>
              <w:t>San Bernardino</w:t>
            </w:r>
          </w:p>
        </w:tc>
        <w:tc>
          <w:tcPr>
            <w:tcW w:w="2508" w:type="pct"/>
            <w:vAlign w:val="center"/>
          </w:tcPr>
          <w:p w14:paraId="0DCA3C76" w14:textId="5DEDD589" w:rsidR="0021441D" w:rsidRPr="00D24383" w:rsidRDefault="0021441D" w:rsidP="00D24383">
            <w:pPr>
              <w:spacing w:before="240" w:after="240"/>
              <w:jc w:val="center"/>
              <w:rPr>
                <w:rFonts w:cs="Arial"/>
                <w:szCs w:val="24"/>
              </w:rPr>
            </w:pPr>
            <w:r w:rsidRPr="00D24383">
              <w:rPr>
                <w:rFonts w:cs="Arial"/>
                <w:szCs w:val="24"/>
              </w:rPr>
              <w:t>25.8%</w:t>
            </w:r>
          </w:p>
        </w:tc>
      </w:tr>
      <w:tr w:rsidR="00D24383" w:rsidRPr="00D24383" w14:paraId="091B9589" w14:textId="77777777" w:rsidTr="00C5604B">
        <w:trPr>
          <w:cantSplit/>
          <w:trHeight w:val="432"/>
        </w:trPr>
        <w:tc>
          <w:tcPr>
            <w:tcW w:w="2492" w:type="pct"/>
            <w:vAlign w:val="center"/>
          </w:tcPr>
          <w:p w14:paraId="5D01406F" w14:textId="2F79E925" w:rsidR="0021441D" w:rsidRPr="00D24383" w:rsidRDefault="0021441D" w:rsidP="00D24383">
            <w:pPr>
              <w:spacing w:before="240" w:after="240"/>
              <w:jc w:val="center"/>
              <w:rPr>
                <w:rFonts w:cs="Arial"/>
                <w:szCs w:val="24"/>
              </w:rPr>
            </w:pPr>
            <w:r w:rsidRPr="00D24383">
              <w:rPr>
                <w:rFonts w:cs="Arial"/>
                <w:szCs w:val="24"/>
              </w:rPr>
              <w:t>San Diego</w:t>
            </w:r>
          </w:p>
        </w:tc>
        <w:tc>
          <w:tcPr>
            <w:tcW w:w="2508" w:type="pct"/>
            <w:vAlign w:val="center"/>
          </w:tcPr>
          <w:p w14:paraId="1411C768" w14:textId="2E792BE2" w:rsidR="0021441D" w:rsidRPr="00D24383" w:rsidRDefault="0021441D" w:rsidP="00D24383">
            <w:pPr>
              <w:spacing w:before="240" w:after="240"/>
              <w:jc w:val="center"/>
              <w:rPr>
                <w:rFonts w:cs="Arial"/>
                <w:szCs w:val="24"/>
              </w:rPr>
            </w:pPr>
            <w:r w:rsidRPr="00D24383">
              <w:rPr>
                <w:rFonts w:cs="Arial"/>
                <w:szCs w:val="24"/>
              </w:rPr>
              <w:t>17.1%</w:t>
            </w:r>
          </w:p>
        </w:tc>
      </w:tr>
      <w:tr w:rsidR="00D24383" w:rsidRPr="00D24383" w14:paraId="12020457" w14:textId="77777777" w:rsidTr="00C5604B">
        <w:trPr>
          <w:cantSplit/>
          <w:trHeight w:val="432"/>
        </w:trPr>
        <w:tc>
          <w:tcPr>
            <w:tcW w:w="2492" w:type="pct"/>
            <w:vAlign w:val="center"/>
          </w:tcPr>
          <w:p w14:paraId="02445774" w14:textId="72F1FE37" w:rsidR="0021441D" w:rsidRPr="00D24383" w:rsidRDefault="0021441D" w:rsidP="00D24383">
            <w:pPr>
              <w:spacing w:before="240" w:after="240"/>
              <w:jc w:val="center"/>
              <w:rPr>
                <w:rFonts w:cs="Arial"/>
                <w:szCs w:val="24"/>
              </w:rPr>
            </w:pPr>
            <w:r w:rsidRPr="00D24383">
              <w:rPr>
                <w:rFonts w:cs="Arial"/>
                <w:szCs w:val="24"/>
              </w:rPr>
              <w:t>San Francisco</w:t>
            </w:r>
          </w:p>
        </w:tc>
        <w:tc>
          <w:tcPr>
            <w:tcW w:w="2508" w:type="pct"/>
            <w:vAlign w:val="center"/>
          </w:tcPr>
          <w:p w14:paraId="12DBB6D7" w14:textId="715A8B8A" w:rsidR="0021441D" w:rsidRPr="00D24383" w:rsidRDefault="0021441D" w:rsidP="00D24383">
            <w:pPr>
              <w:spacing w:before="240" w:after="240"/>
              <w:jc w:val="center"/>
              <w:rPr>
                <w:rFonts w:cs="Arial"/>
                <w:szCs w:val="24"/>
              </w:rPr>
            </w:pPr>
            <w:r w:rsidRPr="00D24383">
              <w:rPr>
                <w:rFonts w:cs="Arial"/>
                <w:szCs w:val="24"/>
              </w:rPr>
              <w:t>11.4%</w:t>
            </w:r>
          </w:p>
        </w:tc>
      </w:tr>
      <w:tr w:rsidR="00D24383" w:rsidRPr="00D24383" w14:paraId="0115E1E7" w14:textId="77777777" w:rsidTr="00C5604B">
        <w:trPr>
          <w:cantSplit/>
          <w:trHeight w:val="432"/>
        </w:trPr>
        <w:tc>
          <w:tcPr>
            <w:tcW w:w="2492" w:type="pct"/>
            <w:vAlign w:val="center"/>
          </w:tcPr>
          <w:p w14:paraId="726D4ADB" w14:textId="48B272A6" w:rsidR="0021441D" w:rsidRPr="00D24383" w:rsidRDefault="0021441D" w:rsidP="00D24383">
            <w:pPr>
              <w:spacing w:before="240" w:after="240"/>
              <w:jc w:val="center"/>
              <w:rPr>
                <w:rFonts w:cs="Arial"/>
                <w:szCs w:val="24"/>
              </w:rPr>
            </w:pPr>
            <w:r w:rsidRPr="00D24383">
              <w:rPr>
                <w:rFonts w:cs="Arial"/>
                <w:szCs w:val="24"/>
              </w:rPr>
              <w:t>San Joaquin</w:t>
            </w:r>
          </w:p>
        </w:tc>
        <w:tc>
          <w:tcPr>
            <w:tcW w:w="2508" w:type="pct"/>
            <w:vAlign w:val="center"/>
          </w:tcPr>
          <w:p w14:paraId="65DD97D0" w14:textId="018A28E5" w:rsidR="0021441D" w:rsidRPr="00D24383" w:rsidRDefault="0021441D" w:rsidP="00D24383">
            <w:pPr>
              <w:spacing w:before="240" w:after="240"/>
              <w:jc w:val="center"/>
              <w:rPr>
                <w:rFonts w:cs="Arial"/>
                <w:szCs w:val="24"/>
              </w:rPr>
            </w:pPr>
            <w:r w:rsidRPr="00D24383">
              <w:rPr>
                <w:rFonts w:cs="Arial"/>
                <w:szCs w:val="24"/>
              </w:rPr>
              <w:t>23.1%</w:t>
            </w:r>
          </w:p>
        </w:tc>
      </w:tr>
      <w:tr w:rsidR="00D24383" w:rsidRPr="00D24383" w14:paraId="7DC66521" w14:textId="77777777" w:rsidTr="00C5604B">
        <w:trPr>
          <w:cantSplit/>
          <w:trHeight w:val="432"/>
        </w:trPr>
        <w:tc>
          <w:tcPr>
            <w:tcW w:w="2492" w:type="pct"/>
            <w:vAlign w:val="center"/>
          </w:tcPr>
          <w:p w14:paraId="3F881E81" w14:textId="00E52F16" w:rsidR="0021441D" w:rsidRPr="00D24383" w:rsidRDefault="0021441D" w:rsidP="00D24383">
            <w:pPr>
              <w:spacing w:before="240" w:after="240"/>
              <w:jc w:val="center"/>
              <w:rPr>
                <w:rFonts w:cs="Arial"/>
                <w:szCs w:val="24"/>
              </w:rPr>
            </w:pPr>
            <w:r w:rsidRPr="00D24383">
              <w:rPr>
                <w:rFonts w:cs="Arial"/>
                <w:szCs w:val="24"/>
              </w:rPr>
              <w:t>San Luis Obispo</w:t>
            </w:r>
          </w:p>
        </w:tc>
        <w:tc>
          <w:tcPr>
            <w:tcW w:w="2508" w:type="pct"/>
            <w:vAlign w:val="center"/>
          </w:tcPr>
          <w:p w14:paraId="64070E8F" w14:textId="00088E00" w:rsidR="0021441D" w:rsidRPr="00D24383" w:rsidRDefault="0021441D" w:rsidP="00D24383">
            <w:pPr>
              <w:spacing w:before="240" w:after="240"/>
              <w:jc w:val="center"/>
              <w:rPr>
                <w:rFonts w:cs="Arial"/>
                <w:szCs w:val="24"/>
              </w:rPr>
            </w:pPr>
            <w:r w:rsidRPr="00D24383">
              <w:rPr>
                <w:rFonts w:cs="Arial"/>
                <w:szCs w:val="24"/>
              </w:rPr>
              <w:t>12.9%</w:t>
            </w:r>
          </w:p>
        </w:tc>
      </w:tr>
      <w:tr w:rsidR="00D24383" w:rsidRPr="00D24383" w14:paraId="4D07946B" w14:textId="77777777" w:rsidTr="00C5604B">
        <w:trPr>
          <w:cantSplit/>
          <w:trHeight w:val="432"/>
        </w:trPr>
        <w:tc>
          <w:tcPr>
            <w:tcW w:w="2492" w:type="pct"/>
            <w:vAlign w:val="center"/>
          </w:tcPr>
          <w:p w14:paraId="3F229362" w14:textId="734C1E3B" w:rsidR="0021441D" w:rsidRPr="00D24383" w:rsidRDefault="0021441D" w:rsidP="00D24383">
            <w:pPr>
              <w:spacing w:before="240" w:after="240"/>
              <w:jc w:val="center"/>
              <w:rPr>
                <w:rFonts w:cs="Arial"/>
                <w:szCs w:val="24"/>
              </w:rPr>
            </w:pPr>
            <w:r w:rsidRPr="00D24383">
              <w:rPr>
                <w:rFonts w:cs="Arial"/>
                <w:szCs w:val="24"/>
              </w:rPr>
              <w:t>San Mateo</w:t>
            </w:r>
          </w:p>
        </w:tc>
        <w:tc>
          <w:tcPr>
            <w:tcW w:w="2508" w:type="pct"/>
            <w:vAlign w:val="center"/>
          </w:tcPr>
          <w:p w14:paraId="2C7CDBC3" w14:textId="75D5E18B" w:rsidR="0021441D" w:rsidRPr="00D24383" w:rsidRDefault="0021441D" w:rsidP="00D24383">
            <w:pPr>
              <w:spacing w:before="240" w:after="240"/>
              <w:jc w:val="center"/>
              <w:rPr>
                <w:rFonts w:cs="Arial"/>
                <w:szCs w:val="24"/>
              </w:rPr>
            </w:pPr>
            <w:r w:rsidRPr="00D24383">
              <w:rPr>
                <w:rFonts w:cs="Arial"/>
                <w:szCs w:val="24"/>
              </w:rPr>
              <w:t>8.7%</w:t>
            </w:r>
          </w:p>
        </w:tc>
      </w:tr>
      <w:tr w:rsidR="00D24383" w:rsidRPr="00D24383" w14:paraId="7049E01B" w14:textId="77777777" w:rsidTr="00C5604B">
        <w:trPr>
          <w:cantSplit/>
          <w:trHeight w:val="432"/>
        </w:trPr>
        <w:tc>
          <w:tcPr>
            <w:tcW w:w="2492" w:type="pct"/>
            <w:vAlign w:val="center"/>
          </w:tcPr>
          <w:p w14:paraId="36D598C6" w14:textId="4A30A2F6" w:rsidR="0021441D" w:rsidRPr="00D24383" w:rsidRDefault="0021441D" w:rsidP="00D24383">
            <w:pPr>
              <w:spacing w:before="240" w:after="240"/>
              <w:jc w:val="center"/>
              <w:rPr>
                <w:rFonts w:cs="Arial"/>
                <w:szCs w:val="24"/>
              </w:rPr>
            </w:pPr>
            <w:r w:rsidRPr="00D24383">
              <w:rPr>
                <w:rFonts w:cs="Arial"/>
                <w:szCs w:val="24"/>
              </w:rPr>
              <w:t>Santa Barbara</w:t>
            </w:r>
          </w:p>
        </w:tc>
        <w:tc>
          <w:tcPr>
            <w:tcW w:w="2508" w:type="pct"/>
            <w:vAlign w:val="center"/>
          </w:tcPr>
          <w:p w14:paraId="3B52BDD8" w14:textId="41C4152D" w:rsidR="0021441D" w:rsidRPr="00D24383" w:rsidRDefault="0021441D" w:rsidP="00D24383">
            <w:pPr>
              <w:spacing w:before="240" w:after="240"/>
              <w:jc w:val="center"/>
              <w:rPr>
                <w:rFonts w:cs="Arial"/>
                <w:szCs w:val="24"/>
              </w:rPr>
            </w:pPr>
            <w:r w:rsidRPr="00D24383">
              <w:rPr>
                <w:rFonts w:cs="Arial"/>
                <w:szCs w:val="24"/>
              </w:rPr>
              <w:t>19.4%</w:t>
            </w:r>
          </w:p>
        </w:tc>
      </w:tr>
      <w:tr w:rsidR="00D24383" w:rsidRPr="00D24383" w14:paraId="730216A3" w14:textId="77777777" w:rsidTr="00C5604B">
        <w:trPr>
          <w:cantSplit/>
          <w:trHeight w:val="432"/>
        </w:trPr>
        <w:tc>
          <w:tcPr>
            <w:tcW w:w="2492" w:type="pct"/>
            <w:vAlign w:val="center"/>
          </w:tcPr>
          <w:p w14:paraId="5D276770" w14:textId="46E8A18A" w:rsidR="0021441D" w:rsidRPr="00D24383" w:rsidRDefault="0021441D" w:rsidP="00D24383">
            <w:pPr>
              <w:spacing w:before="240" w:after="240"/>
              <w:jc w:val="center"/>
              <w:rPr>
                <w:rFonts w:cs="Arial"/>
                <w:szCs w:val="24"/>
              </w:rPr>
            </w:pPr>
            <w:r w:rsidRPr="00D24383">
              <w:rPr>
                <w:rFonts w:cs="Arial"/>
                <w:szCs w:val="24"/>
              </w:rPr>
              <w:t>Santa Clara</w:t>
            </w:r>
          </w:p>
        </w:tc>
        <w:tc>
          <w:tcPr>
            <w:tcW w:w="2508" w:type="pct"/>
            <w:vAlign w:val="center"/>
          </w:tcPr>
          <w:p w14:paraId="4BB828CD" w14:textId="2556BAD5" w:rsidR="0021441D" w:rsidRPr="00D24383" w:rsidRDefault="0021441D" w:rsidP="00D24383">
            <w:pPr>
              <w:spacing w:before="240" w:after="240"/>
              <w:jc w:val="center"/>
              <w:rPr>
                <w:rFonts w:cs="Arial"/>
                <w:szCs w:val="24"/>
              </w:rPr>
            </w:pPr>
            <w:r w:rsidRPr="00D24383">
              <w:rPr>
                <w:rFonts w:cs="Arial"/>
                <w:szCs w:val="24"/>
              </w:rPr>
              <w:t>9.7%</w:t>
            </w:r>
          </w:p>
        </w:tc>
      </w:tr>
      <w:tr w:rsidR="00D24383" w:rsidRPr="00D24383" w14:paraId="081DC51A" w14:textId="77777777" w:rsidTr="00C5604B">
        <w:trPr>
          <w:cantSplit/>
          <w:trHeight w:val="432"/>
        </w:trPr>
        <w:tc>
          <w:tcPr>
            <w:tcW w:w="2492" w:type="pct"/>
            <w:vAlign w:val="center"/>
          </w:tcPr>
          <w:p w14:paraId="322B6713" w14:textId="658A13BB" w:rsidR="0021441D" w:rsidRPr="00D24383" w:rsidRDefault="0021441D" w:rsidP="00D24383">
            <w:pPr>
              <w:spacing w:before="240" w:after="240"/>
              <w:jc w:val="center"/>
              <w:rPr>
                <w:rFonts w:cs="Arial"/>
                <w:szCs w:val="24"/>
              </w:rPr>
            </w:pPr>
            <w:r w:rsidRPr="00D24383">
              <w:rPr>
                <w:rFonts w:cs="Arial"/>
                <w:szCs w:val="24"/>
              </w:rPr>
              <w:t>Santa Cruz</w:t>
            </w:r>
          </w:p>
        </w:tc>
        <w:tc>
          <w:tcPr>
            <w:tcW w:w="2508" w:type="pct"/>
            <w:vAlign w:val="center"/>
          </w:tcPr>
          <w:p w14:paraId="461E011E" w14:textId="4A8A9340" w:rsidR="0021441D" w:rsidRPr="00D24383" w:rsidRDefault="0021441D" w:rsidP="00D24383">
            <w:pPr>
              <w:spacing w:before="240" w:after="240"/>
              <w:jc w:val="center"/>
              <w:rPr>
                <w:rFonts w:cs="Arial"/>
                <w:szCs w:val="24"/>
              </w:rPr>
            </w:pPr>
            <w:r w:rsidRPr="00D24383">
              <w:rPr>
                <w:rFonts w:cs="Arial"/>
                <w:szCs w:val="24"/>
              </w:rPr>
              <w:t>17.0%</w:t>
            </w:r>
          </w:p>
        </w:tc>
      </w:tr>
      <w:tr w:rsidR="00D24383" w:rsidRPr="00D24383" w14:paraId="7FA0AA01" w14:textId="77777777" w:rsidTr="00C5604B">
        <w:trPr>
          <w:cantSplit/>
          <w:trHeight w:val="432"/>
        </w:trPr>
        <w:tc>
          <w:tcPr>
            <w:tcW w:w="2492" w:type="pct"/>
            <w:vAlign w:val="center"/>
          </w:tcPr>
          <w:p w14:paraId="791F2AD1" w14:textId="7D23DCA6" w:rsidR="0021441D" w:rsidRPr="00D24383" w:rsidRDefault="0021441D" w:rsidP="00D24383">
            <w:pPr>
              <w:spacing w:before="240" w:after="240"/>
              <w:jc w:val="center"/>
              <w:rPr>
                <w:rFonts w:cs="Arial"/>
                <w:szCs w:val="24"/>
              </w:rPr>
            </w:pPr>
            <w:r w:rsidRPr="00D24383">
              <w:rPr>
                <w:rFonts w:cs="Arial"/>
                <w:szCs w:val="24"/>
              </w:rPr>
              <w:t>Shasta</w:t>
            </w:r>
          </w:p>
        </w:tc>
        <w:tc>
          <w:tcPr>
            <w:tcW w:w="2508" w:type="pct"/>
            <w:vAlign w:val="center"/>
          </w:tcPr>
          <w:p w14:paraId="3BBA92DB" w14:textId="4AB34C1F" w:rsidR="0021441D" w:rsidRPr="00D24383" w:rsidRDefault="0021441D" w:rsidP="00D24383">
            <w:pPr>
              <w:spacing w:before="240" w:after="240"/>
              <w:jc w:val="center"/>
              <w:rPr>
                <w:rFonts w:cs="Arial"/>
                <w:szCs w:val="24"/>
              </w:rPr>
            </w:pPr>
            <w:r w:rsidRPr="00D24383">
              <w:rPr>
                <w:rFonts w:cs="Arial"/>
                <w:szCs w:val="24"/>
              </w:rPr>
              <w:t>25.4%</w:t>
            </w:r>
          </w:p>
        </w:tc>
      </w:tr>
      <w:tr w:rsidR="00D24383" w:rsidRPr="00D24383" w14:paraId="37D09784" w14:textId="77777777" w:rsidTr="00C5604B">
        <w:trPr>
          <w:cantSplit/>
          <w:trHeight w:val="432"/>
        </w:trPr>
        <w:tc>
          <w:tcPr>
            <w:tcW w:w="2492" w:type="pct"/>
            <w:vAlign w:val="center"/>
          </w:tcPr>
          <w:p w14:paraId="51A6EF62" w14:textId="63D4C5D6" w:rsidR="0021441D" w:rsidRPr="00D24383" w:rsidRDefault="0021441D" w:rsidP="00D24383">
            <w:pPr>
              <w:spacing w:before="240" w:after="240"/>
              <w:jc w:val="center"/>
              <w:rPr>
                <w:rFonts w:cs="Arial"/>
                <w:szCs w:val="24"/>
              </w:rPr>
            </w:pPr>
            <w:r w:rsidRPr="00D24383">
              <w:rPr>
                <w:rFonts w:cs="Arial"/>
                <w:szCs w:val="24"/>
              </w:rPr>
              <w:t>Sierra</w:t>
            </w:r>
          </w:p>
        </w:tc>
        <w:tc>
          <w:tcPr>
            <w:tcW w:w="2508" w:type="pct"/>
            <w:vAlign w:val="center"/>
          </w:tcPr>
          <w:p w14:paraId="0C3A68BB" w14:textId="41DDF4FD"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34D53678" w14:textId="77777777" w:rsidTr="00C5604B">
        <w:trPr>
          <w:cantSplit/>
          <w:trHeight w:val="432"/>
        </w:trPr>
        <w:tc>
          <w:tcPr>
            <w:tcW w:w="2492" w:type="pct"/>
            <w:vAlign w:val="center"/>
          </w:tcPr>
          <w:p w14:paraId="585164AA" w14:textId="74B6948E" w:rsidR="0021441D" w:rsidRPr="00D24383" w:rsidRDefault="0021441D" w:rsidP="00D24383">
            <w:pPr>
              <w:spacing w:before="240" w:after="240"/>
              <w:jc w:val="center"/>
              <w:rPr>
                <w:rFonts w:cs="Arial"/>
                <w:szCs w:val="24"/>
              </w:rPr>
            </w:pPr>
            <w:r w:rsidRPr="00D24383">
              <w:rPr>
                <w:rFonts w:cs="Arial"/>
                <w:szCs w:val="24"/>
              </w:rPr>
              <w:t>Siskiyou</w:t>
            </w:r>
          </w:p>
        </w:tc>
        <w:tc>
          <w:tcPr>
            <w:tcW w:w="2508" w:type="pct"/>
            <w:vAlign w:val="center"/>
          </w:tcPr>
          <w:p w14:paraId="458FB310" w14:textId="27EC0BCB" w:rsidR="0021441D" w:rsidRPr="00D24383" w:rsidRDefault="0021441D" w:rsidP="00D24383">
            <w:pPr>
              <w:spacing w:before="240" w:after="240"/>
              <w:jc w:val="center"/>
              <w:rPr>
                <w:rFonts w:cs="Arial"/>
                <w:szCs w:val="24"/>
              </w:rPr>
            </w:pPr>
            <w:r w:rsidRPr="00D24383">
              <w:rPr>
                <w:rFonts w:cs="Arial"/>
                <w:szCs w:val="24"/>
              </w:rPr>
              <w:t>26.6%</w:t>
            </w:r>
          </w:p>
        </w:tc>
      </w:tr>
      <w:tr w:rsidR="00D24383" w:rsidRPr="00D24383" w14:paraId="44CB6924" w14:textId="77777777" w:rsidTr="00C5604B">
        <w:trPr>
          <w:cantSplit/>
          <w:trHeight w:val="432"/>
        </w:trPr>
        <w:tc>
          <w:tcPr>
            <w:tcW w:w="2492" w:type="pct"/>
            <w:vAlign w:val="center"/>
          </w:tcPr>
          <w:p w14:paraId="72976245" w14:textId="1B6E086B" w:rsidR="0021441D" w:rsidRPr="00D24383" w:rsidRDefault="0021441D" w:rsidP="00D24383">
            <w:pPr>
              <w:spacing w:before="240" w:after="240"/>
              <w:jc w:val="center"/>
              <w:rPr>
                <w:rFonts w:cs="Arial"/>
                <w:szCs w:val="24"/>
              </w:rPr>
            </w:pPr>
            <w:r w:rsidRPr="00D24383">
              <w:rPr>
                <w:rFonts w:cs="Arial"/>
                <w:szCs w:val="24"/>
              </w:rPr>
              <w:lastRenderedPageBreak/>
              <w:t>Solano</w:t>
            </w:r>
          </w:p>
        </w:tc>
        <w:tc>
          <w:tcPr>
            <w:tcW w:w="2508" w:type="pct"/>
            <w:vAlign w:val="center"/>
          </w:tcPr>
          <w:p w14:paraId="34A1F89D" w14:textId="32E6F5B5" w:rsidR="0021441D" w:rsidRPr="00D24383" w:rsidRDefault="0021441D" w:rsidP="00D24383">
            <w:pPr>
              <w:spacing w:before="240" w:after="240"/>
              <w:jc w:val="center"/>
              <w:rPr>
                <w:rFonts w:cs="Arial"/>
                <w:szCs w:val="24"/>
              </w:rPr>
            </w:pPr>
            <w:r w:rsidRPr="00D24383">
              <w:rPr>
                <w:rFonts w:cs="Arial"/>
                <w:szCs w:val="24"/>
              </w:rPr>
              <w:t>16.6%</w:t>
            </w:r>
          </w:p>
        </w:tc>
      </w:tr>
      <w:tr w:rsidR="00D24383" w:rsidRPr="00D24383" w14:paraId="109BCD66" w14:textId="77777777" w:rsidTr="00C5604B">
        <w:trPr>
          <w:cantSplit/>
          <w:trHeight w:val="432"/>
        </w:trPr>
        <w:tc>
          <w:tcPr>
            <w:tcW w:w="2492" w:type="pct"/>
            <w:vAlign w:val="center"/>
          </w:tcPr>
          <w:p w14:paraId="4A8D5634" w14:textId="6745BC06" w:rsidR="0021441D" w:rsidRPr="00D24383" w:rsidRDefault="0021441D" w:rsidP="00D24383">
            <w:pPr>
              <w:spacing w:before="240" w:after="240"/>
              <w:jc w:val="center"/>
              <w:rPr>
                <w:rFonts w:cs="Arial"/>
                <w:szCs w:val="24"/>
              </w:rPr>
            </w:pPr>
            <w:r w:rsidRPr="00D24383">
              <w:rPr>
                <w:rFonts w:cs="Arial"/>
                <w:szCs w:val="24"/>
              </w:rPr>
              <w:t>Sonoma</w:t>
            </w:r>
          </w:p>
        </w:tc>
        <w:tc>
          <w:tcPr>
            <w:tcW w:w="2508" w:type="pct"/>
            <w:vAlign w:val="center"/>
          </w:tcPr>
          <w:p w14:paraId="2B30F7B6" w14:textId="29BD0E96" w:rsidR="0021441D" w:rsidRPr="00D24383" w:rsidRDefault="0021441D" w:rsidP="00D24383">
            <w:pPr>
              <w:spacing w:before="240" w:after="240"/>
              <w:jc w:val="center"/>
              <w:rPr>
                <w:rFonts w:cs="Arial"/>
                <w:szCs w:val="24"/>
              </w:rPr>
            </w:pPr>
            <w:r w:rsidRPr="00D24383">
              <w:rPr>
                <w:rFonts w:cs="Arial"/>
                <w:szCs w:val="24"/>
              </w:rPr>
              <w:t>13.1%</w:t>
            </w:r>
          </w:p>
        </w:tc>
      </w:tr>
      <w:tr w:rsidR="00D24383" w:rsidRPr="00D24383" w14:paraId="0B4235B0" w14:textId="77777777" w:rsidTr="00C5604B">
        <w:trPr>
          <w:cantSplit/>
          <w:trHeight w:val="432"/>
        </w:trPr>
        <w:tc>
          <w:tcPr>
            <w:tcW w:w="2492" w:type="pct"/>
            <w:vAlign w:val="center"/>
          </w:tcPr>
          <w:p w14:paraId="44237215" w14:textId="794B1322" w:rsidR="0021441D" w:rsidRPr="00D24383" w:rsidRDefault="0021441D" w:rsidP="00D24383">
            <w:pPr>
              <w:spacing w:before="240" w:after="240"/>
              <w:jc w:val="center"/>
              <w:rPr>
                <w:rFonts w:cs="Arial"/>
                <w:szCs w:val="24"/>
              </w:rPr>
            </w:pPr>
            <w:r w:rsidRPr="00D24383">
              <w:rPr>
                <w:rFonts w:cs="Arial"/>
                <w:szCs w:val="24"/>
              </w:rPr>
              <w:t>Stanislaus</w:t>
            </w:r>
          </w:p>
        </w:tc>
        <w:tc>
          <w:tcPr>
            <w:tcW w:w="2508" w:type="pct"/>
            <w:vAlign w:val="center"/>
          </w:tcPr>
          <w:p w14:paraId="1EDC7A08" w14:textId="7E16689A" w:rsidR="0021441D" w:rsidRPr="00D24383" w:rsidRDefault="0021441D" w:rsidP="00D24383">
            <w:pPr>
              <w:spacing w:before="240" w:after="240"/>
              <w:jc w:val="center"/>
              <w:rPr>
                <w:rFonts w:cs="Arial"/>
                <w:szCs w:val="24"/>
              </w:rPr>
            </w:pPr>
            <w:r w:rsidRPr="00D24383">
              <w:rPr>
                <w:rFonts w:cs="Arial"/>
                <w:szCs w:val="24"/>
              </w:rPr>
              <w:t>23.2%</w:t>
            </w:r>
          </w:p>
        </w:tc>
      </w:tr>
      <w:tr w:rsidR="00D24383" w:rsidRPr="00D24383" w14:paraId="648F9E36" w14:textId="77777777" w:rsidTr="00C5604B">
        <w:trPr>
          <w:cantSplit/>
          <w:trHeight w:val="432"/>
        </w:trPr>
        <w:tc>
          <w:tcPr>
            <w:tcW w:w="2492" w:type="pct"/>
            <w:vAlign w:val="center"/>
          </w:tcPr>
          <w:p w14:paraId="06125DEF" w14:textId="502A0134" w:rsidR="0021441D" w:rsidRPr="00D24383" w:rsidRDefault="0021441D" w:rsidP="00D24383">
            <w:pPr>
              <w:spacing w:before="240" w:after="240"/>
              <w:jc w:val="center"/>
              <w:rPr>
                <w:rFonts w:cs="Arial"/>
                <w:szCs w:val="24"/>
              </w:rPr>
            </w:pPr>
            <w:r w:rsidRPr="00D24383">
              <w:rPr>
                <w:rFonts w:cs="Arial"/>
                <w:szCs w:val="24"/>
              </w:rPr>
              <w:t>Sutter</w:t>
            </w:r>
          </w:p>
        </w:tc>
        <w:tc>
          <w:tcPr>
            <w:tcW w:w="2508" w:type="pct"/>
            <w:vAlign w:val="center"/>
          </w:tcPr>
          <w:p w14:paraId="09AA47C2" w14:textId="7457719E" w:rsidR="0021441D" w:rsidRPr="00D24383" w:rsidRDefault="0021441D" w:rsidP="00D24383">
            <w:pPr>
              <w:spacing w:before="240" w:after="240"/>
              <w:jc w:val="center"/>
              <w:rPr>
                <w:rFonts w:cs="Arial"/>
                <w:szCs w:val="24"/>
              </w:rPr>
            </w:pPr>
            <w:r w:rsidRPr="00D24383">
              <w:rPr>
                <w:rFonts w:cs="Arial"/>
                <w:szCs w:val="24"/>
              </w:rPr>
              <w:t>23.3%</w:t>
            </w:r>
          </w:p>
        </w:tc>
      </w:tr>
      <w:tr w:rsidR="00D24383" w:rsidRPr="00D24383" w14:paraId="27192468" w14:textId="77777777" w:rsidTr="00C5604B">
        <w:trPr>
          <w:cantSplit/>
          <w:trHeight w:val="432"/>
        </w:trPr>
        <w:tc>
          <w:tcPr>
            <w:tcW w:w="2492" w:type="pct"/>
            <w:vAlign w:val="center"/>
          </w:tcPr>
          <w:p w14:paraId="74B57B6B" w14:textId="767CF97C" w:rsidR="0021441D" w:rsidRPr="00D24383" w:rsidRDefault="0021441D" w:rsidP="00D24383">
            <w:pPr>
              <w:spacing w:before="240" w:after="240"/>
              <w:jc w:val="center"/>
              <w:rPr>
                <w:rFonts w:cs="Arial"/>
                <w:szCs w:val="24"/>
              </w:rPr>
            </w:pPr>
            <w:r w:rsidRPr="00D24383">
              <w:rPr>
                <w:rFonts w:cs="Arial"/>
                <w:szCs w:val="24"/>
              </w:rPr>
              <w:t>Tehama</w:t>
            </w:r>
          </w:p>
        </w:tc>
        <w:tc>
          <w:tcPr>
            <w:tcW w:w="2508" w:type="pct"/>
            <w:vAlign w:val="center"/>
          </w:tcPr>
          <w:p w14:paraId="714CB719" w14:textId="1E959F24" w:rsidR="0021441D" w:rsidRPr="00D24383" w:rsidRDefault="0021441D" w:rsidP="00D24383">
            <w:pPr>
              <w:spacing w:before="240" w:after="240"/>
              <w:jc w:val="center"/>
              <w:rPr>
                <w:rFonts w:cs="Arial"/>
                <w:szCs w:val="24"/>
              </w:rPr>
            </w:pPr>
            <w:r w:rsidRPr="00D24383">
              <w:rPr>
                <w:rFonts w:cs="Arial"/>
                <w:szCs w:val="24"/>
              </w:rPr>
              <w:t>30.9%</w:t>
            </w:r>
          </w:p>
        </w:tc>
      </w:tr>
      <w:tr w:rsidR="00D24383" w:rsidRPr="00D24383" w14:paraId="709A55B5" w14:textId="77777777" w:rsidTr="00C5604B">
        <w:trPr>
          <w:cantSplit/>
          <w:trHeight w:val="432"/>
        </w:trPr>
        <w:tc>
          <w:tcPr>
            <w:tcW w:w="2492" w:type="pct"/>
            <w:vAlign w:val="center"/>
          </w:tcPr>
          <w:p w14:paraId="0A967A08" w14:textId="337C02D5" w:rsidR="0021441D" w:rsidRPr="00D24383" w:rsidRDefault="0021441D" w:rsidP="00D24383">
            <w:pPr>
              <w:spacing w:before="240" w:after="240"/>
              <w:jc w:val="center"/>
              <w:rPr>
                <w:rFonts w:cs="Arial"/>
                <w:szCs w:val="24"/>
              </w:rPr>
            </w:pPr>
            <w:r w:rsidRPr="00D24383">
              <w:rPr>
                <w:rFonts w:cs="Arial"/>
                <w:szCs w:val="24"/>
              </w:rPr>
              <w:t>Trinity</w:t>
            </w:r>
          </w:p>
        </w:tc>
        <w:tc>
          <w:tcPr>
            <w:tcW w:w="2508" w:type="pct"/>
            <w:vAlign w:val="center"/>
          </w:tcPr>
          <w:p w14:paraId="49D44CFD" w14:textId="3DDC28D5" w:rsidR="0021441D" w:rsidRPr="00D24383" w:rsidRDefault="0021441D" w:rsidP="00D24383">
            <w:pPr>
              <w:spacing w:before="240" w:after="240"/>
              <w:jc w:val="center"/>
              <w:rPr>
                <w:rFonts w:cs="Arial"/>
                <w:szCs w:val="24"/>
              </w:rPr>
            </w:pPr>
            <w:r w:rsidRPr="00D24383">
              <w:rPr>
                <w:rFonts w:cs="Arial"/>
                <w:szCs w:val="24"/>
              </w:rPr>
              <w:t>S</w:t>
            </w:r>
          </w:p>
        </w:tc>
      </w:tr>
      <w:tr w:rsidR="00D24383" w:rsidRPr="00D24383" w14:paraId="554D1F41" w14:textId="77777777" w:rsidTr="00C5604B">
        <w:trPr>
          <w:cantSplit/>
          <w:trHeight w:val="432"/>
        </w:trPr>
        <w:tc>
          <w:tcPr>
            <w:tcW w:w="2492" w:type="pct"/>
            <w:vAlign w:val="center"/>
          </w:tcPr>
          <w:p w14:paraId="6BD6EBC0" w14:textId="378577BA" w:rsidR="0021441D" w:rsidRPr="00D24383" w:rsidRDefault="0021441D" w:rsidP="00D24383">
            <w:pPr>
              <w:spacing w:before="240" w:after="240"/>
              <w:jc w:val="center"/>
              <w:rPr>
                <w:rFonts w:cs="Arial"/>
                <w:szCs w:val="24"/>
              </w:rPr>
            </w:pPr>
            <w:r w:rsidRPr="00D24383">
              <w:rPr>
                <w:rFonts w:cs="Arial"/>
                <w:szCs w:val="24"/>
              </w:rPr>
              <w:t>Tulare</w:t>
            </w:r>
          </w:p>
        </w:tc>
        <w:tc>
          <w:tcPr>
            <w:tcW w:w="2508" w:type="pct"/>
            <w:vAlign w:val="center"/>
          </w:tcPr>
          <w:p w14:paraId="2F1F0D47" w14:textId="12537685" w:rsidR="0021441D" w:rsidRPr="00D24383" w:rsidRDefault="0021441D" w:rsidP="00D24383">
            <w:pPr>
              <w:spacing w:before="240" w:after="240"/>
              <w:jc w:val="center"/>
              <w:rPr>
                <w:rFonts w:cs="Arial"/>
                <w:szCs w:val="24"/>
              </w:rPr>
            </w:pPr>
            <w:r w:rsidRPr="00D24383">
              <w:rPr>
                <w:rFonts w:cs="Arial"/>
                <w:szCs w:val="24"/>
              </w:rPr>
              <w:t>36.2%</w:t>
            </w:r>
          </w:p>
        </w:tc>
      </w:tr>
      <w:tr w:rsidR="00D24383" w:rsidRPr="00D24383" w14:paraId="6DE21D80" w14:textId="77777777" w:rsidTr="00C5604B">
        <w:trPr>
          <w:cantSplit/>
          <w:trHeight w:val="432"/>
        </w:trPr>
        <w:tc>
          <w:tcPr>
            <w:tcW w:w="2492" w:type="pct"/>
            <w:vAlign w:val="center"/>
          </w:tcPr>
          <w:p w14:paraId="0AB4DEE0" w14:textId="164EE5F3" w:rsidR="0021441D" w:rsidRPr="00D24383" w:rsidRDefault="0021441D" w:rsidP="00D24383">
            <w:pPr>
              <w:spacing w:before="240" w:after="240"/>
              <w:jc w:val="center"/>
              <w:rPr>
                <w:rFonts w:cs="Arial"/>
                <w:szCs w:val="24"/>
              </w:rPr>
            </w:pPr>
            <w:r w:rsidRPr="00D24383">
              <w:rPr>
                <w:rFonts w:cs="Arial"/>
                <w:szCs w:val="24"/>
              </w:rPr>
              <w:t>Tuolumne</w:t>
            </w:r>
          </w:p>
        </w:tc>
        <w:tc>
          <w:tcPr>
            <w:tcW w:w="2508" w:type="pct"/>
            <w:vAlign w:val="center"/>
          </w:tcPr>
          <w:p w14:paraId="57D6FE2E" w14:textId="5AD351EF" w:rsidR="0021441D" w:rsidRPr="00D24383" w:rsidRDefault="0021441D" w:rsidP="00D24383">
            <w:pPr>
              <w:spacing w:before="240" w:after="240"/>
              <w:jc w:val="center"/>
              <w:rPr>
                <w:rFonts w:cs="Arial"/>
                <w:szCs w:val="24"/>
              </w:rPr>
            </w:pPr>
            <w:r w:rsidRPr="00D24383">
              <w:rPr>
                <w:rFonts w:cs="Arial"/>
                <w:szCs w:val="24"/>
              </w:rPr>
              <w:t>13.8%</w:t>
            </w:r>
          </w:p>
        </w:tc>
      </w:tr>
      <w:tr w:rsidR="00D24383" w:rsidRPr="00D24383" w14:paraId="35A3ADBF" w14:textId="77777777" w:rsidTr="00C5604B">
        <w:trPr>
          <w:cantSplit/>
          <w:trHeight w:val="432"/>
        </w:trPr>
        <w:tc>
          <w:tcPr>
            <w:tcW w:w="2492" w:type="pct"/>
            <w:vAlign w:val="center"/>
          </w:tcPr>
          <w:p w14:paraId="16929BD5" w14:textId="6BD86AC6" w:rsidR="0021441D" w:rsidRPr="00D24383" w:rsidRDefault="0021441D" w:rsidP="00D24383">
            <w:pPr>
              <w:spacing w:before="240" w:after="240"/>
              <w:jc w:val="center"/>
              <w:rPr>
                <w:rFonts w:cs="Arial"/>
                <w:szCs w:val="24"/>
              </w:rPr>
            </w:pPr>
            <w:r w:rsidRPr="00D24383">
              <w:rPr>
                <w:rFonts w:cs="Arial"/>
                <w:szCs w:val="24"/>
              </w:rPr>
              <w:t>Ventura</w:t>
            </w:r>
          </w:p>
        </w:tc>
        <w:tc>
          <w:tcPr>
            <w:tcW w:w="2508" w:type="pct"/>
            <w:vAlign w:val="center"/>
          </w:tcPr>
          <w:p w14:paraId="1170F640" w14:textId="76886946" w:rsidR="0021441D" w:rsidRPr="00D24383" w:rsidRDefault="0021441D" w:rsidP="00D24383">
            <w:pPr>
              <w:spacing w:before="240" w:after="240"/>
              <w:jc w:val="center"/>
              <w:rPr>
                <w:rFonts w:cs="Arial"/>
                <w:szCs w:val="24"/>
              </w:rPr>
            </w:pPr>
            <w:r w:rsidRPr="00D24383">
              <w:rPr>
                <w:rFonts w:cs="Arial"/>
                <w:szCs w:val="24"/>
              </w:rPr>
              <w:t>14.4%</w:t>
            </w:r>
          </w:p>
        </w:tc>
      </w:tr>
      <w:tr w:rsidR="00D24383" w:rsidRPr="00D24383" w14:paraId="6477D4D1" w14:textId="77777777" w:rsidTr="00C5604B">
        <w:trPr>
          <w:cantSplit/>
          <w:trHeight w:val="432"/>
        </w:trPr>
        <w:tc>
          <w:tcPr>
            <w:tcW w:w="2492" w:type="pct"/>
            <w:vAlign w:val="center"/>
          </w:tcPr>
          <w:p w14:paraId="634D5093" w14:textId="6885236A" w:rsidR="0021441D" w:rsidRPr="00D24383" w:rsidRDefault="0021441D" w:rsidP="00D24383">
            <w:pPr>
              <w:spacing w:before="240" w:after="240"/>
              <w:jc w:val="center"/>
              <w:rPr>
                <w:rFonts w:cs="Arial"/>
                <w:szCs w:val="24"/>
              </w:rPr>
            </w:pPr>
            <w:r w:rsidRPr="00D24383">
              <w:rPr>
                <w:rFonts w:cs="Arial"/>
                <w:szCs w:val="24"/>
              </w:rPr>
              <w:t>Yolo</w:t>
            </w:r>
          </w:p>
        </w:tc>
        <w:tc>
          <w:tcPr>
            <w:tcW w:w="2508" w:type="pct"/>
            <w:vAlign w:val="center"/>
          </w:tcPr>
          <w:p w14:paraId="28190F97" w14:textId="09209D8A" w:rsidR="0021441D" w:rsidRPr="00D24383" w:rsidRDefault="0021441D" w:rsidP="00D24383">
            <w:pPr>
              <w:spacing w:before="240" w:after="240"/>
              <w:jc w:val="center"/>
              <w:rPr>
                <w:rFonts w:cs="Arial"/>
                <w:szCs w:val="24"/>
              </w:rPr>
            </w:pPr>
            <w:r w:rsidRPr="00D24383">
              <w:rPr>
                <w:rFonts w:cs="Arial"/>
                <w:szCs w:val="24"/>
              </w:rPr>
              <w:t>16.3%</w:t>
            </w:r>
          </w:p>
        </w:tc>
      </w:tr>
      <w:tr w:rsidR="00D24383" w:rsidRPr="00D24383" w14:paraId="78F5ECC1" w14:textId="77777777" w:rsidTr="00C5604B">
        <w:trPr>
          <w:cantSplit/>
          <w:trHeight w:val="432"/>
        </w:trPr>
        <w:tc>
          <w:tcPr>
            <w:tcW w:w="2492" w:type="pct"/>
            <w:vAlign w:val="center"/>
          </w:tcPr>
          <w:p w14:paraId="642C4245" w14:textId="56AC9284" w:rsidR="0021441D" w:rsidRPr="00D24383" w:rsidRDefault="0021441D" w:rsidP="00D24383">
            <w:pPr>
              <w:spacing w:before="240" w:after="240"/>
              <w:jc w:val="center"/>
              <w:rPr>
                <w:rFonts w:cs="Arial"/>
                <w:szCs w:val="24"/>
              </w:rPr>
            </w:pPr>
            <w:r w:rsidRPr="00D24383">
              <w:rPr>
                <w:rFonts w:cs="Arial"/>
                <w:szCs w:val="24"/>
              </w:rPr>
              <w:t>Yuba</w:t>
            </w:r>
          </w:p>
        </w:tc>
        <w:tc>
          <w:tcPr>
            <w:tcW w:w="2508" w:type="pct"/>
            <w:vAlign w:val="center"/>
          </w:tcPr>
          <w:p w14:paraId="10F743EF" w14:textId="4B3A5F56" w:rsidR="0021441D" w:rsidRPr="00D24383" w:rsidRDefault="0021441D" w:rsidP="00D24383">
            <w:pPr>
              <w:spacing w:before="240" w:after="240"/>
              <w:jc w:val="center"/>
              <w:rPr>
                <w:rFonts w:cs="Arial"/>
                <w:szCs w:val="24"/>
              </w:rPr>
            </w:pPr>
            <w:r w:rsidRPr="00D24383">
              <w:rPr>
                <w:rFonts w:cs="Arial"/>
                <w:szCs w:val="24"/>
              </w:rPr>
              <w:t>25.0%</w:t>
            </w:r>
          </w:p>
        </w:tc>
      </w:tr>
    </w:tbl>
    <w:p w14:paraId="7E80EA71" w14:textId="59EB67EF" w:rsidR="00C9574A" w:rsidRPr="00D24383" w:rsidRDefault="00D5067D" w:rsidP="00D24383">
      <w:pPr>
        <w:spacing w:before="240"/>
        <w:rPr>
          <w:rFonts w:cs="Arial"/>
          <w:szCs w:val="24"/>
        </w:rPr>
      </w:pPr>
      <w:r w:rsidRPr="00D5067D">
        <w:rPr>
          <w:rFonts w:cs="Arial"/>
          <w:szCs w:val="24"/>
        </w:rPr>
        <w:t>According to the U.S. Department of Education, California has the third largest American Indian student population in the nation</w:t>
      </w:r>
      <w:r w:rsidR="0059779F">
        <w:rPr>
          <w:rFonts w:cs="Arial"/>
          <w:szCs w:val="24"/>
        </w:rPr>
        <w:t>.</w:t>
      </w:r>
      <w:r w:rsidR="00B0375D" w:rsidRPr="00D24383">
        <w:rPr>
          <w:rStyle w:val="FootnoteReference"/>
          <w:rFonts w:cs="Arial"/>
          <w:szCs w:val="24"/>
        </w:rPr>
        <w:footnoteReference w:id="5"/>
      </w:r>
      <w:r w:rsidR="00B20286" w:rsidRPr="00D24383">
        <w:rPr>
          <w:rFonts w:cs="Arial"/>
          <w:szCs w:val="24"/>
        </w:rPr>
        <w:t xml:space="preserve"> </w:t>
      </w:r>
      <w:r w:rsidR="00C9574A" w:rsidRPr="00D24383">
        <w:rPr>
          <w:rFonts w:cs="Arial"/>
          <w:szCs w:val="24"/>
        </w:rPr>
        <w:t>Table 3 shows the number of students who identified as American Indian</w:t>
      </w:r>
      <w:r w:rsidR="002F0202" w:rsidRPr="00D24383">
        <w:rPr>
          <w:rFonts w:cs="Arial"/>
          <w:szCs w:val="24"/>
        </w:rPr>
        <w:t>, Non-</w:t>
      </w:r>
      <w:r w:rsidR="00C9574A" w:rsidRPr="00D24383">
        <w:rPr>
          <w:rFonts w:cs="Arial"/>
          <w:szCs w:val="24"/>
        </w:rPr>
        <w:t>Hispanic in the 2015</w:t>
      </w:r>
      <w:r w:rsidR="00B20286" w:rsidRPr="00D24383">
        <w:rPr>
          <w:rFonts w:cs="Arial"/>
          <w:szCs w:val="24"/>
        </w:rPr>
        <w:t>–</w:t>
      </w:r>
      <w:r w:rsidR="00C9574A" w:rsidRPr="00D24383">
        <w:rPr>
          <w:rFonts w:cs="Arial"/>
          <w:szCs w:val="24"/>
        </w:rPr>
        <w:t>16 through 2019</w:t>
      </w:r>
      <w:r w:rsidR="00B20286" w:rsidRPr="00D24383">
        <w:rPr>
          <w:rFonts w:cs="Arial"/>
          <w:szCs w:val="24"/>
        </w:rPr>
        <w:t>–</w:t>
      </w:r>
      <w:r w:rsidR="00C9574A" w:rsidRPr="00D24383">
        <w:rPr>
          <w:rFonts w:cs="Arial"/>
          <w:szCs w:val="24"/>
        </w:rPr>
        <w:t>20 school year</w:t>
      </w:r>
      <w:r w:rsidR="007A32B9" w:rsidRPr="00D24383">
        <w:rPr>
          <w:rFonts w:cs="Arial"/>
          <w:szCs w:val="24"/>
        </w:rPr>
        <w:t>s</w:t>
      </w:r>
      <w:r w:rsidR="00C9574A" w:rsidRPr="00D24383">
        <w:rPr>
          <w:rFonts w:cs="Arial"/>
          <w:szCs w:val="24"/>
        </w:rPr>
        <w:t>. The CDE’s data reporting system</w:t>
      </w:r>
      <w:r>
        <w:rPr>
          <w:rFonts w:cs="Arial"/>
          <w:szCs w:val="24"/>
        </w:rPr>
        <w:t>,</w:t>
      </w:r>
      <w:r w:rsidR="00C9574A" w:rsidRPr="00D24383">
        <w:rPr>
          <w:rFonts w:cs="Arial"/>
          <w:szCs w:val="24"/>
        </w:rPr>
        <w:t xml:space="preserve"> DataQuest</w:t>
      </w:r>
      <w:r w:rsidR="00B0375D" w:rsidRPr="00D24383">
        <w:rPr>
          <w:rStyle w:val="FootnoteReference"/>
          <w:rFonts w:cs="Arial"/>
          <w:szCs w:val="24"/>
        </w:rPr>
        <w:footnoteReference w:id="6"/>
      </w:r>
      <w:r>
        <w:rPr>
          <w:rFonts w:cs="Arial"/>
          <w:szCs w:val="24"/>
        </w:rPr>
        <w:t>,</w:t>
      </w:r>
      <w:r w:rsidR="00B20286" w:rsidRPr="00D24383">
        <w:rPr>
          <w:rFonts w:cs="Arial"/>
          <w:szCs w:val="24"/>
        </w:rPr>
        <w:t xml:space="preserve"> </w:t>
      </w:r>
      <w:r w:rsidR="00C9574A" w:rsidRPr="00D24383">
        <w:rPr>
          <w:rFonts w:cs="Arial"/>
          <w:szCs w:val="24"/>
        </w:rPr>
        <w:t xml:space="preserve">identified 34,704 </w:t>
      </w:r>
      <w:r w:rsidR="00C9574A" w:rsidRPr="00D24383">
        <w:rPr>
          <w:rFonts w:cs="Arial"/>
          <w:szCs w:val="24"/>
        </w:rPr>
        <w:lastRenderedPageBreak/>
        <w:t>American Indian</w:t>
      </w:r>
      <w:r w:rsidR="002F0202" w:rsidRPr="00D24383">
        <w:rPr>
          <w:rFonts w:cs="Arial"/>
          <w:szCs w:val="24"/>
        </w:rPr>
        <w:t xml:space="preserve">, </w:t>
      </w:r>
      <w:r w:rsidR="00C9574A" w:rsidRPr="00D24383">
        <w:rPr>
          <w:rFonts w:cs="Arial"/>
          <w:szCs w:val="24"/>
        </w:rPr>
        <w:t>No</w:t>
      </w:r>
      <w:r w:rsidR="002F0202" w:rsidRPr="00D24383">
        <w:rPr>
          <w:rFonts w:cs="Arial"/>
          <w:szCs w:val="24"/>
        </w:rPr>
        <w:t>n-</w:t>
      </w:r>
      <w:r w:rsidR="00C9574A" w:rsidRPr="00D24383">
        <w:rPr>
          <w:rFonts w:cs="Arial"/>
          <w:szCs w:val="24"/>
        </w:rPr>
        <w:t>Hispanic for 2015</w:t>
      </w:r>
      <w:r w:rsidR="00B20286" w:rsidRPr="00D24383">
        <w:rPr>
          <w:rFonts w:cs="Arial"/>
          <w:szCs w:val="24"/>
        </w:rPr>
        <w:t>–</w:t>
      </w:r>
      <w:r w:rsidR="00C9574A" w:rsidRPr="00D24383">
        <w:rPr>
          <w:rFonts w:cs="Arial"/>
          <w:szCs w:val="24"/>
        </w:rPr>
        <w:t>16</w:t>
      </w:r>
      <w:r>
        <w:rPr>
          <w:rFonts w:cs="Arial"/>
          <w:szCs w:val="24"/>
        </w:rPr>
        <w:t>;</w:t>
      </w:r>
      <w:r w:rsidR="00C9574A" w:rsidRPr="00D24383">
        <w:rPr>
          <w:rFonts w:cs="Arial"/>
          <w:szCs w:val="24"/>
        </w:rPr>
        <w:t xml:space="preserve"> 33,369 American Indian</w:t>
      </w:r>
      <w:r w:rsidR="002B3700" w:rsidRPr="00D24383">
        <w:rPr>
          <w:rFonts w:cs="Arial"/>
          <w:szCs w:val="24"/>
        </w:rPr>
        <w:t xml:space="preserve">, </w:t>
      </w:r>
      <w:r w:rsidR="00C9574A" w:rsidRPr="00D24383">
        <w:rPr>
          <w:rFonts w:cs="Arial"/>
          <w:szCs w:val="24"/>
        </w:rPr>
        <w:t>No</w:t>
      </w:r>
      <w:r w:rsidR="002B3700" w:rsidRPr="00D24383">
        <w:rPr>
          <w:rFonts w:cs="Arial"/>
          <w:szCs w:val="24"/>
        </w:rPr>
        <w:t>n-</w:t>
      </w:r>
      <w:r w:rsidR="00C9574A" w:rsidRPr="00D24383">
        <w:rPr>
          <w:rFonts w:cs="Arial"/>
          <w:szCs w:val="24"/>
        </w:rPr>
        <w:t>Hispanic for 2016</w:t>
      </w:r>
      <w:r w:rsidR="00B20286" w:rsidRPr="00D24383">
        <w:rPr>
          <w:rFonts w:cs="Arial"/>
          <w:szCs w:val="24"/>
        </w:rPr>
        <w:t>–</w:t>
      </w:r>
      <w:r w:rsidR="00C9574A" w:rsidRPr="00D24383">
        <w:rPr>
          <w:rFonts w:cs="Arial"/>
          <w:szCs w:val="24"/>
        </w:rPr>
        <w:t>17</w:t>
      </w:r>
      <w:r w:rsidR="007470C3">
        <w:rPr>
          <w:rFonts w:cs="Arial"/>
          <w:szCs w:val="24"/>
        </w:rPr>
        <w:t>;</w:t>
      </w:r>
      <w:r w:rsidR="00C9574A" w:rsidRPr="00D24383">
        <w:rPr>
          <w:rFonts w:cs="Arial"/>
          <w:szCs w:val="24"/>
        </w:rPr>
        <w:t xml:space="preserve"> 32,500 American Indian</w:t>
      </w:r>
      <w:r w:rsidR="002B3700" w:rsidRPr="00D24383">
        <w:rPr>
          <w:rFonts w:cs="Arial"/>
          <w:szCs w:val="24"/>
        </w:rPr>
        <w:t xml:space="preserve">, </w:t>
      </w:r>
      <w:r w:rsidR="00C9574A" w:rsidRPr="00D24383">
        <w:rPr>
          <w:rFonts w:cs="Arial"/>
          <w:szCs w:val="24"/>
        </w:rPr>
        <w:t>No</w:t>
      </w:r>
      <w:r w:rsidR="002B3700" w:rsidRPr="00D24383">
        <w:rPr>
          <w:rFonts w:cs="Arial"/>
          <w:szCs w:val="24"/>
        </w:rPr>
        <w:t>n-</w:t>
      </w:r>
      <w:r w:rsidR="00C9574A" w:rsidRPr="00D24383">
        <w:rPr>
          <w:rFonts w:cs="Arial"/>
          <w:szCs w:val="24"/>
        </w:rPr>
        <w:t>Hispanic for 2017</w:t>
      </w:r>
      <w:r w:rsidR="00B20286" w:rsidRPr="00D24383">
        <w:rPr>
          <w:rFonts w:cs="Arial"/>
          <w:szCs w:val="24"/>
        </w:rPr>
        <w:t>–</w:t>
      </w:r>
      <w:r w:rsidR="00C9574A" w:rsidRPr="00D24383">
        <w:rPr>
          <w:rFonts w:cs="Arial"/>
          <w:szCs w:val="24"/>
        </w:rPr>
        <w:t>18</w:t>
      </w:r>
      <w:r w:rsidR="007470C3">
        <w:rPr>
          <w:rFonts w:cs="Arial"/>
          <w:szCs w:val="24"/>
        </w:rPr>
        <w:t>;</w:t>
      </w:r>
      <w:r w:rsidR="00C9574A" w:rsidRPr="00D24383">
        <w:rPr>
          <w:rFonts w:cs="Arial"/>
          <w:szCs w:val="24"/>
        </w:rPr>
        <w:t xml:space="preserve"> 31,358 American Indian</w:t>
      </w:r>
      <w:r w:rsidR="002B3700" w:rsidRPr="00D24383">
        <w:rPr>
          <w:rFonts w:cs="Arial"/>
          <w:szCs w:val="24"/>
        </w:rPr>
        <w:t xml:space="preserve">, </w:t>
      </w:r>
      <w:r w:rsidR="00C9574A" w:rsidRPr="00D24383">
        <w:rPr>
          <w:rFonts w:cs="Arial"/>
          <w:szCs w:val="24"/>
        </w:rPr>
        <w:t>No</w:t>
      </w:r>
      <w:r w:rsidR="002B3700" w:rsidRPr="00D24383">
        <w:rPr>
          <w:rFonts w:cs="Arial"/>
          <w:szCs w:val="24"/>
        </w:rPr>
        <w:t>n-</w:t>
      </w:r>
      <w:r w:rsidR="00C9574A" w:rsidRPr="00D24383">
        <w:rPr>
          <w:rFonts w:cs="Arial"/>
          <w:szCs w:val="24"/>
        </w:rPr>
        <w:t>Hispanic for 2</w:t>
      </w:r>
      <w:r w:rsidR="00B20286" w:rsidRPr="00D24383">
        <w:rPr>
          <w:rFonts w:cs="Arial"/>
          <w:szCs w:val="24"/>
        </w:rPr>
        <w:t>0</w:t>
      </w:r>
      <w:r w:rsidR="00C9574A" w:rsidRPr="00D24383">
        <w:rPr>
          <w:rFonts w:cs="Arial"/>
          <w:szCs w:val="24"/>
        </w:rPr>
        <w:t>18</w:t>
      </w:r>
      <w:r w:rsidR="00B20286" w:rsidRPr="00D24383">
        <w:rPr>
          <w:rFonts w:cs="Arial"/>
          <w:szCs w:val="24"/>
        </w:rPr>
        <w:t>–</w:t>
      </w:r>
      <w:r w:rsidR="00C9574A" w:rsidRPr="00D24383">
        <w:rPr>
          <w:rFonts w:cs="Arial"/>
          <w:szCs w:val="24"/>
        </w:rPr>
        <w:t>19</w:t>
      </w:r>
      <w:r w:rsidR="007470C3">
        <w:rPr>
          <w:rFonts w:cs="Arial"/>
          <w:szCs w:val="24"/>
        </w:rPr>
        <w:t>;</w:t>
      </w:r>
      <w:r w:rsidR="00C9574A" w:rsidRPr="00D24383">
        <w:rPr>
          <w:rFonts w:cs="Arial"/>
          <w:szCs w:val="24"/>
        </w:rPr>
        <w:t xml:space="preserve"> and 30,282 American Indian</w:t>
      </w:r>
      <w:r w:rsidR="002B3700" w:rsidRPr="00D24383">
        <w:rPr>
          <w:rFonts w:cs="Arial"/>
          <w:szCs w:val="24"/>
        </w:rPr>
        <w:t xml:space="preserve">, </w:t>
      </w:r>
      <w:r w:rsidR="00C9574A" w:rsidRPr="00D24383">
        <w:rPr>
          <w:rFonts w:cs="Arial"/>
          <w:szCs w:val="24"/>
        </w:rPr>
        <w:t>No</w:t>
      </w:r>
      <w:r w:rsidR="002B3700" w:rsidRPr="00D24383">
        <w:rPr>
          <w:rFonts w:cs="Arial"/>
          <w:szCs w:val="24"/>
        </w:rPr>
        <w:t>n-</w:t>
      </w:r>
      <w:r w:rsidR="00C9574A" w:rsidRPr="00D24383">
        <w:rPr>
          <w:rFonts w:cs="Arial"/>
          <w:szCs w:val="24"/>
        </w:rPr>
        <w:t>Hispanic for 2019</w:t>
      </w:r>
      <w:r w:rsidR="00B20286" w:rsidRPr="00D24383">
        <w:rPr>
          <w:rFonts w:cs="Arial"/>
          <w:szCs w:val="24"/>
        </w:rPr>
        <w:t>–</w:t>
      </w:r>
      <w:r w:rsidR="00C9574A" w:rsidRPr="00D24383">
        <w:rPr>
          <w:rFonts w:cs="Arial"/>
          <w:szCs w:val="24"/>
        </w:rPr>
        <w:t>20.</w:t>
      </w:r>
    </w:p>
    <w:p w14:paraId="32AEDD19" w14:textId="54B8CE2C" w:rsidR="00C9574A" w:rsidRPr="00D24383" w:rsidRDefault="00AC52C7" w:rsidP="00D24383">
      <w:pPr>
        <w:spacing w:before="240"/>
        <w:rPr>
          <w:rFonts w:cs="Arial"/>
          <w:b/>
          <w:szCs w:val="24"/>
        </w:rPr>
      </w:pPr>
      <w:r w:rsidRPr="00D24383">
        <w:rPr>
          <w:rFonts w:cs="Arial"/>
          <w:b/>
          <w:szCs w:val="24"/>
        </w:rPr>
        <w:t>Table 3: American Indian/Alaska Native, No</w:t>
      </w:r>
      <w:r w:rsidR="002B3700" w:rsidRPr="00D24383">
        <w:rPr>
          <w:rFonts w:cs="Arial"/>
          <w:b/>
          <w:szCs w:val="24"/>
        </w:rPr>
        <w:t>n-</w:t>
      </w:r>
      <w:r w:rsidRPr="00D24383">
        <w:rPr>
          <w:rFonts w:cs="Arial"/>
          <w:b/>
          <w:szCs w:val="24"/>
        </w:rPr>
        <w:t>Hispanic Student Population</w:t>
      </w:r>
      <w:r w:rsidR="0059779F">
        <w:rPr>
          <w:rFonts w:cs="Arial"/>
          <w:b/>
          <w:szCs w:val="24"/>
        </w:rPr>
        <w:t>,</w:t>
      </w:r>
      <w:r w:rsidR="00A62703" w:rsidRPr="00D24383">
        <w:rPr>
          <w:rStyle w:val="FootnoteReference"/>
          <w:rFonts w:cs="Arial"/>
          <w:b/>
          <w:szCs w:val="24"/>
        </w:rPr>
        <w:footnoteReference w:id="7"/>
      </w:r>
      <w:r w:rsidR="000D0966" w:rsidRPr="00D24383">
        <w:rPr>
          <w:rFonts w:cs="Arial"/>
          <w:b/>
          <w:szCs w:val="24"/>
        </w:rPr>
        <w:t xml:space="preserve"> in 2015–20</w:t>
      </w:r>
      <w:r w:rsidR="00EE1120">
        <w:rPr>
          <w:rStyle w:val="FootnoteReference"/>
          <w:rFonts w:cs="Arial"/>
          <w:b/>
          <w:szCs w:val="24"/>
        </w:rPr>
        <w:footnoteReference w:id="8"/>
      </w:r>
    </w:p>
    <w:tbl>
      <w:tblPr>
        <w:tblStyle w:val="TableGrid"/>
        <w:tblW w:w="5000" w:type="pct"/>
        <w:tblLook w:val="04A0" w:firstRow="1" w:lastRow="0" w:firstColumn="1" w:lastColumn="0" w:noHBand="0" w:noVBand="1"/>
        <w:tblDescription w:val="This table contains American Indian/Alaska Native, Non-Hispanic Student Population data for years between 2015–20."/>
      </w:tblPr>
      <w:tblGrid>
        <w:gridCol w:w="3144"/>
        <w:gridCol w:w="1242"/>
        <w:gridCol w:w="1242"/>
        <w:gridCol w:w="1242"/>
        <w:gridCol w:w="1242"/>
        <w:gridCol w:w="1238"/>
      </w:tblGrid>
      <w:tr w:rsidR="00D24383" w:rsidRPr="00D24383" w14:paraId="375FC1F3" w14:textId="77777777" w:rsidTr="00AF5560">
        <w:trPr>
          <w:cantSplit/>
          <w:trHeight w:val="432"/>
          <w:tblHeader/>
        </w:trPr>
        <w:tc>
          <w:tcPr>
            <w:tcW w:w="1682" w:type="pct"/>
            <w:shd w:val="clear" w:color="auto" w:fill="D9D9D9" w:themeFill="background1" w:themeFillShade="D9"/>
            <w:vAlign w:val="center"/>
          </w:tcPr>
          <w:p w14:paraId="75E7E96B" w14:textId="43D99765" w:rsidR="00AC52C7" w:rsidRPr="00D24383" w:rsidRDefault="00AC52C7" w:rsidP="00D24383">
            <w:pPr>
              <w:spacing w:before="240" w:after="240"/>
              <w:jc w:val="center"/>
              <w:rPr>
                <w:rFonts w:cs="Arial"/>
                <w:b/>
                <w:szCs w:val="24"/>
              </w:rPr>
            </w:pPr>
            <w:r w:rsidRPr="00D24383">
              <w:rPr>
                <w:rFonts w:cs="Arial"/>
                <w:b/>
                <w:szCs w:val="24"/>
              </w:rPr>
              <w:t>Metric</w:t>
            </w:r>
          </w:p>
        </w:tc>
        <w:tc>
          <w:tcPr>
            <w:tcW w:w="664" w:type="pct"/>
            <w:shd w:val="clear" w:color="auto" w:fill="D9D9D9" w:themeFill="background1" w:themeFillShade="D9"/>
            <w:vAlign w:val="center"/>
          </w:tcPr>
          <w:p w14:paraId="5CF2B664" w14:textId="0C17D081" w:rsidR="00AC52C7" w:rsidRPr="00D24383" w:rsidRDefault="00AC52C7" w:rsidP="00D24383">
            <w:pPr>
              <w:spacing w:before="240" w:after="240"/>
              <w:jc w:val="center"/>
              <w:rPr>
                <w:rFonts w:cs="Arial"/>
                <w:b/>
                <w:szCs w:val="24"/>
              </w:rPr>
            </w:pPr>
            <w:r w:rsidRPr="00D24383">
              <w:rPr>
                <w:rFonts w:cs="Arial"/>
                <w:b/>
                <w:szCs w:val="24"/>
              </w:rPr>
              <w:t>2015–16</w:t>
            </w:r>
          </w:p>
        </w:tc>
        <w:tc>
          <w:tcPr>
            <w:tcW w:w="664" w:type="pct"/>
            <w:shd w:val="clear" w:color="auto" w:fill="D9D9D9" w:themeFill="background1" w:themeFillShade="D9"/>
            <w:vAlign w:val="center"/>
          </w:tcPr>
          <w:p w14:paraId="664BF25E" w14:textId="79F875BB" w:rsidR="00AC52C7" w:rsidRPr="00D24383" w:rsidRDefault="00AC52C7" w:rsidP="00D24383">
            <w:pPr>
              <w:spacing w:before="240" w:after="240"/>
              <w:jc w:val="center"/>
              <w:rPr>
                <w:rFonts w:cs="Arial"/>
                <w:b/>
                <w:szCs w:val="24"/>
              </w:rPr>
            </w:pPr>
            <w:r w:rsidRPr="00D24383">
              <w:rPr>
                <w:rFonts w:cs="Arial"/>
                <w:b/>
                <w:szCs w:val="24"/>
              </w:rPr>
              <w:t>2016–17</w:t>
            </w:r>
          </w:p>
        </w:tc>
        <w:tc>
          <w:tcPr>
            <w:tcW w:w="664" w:type="pct"/>
            <w:shd w:val="clear" w:color="auto" w:fill="D9D9D9" w:themeFill="background1" w:themeFillShade="D9"/>
            <w:vAlign w:val="center"/>
          </w:tcPr>
          <w:p w14:paraId="0A9DEA66" w14:textId="0D7D399A" w:rsidR="00AC52C7" w:rsidRPr="00D24383" w:rsidRDefault="00AC52C7" w:rsidP="00D24383">
            <w:pPr>
              <w:spacing w:before="240" w:after="240"/>
              <w:jc w:val="center"/>
              <w:rPr>
                <w:rFonts w:cs="Arial"/>
                <w:b/>
                <w:szCs w:val="24"/>
              </w:rPr>
            </w:pPr>
            <w:r w:rsidRPr="00D24383">
              <w:rPr>
                <w:rFonts w:cs="Arial"/>
                <w:b/>
                <w:szCs w:val="24"/>
              </w:rPr>
              <w:t>2017–18</w:t>
            </w:r>
          </w:p>
        </w:tc>
        <w:tc>
          <w:tcPr>
            <w:tcW w:w="664" w:type="pct"/>
            <w:shd w:val="clear" w:color="auto" w:fill="D9D9D9" w:themeFill="background1" w:themeFillShade="D9"/>
            <w:vAlign w:val="center"/>
          </w:tcPr>
          <w:p w14:paraId="67361442" w14:textId="568EBE1B" w:rsidR="00AC52C7" w:rsidRPr="00D24383" w:rsidRDefault="00AC52C7" w:rsidP="00D24383">
            <w:pPr>
              <w:spacing w:before="240" w:after="240"/>
              <w:jc w:val="center"/>
              <w:rPr>
                <w:rFonts w:cs="Arial"/>
                <w:b/>
                <w:szCs w:val="24"/>
              </w:rPr>
            </w:pPr>
            <w:r w:rsidRPr="00D24383">
              <w:rPr>
                <w:rFonts w:cs="Arial"/>
                <w:b/>
                <w:szCs w:val="24"/>
              </w:rPr>
              <w:t>2018–19</w:t>
            </w:r>
          </w:p>
        </w:tc>
        <w:tc>
          <w:tcPr>
            <w:tcW w:w="664" w:type="pct"/>
            <w:shd w:val="clear" w:color="auto" w:fill="D9D9D9" w:themeFill="background1" w:themeFillShade="D9"/>
            <w:vAlign w:val="center"/>
          </w:tcPr>
          <w:p w14:paraId="20B41393" w14:textId="0E355EBF" w:rsidR="00AC52C7" w:rsidRPr="00D24383" w:rsidRDefault="00AC52C7" w:rsidP="00D24383">
            <w:pPr>
              <w:spacing w:before="240" w:after="240"/>
              <w:jc w:val="center"/>
              <w:rPr>
                <w:rFonts w:cs="Arial"/>
                <w:b/>
                <w:szCs w:val="24"/>
              </w:rPr>
            </w:pPr>
            <w:r w:rsidRPr="00D24383">
              <w:rPr>
                <w:rFonts w:cs="Arial"/>
                <w:b/>
                <w:szCs w:val="24"/>
              </w:rPr>
              <w:t>2019–20</w:t>
            </w:r>
          </w:p>
        </w:tc>
      </w:tr>
      <w:tr w:rsidR="00D24383" w:rsidRPr="00D24383" w14:paraId="695F2698" w14:textId="77777777" w:rsidTr="00AF5560">
        <w:trPr>
          <w:cantSplit/>
          <w:trHeight w:val="432"/>
        </w:trPr>
        <w:tc>
          <w:tcPr>
            <w:tcW w:w="1682" w:type="pct"/>
            <w:vAlign w:val="center"/>
          </w:tcPr>
          <w:p w14:paraId="6FA04F0E" w14:textId="3BBA90A6" w:rsidR="00AC52C7" w:rsidRPr="00D24383" w:rsidRDefault="00AC52C7" w:rsidP="00D24383">
            <w:pPr>
              <w:spacing w:before="240" w:after="240"/>
              <w:jc w:val="center"/>
              <w:rPr>
                <w:rFonts w:cs="Arial"/>
                <w:szCs w:val="24"/>
              </w:rPr>
            </w:pPr>
            <w:r w:rsidRPr="00D24383">
              <w:rPr>
                <w:rFonts w:cs="Arial"/>
                <w:szCs w:val="24"/>
              </w:rPr>
              <w:t xml:space="preserve">Number of Students, Kindergarten through </w:t>
            </w:r>
            <w:r w:rsidR="0059779F">
              <w:rPr>
                <w:rFonts w:cs="Arial"/>
                <w:szCs w:val="24"/>
              </w:rPr>
              <w:t>G</w:t>
            </w:r>
            <w:r w:rsidRPr="00D24383">
              <w:rPr>
                <w:rFonts w:cs="Arial"/>
                <w:szCs w:val="24"/>
              </w:rPr>
              <w:t xml:space="preserve">rade </w:t>
            </w:r>
            <w:r w:rsidR="0059779F">
              <w:rPr>
                <w:rFonts w:cs="Arial"/>
                <w:szCs w:val="24"/>
              </w:rPr>
              <w:t>Twelve</w:t>
            </w:r>
          </w:p>
        </w:tc>
        <w:tc>
          <w:tcPr>
            <w:tcW w:w="664" w:type="pct"/>
            <w:vAlign w:val="center"/>
          </w:tcPr>
          <w:p w14:paraId="7405CCBC" w14:textId="77CBB28E" w:rsidR="00AC52C7" w:rsidRPr="00D24383" w:rsidRDefault="00AC52C7" w:rsidP="00D24383">
            <w:pPr>
              <w:spacing w:before="240" w:after="240"/>
              <w:jc w:val="center"/>
              <w:rPr>
                <w:rFonts w:cs="Arial"/>
                <w:szCs w:val="24"/>
              </w:rPr>
            </w:pPr>
            <w:r w:rsidRPr="00D24383">
              <w:rPr>
                <w:rFonts w:cs="Arial"/>
                <w:szCs w:val="24"/>
              </w:rPr>
              <w:t>34,704</w:t>
            </w:r>
          </w:p>
        </w:tc>
        <w:tc>
          <w:tcPr>
            <w:tcW w:w="664" w:type="pct"/>
            <w:vAlign w:val="center"/>
          </w:tcPr>
          <w:p w14:paraId="1D8C43DB" w14:textId="5C8DF54F" w:rsidR="00AC52C7" w:rsidRPr="00D24383" w:rsidRDefault="00AC52C7" w:rsidP="00D24383">
            <w:pPr>
              <w:spacing w:before="240" w:after="240"/>
              <w:jc w:val="center"/>
              <w:rPr>
                <w:rFonts w:cs="Arial"/>
                <w:szCs w:val="24"/>
              </w:rPr>
            </w:pPr>
            <w:r w:rsidRPr="00D24383">
              <w:rPr>
                <w:rFonts w:cs="Arial"/>
                <w:szCs w:val="24"/>
              </w:rPr>
              <w:t>33,369</w:t>
            </w:r>
          </w:p>
        </w:tc>
        <w:tc>
          <w:tcPr>
            <w:tcW w:w="664" w:type="pct"/>
            <w:vAlign w:val="center"/>
          </w:tcPr>
          <w:p w14:paraId="2913F044" w14:textId="4D08BE20" w:rsidR="00AC52C7" w:rsidRPr="00D24383" w:rsidRDefault="00AC52C7" w:rsidP="00D24383">
            <w:pPr>
              <w:spacing w:before="240" w:after="240"/>
              <w:jc w:val="center"/>
              <w:rPr>
                <w:rFonts w:cs="Arial"/>
                <w:szCs w:val="24"/>
              </w:rPr>
            </w:pPr>
            <w:r w:rsidRPr="00D24383">
              <w:rPr>
                <w:rFonts w:cs="Arial"/>
                <w:szCs w:val="24"/>
              </w:rPr>
              <w:t>32,500</w:t>
            </w:r>
          </w:p>
        </w:tc>
        <w:tc>
          <w:tcPr>
            <w:tcW w:w="664" w:type="pct"/>
            <w:vAlign w:val="center"/>
          </w:tcPr>
          <w:p w14:paraId="7CF53405" w14:textId="6372B713" w:rsidR="00AC52C7" w:rsidRPr="00D24383" w:rsidRDefault="00AC52C7" w:rsidP="00D24383">
            <w:pPr>
              <w:spacing w:before="240" w:after="240"/>
              <w:jc w:val="center"/>
              <w:rPr>
                <w:rFonts w:cs="Arial"/>
                <w:szCs w:val="24"/>
              </w:rPr>
            </w:pPr>
            <w:r w:rsidRPr="00D24383">
              <w:rPr>
                <w:rFonts w:cs="Arial"/>
                <w:szCs w:val="24"/>
              </w:rPr>
              <w:t>31,358</w:t>
            </w:r>
          </w:p>
        </w:tc>
        <w:tc>
          <w:tcPr>
            <w:tcW w:w="664" w:type="pct"/>
            <w:vAlign w:val="center"/>
          </w:tcPr>
          <w:p w14:paraId="65D9A36B" w14:textId="42E651DB" w:rsidR="00AC52C7" w:rsidRPr="00D24383" w:rsidRDefault="00AC52C7" w:rsidP="00D24383">
            <w:pPr>
              <w:spacing w:before="240" w:after="240"/>
              <w:jc w:val="center"/>
              <w:rPr>
                <w:rFonts w:cs="Arial"/>
                <w:szCs w:val="24"/>
              </w:rPr>
            </w:pPr>
            <w:r w:rsidRPr="00D24383">
              <w:rPr>
                <w:rFonts w:cs="Arial"/>
                <w:szCs w:val="24"/>
              </w:rPr>
              <w:t>30,282</w:t>
            </w:r>
          </w:p>
        </w:tc>
      </w:tr>
      <w:tr w:rsidR="00D24383" w:rsidRPr="00D24383" w14:paraId="3BB8DEBA" w14:textId="77777777" w:rsidTr="00AF5560">
        <w:trPr>
          <w:cantSplit/>
          <w:trHeight w:val="432"/>
        </w:trPr>
        <w:tc>
          <w:tcPr>
            <w:tcW w:w="1682" w:type="pct"/>
            <w:vAlign w:val="center"/>
          </w:tcPr>
          <w:p w14:paraId="0258968D" w14:textId="69FF101B" w:rsidR="00AC52C7" w:rsidRPr="00D24383" w:rsidRDefault="00AC52C7" w:rsidP="00D24383">
            <w:pPr>
              <w:spacing w:before="240" w:after="240"/>
              <w:jc w:val="center"/>
              <w:rPr>
                <w:rFonts w:cs="Arial"/>
                <w:szCs w:val="24"/>
              </w:rPr>
            </w:pPr>
            <w:r w:rsidRPr="00D24383">
              <w:rPr>
                <w:rFonts w:cs="Arial"/>
                <w:szCs w:val="24"/>
              </w:rPr>
              <w:t>Percent of Total Student Enrollment</w:t>
            </w:r>
          </w:p>
        </w:tc>
        <w:tc>
          <w:tcPr>
            <w:tcW w:w="664" w:type="pct"/>
            <w:vAlign w:val="center"/>
          </w:tcPr>
          <w:p w14:paraId="1B943FF8" w14:textId="43A91C5A" w:rsidR="00AC52C7" w:rsidRPr="00D24383" w:rsidRDefault="00AC52C7" w:rsidP="00D24383">
            <w:pPr>
              <w:spacing w:before="240" w:after="240"/>
              <w:jc w:val="center"/>
              <w:rPr>
                <w:rFonts w:cs="Arial"/>
                <w:szCs w:val="24"/>
              </w:rPr>
            </w:pPr>
            <w:r w:rsidRPr="00D24383">
              <w:rPr>
                <w:rFonts w:cs="Arial"/>
                <w:szCs w:val="24"/>
              </w:rPr>
              <w:t>0.60%</w:t>
            </w:r>
          </w:p>
        </w:tc>
        <w:tc>
          <w:tcPr>
            <w:tcW w:w="664" w:type="pct"/>
            <w:vAlign w:val="center"/>
          </w:tcPr>
          <w:p w14:paraId="2166CF09" w14:textId="49B1920B" w:rsidR="00AC52C7" w:rsidRPr="00D24383" w:rsidRDefault="00AC52C7" w:rsidP="00D24383">
            <w:pPr>
              <w:spacing w:before="240" w:after="240"/>
              <w:jc w:val="center"/>
              <w:rPr>
                <w:rFonts w:cs="Arial"/>
                <w:szCs w:val="24"/>
              </w:rPr>
            </w:pPr>
            <w:r w:rsidRPr="00D24383">
              <w:rPr>
                <w:rFonts w:cs="Arial"/>
                <w:szCs w:val="24"/>
              </w:rPr>
              <w:t>0.50%</w:t>
            </w:r>
          </w:p>
        </w:tc>
        <w:tc>
          <w:tcPr>
            <w:tcW w:w="664" w:type="pct"/>
            <w:vAlign w:val="center"/>
          </w:tcPr>
          <w:p w14:paraId="002150C2" w14:textId="3C3C98AC" w:rsidR="00AC52C7" w:rsidRPr="00D24383" w:rsidRDefault="00AC52C7" w:rsidP="00D24383">
            <w:pPr>
              <w:spacing w:before="240" w:after="240"/>
              <w:jc w:val="center"/>
              <w:rPr>
                <w:rFonts w:cs="Arial"/>
                <w:szCs w:val="24"/>
              </w:rPr>
            </w:pPr>
            <w:r w:rsidRPr="00D24383">
              <w:rPr>
                <w:rFonts w:cs="Arial"/>
                <w:szCs w:val="24"/>
              </w:rPr>
              <w:t>0.50%</w:t>
            </w:r>
          </w:p>
        </w:tc>
        <w:tc>
          <w:tcPr>
            <w:tcW w:w="664" w:type="pct"/>
            <w:vAlign w:val="center"/>
          </w:tcPr>
          <w:p w14:paraId="1923D6B4" w14:textId="7BB9CECE" w:rsidR="00AC52C7" w:rsidRPr="00D24383" w:rsidRDefault="00AC52C7" w:rsidP="00D24383">
            <w:pPr>
              <w:spacing w:before="240" w:after="240"/>
              <w:jc w:val="center"/>
              <w:rPr>
                <w:rFonts w:cs="Arial"/>
                <w:szCs w:val="24"/>
              </w:rPr>
            </w:pPr>
            <w:r w:rsidRPr="00D24383">
              <w:rPr>
                <w:rFonts w:cs="Arial"/>
                <w:szCs w:val="24"/>
              </w:rPr>
              <w:t>0.50%</w:t>
            </w:r>
          </w:p>
        </w:tc>
        <w:tc>
          <w:tcPr>
            <w:tcW w:w="664" w:type="pct"/>
            <w:vAlign w:val="center"/>
          </w:tcPr>
          <w:p w14:paraId="0EF08206" w14:textId="223FAA40" w:rsidR="00AC52C7" w:rsidRPr="00D24383" w:rsidRDefault="00AC52C7" w:rsidP="00D24383">
            <w:pPr>
              <w:spacing w:before="240" w:after="240"/>
              <w:jc w:val="center"/>
              <w:rPr>
                <w:rFonts w:cs="Arial"/>
                <w:szCs w:val="24"/>
              </w:rPr>
            </w:pPr>
            <w:r w:rsidRPr="00D24383">
              <w:rPr>
                <w:rFonts w:cs="Arial"/>
                <w:szCs w:val="24"/>
              </w:rPr>
              <w:t>0.50%</w:t>
            </w:r>
          </w:p>
        </w:tc>
      </w:tr>
    </w:tbl>
    <w:p w14:paraId="7964DF38" w14:textId="1E87D04C" w:rsidR="00C9574A" w:rsidRPr="00D24383" w:rsidRDefault="00C9574A" w:rsidP="00D24383">
      <w:pPr>
        <w:spacing w:before="240"/>
        <w:rPr>
          <w:rFonts w:cs="Arial"/>
          <w:szCs w:val="24"/>
        </w:rPr>
      </w:pPr>
      <w:r w:rsidRPr="00D24383">
        <w:rPr>
          <w:rFonts w:cs="Arial"/>
          <w:szCs w:val="24"/>
        </w:rPr>
        <w:t xml:space="preserve">The percentage of American Indians </w:t>
      </w:r>
      <w:proofErr w:type="gramStart"/>
      <w:r w:rsidR="003F3911" w:rsidRPr="00D24383">
        <w:rPr>
          <w:rFonts w:cs="Arial"/>
          <w:szCs w:val="24"/>
        </w:rPr>
        <w:t>age</w:t>
      </w:r>
      <w:proofErr w:type="gramEnd"/>
      <w:r w:rsidR="003F3911" w:rsidRPr="00D24383">
        <w:rPr>
          <w:rFonts w:cs="Arial"/>
          <w:szCs w:val="24"/>
        </w:rPr>
        <w:t xml:space="preserve"> </w:t>
      </w:r>
      <w:r w:rsidR="0059779F">
        <w:rPr>
          <w:rFonts w:cs="Arial"/>
          <w:szCs w:val="24"/>
        </w:rPr>
        <w:t>twenty-five</w:t>
      </w:r>
      <w:r w:rsidRPr="00D24383">
        <w:rPr>
          <w:rFonts w:cs="Arial"/>
          <w:szCs w:val="24"/>
        </w:rPr>
        <w:t xml:space="preserve"> and older who </w:t>
      </w:r>
      <w:r w:rsidR="003F3911" w:rsidRPr="00D24383">
        <w:rPr>
          <w:rFonts w:cs="Arial"/>
          <w:szCs w:val="24"/>
        </w:rPr>
        <w:t>have</w:t>
      </w:r>
      <w:r w:rsidRPr="00D24383">
        <w:rPr>
          <w:rFonts w:cs="Arial"/>
          <w:szCs w:val="24"/>
        </w:rPr>
        <w:t xml:space="preserve"> at least a high school diploma</w:t>
      </w:r>
      <w:r w:rsidR="0059779F">
        <w:rPr>
          <w:rFonts w:cs="Arial"/>
          <w:szCs w:val="24"/>
        </w:rPr>
        <w:t>, General Educational Development</w:t>
      </w:r>
      <w:r w:rsidRPr="00D24383">
        <w:rPr>
          <w:rFonts w:cs="Arial"/>
          <w:szCs w:val="24"/>
        </w:rPr>
        <w:t xml:space="preserve"> certificate</w:t>
      </w:r>
      <w:r w:rsidR="003F3911" w:rsidRPr="00D24383">
        <w:rPr>
          <w:rFonts w:cs="Arial"/>
          <w:szCs w:val="24"/>
        </w:rPr>
        <w:t>,</w:t>
      </w:r>
      <w:r w:rsidRPr="00D24383">
        <w:rPr>
          <w:rFonts w:cs="Arial"/>
          <w:szCs w:val="24"/>
        </w:rPr>
        <w:t xml:space="preserve"> or alternative credential is 82.2 percent</w:t>
      </w:r>
      <w:r w:rsidR="003F3911" w:rsidRPr="00D24383">
        <w:rPr>
          <w:rFonts w:cs="Arial"/>
          <w:szCs w:val="24"/>
        </w:rPr>
        <w:t>,</w:t>
      </w:r>
      <w:r w:rsidRPr="00D24383">
        <w:rPr>
          <w:rFonts w:cs="Arial"/>
          <w:szCs w:val="24"/>
        </w:rPr>
        <w:t xml:space="preserve"> and 17.6 percent obtained a bachelor’s degree or higher. In comparison, 86.3 percent of the overall population had a high school diploma or higher and 29.1 percent had a bachelor’s degree or higher</w:t>
      </w:r>
      <w:r w:rsidR="0059779F">
        <w:rPr>
          <w:rFonts w:cs="Arial"/>
          <w:szCs w:val="24"/>
        </w:rPr>
        <w:t>.</w:t>
      </w:r>
      <w:r w:rsidR="00A62703" w:rsidRPr="00D24383">
        <w:rPr>
          <w:rStyle w:val="FootnoteReference"/>
          <w:rFonts w:cs="Arial"/>
          <w:szCs w:val="24"/>
        </w:rPr>
        <w:footnoteReference w:id="9"/>
      </w:r>
    </w:p>
    <w:p w14:paraId="2DD47110" w14:textId="42E26F2B" w:rsidR="00C9574A" w:rsidRPr="00D24383" w:rsidRDefault="00C9574A" w:rsidP="00D24383">
      <w:pPr>
        <w:spacing w:before="240"/>
        <w:rPr>
          <w:rFonts w:cs="Arial"/>
          <w:szCs w:val="24"/>
        </w:rPr>
      </w:pPr>
      <w:r w:rsidRPr="00D24383">
        <w:rPr>
          <w:rFonts w:cs="Arial"/>
          <w:szCs w:val="24"/>
        </w:rPr>
        <w:t>Only 24 percent of Native American adults have earned a college degree at the associate degree level or higher</w:t>
      </w:r>
      <w:r w:rsidR="0043014C" w:rsidRPr="00D24383">
        <w:rPr>
          <w:rFonts w:cs="Arial"/>
          <w:szCs w:val="24"/>
        </w:rPr>
        <w:t>,</w:t>
      </w:r>
      <w:r w:rsidRPr="00D24383">
        <w:rPr>
          <w:rFonts w:cs="Arial"/>
          <w:szCs w:val="24"/>
        </w:rPr>
        <w:t xml:space="preserve"> compared to 47 percent of White adults who have earned a college degree at the associate level or higher. In California</w:t>
      </w:r>
      <w:r w:rsidR="0043014C" w:rsidRPr="00D24383">
        <w:rPr>
          <w:rFonts w:cs="Arial"/>
          <w:szCs w:val="24"/>
        </w:rPr>
        <w:t>,</w:t>
      </w:r>
      <w:r w:rsidRPr="00D24383">
        <w:rPr>
          <w:rFonts w:cs="Arial"/>
          <w:szCs w:val="24"/>
        </w:rPr>
        <w:t xml:space="preserve"> there is extreme inequality in degree attainment between Native American and White adults</w:t>
      </w:r>
      <w:r w:rsidR="0043014C" w:rsidRPr="00D24383">
        <w:rPr>
          <w:rFonts w:cs="Arial"/>
          <w:szCs w:val="24"/>
        </w:rPr>
        <w:t xml:space="preserve">, </w:t>
      </w:r>
      <w:r w:rsidRPr="00D24383">
        <w:rPr>
          <w:rFonts w:cs="Arial"/>
          <w:szCs w:val="24"/>
        </w:rPr>
        <w:t xml:space="preserve">with gaps that exceed 26 percent. This gap highlights the need to build </w:t>
      </w:r>
      <w:r w:rsidR="0043014C" w:rsidRPr="00D24383">
        <w:rPr>
          <w:rFonts w:cs="Arial"/>
          <w:szCs w:val="24"/>
        </w:rPr>
        <w:t>kindergarten through grade twelve</w:t>
      </w:r>
      <w:r w:rsidRPr="00D24383">
        <w:rPr>
          <w:rFonts w:cs="Arial"/>
          <w:szCs w:val="24"/>
        </w:rPr>
        <w:t xml:space="preserve"> postsecondary partnerships with a focus on American Indian students. </w:t>
      </w:r>
      <w:r w:rsidR="009B0E00" w:rsidRPr="00D24383">
        <w:rPr>
          <w:rFonts w:cs="Arial"/>
          <w:szCs w:val="24"/>
        </w:rPr>
        <w:lastRenderedPageBreak/>
        <w:t>Fifteen</w:t>
      </w:r>
      <w:r w:rsidRPr="00D24383">
        <w:rPr>
          <w:rFonts w:cs="Arial"/>
          <w:szCs w:val="24"/>
        </w:rPr>
        <w:t xml:space="preserve"> percent of Native Americans do not have a high school diploma or </w:t>
      </w:r>
      <w:r w:rsidR="00EE747C">
        <w:rPr>
          <w:rFonts w:cs="Arial"/>
          <w:szCs w:val="24"/>
        </w:rPr>
        <w:t xml:space="preserve">a </w:t>
      </w:r>
      <w:r w:rsidRPr="00D24383">
        <w:rPr>
          <w:rFonts w:cs="Arial"/>
          <w:szCs w:val="24"/>
        </w:rPr>
        <w:t>high school equivalency. California should focus on creating culturally relevant and inclusive pathways for American Indian students. This focus will help diversify the teacher prep</w:t>
      </w:r>
      <w:r w:rsidR="0043014C" w:rsidRPr="00D24383">
        <w:rPr>
          <w:rFonts w:cs="Arial"/>
          <w:szCs w:val="24"/>
        </w:rPr>
        <w:t>aration</w:t>
      </w:r>
      <w:r w:rsidRPr="00D24383">
        <w:rPr>
          <w:rFonts w:cs="Arial"/>
          <w:szCs w:val="24"/>
        </w:rPr>
        <w:t xml:space="preserve"> pipeline to increase the number of American Indian teachers in the classroom</w:t>
      </w:r>
      <w:r w:rsidR="0059779F">
        <w:rPr>
          <w:rFonts w:cs="Arial"/>
          <w:szCs w:val="24"/>
        </w:rPr>
        <w:t>.</w:t>
      </w:r>
      <w:r w:rsidR="00A62703" w:rsidRPr="00D24383">
        <w:rPr>
          <w:rStyle w:val="FootnoteReference"/>
          <w:rFonts w:cs="Arial"/>
          <w:szCs w:val="24"/>
        </w:rPr>
        <w:footnoteReference w:id="10"/>
      </w:r>
    </w:p>
    <w:p w14:paraId="4A024742" w14:textId="4B200ECA" w:rsidR="00D97D65" w:rsidRDefault="00C9574A" w:rsidP="00D24383">
      <w:pPr>
        <w:spacing w:before="240"/>
        <w:rPr>
          <w:rFonts w:cs="Arial"/>
          <w:szCs w:val="24"/>
        </w:rPr>
      </w:pPr>
      <w:r w:rsidRPr="00D24383">
        <w:rPr>
          <w:rFonts w:cs="Arial"/>
          <w:szCs w:val="24"/>
        </w:rPr>
        <w:t xml:space="preserve">American Indian students have </w:t>
      </w:r>
      <w:proofErr w:type="gramStart"/>
      <w:r w:rsidRPr="00D24383">
        <w:rPr>
          <w:rFonts w:cs="Arial"/>
          <w:szCs w:val="24"/>
        </w:rPr>
        <w:t>some of</w:t>
      </w:r>
      <w:proofErr w:type="gramEnd"/>
      <w:r w:rsidRPr="00D24383">
        <w:rPr>
          <w:rFonts w:cs="Arial"/>
          <w:szCs w:val="24"/>
        </w:rPr>
        <w:t xml:space="preserve"> the lowest achievement rates in the state</w:t>
      </w:r>
      <w:r w:rsidR="000C621B" w:rsidRPr="00D24383">
        <w:rPr>
          <w:rFonts w:cs="Arial"/>
          <w:szCs w:val="24"/>
        </w:rPr>
        <w:t>,</w:t>
      </w:r>
      <w:r w:rsidRPr="00D24383">
        <w:rPr>
          <w:rFonts w:cs="Arial"/>
          <w:szCs w:val="24"/>
        </w:rPr>
        <w:t xml:space="preserve"> as determined by the 2018</w:t>
      </w:r>
      <w:r w:rsidR="00B20286" w:rsidRPr="00D24383">
        <w:rPr>
          <w:rFonts w:cs="Arial"/>
          <w:szCs w:val="24"/>
        </w:rPr>
        <w:t>–</w:t>
      </w:r>
      <w:r w:rsidRPr="00D24383">
        <w:rPr>
          <w:rFonts w:cs="Arial"/>
          <w:szCs w:val="24"/>
        </w:rPr>
        <w:t>19 California Assessment of Student Performance and Progress data</w:t>
      </w:r>
      <w:r w:rsidR="0059779F">
        <w:rPr>
          <w:rFonts w:cs="Arial"/>
          <w:szCs w:val="24"/>
        </w:rPr>
        <w:t>.</w:t>
      </w:r>
      <w:r w:rsidR="00A62703" w:rsidRPr="00D24383">
        <w:rPr>
          <w:rStyle w:val="FootnoteReference"/>
          <w:rFonts w:cs="Arial"/>
          <w:szCs w:val="24"/>
        </w:rPr>
        <w:footnoteReference w:id="11"/>
      </w:r>
      <w:r w:rsidRPr="00D24383">
        <w:rPr>
          <w:rFonts w:cs="Arial"/>
          <w:szCs w:val="24"/>
        </w:rPr>
        <w:t xml:space="preserve"> Table </w:t>
      </w:r>
      <w:r w:rsidR="002F0511" w:rsidRPr="00D24383">
        <w:rPr>
          <w:rFonts w:cs="Arial"/>
          <w:szCs w:val="24"/>
        </w:rPr>
        <w:t>4</w:t>
      </w:r>
      <w:r w:rsidRPr="00D24383">
        <w:rPr>
          <w:rFonts w:cs="Arial"/>
          <w:szCs w:val="24"/>
        </w:rPr>
        <w:t xml:space="preserve"> shows the 2015</w:t>
      </w:r>
      <w:r w:rsidR="00B20286" w:rsidRPr="00D24383">
        <w:rPr>
          <w:rFonts w:cs="Arial"/>
          <w:szCs w:val="24"/>
        </w:rPr>
        <w:t>–</w:t>
      </w:r>
      <w:r w:rsidRPr="00D24383">
        <w:rPr>
          <w:rFonts w:cs="Arial"/>
          <w:szCs w:val="24"/>
        </w:rPr>
        <w:t>16 through 2019</w:t>
      </w:r>
      <w:r w:rsidR="00B20286" w:rsidRPr="00D24383">
        <w:rPr>
          <w:rFonts w:cs="Arial"/>
          <w:szCs w:val="24"/>
        </w:rPr>
        <w:t>–</w:t>
      </w:r>
      <w:r w:rsidRPr="00D24383">
        <w:rPr>
          <w:rFonts w:cs="Arial"/>
          <w:szCs w:val="24"/>
        </w:rPr>
        <w:t>20 data for California Standards Test English Language Arts</w:t>
      </w:r>
      <w:r w:rsidR="00C0389C" w:rsidRPr="00D24383">
        <w:rPr>
          <w:rFonts w:cs="Arial"/>
          <w:szCs w:val="24"/>
        </w:rPr>
        <w:t xml:space="preserve"> </w:t>
      </w:r>
      <w:r w:rsidR="000C621B" w:rsidRPr="00D24383">
        <w:rPr>
          <w:rFonts w:cs="Arial"/>
          <w:szCs w:val="24"/>
        </w:rPr>
        <w:t>g</w:t>
      </w:r>
      <w:r w:rsidRPr="00D24383">
        <w:rPr>
          <w:rFonts w:cs="Arial"/>
          <w:szCs w:val="24"/>
        </w:rPr>
        <w:t xml:space="preserve">rade </w:t>
      </w:r>
      <w:r w:rsidR="000C621B" w:rsidRPr="00D24383">
        <w:rPr>
          <w:rFonts w:cs="Arial"/>
          <w:szCs w:val="24"/>
        </w:rPr>
        <w:t>three</w:t>
      </w:r>
      <w:r w:rsidRPr="00D24383">
        <w:rPr>
          <w:rFonts w:cs="Arial"/>
          <w:szCs w:val="24"/>
        </w:rPr>
        <w:t xml:space="preserve"> for American Indian</w:t>
      </w:r>
      <w:r w:rsidR="00EE747C">
        <w:rPr>
          <w:rFonts w:cs="Arial"/>
          <w:szCs w:val="24"/>
        </w:rPr>
        <w:t>s</w:t>
      </w:r>
      <w:r w:rsidRPr="00D24383">
        <w:rPr>
          <w:rFonts w:cs="Arial"/>
          <w:szCs w:val="24"/>
        </w:rPr>
        <w:t xml:space="preserve">. Grade </w:t>
      </w:r>
      <w:r w:rsidR="000C621B" w:rsidRPr="00D24383">
        <w:rPr>
          <w:rFonts w:cs="Arial"/>
          <w:szCs w:val="24"/>
        </w:rPr>
        <w:t>three</w:t>
      </w:r>
      <w:r w:rsidRPr="00D24383">
        <w:rPr>
          <w:rFonts w:cs="Arial"/>
          <w:szCs w:val="24"/>
        </w:rPr>
        <w:t xml:space="preserve"> </w:t>
      </w:r>
      <w:proofErr w:type="gramStart"/>
      <w:r w:rsidRPr="00D24383">
        <w:rPr>
          <w:rFonts w:cs="Arial"/>
          <w:szCs w:val="24"/>
        </w:rPr>
        <w:t>was chosen</w:t>
      </w:r>
      <w:proofErr w:type="gramEnd"/>
      <w:r w:rsidRPr="00D24383">
        <w:rPr>
          <w:rFonts w:cs="Arial"/>
          <w:szCs w:val="24"/>
        </w:rPr>
        <w:t xml:space="preserve"> because it is a future indicator of success in later grades. According to findings from a 2012 study</w:t>
      </w:r>
      <w:r w:rsidR="000C621B" w:rsidRPr="00D24383">
        <w:rPr>
          <w:rFonts w:cs="Arial"/>
          <w:szCs w:val="24"/>
        </w:rPr>
        <w:t xml:space="preserve">, </w:t>
      </w:r>
      <w:r w:rsidRPr="00D24383">
        <w:rPr>
          <w:rFonts w:cs="Arial"/>
          <w:szCs w:val="24"/>
        </w:rPr>
        <w:t xml:space="preserve">the relative predictive power of grade </w:t>
      </w:r>
      <w:r w:rsidR="000C621B" w:rsidRPr="00D24383">
        <w:rPr>
          <w:rFonts w:cs="Arial"/>
          <w:szCs w:val="24"/>
        </w:rPr>
        <w:t>three</w:t>
      </w:r>
      <w:r w:rsidRPr="00D24383">
        <w:rPr>
          <w:rFonts w:cs="Arial"/>
          <w:szCs w:val="24"/>
        </w:rPr>
        <w:t xml:space="preserve"> reading proficiency for identifying students at risk of not graduating from high school is significant</w:t>
      </w:r>
      <w:r w:rsidR="0059779F">
        <w:rPr>
          <w:rFonts w:cs="Arial"/>
          <w:szCs w:val="24"/>
        </w:rPr>
        <w:t>.</w:t>
      </w:r>
      <w:r w:rsidR="00A62703" w:rsidRPr="00D24383">
        <w:rPr>
          <w:rStyle w:val="FootnoteReference"/>
          <w:rFonts w:cs="Arial"/>
          <w:szCs w:val="24"/>
        </w:rPr>
        <w:footnoteReference w:id="12"/>
      </w:r>
      <w:r w:rsidR="00B20286" w:rsidRPr="00D24383">
        <w:rPr>
          <w:rFonts w:cs="Arial"/>
          <w:szCs w:val="24"/>
        </w:rPr>
        <w:t xml:space="preserve"> </w:t>
      </w:r>
      <w:r w:rsidRPr="00D24383">
        <w:rPr>
          <w:rFonts w:cs="Arial"/>
          <w:szCs w:val="24"/>
        </w:rPr>
        <w:t>This study determined that about 16</w:t>
      </w:r>
      <w:r w:rsidR="000C621B" w:rsidRPr="00D24383">
        <w:rPr>
          <w:rFonts w:cs="Arial"/>
          <w:szCs w:val="24"/>
        </w:rPr>
        <w:t xml:space="preserve"> percent</w:t>
      </w:r>
      <w:r w:rsidRPr="00D24383">
        <w:rPr>
          <w:rFonts w:cs="Arial"/>
          <w:szCs w:val="24"/>
        </w:rPr>
        <w:t xml:space="preserve"> of students who </w:t>
      </w:r>
      <w:r w:rsidR="00A07877">
        <w:rPr>
          <w:rFonts w:cs="Arial"/>
          <w:szCs w:val="24"/>
        </w:rPr>
        <w:t>were</w:t>
      </w:r>
      <w:r w:rsidRPr="00D24383">
        <w:rPr>
          <w:rFonts w:cs="Arial"/>
          <w:szCs w:val="24"/>
        </w:rPr>
        <w:t xml:space="preserve"> not reading proficiently by the conclusion of </w:t>
      </w:r>
      <w:r w:rsidR="000C621B" w:rsidRPr="00D24383">
        <w:rPr>
          <w:rFonts w:cs="Arial"/>
          <w:szCs w:val="24"/>
        </w:rPr>
        <w:t>grade three</w:t>
      </w:r>
      <w:r w:rsidRPr="00D24383">
        <w:rPr>
          <w:rFonts w:cs="Arial"/>
          <w:szCs w:val="24"/>
        </w:rPr>
        <w:t xml:space="preserve"> failed to graduate from high school on time</w:t>
      </w:r>
      <w:r w:rsidR="00A07877" w:rsidRPr="00A07877">
        <w:rPr>
          <w:rFonts w:cs="Arial"/>
          <w:szCs w:val="24"/>
        </w:rPr>
        <w:t>—</w:t>
      </w:r>
      <w:r w:rsidRPr="00D24383">
        <w:rPr>
          <w:rFonts w:cs="Arial"/>
          <w:szCs w:val="24"/>
        </w:rPr>
        <w:t>a</w:t>
      </w:r>
      <w:r w:rsidR="00A07877">
        <w:rPr>
          <w:rFonts w:cs="Arial"/>
          <w:szCs w:val="24"/>
        </w:rPr>
        <w:t xml:space="preserve"> </w:t>
      </w:r>
      <w:r w:rsidRPr="00D24383">
        <w:rPr>
          <w:rFonts w:cs="Arial"/>
          <w:szCs w:val="24"/>
        </w:rPr>
        <w:t>rate four times greater than that for proficient readers</w:t>
      </w:r>
      <w:r w:rsidR="0059779F">
        <w:rPr>
          <w:rFonts w:cs="Arial"/>
          <w:szCs w:val="24"/>
        </w:rPr>
        <w:t>.</w:t>
      </w:r>
      <w:r w:rsidR="00A62703" w:rsidRPr="00D24383">
        <w:rPr>
          <w:rStyle w:val="FootnoteReference"/>
          <w:rFonts w:cs="Arial"/>
          <w:szCs w:val="24"/>
        </w:rPr>
        <w:footnoteReference w:id="13"/>
      </w:r>
    </w:p>
    <w:p w14:paraId="50B7B3D1" w14:textId="26A5F35F" w:rsidR="00060BD9" w:rsidRDefault="00060BD9" w:rsidP="00D24383">
      <w:pPr>
        <w:spacing w:before="240"/>
        <w:rPr>
          <w:rFonts w:cs="Arial"/>
          <w:b/>
          <w:szCs w:val="24"/>
        </w:rPr>
      </w:pPr>
      <w:r w:rsidRPr="00D24383">
        <w:rPr>
          <w:rFonts w:cs="Arial"/>
          <w:b/>
          <w:szCs w:val="24"/>
        </w:rPr>
        <w:t>Table 4: California Standards Test English Language Arts</w:t>
      </w:r>
      <w:r w:rsidR="00316C50" w:rsidRPr="00D24383">
        <w:rPr>
          <w:rFonts w:cs="Arial"/>
          <w:b/>
          <w:szCs w:val="24"/>
        </w:rPr>
        <w:t xml:space="preserve"> Performance, Grade Three, in</w:t>
      </w:r>
      <w:r w:rsidRPr="00D24383">
        <w:rPr>
          <w:rFonts w:cs="Arial"/>
          <w:b/>
          <w:szCs w:val="24"/>
        </w:rPr>
        <w:t xml:space="preserve"> 2015–20</w:t>
      </w:r>
      <w:r w:rsidR="00BC72EA">
        <w:rPr>
          <w:rStyle w:val="FootnoteReference"/>
          <w:rFonts w:cs="Arial"/>
          <w:b/>
          <w:szCs w:val="24"/>
        </w:rPr>
        <w:footnoteReference w:id="14"/>
      </w:r>
    </w:p>
    <w:p w14:paraId="47763F14" w14:textId="35B62EB6" w:rsidR="003F2F1C" w:rsidRPr="003F2F1C" w:rsidRDefault="003F2F1C" w:rsidP="00D24383">
      <w:pPr>
        <w:spacing w:before="240"/>
        <w:rPr>
          <w:rFonts w:cs="Arial"/>
          <w:szCs w:val="24"/>
        </w:rPr>
      </w:pPr>
      <w:r w:rsidRPr="00D24383">
        <w:rPr>
          <w:rFonts w:cs="Arial"/>
          <w:szCs w:val="24"/>
        </w:rPr>
        <w:t xml:space="preserve">* </w:t>
      </w:r>
      <w:r>
        <w:rPr>
          <w:rFonts w:cs="Arial"/>
          <w:szCs w:val="24"/>
        </w:rPr>
        <w:t xml:space="preserve">The </w:t>
      </w:r>
      <w:r w:rsidRPr="00D24383">
        <w:rPr>
          <w:rFonts w:cs="Arial"/>
          <w:szCs w:val="24"/>
        </w:rPr>
        <w:t>U.S. Department of Education waived federal testing requirements following abrupt school closures for in-person instruction in March 2020 due to the pandemic</w:t>
      </w:r>
      <w:r>
        <w:rPr>
          <w:rFonts w:cs="Arial"/>
          <w:szCs w:val="24"/>
        </w:rPr>
        <w:t>.</w:t>
      </w:r>
    </w:p>
    <w:tbl>
      <w:tblPr>
        <w:tblStyle w:val="TableGrid"/>
        <w:tblW w:w="5000" w:type="pct"/>
        <w:tblLook w:val="04A0" w:firstRow="1" w:lastRow="0" w:firstColumn="1" w:lastColumn="0" w:noHBand="0" w:noVBand="1"/>
        <w:tblDescription w:val="This table contains California Standards Test English Language Arts Performance date for Grade Three between the years 2015–20."/>
      </w:tblPr>
      <w:tblGrid>
        <w:gridCol w:w="2065"/>
        <w:gridCol w:w="1189"/>
        <w:gridCol w:w="1638"/>
        <w:gridCol w:w="1350"/>
        <w:gridCol w:w="1608"/>
        <w:gridCol w:w="1500"/>
      </w:tblGrid>
      <w:tr w:rsidR="00D24383" w:rsidRPr="00D24383" w14:paraId="236684EB" w14:textId="77777777" w:rsidTr="00200667">
        <w:trPr>
          <w:cantSplit/>
          <w:tblHeader/>
        </w:trPr>
        <w:tc>
          <w:tcPr>
            <w:tcW w:w="1104" w:type="pct"/>
            <w:shd w:val="clear" w:color="auto" w:fill="D9D9D9" w:themeFill="background1" w:themeFillShade="D9"/>
            <w:vAlign w:val="center"/>
          </w:tcPr>
          <w:p w14:paraId="697EDD05" w14:textId="2431DCCF" w:rsidR="0062772B" w:rsidRPr="00D24383" w:rsidRDefault="0062772B" w:rsidP="00D24383">
            <w:pPr>
              <w:spacing w:before="240" w:after="240"/>
              <w:jc w:val="center"/>
              <w:rPr>
                <w:rFonts w:cs="Arial"/>
                <w:b/>
                <w:szCs w:val="24"/>
              </w:rPr>
            </w:pPr>
            <w:r w:rsidRPr="00D24383">
              <w:rPr>
                <w:rFonts w:cs="Arial"/>
                <w:b/>
                <w:szCs w:val="24"/>
              </w:rPr>
              <w:t>Race</w:t>
            </w:r>
          </w:p>
        </w:tc>
        <w:tc>
          <w:tcPr>
            <w:tcW w:w="636" w:type="pct"/>
            <w:shd w:val="clear" w:color="auto" w:fill="D9D9D9" w:themeFill="background1" w:themeFillShade="D9"/>
            <w:vAlign w:val="center"/>
          </w:tcPr>
          <w:p w14:paraId="37A370FD" w14:textId="3DC77895" w:rsidR="0062772B" w:rsidRPr="00D24383" w:rsidRDefault="0062772B" w:rsidP="00D24383">
            <w:pPr>
              <w:spacing w:before="240" w:after="240"/>
              <w:jc w:val="center"/>
              <w:rPr>
                <w:rFonts w:cs="Arial"/>
                <w:b/>
                <w:szCs w:val="24"/>
              </w:rPr>
            </w:pPr>
            <w:r w:rsidRPr="00D24383">
              <w:rPr>
                <w:rFonts w:cs="Arial"/>
                <w:b/>
                <w:szCs w:val="24"/>
              </w:rPr>
              <w:t>Year</w:t>
            </w:r>
          </w:p>
        </w:tc>
        <w:tc>
          <w:tcPr>
            <w:tcW w:w="876" w:type="pct"/>
            <w:shd w:val="clear" w:color="auto" w:fill="D9D9D9" w:themeFill="background1" w:themeFillShade="D9"/>
            <w:vAlign w:val="center"/>
          </w:tcPr>
          <w:p w14:paraId="42F1F17E" w14:textId="269B4A49" w:rsidR="0062772B" w:rsidRPr="00D24383" w:rsidRDefault="0062772B" w:rsidP="00D24383">
            <w:pPr>
              <w:spacing w:before="240" w:after="240"/>
              <w:jc w:val="center"/>
              <w:rPr>
                <w:rFonts w:cs="Arial"/>
                <w:b/>
                <w:szCs w:val="24"/>
              </w:rPr>
            </w:pPr>
            <w:r w:rsidRPr="00D24383">
              <w:rPr>
                <w:rFonts w:cs="Arial"/>
                <w:b/>
                <w:szCs w:val="24"/>
              </w:rPr>
              <w:t>Standard Exceeded</w:t>
            </w:r>
          </w:p>
        </w:tc>
        <w:tc>
          <w:tcPr>
            <w:tcW w:w="722" w:type="pct"/>
            <w:shd w:val="clear" w:color="auto" w:fill="D9D9D9" w:themeFill="background1" w:themeFillShade="D9"/>
            <w:vAlign w:val="center"/>
          </w:tcPr>
          <w:p w14:paraId="56CA3F18" w14:textId="02B754B6" w:rsidR="0062772B" w:rsidRPr="00D24383" w:rsidRDefault="0062772B" w:rsidP="00D24383">
            <w:pPr>
              <w:spacing w:before="240" w:after="240"/>
              <w:jc w:val="center"/>
              <w:rPr>
                <w:rFonts w:cs="Arial"/>
                <w:b/>
                <w:szCs w:val="24"/>
              </w:rPr>
            </w:pPr>
            <w:r w:rsidRPr="00D24383">
              <w:rPr>
                <w:rFonts w:cs="Arial"/>
                <w:b/>
                <w:szCs w:val="24"/>
              </w:rPr>
              <w:t>Standard Met</w:t>
            </w:r>
          </w:p>
        </w:tc>
        <w:tc>
          <w:tcPr>
            <w:tcW w:w="860" w:type="pct"/>
            <w:shd w:val="clear" w:color="auto" w:fill="D9D9D9" w:themeFill="background1" w:themeFillShade="D9"/>
            <w:vAlign w:val="center"/>
          </w:tcPr>
          <w:p w14:paraId="27E37122" w14:textId="5ACB9FB3" w:rsidR="0062772B" w:rsidRPr="00D24383" w:rsidRDefault="0062772B" w:rsidP="00D24383">
            <w:pPr>
              <w:spacing w:before="240" w:after="240"/>
              <w:jc w:val="center"/>
              <w:rPr>
                <w:rFonts w:cs="Arial"/>
                <w:b/>
                <w:szCs w:val="24"/>
              </w:rPr>
            </w:pPr>
            <w:r w:rsidRPr="00D24383">
              <w:rPr>
                <w:rFonts w:cs="Arial"/>
                <w:b/>
                <w:szCs w:val="24"/>
              </w:rPr>
              <w:t>Standard Nearly Met</w:t>
            </w:r>
          </w:p>
        </w:tc>
        <w:tc>
          <w:tcPr>
            <w:tcW w:w="802" w:type="pct"/>
            <w:shd w:val="clear" w:color="auto" w:fill="D9D9D9" w:themeFill="background1" w:themeFillShade="D9"/>
            <w:vAlign w:val="center"/>
          </w:tcPr>
          <w:p w14:paraId="5B77F107" w14:textId="67EA69B7" w:rsidR="0062772B" w:rsidRPr="00D24383" w:rsidRDefault="0062772B" w:rsidP="00D24383">
            <w:pPr>
              <w:spacing w:before="240" w:after="240"/>
              <w:jc w:val="center"/>
              <w:rPr>
                <w:rFonts w:cs="Arial"/>
                <w:b/>
                <w:szCs w:val="24"/>
              </w:rPr>
            </w:pPr>
            <w:r w:rsidRPr="00D24383">
              <w:rPr>
                <w:rFonts w:cs="Arial"/>
                <w:b/>
                <w:szCs w:val="24"/>
              </w:rPr>
              <w:t>Standard Not Met</w:t>
            </w:r>
          </w:p>
        </w:tc>
      </w:tr>
      <w:tr w:rsidR="00D24383" w:rsidRPr="00D24383" w14:paraId="697590F5" w14:textId="77777777" w:rsidTr="00200667">
        <w:trPr>
          <w:cantSplit/>
        </w:trPr>
        <w:tc>
          <w:tcPr>
            <w:tcW w:w="1104" w:type="pct"/>
            <w:vAlign w:val="center"/>
          </w:tcPr>
          <w:p w14:paraId="2F05EA03" w14:textId="25A789BB" w:rsidR="0062772B" w:rsidRPr="00D24383" w:rsidRDefault="0062772B" w:rsidP="00D24383">
            <w:pPr>
              <w:spacing w:before="240" w:after="240"/>
              <w:jc w:val="center"/>
              <w:rPr>
                <w:rFonts w:cs="Arial"/>
                <w:szCs w:val="24"/>
              </w:rPr>
            </w:pPr>
            <w:r w:rsidRPr="00D24383">
              <w:rPr>
                <w:rFonts w:cs="Arial"/>
                <w:szCs w:val="24"/>
              </w:rPr>
              <w:t>American Indian/Alaska Native</w:t>
            </w:r>
            <w:r w:rsidR="001F6345">
              <w:rPr>
                <w:rStyle w:val="FootnoteReference"/>
                <w:rFonts w:cs="Arial"/>
                <w:szCs w:val="24"/>
              </w:rPr>
              <w:footnoteReference w:id="15"/>
            </w:r>
          </w:p>
        </w:tc>
        <w:tc>
          <w:tcPr>
            <w:tcW w:w="636" w:type="pct"/>
            <w:vAlign w:val="center"/>
          </w:tcPr>
          <w:p w14:paraId="6F5E551C" w14:textId="589F1350" w:rsidR="0062772B" w:rsidRPr="00D24383" w:rsidRDefault="0062772B" w:rsidP="00D24383">
            <w:pPr>
              <w:spacing w:before="240" w:after="240"/>
              <w:jc w:val="center"/>
              <w:rPr>
                <w:rFonts w:cs="Arial"/>
                <w:szCs w:val="24"/>
              </w:rPr>
            </w:pPr>
            <w:r w:rsidRPr="00D24383">
              <w:rPr>
                <w:rFonts w:cs="Arial"/>
                <w:szCs w:val="24"/>
              </w:rPr>
              <w:t>2015–16</w:t>
            </w:r>
          </w:p>
        </w:tc>
        <w:tc>
          <w:tcPr>
            <w:tcW w:w="876" w:type="pct"/>
            <w:vAlign w:val="center"/>
          </w:tcPr>
          <w:p w14:paraId="10EF493D" w14:textId="468F8166" w:rsidR="0062772B" w:rsidRPr="00D24383" w:rsidRDefault="008230A1" w:rsidP="00D24383">
            <w:pPr>
              <w:spacing w:before="240" w:after="240"/>
              <w:jc w:val="center"/>
              <w:rPr>
                <w:rFonts w:cs="Arial"/>
                <w:szCs w:val="24"/>
              </w:rPr>
            </w:pPr>
            <w:r w:rsidRPr="00D24383">
              <w:rPr>
                <w:rFonts w:cs="Arial"/>
                <w:szCs w:val="24"/>
              </w:rPr>
              <w:t>12%</w:t>
            </w:r>
          </w:p>
        </w:tc>
        <w:tc>
          <w:tcPr>
            <w:tcW w:w="722" w:type="pct"/>
            <w:vAlign w:val="center"/>
          </w:tcPr>
          <w:p w14:paraId="46D95BF6" w14:textId="523C75FF" w:rsidR="0062772B" w:rsidRPr="00D24383" w:rsidRDefault="008230A1" w:rsidP="00D24383">
            <w:pPr>
              <w:spacing w:before="240" w:after="240"/>
              <w:jc w:val="center"/>
              <w:rPr>
                <w:rFonts w:cs="Arial"/>
                <w:szCs w:val="24"/>
              </w:rPr>
            </w:pPr>
            <w:r w:rsidRPr="00D24383">
              <w:rPr>
                <w:rFonts w:cs="Arial"/>
                <w:szCs w:val="24"/>
              </w:rPr>
              <w:t>19%</w:t>
            </w:r>
          </w:p>
        </w:tc>
        <w:tc>
          <w:tcPr>
            <w:tcW w:w="860" w:type="pct"/>
            <w:vAlign w:val="center"/>
          </w:tcPr>
          <w:p w14:paraId="1BA9CC0E" w14:textId="7FF9CD40" w:rsidR="0062772B" w:rsidRPr="00D24383" w:rsidRDefault="008230A1" w:rsidP="00D24383">
            <w:pPr>
              <w:spacing w:before="240" w:after="240"/>
              <w:jc w:val="center"/>
              <w:rPr>
                <w:rFonts w:cs="Arial"/>
                <w:szCs w:val="24"/>
              </w:rPr>
            </w:pPr>
            <w:r w:rsidRPr="00D24383">
              <w:rPr>
                <w:rFonts w:cs="Arial"/>
                <w:szCs w:val="24"/>
              </w:rPr>
              <w:t>28%</w:t>
            </w:r>
          </w:p>
        </w:tc>
        <w:tc>
          <w:tcPr>
            <w:tcW w:w="802" w:type="pct"/>
            <w:vAlign w:val="center"/>
          </w:tcPr>
          <w:p w14:paraId="5C05E6D6" w14:textId="4452020F" w:rsidR="0062772B" w:rsidRPr="00D24383" w:rsidRDefault="008230A1" w:rsidP="00D24383">
            <w:pPr>
              <w:spacing w:before="240" w:after="240"/>
              <w:jc w:val="center"/>
              <w:rPr>
                <w:rFonts w:cs="Arial"/>
                <w:szCs w:val="24"/>
              </w:rPr>
            </w:pPr>
            <w:r w:rsidRPr="00D24383">
              <w:rPr>
                <w:rFonts w:cs="Arial"/>
                <w:szCs w:val="24"/>
              </w:rPr>
              <w:t>41%</w:t>
            </w:r>
          </w:p>
        </w:tc>
      </w:tr>
      <w:tr w:rsidR="00D24383" w:rsidRPr="00D24383" w14:paraId="52C827FC" w14:textId="77777777" w:rsidTr="00200667">
        <w:trPr>
          <w:cantSplit/>
        </w:trPr>
        <w:tc>
          <w:tcPr>
            <w:tcW w:w="1104" w:type="pct"/>
            <w:vAlign w:val="center"/>
          </w:tcPr>
          <w:p w14:paraId="5E46F273" w14:textId="4D488960" w:rsidR="008230A1" w:rsidRPr="00D24383" w:rsidRDefault="008230A1" w:rsidP="00D24383">
            <w:pPr>
              <w:spacing w:before="240" w:after="240"/>
              <w:jc w:val="center"/>
              <w:rPr>
                <w:rFonts w:cs="Arial"/>
                <w:szCs w:val="24"/>
              </w:rPr>
            </w:pPr>
            <w:r w:rsidRPr="00D24383">
              <w:rPr>
                <w:rFonts w:cs="Arial"/>
                <w:szCs w:val="24"/>
              </w:rPr>
              <w:lastRenderedPageBreak/>
              <w:t>White, Not Hispanic or Latino</w:t>
            </w:r>
            <w:r w:rsidR="001F6345">
              <w:rPr>
                <w:rStyle w:val="FootnoteReference"/>
                <w:rFonts w:cs="Arial"/>
                <w:szCs w:val="24"/>
              </w:rPr>
              <w:footnoteReference w:id="16"/>
            </w:r>
          </w:p>
        </w:tc>
        <w:tc>
          <w:tcPr>
            <w:tcW w:w="636" w:type="pct"/>
            <w:vAlign w:val="center"/>
          </w:tcPr>
          <w:p w14:paraId="7A4E0D05" w14:textId="749F3FCC" w:rsidR="008230A1" w:rsidRPr="00D24383" w:rsidRDefault="008230A1" w:rsidP="00D24383">
            <w:pPr>
              <w:spacing w:before="240" w:after="240"/>
              <w:jc w:val="center"/>
              <w:rPr>
                <w:rFonts w:cs="Arial"/>
                <w:szCs w:val="24"/>
              </w:rPr>
            </w:pPr>
            <w:r w:rsidRPr="00D24383">
              <w:rPr>
                <w:rFonts w:cs="Arial"/>
                <w:szCs w:val="24"/>
              </w:rPr>
              <w:t>2015–16</w:t>
            </w:r>
          </w:p>
        </w:tc>
        <w:tc>
          <w:tcPr>
            <w:tcW w:w="876" w:type="pct"/>
            <w:vAlign w:val="center"/>
          </w:tcPr>
          <w:p w14:paraId="62D011BF" w14:textId="62AD6EC1" w:rsidR="008230A1" w:rsidRPr="00D24383" w:rsidRDefault="008230A1" w:rsidP="00D24383">
            <w:pPr>
              <w:spacing w:before="240" w:after="240"/>
              <w:jc w:val="center"/>
              <w:rPr>
                <w:rFonts w:cs="Arial"/>
                <w:szCs w:val="24"/>
              </w:rPr>
            </w:pPr>
            <w:r w:rsidRPr="00D24383">
              <w:rPr>
                <w:rFonts w:cs="Arial"/>
                <w:szCs w:val="24"/>
              </w:rPr>
              <w:t>35%</w:t>
            </w:r>
          </w:p>
        </w:tc>
        <w:tc>
          <w:tcPr>
            <w:tcW w:w="722" w:type="pct"/>
            <w:vAlign w:val="center"/>
          </w:tcPr>
          <w:p w14:paraId="6345C2C6" w14:textId="4A12B450" w:rsidR="008230A1" w:rsidRPr="00D24383" w:rsidRDefault="008230A1" w:rsidP="00D24383">
            <w:pPr>
              <w:spacing w:before="240" w:after="240"/>
              <w:jc w:val="center"/>
              <w:rPr>
                <w:rFonts w:cs="Arial"/>
                <w:szCs w:val="24"/>
              </w:rPr>
            </w:pPr>
            <w:r w:rsidRPr="00D24383">
              <w:rPr>
                <w:rFonts w:cs="Arial"/>
                <w:szCs w:val="24"/>
              </w:rPr>
              <w:t>25%</w:t>
            </w:r>
          </w:p>
        </w:tc>
        <w:tc>
          <w:tcPr>
            <w:tcW w:w="860" w:type="pct"/>
            <w:vAlign w:val="center"/>
          </w:tcPr>
          <w:p w14:paraId="064DFF79" w14:textId="2D556E80" w:rsidR="008230A1" w:rsidRPr="00D24383" w:rsidRDefault="008230A1" w:rsidP="00D24383">
            <w:pPr>
              <w:spacing w:before="240" w:after="240"/>
              <w:jc w:val="center"/>
              <w:rPr>
                <w:rFonts w:cs="Arial"/>
                <w:szCs w:val="24"/>
              </w:rPr>
            </w:pPr>
            <w:r w:rsidRPr="00D24383">
              <w:rPr>
                <w:rFonts w:cs="Arial"/>
                <w:szCs w:val="24"/>
              </w:rPr>
              <w:t>22%</w:t>
            </w:r>
          </w:p>
        </w:tc>
        <w:tc>
          <w:tcPr>
            <w:tcW w:w="802" w:type="pct"/>
            <w:vAlign w:val="center"/>
          </w:tcPr>
          <w:p w14:paraId="794E7AC1" w14:textId="7B37095F" w:rsidR="008230A1" w:rsidRPr="00D24383" w:rsidRDefault="008230A1" w:rsidP="00D24383">
            <w:pPr>
              <w:spacing w:before="240" w:after="240"/>
              <w:jc w:val="center"/>
              <w:rPr>
                <w:rFonts w:cs="Arial"/>
                <w:szCs w:val="24"/>
              </w:rPr>
            </w:pPr>
            <w:r w:rsidRPr="00D24383">
              <w:rPr>
                <w:rFonts w:cs="Arial"/>
                <w:szCs w:val="24"/>
              </w:rPr>
              <w:t>18%</w:t>
            </w:r>
          </w:p>
        </w:tc>
      </w:tr>
      <w:tr w:rsidR="00D24383" w:rsidRPr="00D24383" w14:paraId="62568308" w14:textId="77777777" w:rsidTr="00200667">
        <w:trPr>
          <w:cantSplit/>
        </w:trPr>
        <w:tc>
          <w:tcPr>
            <w:tcW w:w="1104" w:type="pct"/>
            <w:vAlign w:val="center"/>
          </w:tcPr>
          <w:p w14:paraId="63B2E1B6" w14:textId="09986DAD" w:rsidR="008230A1" w:rsidRPr="00D24383" w:rsidRDefault="008230A1" w:rsidP="00D24383">
            <w:pPr>
              <w:spacing w:before="240" w:after="240"/>
              <w:jc w:val="center"/>
              <w:rPr>
                <w:rFonts w:cs="Arial"/>
                <w:szCs w:val="24"/>
              </w:rPr>
            </w:pPr>
            <w:r w:rsidRPr="00D24383">
              <w:rPr>
                <w:rFonts w:cs="Arial"/>
                <w:szCs w:val="24"/>
              </w:rPr>
              <w:t>American Indian/Alaska Native</w:t>
            </w:r>
            <w:r w:rsidR="001F6345">
              <w:rPr>
                <w:rStyle w:val="FootnoteReference"/>
                <w:rFonts w:cs="Arial"/>
                <w:szCs w:val="24"/>
              </w:rPr>
              <w:footnoteReference w:id="17"/>
            </w:r>
          </w:p>
        </w:tc>
        <w:tc>
          <w:tcPr>
            <w:tcW w:w="636" w:type="pct"/>
            <w:vAlign w:val="center"/>
          </w:tcPr>
          <w:p w14:paraId="549B58E8" w14:textId="212D3BEC" w:rsidR="008230A1" w:rsidRPr="00D24383" w:rsidRDefault="008230A1" w:rsidP="00D24383">
            <w:pPr>
              <w:spacing w:before="240" w:after="240"/>
              <w:jc w:val="center"/>
              <w:rPr>
                <w:rFonts w:cs="Arial"/>
                <w:szCs w:val="24"/>
              </w:rPr>
            </w:pPr>
            <w:r w:rsidRPr="00D24383">
              <w:rPr>
                <w:rFonts w:cs="Arial"/>
                <w:szCs w:val="24"/>
              </w:rPr>
              <w:t>2016–17</w:t>
            </w:r>
          </w:p>
        </w:tc>
        <w:tc>
          <w:tcPr>
            <w:tcW w:w="876" w:type="pct"/>
            <w:vAlign w:val="center"/>
          </w:tcPr>
          <w:p w14:paraId="6089E3EC" w14:textId="18E53B2F" w:rsidR="008230A1" w:rsidRPr="00D24383" w:rsidRDefault="008230A1" w:rsidP="00D24383">
            <w:pPr>
              <w:spacing w:before="240" w:after="240"/>
              <w:jc w:val="center"/>
              <w:rPr>
                <w:rFonts w:cs="Arial"/>
                <w:szCs w:val="24"/>
              </w:rPr>
            </w:pPr>
            <w:r w:rsidRPr="00D24383">
              <w:rPr>
                <w:rFonts w:cs="Arial"/>
                <w:szCs w:val="24"/>
              </w:rPr>
              <w:t>14%</w:t>
            </w:r>
          </w:p>
        </w:tc>
        <w:tc>
          <w:tcPr>
            <w:tcW w:w="722" w:type="pct"/>
            <w:vAlign w:val="center"/>
          </w:tcPr>
          <w:p w14:paraId="24F9C8A7" w14:textId="3808D24D" w:rsidR="008230A1" w:rsidRPr="00D24383" w:rsidRDefault="008230A1" w:rsidP="00D24383">
            <w:pPr>
              <w:spacing w:before="240" w:after="240"/>
              <w:jc w:val="center"/>
              <w:rPr>
                <w:rFonts w:cs="Arial"/>
                <w:szCs w:val="24"/>
              </w:rPr>
            </w:pPr>
            <w:r w:rsidRPr="00D24383">
              <w:rPr>
                <w:rFonts w:cs="Arial"/>
                <w:szCs w:val="24"/>
              </w:rPr>
              <w:t>19%</w:t>
            </w:r>
          </w:p>
        </w:tc>
        <w:tc>
          <w:tcPr>
            <w:tcW w:w="860" w:type="pct"/>
            <w:vAlign w:val="center"/>
          </w:tcPr>
          <w:p w14:paraId="1D936212" w14:textId="10B783BC" w:rsidR="008230A1" w:rsidRPr="00D24383" w:rsidRDefault="008230A1" w:rsidP="00D24383">
            <w:pPr>
              <w:spacing w:before="240" w:after="240"/>
              <w:jc w:val="center"/>
              <w:rPr>
                <w:rFonts w:cs="Arial"/>
                <w:szCs w:val="24"/>
              </w:rPr>
            </w:pPr>
            <w:r w:rsidRPr="00D24383">
              <w:rPr>
                <w:rFonts w:cs="Arial"/>
                <w:szCs w:val="24"/>
              </w:rPr>
              <w:t>25%</w:t>
            </w:r>
          </w:p>
        </w:tc>
        <w:tc>
          <w:tcPr>
            <w:tcW w:w="802" w:type="pct"/>
            <w:vAlign w:val="center"/>
          </w:tcPr>
          <w:p w14:paraId="3A26173E" w14:textId="571A502F" w:rsidR="008230A1" w:rsidRPr="00D24383" w:rsidRDefault="008230A1" w:rsidP="00D24383">
            <w:pPr>
              <w:spacing w:before="240" w:after="240"/>
              <w:jc w:val="center"/>
              <w:rPr>
                <w:rFonts w:cs="Arial"/>
                <w:szCs w:val="24"/>
              </w:rPr>
            </w:pPr>
            <w:r w:rsidRPr="00D24383">
              <w:rPr>
                <w:rFonts w:cs="Arial"/>
                <w:szCs w:val="24"/>
              </w:rPr>
              <w:t>43%</w:t>
            </w:r>
          </w:p>
        </w:tc>
      </w:tr>
      <w:tr w:rsidR="00D24383" w:rsidRPr="00D24383" w14:paraId="640ACFE5" w14:textId="77777777" w:rsidTr="00200667">
        <w:trPr>
          <w:cantSplit/>
        </w:trPr>
        <w:tc>
          <w:tcPr>
            <w:tcW w:w="1104" w:type="pct"/>
            <w:vAlign w:val="center"/>
          </w:tcPr>
          <w:p w14:paraId="2BEDBE1F" w14:textId="74C5D435" w:rsidR="008230A1" w:rsidRPr="00D24383" w:rsidRDefault="008230A1" w:rsidP="00D24383">
            <w:pPr>
              <w:spacing w:before="240" w:after="240"/>
              <w:jc w:val="center"/>
              <w:rPr>
                <w:rFonts w:cs="Arial"/>
                <w:szCs w:val="24"/>
              </w:rPr>
            </w:pPr>
            <w:r w:rsidRPr="00D24383">
              <w:rPr>
                <w:rFonts w:cs="Arial"/>
                <w:szCs w:val="24"/>
              </w:rPr>
              <w:t>White, Not Hispanic or Latino</w:t>
            </w:r>
            <w:r w:rsidR="001F6345">
              <w:rPr>
                <w:rStyle w:val="FootnoteReference"/>
                <w:rFonts w:cs="Arial"/>
                <w:szCs w:val="24"/>
              </w:rPr>
              <w:footnoteReference w:id="18"/>
            </w:r>
          </w:p>
        </w:tc>
        <w:tc>
          <w:tcPr>
            <w:tcW w:w="636" w:type="pct"/>
            <w:vAlign w:val="center"/>
          </w:tcPr>
          <w:p w14:paraId="56D565FD" w14:textId="4D3E1618" w:rsidR="008230A1" w:rsidRPr="00D24383" w:rsidRDefault="008230A1" w:rsidP="00D24383">
            <w:pPr>
              <w:spacing w:before="240" w:after="240"/>
              <w:jc w:val="center"/>
              <w:rPr>
                <w:rFonts w:cs="Arial"/>
                <w:szCs w:val="24"/>
              </w:rPr>
            </w:pPr>
            <w:r w:rsidRPr="00D24383">
              <w:rPr>
                <w:rFonts w:cs="Arial"/>
                <w:szCs w:val="24"/>
              </w:rPr>
              <w:t>2016–17</w:t>
            </w:r>
          </w:p>
        </w:tc>
        <w:tc>
          <w:tcPr>
            <w:tcW w:w="876" w:type="pct"/>
            <w:vAlign w:val="center"/>
          </w:tcPr>
          <w:p w14:paraId="5AA37A89" w14:textId="1BAFB7A8" w:rsidR="008230A1" w:rsidRPr="00D24383" w:rsidRDefault="008230A1" w:rsidP="00D24383">
            <w:pPr>
              <w:spacing w:before="240" w:after="240"/>
              <w:jc w:val="center"/>
              <w:rPr>
                <w:rFonts w:cs="Arial"/>
                <w:szCs w:val="24"/>
              </w:rPr>
            </w:pPr>
            <w:r w:rsidRPr="00D24383">
              <w:rPr>
                <w:rFonts w:cs="Arial"/>
                <w:szCs w:val="24"/>
              </w:rPr>
              <w:t>35%</w:t>
            </w:r>
          </w:p>
        </w:tc>
        <w:tc>
          <w:tcPr>
            <w:tcW w:w="722" w:type="pct"/>
            <w:vAlign w:val="center"/>
          </w:tcPr>
          <w:p w14:paraId="4CA0BA5A" w14:textId="546B0C23" w:rsidR="008230A1" w:rsidRPr="00D24383" w:rsidRDefault="008230A1" w:rsidP="00D24383">
            <w:pPr>
              <w:spacing w:before="240" w:after="240"/>
              <w:jc w:val="center"/>
              <w:rPr>
                <w:rFonts w:cs="Arial"/>
                <w:szCs w:val="24"/>
              </w:rPr>
            </w:pPr>
            <w:r w:rsidRPr="00D24383">
              <w:rPr>
                <w:rFonts w:cs="Arial"/>
                <w:szCs w:val="24"/>
              </w:rPr>
              <w:t>26%</w:t>
            </w:r>
          </w:p>
        </w:tc>
        <w:tc>
          <w:tcPr>
            <w:tcW w:w="860" w:type="pct"/>
            <w:vAlign w:val="center"/>
          </w:tcPr>
          <w:p w14:paraId="4D19EDB4" w14:textId="01A55E42" w:rsidR="008230A1" w:rsidRPr="00D24383" w:rsidRDefault="008230A1" w:rsidP="00D24383">
            <w:pPr>
              <w:spacing w:before="240" w:after="240"/>
              <w:jc w:val="center"/>
              <w:rPr>
                <w:rFonts w:cs="Arial"/>
                <w:szCs w:val="24"/>
              </w:rPr>
            </w:pPr>
            <w:r w:rsidRPr="00D24383">
              <w:rPr>
                <w:rFonts w:cs="Arial"/>
                <w:szCs w:val="24"/>
              </w:rPr>
              <w:t>21%</w:t>
            </w:r>
          </w:p>
        </w:tc>
        <w:tc>
          <w:tcPr>
            <w:tcW w:w="802" w:type="pct"/>
            <w:vAlign w:val="center"/>
          </w:tcPr>
          <w:p w14:paraId="76C0F884" w14:textId="7F21FECF" w:rsidR="008230A1" w:rsidRPr="00D24383" w:rsidRDefault="008230A1" w:rsidP="00D24383">
            <w:pPr>
              <w:spacing w:before="240" w:after="240"/>
              <w:jc w:val="center"/>
              <w:rPr>
                <w:rFonts w:cs="Arial"/>
                <w:szCs w:val="24"/>
              </w:rPr>
            </w:pPr>
            <w:r w:rsidRPr="00D24383">
              <w:rPr>
                <w:rFonts w:cs="Arial"/>
                <w:szCs w:val="24"/>
              </w:rPr>
              <w:t>19%</w:t>
            </w:r>
          </w:p>
        </w:tc>
      </w:tr>
      <w:tr w:rsidR="00D24383" w:rsidRPr="00D24383" w14:paraId="464A5A49" w14:textId="77777777" w:rsidTr="00200667">
        <w:trPr>
          <w:cantSplit/>
        </w:trPr>
        <w:tc>
          <w:tcPr>
            <w:tcW w:w="1104" w:type="pct"/>
            <w:vAlign w:val="center"/>
          </w:tcPr>
          <w:p w14:paraId="0DD66C6C" w14:textId="071FEFA4" w:rsidR="008230A1" w:rsidRPr="00D24383" w:rsidRDefault="008230A1" w:rsidP="00D24383">
            <w:pPr>
              <w:spacing w:before="240" w:after="240"/>
              <w:jc w:val="center"/>
              <w:rPr>
                <w:rFonts w:cs="Arial"/>
                <w:szCs w:val="24"/>
              </w:rPr>
            </w:pPr>
            <w:r w:rsidRPr="00D24383">
              <w:rPr>
                <w:rFonts w:cs="Arial"/>
                <w:szCs w:val="24"/>
              </w:rPr>
              <w:t>American Indian/Alaska Native</w:t>
            </w:r>
            <w:r w:rsidR="001F6345">
              <w:rPr>
                <w:rStyle w:val="FootnoteReference"/>
                <w:rFonts w:cs="Arial"/>
                <w:szCs w:val="24"/>
              </w:rPr>
              <w:footnoteReference w:id="19"/>
            </w:r>
          </w:p>
        </w:tc>
        <w:tc>
          <w:tcPr>
            <w:tcW w:w="636" w:type="pct"/>
            <w:vAlign w:val="center"/>
          </w:tcPr>
          <w:p w14:paraId="19A11BD0" w14:textId="432A596D" w:rsidR="008230A1" w:rsidRPr="00D24383" w:rsidRDefault="008230A1" w:rsidP="00D24383">
            <w:pPr>
              <w:spacing w:before="240" w:after="240"/>
              <w:jc w:val="center"/>
              <w:rPr>
                <w:rFonts w:cs="Arial"/>
                <w:szCs w:val="24"/>
              </w:rPr>
            </w:pPr>
            <w:r w:rsidRPr="00D24383">
              <w:rPr>
                <w:rFonts w:cs="Arial"/>
                <w:szCs w:val="24"/>
              </w:rPr>
              <w:t>2017–18</w:t>
            </w:r>
          </w:p>
        </w:tc>
        <w:tc>
          <w:tcPr>
            <w:tcW w:w="876" w:type="pct"/>
            <w:vAlign w:val="center"/>
          </w:tcPr>
          <w:p w14:paraId="760A11BF" w14:textId="226FB04D" w:rsidR="008230A1" w:rsidRPr="00D24383" w:rsidRDefault="008230A1" w:rsidP="00D24383">
            <w:pPr>
              <w:spacing w:before="240" w:after="240"/>
              <w:jc w:val="center"/>
              <w:rPr>
                <w:rFonts w:cs="Arial"/>
                <w:szCs w:val="24"/>
              </w:rPr>
            </w:pPr>
            <w:r w:rsidRPr="00D24383">
              <w:rPr>
                <w:rFonts w:cs="Arial"/>
                <w:szCs w:val="24"/>
              </w:rPr>
              <w:t>15%</w:t>
            </w:r>
          </w:p>
        </w:tc>
        <w:tc>
          <w:tcPr>
            <w:tcW w:w="722" w:type="pct"/>
            <w:vAlign w:val="center"/>
          </w:tcPr>
          <w:p w14:paraId="7B57B429" w14:textId="3F9FC15D" w:rsidR="008230A1" w:rsidRPr="00D24383" w:rsidRDefault="008230A1" w:rsidP="00D24383">
            <w:pPr>
              <w:spacing w:before="240" w:after="240"/>
              <w:jc w:val="center"/>
              <w:rPr>
                <w:rFonts w:cs="Arial"/>
                <w:szCs w:val="24"/>
              </w:rPr>
            </w:pPr>
            <w:r w:rsidRPr="00D24383">
              <w:rPr>
                <w:rFonts w:cs="Arial"/>
                <w:szCs w:val="24"/>
              </w:rPr>
              <w:t>20%</w:t>
            </w:r>
          </w:p>
        </w:tc>
        <w:tc>
          <w:tcPr>
            <w:tcW w:w="860" w:type="pct"/>
            <w:vAlign w:val="center"/>
          </w:tcPr>
          <w:p w14:paraId="6EA778C3" w14:textId="01452A78" w:rsidR="008230A1" w:rsidRPr="00D24383" w:rsidRDefault="008230A1" w:rsidP="00D24383">
            <w:pPr>
              <w:spacing w:before="240" w:after="240"/>
              <w:jc w:val="center"/>
              <w:rPr>
                <w:rFonts w:cs="Arial"/>
                <w:szCs w:val="24"/>
              </w:rPr>
            </w:pPr>
            <w:r w:rsidRPr="00D24383">
              <w:rPr>
                <w:rFonts w:cs="Arial"/>
                <w:szCs w:val="24"/>
              </w:rPr>
              <w:t>26%</w:t>
            </w:r>
          </w:p>
        </w:tc>
        <w:tc>
          <w:tcPr>
            <w:tcW w:w="802" w:type="pct"/>
            <w:vAlign w:val="center"/>
          </w:tcPr>
          <w:p w14:paraId="29D0B206" w14:textId="601695B4" w:rsidR="008230A1" w:rsidRPr="00D24383" w:rsidRDefault="008230A1" w:rsidP="00D24383">
            <w:pPr>
              <w:spacing w:before="240" w:after="240"/>
              <w:jc w:val="center"/>
              <w:rPr>
                <w:rFonts w:cs="Arial"/>
                <w:szCs w:val="24"/>
              </w:rPr>
            </w:pPr>
            <w:r w:rsidRPr="00D24383">
              <w:rPr>
                <w:rFonts w:cs="Arial"/>
                <w:szCs w:val="24"/>
              </w:rPr>
              <w:t>38%</w:t>
            </w:r>
          </w:p>
        </w:tc>
      </w:tr>
      <w:tr w:rsidR="00D24383" w:rsidRPr="00D24383" w14:paraId="18CED24D" w14:textId="77777777" w:rsidTr="00200667">
        <w:trPr>
          <w:cantSplit/>
        </w:trPr>
        <w:tc>
          <w:tcPr>
            <w:tcW w:w="1104" w:type="pct"/>
            <w:vAlign w:val="center"/>
          </w:tcPr>
          <w:p w14:paraId="2D766EA6" w14:textId="6F2A613A" w:rsidR="008230A1" w:rsidRPr="00D24383" w:rsidRDefault="008230A1" w:rsidP="00D24383">
            <w:pPr>
              <w:spacing w:before="240" w:after="240"/>
              <w:jc w:val="center"/>
              <w:rPr>
                <w:rFonts w:cs="Arial"/>
                <w:szCs w:val="24"/>
              </w:rPr>
            </w:pPr>
            <w:r w:rsidRPr="00D24383">
              <w:rPr>
                <w:rFonts w:cs="Arial"/>
                <w:szCs w:val="24"/>
              </w:rPr>
              <w:t>White, Not Hispanic or Latino</w:t>
            </w:r>
            <w:r w:rsidR="001F6345">
              <w:rPr>
                <w:rStyle w:val="FootnoteReference"/>
                <w:rFonts w:cs="Arial"/>
                <w:szCs w:val="24"/>
              </w:rPr>
              <w:footnoteReference w:id="20"/>
            </w:r>
          </w:p>
        </w:tc>
        <w:tc>
          <w:tcPr>
            <w:tcW w:w="636" w:type="pct"/>
            <w:vAlign w:val="center"/>
          </w:tcPr>
          <w:p w14:paraId="344E92BE" w14:textId="0DF1F54F" w:rsidR="008230A1" w:rsidRPr="00D24383" w:rsidRDefault="008230A1" w:rsidP="00D24383">
            <w:pPr>
              <w:spacing w:before="240" w:after="240"/>
              <w:jc w:val="center"/>
              <w:rPr>
                <w:rFonts w:cs="Arial"/>
                <w:szCs w:val="24"/>
              </w:rPr>
            </w:pPr>
            <w:r w:rsidRPr="00D24383">
              <w:rPr>
                <w:rFonts w:cs="Arial"/>
                <w:szCs w:val="24"/>
              </w:rPr>
              <w:t>2017–18</w:t>
            </w:r>
          </w:p>
        </w:tc>
        <w:tc>
          <w:tcPr>
            <w:tcW w:w="876" w:type="pct"/>
            <w:vAlign w:val="center"/>
          </w:tcPr>
          <w:p w14:paraId="337F9EC3" w14:textId="0F496407" w:rsidR="008230A1" w:rsidRPr="00D24383" w:rsidRDefault="008230A1" w:rsidP="00D24383">
            <w:pPr>
              <w:spacing w:before="240" w:after="240"/>
              <w:jc w:val="center"/>
              <w:rPr>
                <w:rFonts w:cs="Arial"/>
                <w:szCs w:val="24"/>
              </w:rPr>
            </w:pPr>
            <w:r w:rsidRPr="00D24383">
              <w:rPr>
                <w:rFonts w:cs="Arial"/>
                <w:szCs w:val="24"/>
              </w:rPr>
              <w:t>38%</w:t>
            </w:r>
          </w:p>
        </w:tc>
        <w:tc>
          <w:tcPr>
            <w:tcW w:w="722" w:type="pct"/>
            <w:vAlign w:val="center"/>
          </w:tcPr>
          <w:p w14:paraId="41FA6B1E" w14:textId="0BBD3DE7" w:rsidR="008230A1" w:rsidRPr="00D24383" w:rsidRDefault="008230A1" w:rsidP="00D24383">
            <w:pPr>
              <w:spacing w:before="240" w:after="240"/>
              <w:jc w:val="center"/>
              <w:rPr>
                <w:rFonts w:cs="Arial"/>
                <w:szCs w:val="24"/>
              </w:rPr>
            </w:pPr>
            <w:r w:rsidRPr="00D24383">
              <w:rPr>
                <w:rFonts w:cs="Arial"/>
                <w:szCs w:val="24"/>
              </w:rPr>
              <w:t>25%</w:t>
            </w:r>
          </w:p>
        </w:tc>
        <w:tc>
          <w:tcPr>
            <w:tcW w:w="860" w:type="pct"/>
            <w:vAlign w:val="center"/>
          </w:tcPr>
          <w:p w14:paraId="3EEC344B" w14:textId="569EBAAE" w:rsidR="008230A1" w:rsidRPr="00D24383" w:rsidRDefault="008230A1" w:rsidP="00D24383">
            <w:pPr>
              <w:spacing w:before="240" w:after="240"/>
              <w:jc w:val="center"/>
              <w:rPr>
                <w:rFonts w:cs="Arial"/>
                <w:szCs w:val="24"/>
              </w:rPr>
            </w:pPr>
            <w:r w:rsidRPr="00D24383">
              <w:rPr>
                <w:rFonts w:cs="Arial"/>
                <w:szCs w:val="24"/>
              </w:rPr>
              <w:t>20%</w:t>
            </w:r>
          </w:p>
        </w:tc>
        <w:tc>
          <w:tcPr>
            <w:tcW w:w="802" w:type="pct"/>
            <w:vAlign w:val="center"/>
          </w:tcPr>
          <w:p w14:paraId="069EE549" w14:textId="0245ACDF" w:rsidR="008230A1" w:rsidRPr="00D24383" w:rsidRDefault="008230A1" w:rsidP="00D24383">
            <w:pPr>
              <w:spacing w:before="240" w:after="240"/>
              <w:jc w:val="center"/>
              <w:rPr>
                <w:rFonts w:cs="Arial"/>
                <w:szCs w:val="24"/>
              </w:rPr>
            </w:pPr>
            <w:r w:rsidRPr="00D24383">
              <w:rPr>
                <w:rFonts w:cs="Arial"/>
                <w:szCs w:val="24"/>
              </w:rPr>
              <w:t>17%</w:t>
            </w:r>
          </w:p>
        </w:tc>
      </w:tr>
      <w:tr w:rsidR="00D24383" w:rsidRPr="00D24383" w14:paraId="32A7DF76" w14:textId="77777777" w:rsidTr="00200667">
        <w:trPr>
          <w:cantSplit/>
        </w:trPr>
        <w:tc>
          <w:tcPr>
            <w:tcW w:w="1104" w:type="pct"/>
            <w:vAlign w:val="center"/>
          </w:tcPr>
          <w:p w14:paraId="516690F7" w14:textId="550E7EAC" w:rsidR="008230A1" w:rsidRPr="00D24383" w:rsidRDefault="008230A1" w:rsidP="00D24383">
            <w:pPr>
              <w:spacing w:before="240" w:after="240"/>
              <w:jc w:val="center"/>
              <w:rPr>
                <w:rFonts w:cs="Arial"/>
                <w:szCs w:val="24"/>
              </w:rPr>
            </w:pPr>
            <w:r w:rsidRPr="00D24383">
              <w:rPr>
                <w:rFonts w:cs="Arial"/>
                <w:szCs w:val="24"/>
              </w:rPr>
              <w:t>American Indian/Alaska Native</w:t>
            </w:r>
            <w:r w:rsidR="001F6345">
              <w:rPr>
                <w:rStyle w:val="FootnoteReference"/>
                <w:rFonts w:cs="Arial"/>
                <w:szCs w:val="24"/>
              </w:rPr>
              <w:footnoteReference w:id="21"/>
            </w:r>
          </w:p>
        </w:tc>
        <w:tc>
          <w:tcPr>
            <w:tcW w:w="636" w:type="pct"/>
            <w:vAlign w:val="center"/>
          </w:tcPr>
          <w:p w14:paraId="1C50420A" w14:textId="5117C01E" w:rsidR="008230A1" w:rsidRPr="00D24383" w:rsidRDefault="008230A1" w:rsidP="00D24383">
            <w:pPr>
              <w:spacing w:before="240" w:after="240"/>
              <w:jc w:val="center"/>
              <w:rPr>
                <w:rFonts w:cs="Arial"/>
                <w:szCs w:val="24"/>
              </w:rPr>
            </w:pPr>
            <w:r w:rsidRPr="00D24383">
              <w:rPr>
                <w:rFonts w:cs="Arial"/>
                <w:szCs w:val="24"/>
              </w:rPr>
              <w:t>2018–19</w:t>
            </w:r>
          </w:p>
        </w:tc>
        <w:tc>
          <w:tcPr>
            <w:tcW w:w="876" w:type="pct"/>
            <w:vAlign w:val="center"/>
          </w:tcPr>
          <w:p w14:paraId="66D42806" w14:textId="54DF30E1" w:rsidR="008230A1" w:rsidRPr="00D24383" w:rsidRDefault="008230A1" w:rsidP="00D24383">
            <w:pPr>
              <w:spacing w:before="240" w:after="240"/>
              <w:jc w:val="center"/>
              <w:rPr>
                <w:rFonts w:cs="Arial"/>
                <w:szCs w:val="24"/>
              </w:rPr>
            </w:pPr>
            <w:r w:rsidRPr="00D24383">
              <w:rPr>
                <w:rFonts w:cs="Arial"/>
                <w:szCs w:val="24"/>
              </w:rPr>
              <w:t>16%</w:t>
            </w:r>
          </w:p>
        </w:tc>
        <w:tc>
          <w:tcPr>
            <w:tcW w:w="722" w:type="pct"/>
            <w:vAlign w:val="center"/>
          </w:tcPr>
          <w:p w14:paraId="74105547" w14:textId="31AF8391" w:rsidR="008230A1" w:rsidRPr="00D24383" w:rsidRDefault="008230A1" w:rsidP="00D24383">
            <w:pPr>
              <w:spacing w:before="240" w:after="240"/>
              <w:jc w:val="center"/>
              <w:rPr>
                <w:rFonts w:cs="Arial"/>
                <w:szCs w:val="24"/>
              </w:rPr>
            </w:pPr>
            <w:r w:rsidRPr="00D24383">
              <w:rPr>
                <w:rFonts w:cs="Arial"/>
                <w:szCs w:val="24"/>
              </w:rPr>
              <w:t>20%</w:t>
            </w:r>
          </w:p>
        </w:tc>
        <w:tc>
          <w:tcPr>
            <w:tcW w:w="860" w:type="pct"/>
            <w:vAlign w:val="center"/>
          </w:tcPr>
          <w:p w14:paraId="31A48299" w14:textId="061691E6" w:rsidR="008230A1" w:rsidRPr="00D24383" w:rsidRDefault="008230A1" w:rsidP="00D24383">
            <w:pPr>
              <w:spacing w:before="240" w:after="240"/>
              <w:jc w:val="center"/>
              <w:rPr>
                <w:rFonts w:cs="Arial"/>
                <w:szCs w:val="24"/>
              </w:rPr>
            </w:pPr>
            <w:r w:rsidRPr="00D24383">
              <w:rPr>
                <w:rFonts w:cs="Arial"/>
                <w:szCs w:val="24"/>
              </w:rPr>
              <w:t>25%</w:t>
            </w:r>
          </w:p>
        </w:tc>
        <w:tc>
          <w:tcPr>
            <w:tcW w:w="802" w:type="pct"/>
            <w:vAlign w:val="center"/>
          </w:tcPr>
          <w:p w14:paraId="0F330086" w14:textId="2C2997DE" w:rsidR="008230A1" w:rsidRPr="00D24383" w:rsidRDefault="008230A1" w:rsidP="00D24383">
            <w:pPr>
              <w:spacing w:before="240" w:after="240"/>
              <w:jc w:val="center"/>
              <w:rPr>
                <w:rFonts w:cs="Arial"/>
                <w:szCs w:val="24"/>
              </w:rPr>
            </w:pPr>
            <w:r w:rsidRPr="00D24383">
              <w:rPr>
                <w:rFonts w:cs="Arial"/>
                <w:szCs w:val="24"/>
              </w:rPr>
              <w:t>38%</w:t>
            </w:r>
          </w:p>
        </w:tc>
      </w:tr>
      <w:tr w:rsidR="00D24383" w:rsidRPr="00D24383" w14:paraId="53D38430" w14:textId="77777777" w:rsidTr="00200667">
        <w:trPr>
          <w:cantSplit/>
        </w:trPr>
        <w:tc>
          <w:tcPr>
            <w:tcW w:w="1104" w:type="pct"/>
            <w:vAlign w:val="center"/>
          </w:tcPr>
          <w:p w14:paraId="6D346FFB" w14:textId="05F569EB" w:rsidR="008230A1" w:rsidRPr="00D24383" w:rsidRDefault="008230A1" w:rsidP="00D24383">
            <w:pPr>
              <w:spacing w:before="240" w:after="240"/>
              <w:jc w:val="center"/>
              <w:rPr>
                <w:rFonts w:cs="Arial"/>
                <w:szCs w:val="24"/>
              </w:rPr>
            </w:pPr>
            <w:r w:rsidRPr="00D24383">
              <w:rPr>
                <w:rFonts w:cs="Arial"/>
                <w:szCs w:val="24"/>
              </w:rPr>
              <w:lastRenderedPageBreak/>
              <w:t>White, Not Hispanic or Latino</w:t>
            </w:r>
            <w:r w:rsidR="001F6345">
              <w:rPr>
                <w:rStyle w:val="FootnoteReference"/>
                <w:rFonts w:cs="Arial"/>
                <w:szCs w:val="24"/>
              </w:rPr>
              <w:footnoteReference w:id="22"/>
            </w:r>
          </w:p>
        </w:tc>
        <w:tc>
          <w:tcPr>
            <w:tcW w:w="636" w:type="pct"/>
            <w:vAlign w:val="center"/>
          </w:tcPr>
          <w:p w14:paraId="44BFFA63" w14:textId="39BBCEAF" w:rsidR="008230A1" w:rsidRPr="00D24383" w:rsidRDefault="008230A1" w:rsidP="00D24383">
            <w:pPr>
              <w:spacing w:before="240" w:after="240"/>
              <w:jc w:val="center"/>
              <w:rPr>
                <w:rFonts w:cs="Arial"/>
                <w:szCs w:val="24"/>
              </w:rPr>
            </w:pPr>
            <w:r w:rsidRPr="00D24383">
              <w:rPr>
                <w:rFonts w:cs="Arial"/>
                <w:szCs w:val="24"/>
              </w:rPr>
              <w:t>2018–19</w:t>
            </w:r>
          </w:p>
        </w:tc>
        <w:tc>
          <w:tcPr>
            <w:tcW w:w="876" w:type="pct"/>
            <w:vAlign w:val="center"/>
          </w:tcPr>
          <w:p w14:paraId="0FB8E048" w14:textId="4BCDC38E" w:rsidR="008230A1" w:rsidRPr="00D24383" w:rsidRDefault="008230A1" w:rsidP="00D24383">
            <w:pPr>
              <w:spacing w:before="240" w:after="240"/>
              <w:jc w:val="center"/>
              <w:rPr>
                <w:rFonts w:cs="Arial"/>
                <w:szCs w:val="24"/>
              </w:rPr>
            </w:pPr>
            <w:r w:rsidRPr="00D24383">
              <w:rPr>
                <w:rFonts w:cs="Arial"/>
                <w:szCs w:val="24"/>
              </w:rPr>
              <w:t>38%</w:t>
            </w:r>
          </w:p>
        </w:tc>
        <w:tc>
          <w:tcPr>
            <w:tcW w:w="722" w:type="pct"/>
            <w:vAlign w:val="center"/>
          </w:tcPr>
          <w:p w14:paraId="4280D371" w14:textId="18E58326" w:rsidR="008230A1" w:rsidRPr="00D24383" w:rsidRDefault="008230A1" w:rsidP="00D24383">
            <w:pPr>
              <w:spacing w:before="240" w:after="240"/>
              <w:jc w:val="center"/>
              <w:rPr>
                <w:rFonts w:cs="Arial"/>
                <w:szCs w:val="24"/>
              </w:rPr>
            </w:pPr>
            <w:r w:rsidRPr="00D24383">
              <w:rPr>
                <w:rFonts w:cs="Arial"/>
                <w:szCs w:val="24"/>
              </w:rPr>
              <w:t>25%</w:t>
            </w:r>
          </w:p>
        </w:tc>
        <w:tc>
          <w:tcPr>
            <w:tcW w:w="860" w:type="pct"/>
            <w:vAlign w:val="center"/>
          </w:tcPr>
          <w:p w14:paraId="633C731C" w14:textId="42C144B2" w:rsidR="008230A1" w:rsidRPr="00D24383" w:rsidRDefault="008230A1" w:rsidP="00D24383">
            <w:pPr>
              <w:spacing w:before="240" w:after="240"/>
              <w:jc w:val="center"/>
              <w:rPr>
                <w:rFonts w:cs="Arial"/>
                <w:szCs w:val="24"/>
              </w:rPr>
            </w:pPr>
            <w:r w:rsidRPr="00D24383">
              <w:rPr>
                <w:rFonts w:cs="Arial"/>
                <w:szCs w:val="24"/>
              </w:rPr>
              <w:t>20%</w:t>
            </w:r>
          </w:p>
        </w:tc>
        <w:tc>
          <w:tcPr>
            <w:tcW w:w="802" w:type="pct"/>
            <w:vAlign w:val="center"/>
          </w:tcPr>
          <w:p w14:paraId="2118E9F1" w14:textId="70D57484" w:rsidR="008230A1" w:rsidRPr="00D24383" w:rsidRDefault="008230A1" w:rsidP="00D24383">
            <w:pPr>
              <w:spacing w:before="240" w:after="240"/>
              <w:jc w:val="center"/>
              <w:rPr>
                <w:rFonts w:cs="Arial"/>
                <w:szCs w:val="24"/>
              </w:rPr>
            </w:pPr>
            <w:r w:rsidRPr="00D24383">
              <w:rPr>
                <w:rFonts w:cs="Arial"/>
                <w:szCs w:val="24"/>
              </w:rPr>
              <w:t>17%</w:t>
            </w:r>
          </w:p>
        </w:tc>
      </w:tr>
      <w:tr w:rsidR="00D24383" w:rsidRPr="00D24383" w14:paraId="75ECBC99" w14:textId="77777777" w:rsidTr="00200667">
        <w:trPr>
          <w:cantSplit/>
        </w:trPr>
        <w:tc>
          <w:tcPr>
            <w:tcW w:w="1104" w:type="pct"/>
            <w:vAlign w:val="center"/>
          </w:tcPr>
          <w:p w14:paraId="748303C5" w14:textId="2AD3C9E2" w:rsidR="008230A1" w:rsidRPr="00D24383" w:rsidRDefault="008230A1" w:rsidP="00D24383">
            <w:pPr>
              <w:spacing w:before="240" w:after="240"/>
              <w:jc w:val="center"/>
              <w:rPr>
                <w:rFonts w:cs="Arial"/>
                <w:szCs w:val="24"/>
              </w:rPr>
            </w:pPr>
            <w:r w:rsidRPr="00D24383">
              <w:rPr>
                <w:rFonts w:cs="Arial"/>
                <w:szCs w:val="24"/>
              </w:rPr>
              <w:t>American Indian/Alaska Native</w:t>
            </w:r>
            <w:r w:rsidR="001F6345">
              <w:rPr>
                <w:rStyle w:val="FootnoteReference"/>
                <w:rFonts w:cs="Arial"/>
                <w:szCs w:val="24"/>
              </w:rPr>
              <w:footnoteReference w:id="23"/>
            </w:r>
          </w:p>
        </w:tc>
        <w:tc>
          <w:tcPr>
            <w:tcW w:w="636" w:type="pct"/>
            <w:vAlign w:val="center"/>
          </w:tcPr>
          <w:p w14:paraId="4C33F100" w14:textId="692D368F" w:rsidR="008230A1" w:rsidRPr="00D24383" w:rsidRDefault="008230A1" w:rsidP="00D24383">
            <w:pPr>
              <w:spacing w:before="240" w:after="240"/>
              <w:jc w:val="center"/>
              <w:rPr>
                <w:rFonts w:cs="Arial"/>
                <w:szCs w:val="24"/>
              </w:rPr>
            </w:pPr>
            <w:r w:rsidRPr="00D24383">
              <w:rPr>
                <w:rFonts w:cs="Arial"/>
                <w:szCs w:val="24"/>
              </w:rPr>
              <w:t>2019–20</w:t>
            </w:r>
          </w:p>
        </w:tc>
        <w:tc>
          <w:tcPr>
            <w:tcW w:w="876" w:type="pct"/>
            <w:vAlign w:val="center"/>
          </w:tcPr>
          <w:p w14:paraId="613490B4" w14:textId="583C7F55" w:rsidR="008230A1" w:rsidRPr="00D24383" w:rsidRDefault="008230A1" w:rsidP="00D24383">
            <w:pPr>
              <w:spacing w:before="240" w:after="240"/>
              <w:jc w:val="center"/>
              <w:rPr>
                <w:rFonts w:cs="Arial"/>
                <w:szCs w:val="24"/>
              </w:rPr>
            </w:pPr>
            <w:r w:rsidRPr="00D24383">
              <w:rPr>
                <w:rFonts w:cs="Arial"/>
                <w:szCs w:val="24"/>
              </w:rPr>
              <w:t>*</w:t>
            </w:r>
          </w:p>
        </w:tc>
        <w:tc>
          <w:tcPr>
            <w:tcW w:w="722" w:type="pct"/>
            <w:vAlign w:val="center"/>
          </w:tcPr>
          <w:p w14:paraId="38A03836" w14:textId="23EDCF99" w:rsidR="008230A1" w:rsidRPr="00D24383" w:rsidRDefault="008230A1" w:rsidP="00D24383">
            <w:pPr>
              <w:spacing w:before="240" w:after="240"/>
              <w:jc w:val="center"/>
              <w:rPr>
                <w:rFonts w:cs="Arial"/>
                <w:szCs w:val="24"/>
              </w:rPr>
            </w:pPr>
            <w:r w:rsidRPr="00D24383">
              <w:rPr>
                <w:rFonts w:cs="Arial"/>
                <w:szCs w:val="24"/>
              </w:rPr>
              <w:t>*</w:t>
            </w:r>
          </w:p>
        </w:tc>
        <w:tc>
          <w:tcPr>
            <w:tcW w:w="860" w:type="pct"/>
            <w:vAlign w:val="center"/>
          </w:tcPr>
          <w:p w14:paraId="75993BE4" w14:textId="7541F3C0" w:rsidR="008230A1" w:rsidRPr="00D24383" w:rsidRDefault="008230A1" w:rsidP="00D24383">
            <w:pPr>
              <w:spacing w:before="240" w:after="240"/>
              <w:jc w:val="center"/>
              <w:rPr>
                <w:rFonts w:cs="Arial"/>
                <w:szCs w:val="24"/>
              </w:rPr>
            </w:pPr>
            <w:r w:rsidRPr="00D24383">
              <w:rPr>
                <w:rFonts w:cs="Arial"/>
                <w:szCs w:val="24"/>
              </w:rPr>
              <w:t>*</w:t>
            </w:r>
          </w:p>
        </w:tc>
        <w:tc>
          <w:tcPr>
            <w:tcW w:w="802" w:type="pct"/>
            <w:vAlign w:val="center"/>
          </w:tcPr>
          <w:p w14:paraId="129B9696" w14:textId="7E30FE6A" w:rsidR="008230A1" w:rsidRPr="00D24383" w:rsidRDefault="008230A1" w:rsidP="00D24383">
            <w:pPr>
              <w:spacing w:before="240" w:after="240"/>
              <w:jc w:val="center"/>
              <w:rPr>
                <w:rFonts w:cs="Arial"/>
                <w:szCs w:val="24"/>
              </w:rPr>
            </w:pPr>
            <w:r w:rsidRPr="00D24383">
              <w:rPr>
                <w:rFonts w:cs="Arial"/>
                <w:szCs w:val="24"/>
              </w:rPr>
              <w:t>*</w:t>
            </w:r>
          </w:p>
        </w:tc>
      </w:tr>
      <w:tr w:rsidR="00D24383" w:rsidRPr="00D24383" w14:paraId="0C0CC98A" w14:textId="77777777" w:rsidTr="00200667">
        <w:trPr>
          <w:cantSplit/>
        </w:trPr>
        <w:tc>
          <w:tcPr>
            <w:tcW w:w="1104" w:type="pct"/>
            <w:vAlign w:val="center"/>
          </w:tcPr>
          <w:p w14:paraId="160C3E0F" w14:textId="2267FEBE" w:rsidR="008230A1" w:rsidRPr="00D24383" w:rsidRDefault="008230A1" w:rsidP="00D24383">
            <w:pPr>
              <w:spacing w:before="240" w:after="240"/>
              <w:jc w:val="center"/>
              <w:rPr>
                <w:rFonts w:cs="Arial"/>
                <w:szCs w:val="24"/>
              </w:rPr>
            </w:pPr>
            <w:r w:rsidRPr="00D24383">
              <w:rPr>
                <w:rFonts w:cs="Arial"/>
                <w:szCs w:val="24"/>
              </w:rPr>
              <w:t>White, Not Hispanic or Latino</w:t>
            </w:r>
            <w:r w:rsidR="001F6345">
              <w:rPr>
                <w:rStyle w:val="FootnoteReference"/>
                <w:rFonts w:cs="Arial"/>
                <w:szCs w:val="24"/>
              </w:rPr>
              <w:footnoteReference w:id="24"/>
            </w:r>
          </w:p>
        </w:tc>
        <w:tc>
          <w:tcPr>
            <w:tcW w:w="636" w:type="pct"/>
            <w:vAlign w:val="center"/>
          </w:tcPr>
          <w:p w14:paraId="531F3F26" w14:textId="6FBD9CFD" w:rsidR="008230A1" w:rsidRPr="00D24383" w:rsidRDefault="008230A1" w:rsidP="00D24383">
            <w:pPr>
              <w:spacing w:before="240" w:after="240"/>
              <w:jc w:val="center"/>
              <w:rPr>
                <w:rFonts w:cs="Arial"/>
                <w:szCs w:val="24"/>
              </w:rPr>
            </w:pPr>
            <w:r w:rsidRPr="00D24383">
              <w:rPr>
                <w:rFonts w:cs="Arial"/>
                <w:szCs w:val="24"/>
              </w:rPr>
              <w:t>2019–20</w:t>
            </w:r>
          </w:p>
        </w:tc>
        <w:tc>
          <w:tcPr>
            <w:tcW w:w="876" w:type="pct"/>
            <w:vAlign w:val="center"/>
          </w:tcPr>
          <w:p w14:paraId="6EB57E51" w14:textId="389D177A" w:rsidR="008230A1" w:rsidRPr="00D24383" w:rsidRDefault="008230A1" w:rsidP="00D24383">
            <w:pPr>
              <w:spacing w:before="240" w:after="240"/>
              <w:jc w:val="center"/>
              <w:rPr>
                <w:rFonts w:cs="Arial"/>
                <w:szCs w:val="24"/>
              </w:rPr>
            </w:pPr>
            <w:r w:rsidRPr="00D24383">
              <w:rPr>
                <w:rFonts w:cs="Arial"/>
                <w:szCs w:val="24"/>
              </w:rPr>
              <w:t>*</w:t>
            </w:r>
          </w:p>
        </w:tc>
        <w:tc>
          <w:tcPr>
            <w:tcW w:w="722" w:type="pct"/>
            <w:vAlign w:val="center"/>
          </w:tcPr>
          <w:p w14:paraId="43BBE475" w14:textId="7D9A7D9B" w:rsidR="008230A1" w:rsidRPr="00D24383" w:rsidRDefault="008230A1" w:rsidP="00D24383">
            <w:pPr>
              <w:spacing w:before="240" w:after="240"/>
              <w:jc w:val="center"/>
              <w:rPr>
                <w:rFonts w:cs="Arial"/>
                <w:szCs w:val="24"/>
              </w:rPr>
            </w:pPr>
            <w:r w:rsidRPr="00D24383">
              <w:rPr>
                <w:rFonts w:cs="Arial"/>
                <w:szCs w:val="24"/>
              </w:rPr>
              <w:t>*</w:t>
            </w:r>
          </w:p>
        </w:tc>
        <w:tc>
          <w:tcPr>
            <w:tcW w:w="860" w:type="pct"/>
            <w:vAlign w:val="center"/>
          </w:tcPr>
          <w:p w14:paraId="1A38403C" w14:textId="2AD19ECB" w:rsidR="008230A1" w:rsidRPr="00D24383" w:rsidRDefault="008230A1" w:rsidP="00D24383">
            <w:pPr>
              <w:spacing w:before="240" w:after="240"/>
              <w:jc w:val="center"/>
              <w:rPr>
                <w:rFonts w:cs="Arial"/>
                <w:szCs w:val="24"/>
              </w:rPr>
            </w:pPr>
            <w:r w:rsidRPr="00D24383">
              <w:rPr>
                <w:rFonts w:cs="Arial"/>
                <w:szCs w:val="24"/>
              </w:rPr>
              <w:t>*</w:t>
            </w:r>
          </w:p>
        </w:tc>
        <w:tc>
          <w:tcPr>
            <w:tcW w:w="802" w:type="pct"/>
            <w:vAlign w:val="center"/>
          </w:tcPr>
          <w:p w14:paraId="7B050E91" w14:textId="46C59269" w:rsidR="008230A1" w:rsidRPr="00D24383" w:rsidRDefault="008230A1" w:rsidP="00D24383">
            <w:pPr>
              <w:spacing w:before="240" w:after="240"/>
              <w:jc w:val="center"/>
              <w:rPr>
                <w:rFonts w:cs="Arial"/>
                <w:szCs w:val="24"/>
              </w:rPr>
            </w:pPr>
            <w:r w:rsidRPr="00D24383">
              <w:rPr>
                <w:rFonts w:cs="Arial"/>
                <w:szCs w:val="24"/>
              </w:rPr>
              <w:t>*</w:t>
            </w:r>
          </w:p>
        </w:tc>
      </w:tr>
    </w:tbl>
    <w:p w14:paraId="14053EDF" w14:textId="7E2E4038" w:rsidR="007B1A12" w:rsidRDefault="00C9574A" w:rsidP="00D24383">
      <w:pPr>
        <w:spacing w:before="240"/>
        <w:rPr>
          <w:rFonts w:cs="Arial"/>
          <w:szCs w:val="24"/>
        </w:rPr>
      </w:pPr>
      <w:r w:rsidRPr="00D24383">
        <w:rPr>
          <w:rFonts w:cs="Arial"/>
          <w:szCs w:val="24"/>
        </w:rPr>
        <w:t>American Indian</w:t>
      </w:r>
      <w:r w:rsidR="001F09A8" w:rsidRPr="00D24383">
        <w:rPr>
          <w:rFonts w:cs="Arial"/>
          <w:szCs w:val="24"/>
        </w:rPr>
        <w:t>/</w:t>
      </w:r>
      <w:r w:rsidRPr="00D24383">
        <w:rPr>
          <w:rFonts w:cs="Arial"/>
          <w:szCs w:val="24"/>
        </w:rPr>
        <w:t>Alaska Native students had the lowest four-year high school graduation rate of any racial or ethnic group profiled</w:t>
      </w:r>
      <w:r w:rsidR="00A62703" w:rsidRPr="00D24383">
        <w:rPr>
          <w:rStyle w:val="FootnoteReference"/>
          <w:rFonts w:cs="Arial"/>
          <w:szCs w:val="24"/>
        </w:rPr>
        <w:footnoteReference w:id="25"/>
      </w:r>
      <w:r w:rsidRPr="00D24383">
        <w:rPr>
          <w:rFonts w:cs="Arial"/>
          <w:szCs w:val="24"/>
        </w:rPr>
        <w:t>.</w:t>
      </w:r>
      <w:r w:rsidR="00B20286" w:rsidRPr="00D24383">
        <w:rPr>
          <w:rFonts w:cs="Arial"/>
          <w:szCs w:val="24"/>
        </w:rPr>
        <w:t xml:space="preserve"> </w:t>
      </w:r>
      <w:r w:rsidRPr="00D24383">
        <w:rPr>
          <w:rFonts w:cs="Arial"/>
          <w:szCs w:val="24"/>
        </w:rPr>
        <w:t xml:space="preserve">Table </w:t>
      </w:r>
      <w:r w:rsidR="002F0511" w:rsidRPr="00D24383">
        <w:rPr>
          <w:rFonts w:cs="Arial"/>
          <w:szCs w:val="24"/>
        </w:rPr>
        <w:t>5</w:t>
      </w:r>
      <w:r w:rsidRPr="00D24383">
        <w:rPr>
          <w:rFonts w:cs="Arial"/>
          <w:szCs w:val="24"/>
        </w:rPr>
        <w:t xml:space="preserve"> shows the 2018</w:t>
      </w:r>
      <w:r w:rsidR="00B20286" w:rsidRPr="00D24383">
        <w:rPr>
          <w:rFonts w:cs="Arial"/>
          <w:szCs w:val="24"/>
        </w:rPr>
        <w:t>–</w:t>
      </w:r>
      <w:r w:rsidRPr="00D24383">
        <w:rPr>
          <w:rFonts w:cs="Arial"/>
          <w:szCs w:val="24"/>
        </w:rPr>
        <w:t>19 national graduation rates for American Indian</w:t>
      </w:r>
      <w:r w:rsidR="001F09A8" w:rsidRPr="00D24383">
        <w:rPr>
          <w:rFonts w:cs="Arial"/>
          <w:szCs w:val="24"/>
        </w:rPr>
        <w:t>/</w:t>
      </w:r>
      <w:r w:rsidRPr="00D24383">
        <w:rPr>
          <w:rFonts w:cs="Arial"/>
          <w:szCs w:val="24"/>
        </w:rPr>
        <w:t xml:space="preserve">Alaska Native students compared to their </w:t>
      </w:r>
      <w:r w:rsidR="001F09A8" w:rsidRPr="00D24383">
        <w:rPr>
          <w:rFonts w:cs="Arial"/>
          <w:szCs w:val="24"/>
        </w:rPr>
        <w:t>W</w:t>
      </w:r>
      <w:r w:rsidRPr="00D24383">
        <w:rPr>
          <w:rFonts w:cs="Arial"/>
          <w:szCs w:val="24"/>
        </w:rPr>
        <w:t>hite counterparts</w:t>
      </w:r>
      <w:r w:rsidR="00A62703" w:rsidRPr="00D24383">
        <w:rPr>
          <w:rStyle w:val="FootnoteReference"/>
          <w:rFonts w:cs="Arial"/>
          <w:szCs w:val="24"/>
        </w:rPr>
        <w:footnoteReference w:id="26"/>
      </w:r>
      <w:r w:rsidRPr="00D24383">
        <w:rPr>
          <w:rFonts w:cs="Arial"/>
          <w:szCs w:val="24"/>
        </w:rPr>
        <w:t>.</w:t>
      </w:r>
      <w:r w:rsidR="007B1A12">
        <w:rPr>
          <w:rFonts w:cs="Arial"/>
          <w:szCs w:val="24"/>
        </w:rPr>
        <w:br w:type="page"/>
      </w:r>
    </w:p>
    <w:p w14:paraId="1AB7DC65" w14:textId="73E2B27A" w:rsidR="002F0511" w:rsidRPr="00D24383" w:rsidRDefault="00B05A48" w:rsidP="00D24383">
      <w:pPr>
        <w:spacing w:before="240"/>
        <w:rPr>
          <w:rFonts w:cs="Arial"/>
          <w:b/>
          <w:szCs w:val="24"/>
        </w:rPr>
      </w:pPr>
      <w:r w:rsidRPr="00D24383">
        <w:rPr>
          <w:rFonts w:cs="Arial"/>
          <w:b/>
          <w:szCs w:val="24"/>
        </w:rPr>
        <w:lastRenderedPageBreak/>
        <w:t xml:space="preserve">Table </w:t>
      </w:r>
      <w:r w:rsidR="002F0202" w:rsidRPr="00D24383">
        <w:rPr>
          <w:rFonts w:cs="Arial"/>
          <w:b/>
          <w:szCs w:val="24"/>
        </w:rPr>
        <w:t>5</w:t>
      </w:r>
      <w:r w:rsidRPr="00D24383">
        <w:rPr>
          <w:rFonts w:cs="Arial"/>
          <w:b/>
          <w:szCs w:val="24"/>
        </w:rPr>
        <w:t xml:space="preserve">: </w:t>
      </w:r>
      <w:r w:rsidR="00316C50" w:rsidRPr="00D24383">
        <w:rPr>
          <w:rFonts w:cs="Arial"/>
          <w:b/>
          <w:szCs w:val="24"/>
        </w:rPr>
        <w:t xml:space="preserve">Percentage of </w:t>
      </w:r>
      <w:r w:rsidRPr="00D24383">
        <w:rPr>
          <w:rFonts w:cs="Arial"/>
          <w:b/>
          <w:szCs w:val="24"/>
        </w:rPr>
        <w:t xml:space="preserve">Averaged National Freshman Graduation Rate for Public High School Students in the United </w:t>
      </w:r>
      <w:r w:rsidR="00C0389C" w:rsidRPr="00D24383">
        <w:rPr>
          <w:rFonts w:cs="Arial"/>
          <w:b/>
          <w:szCs w:val="24"/>
        </w:rPr>
        <w:t>S</w:t>
      </w:r>
      <w:r w:rsidRPr="00D24383">
        <w:rPr>
          <w:rFonts w:cs="Arial"/>
          <w:b/>
          <w:szCs w:val="24"/>
        </w:rPr>
        <w:t xml:space="preserve">tates, by Race/Ethnicity, </w:t>
      </w:r>
      <w:r w:rsidR="00316C50" w:rsidRPr="00D24383">
        <w:rPr>
          <w:rFonts w:cs="Arial"/>
          <w:b/>
          <w:szCs w:val="24"/>
        </w:rPr>
        <w:t xml:space="preserve">in the </w:t>
      </w:r>
      <w:r w:rsidRPr="00D24383">
        <w:rPr>
          <w:rFonts w:cs="Arial"/>
          <w:b/>
          <w:szCs w:val="24"/>
        </w:rPr>
        <w:t>2018–19 School Year</w:t>
      </w:r>
      <w:r w:rsidR="00BC72EA">
        <w:rPr>
          <w:rStyle w:val="FootnoteReference"/>
          <w:rFonts w:cs="Arial"/>
          <w:b/>
          <w:szCs w:val="24"/>
        </w:rPr>
        <w:footnoteReference w:id="27"/>
      </w:r>
    </w:p>
    <w:tbl>
      <w:tblPr>
        <w:tblStyle w:val="TableGrid"/>
        <w:tblW w:w="5000" w:type="pct"/>
        <w:tblLook w:val="04A0" w:firstRow="1" w:lastRow="0" w:firstColumn="1" w:lastColumn="0" w:noHBand="0" w:noVBand="1"/>
        <w:tblDescription w:val="This table contains the Percentage of Averaged National Freshman Graduation Rate for Public High School Students in the United States, by Race/Ethnicity, in the 2018–19 School Year."/>
      </w:tblPr>
      <w:tblGrid>
        <w:gridCol w:w="4495"/>
        <w:gridCol w:w="4855"/>
      </w:tblGrid>
      <w:tr w:rsidR="00D24383" w:rsidRPr="00D24383" w14:paraId="6C89A6C3" w14:textId="77777777" w:rsidTr="00533FBA">
        <w:trPr>
          <w:cantSplit/>
          <w:trHeight w:val="432"/>
          <w:tblHeader/>
        </w:trPr>
        <w:tc>
          <w:tcPr>
            <w:tcW w:w="2404" w:type="pct"/>
            <w:shd w:val="clear" w:color="auto" w:fill="D9D9D9" w:themeFill="background1" w:themeFillShade="D9"/>
            <w:vAlign w:val="center"/>
          </w:tcPr>
          <w:p w14:paraId="0C1F9CAC" w14:textId="198DCC79" w:rsidR="00B05A48" w:rsidRPr="00D24383" w:rsidRDefault="00B05A48" w:rsidP="00D24383">
            <w:pPr>
              <w:spacing w:before="240" w:after="240"/>
              <w:jc w:val="center"/>
              <w:rPr>
                <w:rFonts w:cs="Arial"/>
                <w:b/>
                <w:szCs w:val="24"/>
              </w:rPr>
            </w:pPr>
            <w:r w:rsidRPr="00D24383">
              <w:rPr>
                <w:rFonts w:cs="Arial"/>
                <w:b/>
                <w:szCs w:val="24"/>
              </w:rPr>
              <w:t>American Indian/Alaska Native</w:t>
            </w:r>
          </w:p>
        </w:tc>
        <w:tc>
          <w:tcPr>
            <w:tcW w:w="2596" w:type="pct"/>
            <w:shd w:val="clear" w:color="auto" w:fill="D9D9D9" w:themeFill="background1" w:themeFillShade="D9"/>
            <w:vAlign w:val="center"/>
          </w:tcPr>
          <w:p w14:paraId="33CA2211" w14:textId="6FEA031D" w:rsidR="00B05A48" w:rsidRPr="00D24383" w:rsidRDefault="00B05A48" w:rsidP="00D24383">
            <w:pPr>
              <w:spacing w:before="240" w:after="240"/>
              <w:jc w:val="center"/>
              <w:rPr>
                <w:rFonts w:cs="Arial"/>
                <w:b/>
                <w:szCs w:val="24"/>
              </w:rPr>
            </w:pPr>
            <w:r w:rsidRPr="00D24383">
              <w:rPr>
                <w:rFonts w:cs="Arial"/>
                <w:b/>
                <w:szCs w:val="24"/>
              </w:rPr>
              <w:t>White</w:t>
            </w:r>
          </w:p>
        </w:tc>
      </w:tr>
      <w:tr w:rsidR="00D24383" w:rsidRPr="00D24383" w14:paraId="2EBA674B" w14:textId="77777777" w:rsidTr="00533FBA">
        <w:trPr>
          <w:cantSplit/>
          <w:trHeight w:val="432"/>
        </w:trPr>
        <w:tc>
          <w:tcPr>
            <w:tcW w:w="2404" w:type="pct"/>
            <w:vAlign w:val="center"/>
          </w:tcPr>
          <w:p w14:paraId="77CF76B4" w14:textId="7F866279" w:rsidR="00B05A48" w:rsidRPr="00D24383" w:rsidRDefault="00B05A48" w:rsidP="00D24383">
            <w:pPr>
              <w:spacing w:before="240" w:after="240"/>
              <w:jc w:val="center"/>
              <w:rPr>
                <w:rFonts w:cs="Arial"/>
                <w:szCs w:val="24"/>
              </w:rPr>
            </w:pPr>
            <w:r w:rsidRPr="00D24383">
              <w:rPr>
                <w:rFonts w:cs="Arial"/>
                <w:szCs w:val="24"/>
              </w:rPr>
              <w:t>74%</w:t>
            </w:r>
          </w:p>
        </w:tc>
        <w:tc>
          <w:tcPr>
            <w:tcW w:w="2596" w:type="pct"/>
            <w:vAlign w:val="center"/>
          </w:tcPr>
          <w:p w14:paraId="6D09DEEF" w14:textId="617CAE5F" w:rsidR="00B05A48" w:rsidRPr="00D24383" w:rsidRDefault="00B05A48" w:rsidP="00D24383">
            <w:pPr>
              <w:spacing w:before="240" w:after="240"/>
              <w:jc w:val="center"/>
              <w:rPr>
                <w:rFonts w:cs="Arial"/>
                <w:szCs w:val="24"/>
              </w:rPr>
            </w:pPr>
            <w:r w:rsidRPr="00D24383">
              <w:rPr>
                <w:rFonts w:cs="Arial"/>
                <w:szCs w:val="24"/>
              </w:rPr>
              <w:t>89%</w:t>
            </w:r>
          </w:p>
        </w:tc>
      </w:tr>
    </w:tbl>
    <w:p w14:paraId="2849A444" w14:textId="4A1B2A9B" w:rsidR="00C9574A" w:rsidRPr="00D24383" w:rsidRDefault="00C9574A" w:rsidP="00D24383">
      <w:pPr>
        <w:spacing w:before="240"/>
        <w:rPr>
          <w:rFonts w:cs="Arial"/>
          <w:szCs w:val="24"/>
        </w:rPr>
      </w:pPr>
      <w:r w:rsidRPr="00D24383">
        <w:rPr>
          <w:rFonts w:cs="Arial"/>
          <w:szCs w:val="24"/>
        </w:rPr>
        <w:t>In California</w:t>
      </w:r>
      <w:r w:rsidR="001F09A8" w:rsidRPr="00D24383">
        <w:rPr>
          <w:rFonts w:cs="Arial"/>
          <w:szCs w:val="24"/>
        </w:rPr>
        <w:t>,</w:t>
      </w:r>
      <w:r w:rsidRPr="00D24383">
        <w:rPr>
          <w:rFonts w:cs="Arial"/>
          <w:szCs w:val="24"/>
        </w:rPr>
        <w:t xml:space="preserve"> the statistics are </w:t>
      </w:r>
      <w:proofErr w:type="gramStart"/>
      <w:r w:rsidRPr="00D24383">
        <w:rPr>
          <w:rFonts w:cs="Arial"/>
          <w:szCs w:val="24"/>
        </w:rPr>
        <w:t>equally as</w:t>
      </w:r>
      <w:proofErr w:type="gramEnd"/>
      <w:r w:rsidRPr="00D24383">
        <w:rPr>
          <w:rFonts w:cs="Arial"/>
          <w:szCs w:val="24"/>
        </w:rPr>
        <w:t xml:space="preserve"> dismal. Table </w:t>
      </w:r>
      <w:r w:rsidR="002F0511" w:rsidRPr="00D24383">
        <w:rPr>
          <w:rFonts w:cs="Arial"/>
          <w:szCs w:val="24"/>
        </w:rPr>
        <w:t>6</w:t>
      </w:r>
      <w:r w:rsidRPr="00D24383">
        <w:rPr>
          <w:rFonts w:cs="Arial"/>
          <w:szCs w:val="24"/>
        </w:rPr>
        <w:t xml:space="preserve"> shows the 2019</w:t>
      </w:r>
      <w:r w:rsidR="00B20286" w:rsidRPr="00D24383">
        <w:rPr>
          <w:rFonts w:cs="Arial"/>
          <w:szCs w:val="24"/>
        </w:rPr>
        <w:t>–</w:t>
      </w:r>
      <w:r w:rsidRPr="00D24383">
        <w:rPr>
          <w:rFonts w:cs="Arial"/>
          <w:szCs w:val="24"/>
        </w:rPr>
        <w:t xml:space="preserve">20 Four-Year Adjusted Cohort Graduation Rate for American Indian students in California as compared to their </w:t>
      </w:r>
      <w:r w:rsidR="001F09A8" w:rsidRPr="00D24383">
        <w:rPr>
          <w:rFonts w:cs="Arial"/>
          <w:szCs w:val="24"/>
        </w:rPr>
        <w:t>W</w:t>
      </w:r>
      <w:r w:rsidRPr="00D24383">
        <w:rPr>
          <w:rFonts w:cs="Arial"/>
          <w:szCs w:val="24"/>
        </w:rPr>
        <w:t>hite counterparts</w:t>
      </w:r>
      <w:r w:rsidR="0059779F">
        <w:rPr>
          <w:rFonts w:cs="Arial"/>
          <w:szCs w:val="24"/>
        </w:rPr>
        <w:t>.</w:t>
      </w:r>
      <w:r w:rsidR="00A62703" w:rsidRPr="00D24383">
        <w:rPr>
          <w:rStyle w:val="FootnoteReference"/>
          <w:rFonts w:cs="Arial"/>
          <w:szCs w:val="24"/>
        </w:rPr>
        <w:footnoteReference w:id="28"/>
      </w:r>
    </w:p>
    <w:p w14:paraId="048CBA14" w14:textId="74F2CD03" w:rsidR="002F0202" w:rsidRPr="00D24383" w:rsidRDefault="002F0202" w:rsidP="00D24383">
      <w:pPr>
        <w:spacing w:before="240"/>
        <w:rPr>
          <w:rFonts w:cs="Arial"/>
          <w:b/>
          <w:szCs w:val="24"/>
        </w:rPr>
      </w:pPr>
      <w:r w:rsidRPr="00D24383">
        <w:rPr>
          <w:rFonts w:cs="Arial"/>
          <w:b/>
          <w:szCs w:val="24"/>
        </w:rPr>
        <w:t xml:space="preserve">Table 6: </w:t>
      </w:r>
      <w:r w:rsidR="00E11D49" w:rsidRPr="00D24383">
        <w:rPr>
          <w:rFonts w:cs="Arial"/>
          <w:b/>
          <w:szCs w:val="24"/>
        </w:rPr>
        <w:t xml:space="preserve">Percentage of </w:t>
      </w:r>
      <w:r w:rsidRPr="00D24383">
        <w:rPr>
          <w:rFonts w:cs="Arial"/>
          <w:b/>
          <w:szCs w:val="24"/>
        </w:rPr>
        <w:t>Four-Year Adjusted Cohort Graduation Rate for American Indian, Non-Hispanic Compared to White, Non-Hispanic Students</w:t>
      </w:r>
      <w:r w:rsidR="002B3700" w:rsidRPr="00D24383">
        <w:rPr>
          <w:rFonts w:cs="Arial"/>
          <w:b/>
          <w:szCs w:val="24"/>
        </w:rPr>
        <w:t xml:space="preserve">, </w:t>
      </w:r>
      <w:r w:rsidR="008060C6" w:rsidRPr="00D24383">
        <w:rPr>
          <w:rFonts w:cs="Arial"/>
          <w:b/>
          <w:szCs w:val="24"/>
        </w:rPr>
        <w:t xml:space="preserve">in the </w:t>
      </w:r>
      <w:r w:rsidR="002B3700" w:rsidRPr="00D24383">
        <w:rPr>
          <w:rFonts w:cs="Arial"/>
          <w:b/>
          <w:szCs w:val="24"/>
        </w:rPr>
        <w:t>2019–20 School Year</w:t>
      </w:r>
      <w:r w:rsidR="00BC72EA">
        <w:rPr>
          <w:rStyle w:val="FootnoteReference"/>
          <w:rFonts w:cs="Arial"/>
          <w:b/>
          <w:szCs w:val="24"/>
        </w:rPr>
        <w:footnoteReference w:id="29"/>
      </w:r>
    </w:p>
    <w:tbl>
      <w:tblPr>
        <w:tblStyle w:val="TableGrid"/>
        <w:tblW w:w="5000" w:type="pct"/>
        <w:tblLook w:val="04A0" w:firstRow="1" w:lastRow="0" w:firstColumn="1" w:lastColumn="0" w:noHBand="0" w:noVBand="1"/>
        <w:tblDescription w:val="This table contains the Percentage of Four-Year Adjusted Cohort Graduation Rate for American Indian, Non-Hispanic Compared to White, Non-Hispanic Students, in the 2019–20 School Year."/>
      </w:tblPr>
      <w:tblGrid>
        <w:gridCol w:w="4495"/>
        <w:gridCol w:w="4855"/>
      </w:tblGrid>
      <w:tr w:rsidR="00D24383" w:rsidRPr="00D24383" w14:paraId="125F2774" w14:textId="77777777" w:rsidTr="00533FBA">
        <w:trPr>
          <w:cantSplit/>
          <w:trHeight w:val="432"/>
          <w:tblHeader/>
        </w:trPr>
        <w:tc>
          <w:tcPr>
            <w:tcW w:w="2404" w:type="pct"/>
            <w:shd w:val="clear" w:color="auto" w:fill="D9D9D9" w:themeFill="background1" w:themeFillShade="D9"/>
            <w:vAlign w:val="center"/>
          </w:tcPr>
          <w:p w14:paraId="151A60E2" w14:textId="4DA1F18E" w:rsidR="002B3700" w:rsidRPr="00D24383" w:rsidRDefault="002B3700" w:rsidP="00D24383">
            <w:pPr>
              <w:spacing w:before="240" w:after="240"/>
              <w:jc w:val="center"/>
              <w:rPr>
                <w:rFonts w:cs="Arial"/>
                <w:b/>
                <w:szCs w:val="24"/>
              </w:rPr>
            </w:pPr>
            <w:r w:rsidRPr="00D24383">
              <w:rPr>
                <w:rFonts w:cs="Arial"/>
                <w:b/>
                <w:szCs w:val="24"/>
              </w:rPr>
              <w:t>American Indian or Alaska Native, Not Hispanic</w:t>
            </w:r>
          </w:p>
        </w:tc>
        <w:tc>
          <w:tcPr>
            <w:tcW w:w="2596" w:type="pct"/>
            <w:shd w:val="clear" w:color="auto" w:fill="D9D9D9" w:themeFill="background1" w:themeFillShade="D9"/>
            <w:vAlign w:val="center"/>
          </w:tcPr>
          <w:p w14:paraId="30038702" w14:textId="58BCC2F4" w:rsidR="002B3700" w:rsidRPr="00D24383" w:rsidRDefault="002B3700" w:rsidP="00D24383">
            <w:pPr>
              <w:spacing w:before="240" w:after="240"/>
              <w:jc w:val="center"/>
              <w:rPr>
                <w:rFonts w:cs="Arial"/>
                <w:b/>
                <w:szCs w:val="24"/>
              </w:rPr>
            </w:pPr>
            <w:r w:rsidRPr="00D24383">
              <w:rPr>
                <w:rFonts w:cs="Arial"/>
                <w:b/>
                <w:szCs w:val="24"/>
              </w:rPr>
              <w:t>White, Not Hispanic</w:t>
            </w:r>
          </w:p>
        </w:tc>
      </w:tr>
      <w:tr w:rsidR="00D24383" w:rsidRPr="00D24383" w14:paraId="7A07300E" w14:textId="77777777" w:rsidTr="00533FBA">
        <w:trPr>
          <w:cantSplit/>
          <w:trHeight w:val="432"/>
        </w:trPr>
        <w:tc>
          <w:tcPr>
            <w:tcW w:w="2404" w:type="pct"/>
            <w:vAlign w:val="center"/>
          </w:tcPr>
          <w:p w14:paraId="67794ACE" w14:textId="5C8FF9D5" w:rsidR="002B3700" w:rsidRPr="00D24383" w:rsidRDefault="002B3700" w:rsidP="00D24383">
            <w:pPr>
              <w:spacing w:before="240" w:after="240"/>
              <w:jc w:val="center"/>
              <w:rPr>
                <w:rFonts w:cs="Arial"/>
                <w:szCs w:val="24"/>
              </w:rPr>
            </w:pPr>
            <w:r w:rsidRPr="00D24383">
              <w:rPr>
                <w:rFonts w:cs="Arial"/>
                <w:szCs w:val="24"/>
              </w:rPr>
              <w:t>75.80%</w:t>
            </w:r>
          </w:p>
        </w:tc>
        <w:tc>
          <w:tcPr>
            <w:tcW w:w="2596" w:type="pct"/>
            <w:vAlign w:val="center"/>
          </w:tcPr>
          <w:p w14:paraId="3337AD7C" w14:textId="1A704F80" w:rsidR="002B3700" w:rsidRPr="00D24383" w:rsidRDefault="002B3700" w:rsidP="00D24383">
            <w:pPr>
              <w:spacing w:before="240" w:after="240"/>
              <w:jc w:val="center"/>
              <w:rPr>
                <w:rFonts w:cs="Arial"/>
                <w:szCs w:val="24"/>
              </w:rPr>
            </w:pPr>
            <w:r w:rsidRPr="00D24383">
              <w:rPr>
                <w:rFonts w:cs="Arial"/>
                <w:szCs w:val="24"/>
              </w:rPr>
              <w:t>87.90%</w:t>
            </w:r>
          </w:p>
        </w:tc>
      </w:tr>
    </w:tbl>
    <w:p w14:paraId="2C2F8179" w14:textId="4C9BE9D1" w:rsidR="00C9574A" w:rsidRPr="00D24383" w:rsidRDefault="001E6080" w:rsidP="00D24383">
      <w:pPr>
        <w:pStyle w:val="Heading2"/>
        <w:spacing w:after="240"/>
        <w:rPr>
          <w:rFonts w:cs="Arial"/>
          <w:sz w:val="24"/>
          <w:szCs w:val="24"/>
        </w:rPr>
      </w:pPr>
      <w:bookmarkStart w:id="16" w:name="_Toc140496116"/>
      <w:r>
        <w:rPr>
          <w:rFonts w:cs="Arial"/>
          <w:sz w:val="24"/>
          <w:szCs w:val="24"/>
        </w:rPr>
        <w:t>AIEC</w:t>
      </w:r>
      <w:r w:rsidR="00C9574A" w:rsidRPr="00D24383">
        <w:rPr>
          <w:rFonts w:cs="Arial"/>
          <w:sz w:val="24"/>
          <w:szCs w:val="24"/>
        </w:rPr>
        <w:t xml:space="preserve"> </w:t>
      </w:r>
      <w:r w:rsidR="00E50F00" w:rsidRPr="00D24383">
        <w:rPr>
          <w:rFonts w:cs="Arial"/>
          <w:sz w:val="24"/>
          <w:szCs w:val="24"/>
        </w:rPr>
        <w:t>Services</w:t>
      </w:r>
      <w:bookmarkEnd w:id="16"/>
    </w:p>
    <w:p w14:paraId="3586BE59" w14:textId="01C1DAAF" w:rsidR="00C9574A" w:rsidRPr="00D24383" w:rsidRDefault="00C9574A" w:rsidP="0082299D">
      <w:pPr>
        <w:rPr>
          <w:rFonts w:cs="Arial"/>
          <w:szCs w:val="24"/>
        </w:rPr>
      </w:pPr>
      <w:r w:rsidRPr="00D24383">
        <w:rPr>
          <w:rFonts w:cs="Arial"/>
          <w:szCs w:val="24"/>
        </w:rPr>
        <w:t>American Indian families want their students to “succeed.” Often</w:t>
      </w:r>
      <w:r w:rsidR="00F65A2D" w:rsidRPr="00D24383">
        <w:rPr>
          <w:rFonts w:cs="Arial"/>
          <w:szCs w:val="24"/>
        </w:rPr>
        <w:t>,</w:t>
      </w:r>
      <w:r w:rsidRPr="00D24383">
        <w:rPr>
          <w:rFonts w:cs="Arial"/>
          <w:szCs w:val="24"/>
        </w:rPr>
        <w:t xml:space="preserve"> the families’ definitions of success may include remaining close to family and traditions and learning more about their culture and traditions. </w:t>
      </w:r>
      <w:proofErr w:type="gramStart"/>
      <w:r w:rsidRPr="00D24383">
        <w:rPr>
          <w:rFonts w:cs="Arial"/>
          <w:szCs w:val="24"/>
        </w:rPr>
        <w:t>Many</w:t>
      </w:r>
      <w:proofErr w:type="gramEnd"/>
      <w:r w:rsidRPr="00D24383">
        <w:rPr>
          <w:rFonts w:cs="Arial"/>
          <w:szCs w:val="24"/>
        </w:rPr>
        <w:t xml:space="preserve"> communities value membership, contribution, collective effort, and mutual respect</w:t>
      </w:r>
      <w:r w:rsidR="00C0389C" w:rsidRPr="00D24383">
        <w:rPr>
          <w:rFonts w:cs="Arial"/>
          <w:szCs w:val="24"/>
        </w:rPr>
        <w:t xml:space="preserve"> </w:t>
      </w:r>
      <w:r w:rsidRPr="00D24383">
        <w:rPr>
          <w:rFonts w:cs="Arial"/>
          <w:szCs w:val="24"/>
        </w:rPr>
        <w:t xml:space="preserve">and have ambivalent or negative reactions to certain types of competition or recognition. The AIECs serve as community centers by offering desired services to American Indian students and their families. The cultural aspects of the AIECs </w:t>
      </w:r>
      <w:proofErr w:type="gramStart"/>
      <w:r w:rsidRPr="00D24383">
        <w:rPr>
          <w:rFonts w:cs="Arial"/>
          <w:szCs w:val="24"/>
        </w:rPr>
        <w:t>are woven</w:t>
      </w:r>
      <w:proofErr w:type="gramEnd"/>
      <w:r w:rsidRPr="00D24383">
        <w:rPr>
          <w:rFonts w:cs="Arial"/>
          <w:szCs w:val="24"/>
        </w:rPr>
        <w:t xml:space="preserve"> into every aspect of the provision of services. This model accounts for their successes and longevity in their communities. The AIECs provide an opportunity for American Indian students to learn and become proud of their traditional cultures and form a positive self-concept. The AIECs report a significant reduction in the school dropout and absenteeism rate</w:t>
      </w:r>
      <w:r w:rsidR="00AD23D9">
        <w:rPr>
          <w:rFonts w:cs="Arial"/>
          <w:szCs w:val="24"/>
        </w:rPr>
        <w:t>s</w:t>
      </w:r>
      <w:r w:rsidRPr="00D24383">
        <w:rPr>
          <w:rFonts w:cs="Arial"/>
          <w:szCs w:val="24"/>
        </w:rPr>
        <w:t xml:space="preserve"> among the students they serve. </w:t>
      </w:r>
      <w:r w:rsidRPr="00D24383">
        <w:rPr>
          <w:rFonts w:cs="Arial"/>
          <w:szCs w:val="24"/>
        </w:rPr>
        <w:lastRenderedPageBreak/>
        <w:t>The AIECs provide a link between the Native American community and the local schools.</w:t>
      </w:r>
    </w:p>
    <w:p w14:paraId="0D412970" w14:textId="29394D3F" w:rsidR="00C9574A" w:rsidRPr="00D24383" w:rsidRDefault="00C9574A" w:rsidP="0082299D">
      <w:pPr>
        <w:rPr>
          <w:rFonts w:cs="Arial"/>
          <w:szCs w:val="24"/>
        </w:rPr>
      </w:pPr>
      <w:r w:rsidRPr="00D24383">
        <w:rPr>
          <w:rFonts w:cs="Arial"/>
          <w:szCs w:val="24"/>
        </w:rPr>
        <w:t xml:space="preserve">The AIECs specifically address the academic and cultural issues that are important for the success of American Indian students. The youth gain awareness of their heritage and history and receive </w:t>
      </w:r>
      <w:proofErr w:type="gramStart"/>
      <w:r w:rsidRPr="00D24383">
        <w:rPr>
          <w:rFonts w:cs="Arial"/>
          <w:szCs w:val="24"/>
        </w:rPr>
        <w:t>culturally</w:t>
      </w:r>
      <w:r w:rsidR="003675CB" w:rsidRPr="00D24383">
        <w:rPr>
          <w:rFonts w:cs="Arial"/>
          <w:szCs w:val="24"/>
        </w:rPr>
        <w:t>-</w:t>
      </w:r>
      <w:r w:rsidRPr="00D24383">
        <w:rPr>
          <w:rFonts w:cs="Arial"/>
          <w:szCs w:val="24"/>
        </w:rPr>
        <w:t>relevant</w:t>
      </w:r>
      <w:proofErr w:type="gramEnd"/>
      <w:r w:rsidRPr="00D24383">
        <w:rPr>
          <w:rFonts w:cs="Arial"/>
          <w:szCs w:val="24"/>
        </w:rPr>
        <w:t xml:space="preserve"> educational support that has </w:t>
      </w:r>
      <w:r w:rsidR="0078221C">
        <w:rPr>
          <w:rFonts w:cs="Arial"/>
          <w:szCs w:val="24"/>
        </w:rPr>
        <w:t xml:space="preserve">a </w:t>
      </w:r>
      <w:r w:rsidRPr="00D24383">
        <w:rPr>
          <w:rFonts w:cs="Arial"/>
          <w:szCs w:val="24"/>
        </w:rPr>
        <w:t>long-term impact. The services provide</w:t>
      </w:r>
      <w:r w:rsidR="003675CB" w:rsidRPr="00D24383">
        <w:rPr>
          <w:rFonts w:cs="Arial"/>
          <w:szCs w:val="24"/>
        </w:rPr>
        <w:t>d</w:t>
      </w:r>
      <w:r w:rsidRPr="00D24383">
        <w:rPr>
          <w:rFonts w:cs="Arial"/>
          <w:szCs w:val="24"/>
        </w:rPr>
        <w:t xml:space="preserve"> help to increase academic performance in reading/language arts and mathematics</w:t>
      </w:r>
      <w:r w:rsidR="009206B0">
        <w:rPr>
          <w:rFonts w:cs="Arial"/>
          <w:szCs w:val="24"/>
        </w:rPr>
        <w:t>;</w:t>
      </w:r>
      <w:r w:rsidRPr="00D24383">
        <w:rPr>
          <w:rFonts w:cs="Arial"/>
          <w:szCs w:val="24"/>
        </w:rPr>
        <w:t xml:space="preserve"> improve self-esteem</w:t>
      </w:r>
      <w:r w:rsidR="003675CB" w:rsidRPr="00D24383">
        <w:rPr>
          <w:rFonts w:cs="Arial"/>
          <w:szCs w:val="24"/>
        </w:rPr>
        <w:t xml:space="preserve"> and </w:t>
      </w:r>
      <w:r w:rsidRPr="00D24383">
        <w:rPr>
          <w:rFonts w:cs="Arial"/>
          <w:szCs w:val="24"/>
        </w:rPr>
        <w:t>self-concept</w:t>
      </w:r>
      <w:r w:rsidR="009206B0">
        <w:rPr>
          <w:rFonts w:cs="Arial"/>
          <w:szCs w:val="24"/>
        </w:rPr>
        <w:t>;</w:t>
      </w:r>
      <w:r w:rsidRPr="00D24383">
        <w:rPr>
          <w:rFonts w:cs="Arial"/>
          <w:szCs w:val="24"/>
        </w:rPr>
        <w:t xml:space="preserve"> and reduce dropout rates. Through this work, American Indian youth gain a strong cultural identity, become advocates for their culture, and succeed in school.</w:t>
      </w:r>
    </w:p>
    <w:p w14:paraId="17DF5DA5" w14:textId="165529BA" w:rsidR="00C9574A" w:rsidRPr="00D24383" w:rsidRDefault="00C9574A" w:rsidP="0082299D">
      <w:pPr>
        <w:rPr>
          <w:rFonts w:cs="Arial"/>
          <w:szCs w:val="24"/>
        </w:rPr>
      </w:pPr>
      <w:r w:rsidRPr="00D24383">
        <w:rPr>
          <w:rFonts w:cs="Arial"/>
          <w:szCs w:val="24"/>
        </w:rPr>
        <w:t>The AIECs provide academic assistance to American Indian students by offering an array of supplemental services</w:t>
      </w:r>
      <w:r w:rsidR="009206B0">
        <w:rPr>
          <w:rFonts w:cs="Arial"/>
          <w:szCs w:val="24"/>
        </w:rPr>
        <w:t>,</w:t>
      </w:r>
      <w:r w:rsidRPr="00D24383">
        <w:rPr>
          <w:rFonts w:cs="Arial"/>
          <w:szCs w:val="24"/>
        </w:rPr>
        <w:t xml:space="preserve"> including small group, after</w:t>
      </w:r>
      <w:r w:rsidR="00CC34E0" w:rsidRPr="00D24383">
        <w:rPr>
          <w:rFonts w:cs="Arial"/>
          <w:szCs w:val="24"/>
        </w:rPr>
        <w:t>-</w:t>
      </w:r>
      <w:r w:rsidRPr="00D24383">
        <w:rPr>
          <w:rFonts w:cs="Arial"/>
          <w:szCs w:val="24"/>
        </w:rPr>
        <w:t>school academic tutoring programs, and individual academic tutoring programs at all grade levels. The AIEC</w:t>
      </w:r>
      <w:r w:rsidR="00CC34E0" w:rsidRPr="00D24383">
        <w:rPr>
          <w:rFonts w:cs="Arial"/>
          <w:szCs w:val="24"/>
        </w:rPr>
        <w:t xml:space="preserve">s </w:t>
      </w:r>
      <w:r w:rsidRPr="00D24383">
        <w:rPr>
          <w:rFonts w:cs="Arial"/>
          <w:szCs w:val="24"/>
        </w:rPr>
        <w:t xml:space="preserve">participate in </w:t>
      </w:r>
      <w:proofErr w:type="gramStart"/>
      <w:r w:rsidRPr="00D24383">
        <w:rPr>
          <w:rFonts w:cs="Arial"/>
          <w:szCs w:val="24"/>
        </w:rPr>
        <w:t>trainings</w:t>
      </w:r>
      <w:proofErr w:type="gramEnd"/>
      <w:r w:rsidRPr="00D24383">
        <w:rPr>
          <w:rFonts w:cs="Arial"/>
          <w:szCs w:val="24"/>
        </w:rPr>
        <w:t xml:space="preserve"> sponsored by school districts</w:t>
      </w:r>
      <w:r w:rsidR="00CC34E0" w:rsidRPr="00D24383">
        <w:rPr>
          <w:rFonts w:cs="Arial"/>
          <w:szCs w:val="24"/>
        </w:rPr>
        <w:t xml:space="preserve"> and</w:t>
      </w:r>
      <w:r w:rsidRPr="00D24383">
        <w:rPr>
          <w:rFonts w:cs="Arial"/>
          <w:szCs w:val="24"/>
        </w:rPr>
        <w:t xml:space="preserve"> county offices of education. </w:t>
      </w:r>
      <w:proofErr w:type="gramStart"/>
      <w:r w:rsidRPr="00D24383">
        <w:rPr>
          <w:rFonts w:cs="Arial"/>
          <w:szCs w:val="24"/>
        </w:rPr>
        <w:t>These trainings help</w:t>
      </w:r>
      <w:proofErr w:type="gramEnd"/>
      <w:r w:rsidRPr="00D24383">
        <w:rPr>
          <w:rFonts w:cs="Arial"/>
          <w:szCs w:val="24"/>
        </w:rPr>
        <w:t xml:space="preserve"> train AIEC staff on current educational pedagogies. AIEC staff also receive training in the curriculum adopted by the local district. The training AIEC staff receives enables them to provide quality services to the American Indian students and families they serve.</w:t>
      </w:r>
    </w:p>
    <w:p w14:paraId="6F184001" w14:textId="3BF5D63F" w:rsidR="00C9574A" w:rsidRPr="00D24383" w:rsidRDefault="00C9574A" w:rsidP="00D24383">
      <w:pPr>
        <w:spacing w:before="240"/>
        <w:rPr>
          <w:rFonts w:cs="Arial"/>
          <w:szCs w:val="24"/>
        </w:rPr>
      </w:pPr>
      <w:r w:rsidRPr="00D24383">
        <w:rPr>
          <w:rFonts w:cs="Arial"/>
          <w:szCs w:val="24"/>
        </w:rPr>
        <w:t xml:space="preserve">Every AIEC </w:t>
      </w:r>
      <w:r w:rsidR="000B2291">
        <w:rPr>
          <w:rFonts w:cs="Arial"/>
          <w:szCs w:val="24"/>
        </w:rPr>
        <w:t>P</w:t>
      </w:r>
      <w:r w:rsidRPr="00D24383">
        <w:rPr>
          <w:rFonts w:cs="Arial"/>
          <w:szCs w:val="24"/>
        </w:rPr>
        <w:t xml:space="preserve">rogram offers </w:t>
      </w:r>
      <w:proofErr w:type="gramStart"/>
      <w:r w:rsidRPr="00D24383">
        <w:rPr>
          <w:rFonts w:cs="Arial"/>
          <w:szCs w:val="24"/>
        </w:rPr>
        <w:t>a majority of</w:t>
      </w:r>
      <w:proofErr w:type="gramEnd"/>
      <w:r w:rsidRPr="00D24383">
        <w:rPr>
          <w:rFonts w:cs="Arial"/>
          <w:szCs w:val="24"/>
        </w:rPr>
        <w:t xml:space="preserve"> the services listed in </w:t>
      </w:r>
      <w:r w:rsidRPr="00D24383">
        <w:rPr>
          <w:rFonts w:cs="Arial"/>
          <w:i/>
          <w:szCs w:val="24"/>
        </w:rPr>
        <w:t>EC</w:t>
      </w:r>
      <w:r w:rsidRPr="00D24383">
        <w:rPr>
          <w:rFonts w:cs="Arial"/>
          <w:szCs w:val="24"/>
        </w:rPr>
        <w:t xml:space="preserve"> </w:t>
      </w:r>
      <w:r w:rsidR="00DF2705">
        <w:rPr>
          <w:rFonts w:cs="Arial"/>
          <w:szCs w:val="24"/>
        </w:rPr>
        <w:t>S</w:t>
      </w:r>
      <w:r w:rsidRPr="00D24383">
        <w:rPr>
          <w:rFonts w:cs="Arial"/>
          <w:szCs w:val="24"/>
        </w:rPr>
        <w:t xml:space="preserve">ection </w:t>
      </w:r>
      <w:r w:rsidR="00FE054E">
        <w:rPr>
          <w:rFonts w:cs="Arial"/>
          <w:szCs w:val="24"/>
        </w:rPr>
        <w:t>33381</w:t>
      </w:r>
      <w:r w:rsidR="00E94AB8">
        <w:rPr>
          <w:rFonts w:cs="Arial"/>
          <w:szCs w:val="24"/>
        </w:rPr>
        <w:t>.</w:t>
      </w:r>
      <w:r w:rsidR="00FE054E">
        <w:rPr>
          <w:rFonts w:cs="Arial"/>
          <w:szCs w:val="24"/>
        </w:rPr>
        <w:t xml:space="preserve"> </w:t>
      </w:r>
      <w:r w:rsidRPr="00D24383">
        <w:rPr>
          <w:rFonts w:cs="Arial"/>
          <w:szCs w:val="24"/>
        </w:rPr>
        <w:t xml:space="preserve">The most recent research on American Indian education has revolved around </w:t>
      </w:r>
      <w:proofErr w:type="gramStart"/>
      <w:r w:rsidRPr="00D24383">
        <w:rPr>
          <w:rFonts w:cs="Arial"/>
          <w:szCs w:val="24"/>
        </w:rPr>
        <w:t>culturally</w:t>
      </w:r>
      <w:r w:rsidR="00CC34E0" w:rsidRPr="00D24383">
        <w:rPr>
          <w:rFonts w:cs="Arial"/>
          <w:szCs w:val="24"/>
        </w:rPr>
        <w:t>-</w:t>
      </w:r>
      <w:r w:rsidRPr="00D24383">
        <w:rPr>
          <w:rFonts w:cs="Arial"/>
          <w:szCs w:val="24"/>
        </w:rPr>
        <w:t>based</w:t>
      </w:r>
      <w:proofErr w:type="gramEnd"/>
      <w:r w:rsidRPr="00D24383">
        <w:rPr>
          <w:rFonts w:cs="Arial"/>
          <w:szCs w:val="24"/>
        </w:rPr>
        <w:t xml:space="preserve"> education (CBE). CBE </w:t>
      </w:r>
      <w:proofErr w:type="gramStart"/>
      <w:r w:rsidRPr="00D24383">
        <w:rPr>
          <w:rFonts w:cs="Arial"/>
          <w:szCs w:val="24"/>
        </w:rPr>
        <w:t>is strongly advocated</w:t>
      </w:r>
      <w:proofErr w:type="gramEnd"/>
      <w:r w:rsidRPr="00D24383">
        <w:rPr>
          <w:rFonts w:cs="Arial"/>
          <w:szCs w:val="24"/>
        </w:rPr>
        <w:t xml:space="preserve"> by researchers studying the school achievement of native students; they have found a connection between low achievement and low cultural relevance for native students. Some effective teaching practices that have been identified for American Indian students in schooling thus far are small group settings and a collaborative environment, curriculum relevancy, </w:t>
      </w:r>
      <w:proofErr w:type="gramStart"/>
      <w:r w:rsidRPr="00D24383">
        <w:rPr>
          <w:rFonts w:cs="Arial"/>
          <w:szCs w:val="24"/>
        </w:rPr>
        <w:t>high expectations</w:t>
      </w:r>
      <w:proofErr w:type="gramEnd"/>
      <w:r w:rsidRPr="00D24383">
        <w:rPr>
          <w:rFonts w:cs="Arial"/>
          <w:szCs w:val="24"/>
        </w:rPr>
        <w:t xml:space="preserve"> and high standards, and respect for students’ backgrounds. </w:t>
      </w:r>
      <w:proofErr w:type="gramStart"/>
      <w:r w:rsidRPr="00D24383">
        <w:rPr>
          <w:rFonts w:cs="Arial"/>
          <w:szCs w:val="24"/>
        </w:rPr>
        <w:t>All of</w:t>
      </w:r>
      <w:proofErr w:type="gramEnd"/>
      <w:r w:rsidRPr="00D24383">
        <w:rPr>
          <w:rFonts w:cs="Arial"/>
          <w:szCs w:val="24"/>
        </w:rPr>
        <w:t xml:space="preserve"> the AIEC programs employ these practices.</w:t>
      </w:r>
    </w:p>
    <w:p w14:paraId="105C67FE" w14:textId="24AC7160" w:rsidR="00C9574A" w:rsidRPr="00D24383" w:rsidRDefault="00AE56D7" w:rsidP="00D24383">
      <w:pPr>
        <w:spacing w:before="240"/>
        <w:rPr>
          <w:rFonts w:cs="Arial"/>
          <w:szCs w:val="24"/>
        </w:rPr>
      </w:pPr>
      <w:r w:rsidRPr="00D24383">
        <w:rPr>
          <w:rFonts w:cs="Arial"/>
          <w:szCs w:val="24"/>
        </w:rPr>
        <w:t>During the</w:t>
      </w:r>
      <w:r w:rsidR="00CC34E0" w:rsidRPr="00D24383">
        <w:rPr>
          <w:rFonts w:cs="Arial"/>
          <w:szCs w:val="24"/>
        </w:rPr>
        <w:t xml:space="preserve"> COVID</w:t>
      </w:r>
      <w:r w:rsidR="00C9574A" w:rsidRPr="00D24383">
        <w:rPr>
          <w:rFonts w:cs="Arial"/>
          <w:szCs w:val="24"/>
        </w:rPr>
        <w:t xml:space="preserve">-19 </w:t>
      </w:r>
      <w:r w:rsidR="00CC34E0" w:rsidRPr="00D24383">
        <w:rPr>
          <w:rFonts w:cs="Arial"/>
          <w:szCs w:val="24"/>
        </w:rPr>
        <w:t>p</w:t>
      </w:r>
      <w:r w:rsidR="00C9574A" w:rsidRPr="00D24383">
        <w:rPr>
          <w:rFonts w:cs="Arial"/>
          <w:szCs w:val="24"/>
        </w:rPr>
        <w:t>andemic</w:t>
      </w:r>
      <w:r w:rsidR="0059779F">
        <w:rPr>
          <w:rFonts w:cs="Arial"/>
          <w:szCs w:val="24"/>
        </w:rPr>
        <w:t>, a</w:t>
      </w:r>
      <w:r w:rsidR="00C9574A" w:rsidRPr="00D24383">
        <w:rPr>
          <w:rFonts w:cs="Arial"/>
          <w:szCs w:val="24"/>
        </w:rPr>
        <w:t xml:space="preserve"> stay</w:t>
      </w:r>
      <w:r w:rsidR="00CC34E0" w:rsidRPr="00D24383">
        <w:rPr>
          <w:rFonts w:cs="Arial"/>
          <w:szCs w:val="24"/>
        </w:rPr>
        <w:t>-</w:t>
      </w:r>
      <w:r w:rsidR="00C9574A" w:rsidRPr="00D24383">
        <w:rPr>
          <w:rFonts w:cs="Arial"/>
          <w:szCs w:val="24"/>
        </w:rPr>
        <w:t>at</w:t>
      </w:r>
      <w:r w:rsidR="00CC34E0" w:rsidRPr="00D24383">
        <w:rPr>
          <w:rFonts w:cs="Arial"/>
          <w:szCs w:val="24"/>
        </w:rPr>
        <w:t>-</w:t>
      </w:r>
      <w:r w:rsidR="00C9574A" w:rsidRPr="00D24383">
        <w:rPr>
          <w:rFonts w:cs="Arial"/>
          <w:szCs w:val="24"/>
        </w:rPr>
        <w:t>home</w:t>
      </w:r>
      <w:r w:rsidR="00CC34E0" w:rsidRPr="00D24383">
        <w:rPr>
          <w:rFonts w:cs="Arial"/>
          <w:szCs w:val="24"/>
        </w:rPr>
        <w:t xml:space="preserve"> order</w:t>
      </w:r>
      <w:r w:rsidR="00C9574A" w:rsidRPr="00D24383">
        <w:rPr>
          <w:rFonts w:cs="Arial"/>
          <w:szCs w:val="24"/>
        </w:rPr>
        <w:t xml:space="preserve"> exposed the technology gap that existed for American Indian students. The CDE was able to partner with the California Emerging Technology </w:t>
      </w:r>
      <w:r w:rsidR="0040336F">
        <w:rPr>
          <w:rFonts w:cs="Arial"/>
          <w:szCs w:val="24"/>
        </w:rPr>
        <w:t>F</w:t>
      </w:r>
      <w:r w:rsidR="00C9574A" w:rsidRPr="00D24383">
        <w:rPr>
          <w:rFonts w:cs="Arial"/>
          <w:szCs w:val="24"/>
        </w:rPr>
        <w:t xml:space="preserve">und to get </w:t>
      </w:r>
      <w:r w:rsidR="00CC34E0" w:rsidRPr="00D24383">
        <w:rPr>
          <w:rFonts w:cs="Arial"/>
          <w:szCs w:val="24"/>
        </w:rPr>
        <w:t>Google C</w:t>
      </w:r>
      <w:r w:rsidR="00C9574A" w:rsidRPr="00D24383">
        <w:rPr>
          <w:rFonts w:cs="Arial"/>
          <w:szCs w:val="24"/>
        </w:rPr>
        <w:t>hromebooks to American Indian students. As a result, the AIEC programs gave out 2</w:t>
      </w:r>
      <w:r w:rsidR="0059779F">
        <w:rPr>
          <w:rFonts w:cs="Arial"/>
          <w:szCs w:val="24"/>
        </w:rPr>
        <w:t>,</w:t>
      </w:r>
      <w:r w:rsidR="00C9574A" w:rsidRPr="00D24383">
        <w:rPr>
          <w:rFonts w:cs="Arial"/>
          <w:szCs w:val="24"/>
        </w:rPr>
        <w:t xml:space="preserve">000 </w:t>
      </w:r>
      <w:r w:rsidR="00CC34E0" w:rsidRPr="00D24383">
        <w:rPr>
          <w:rFonts w:cs="Arial"/>
          <w:szCs w:val="24"/>
        </w:rPr>
        <w:t>C</w:t>
      </w:r>
      <w:r w:rsidR="00C9574A" w:rsidRPr="00D24383">
        <w:rPr>
          <w:rFonts w:cs="Arial"/>
          <w:szCs w:val="24"/>
        </w:rPr>
        <w:t>hromebooks</w:t>
      </w:r>
      <w:r w:rsidRPr="00D24383">
        <w:rPr>
          <w:rFonts w:cs="Arial"/>
          <w:szCs w:val="24"/>
        </w:rPr>
        <w:t xml:space="preserve"> to assist students during school closures</w:t>
      </w:r>
      <w:r w:rsidR="00C9574A" w:rsidRPr="00D24383">
        <w:rPr>
          <w:rFonts w:cs="Arial"/>
          <w:szCs w:val="24"/>
        </w:rPr>
        <w:t>.</w:t>
      </w:r>
    </w:p>
    <w:p w14:paraId="440E380A" w14:textId="27B35CA8" w:rsidR="0059779F" w:rsidRDefault="00C9574A" w:rsidP="00D24383">
      <w:pPr>
        <w:spacing w:before="240"/>
        <w:rPr>
          <w:rFonts w:cs="Arial"/>
          <w:szCs w:val="24"/>
        </w:rPr>
      </w:pPr>
      <w:r w:rsidRPr="00D24383">
        <w:rPr>
          <w:rFonts w:cs="Arial"/>
          <w:szCs w:val="24"/>
        </w:rPr>
        <w:t>Although the intent of the program has been met with the AIECs</w:t>
      </w:r>
      <w:r w:rsidR="00CC34E0" w:rsidRPr="00D24383">
        <w:rPr>
          <w:rFonts w:cs="Arial"/>
          <w:szCs w:val="24"/>
        </w:rPr>
        <w:t>’</w:t>
      </w:r>
      <w:r w:rsidRPr="00D24383">
        <w:rPr>
          <w:rFonts w:cs="Arial"/>
          <w:szCs w:val="24"/>
        </w:rPr>
        <w:t xml:space="preserve"> current operation, primary funding levels make providing all the services enumerated in </w:t>
      </w:r>
      <w:r w:rsidRPr="00D24383">
        <w:rPr>
          <w:rFonts w:cs="Arial"/>
          <w:i/>
          <w:szCs w:val="24"/>
        </w:rPr>
        <w:t>EC</w:t>
      </w:r>
      <w:r w:rsidRPr="00D24383">
        <w:rPr>
          <w:rFonts w:cs="Arial"/>
          <w:szCs w:val="24"/>
        </w:rPr>
        <w:t xml:space="preserve"> </w:t>
      </w:r>
      <w:r w:rsidR="00DF2705">
        <w:rPr>
          <w:rFonts w:cs="Arial"/>
          <w:szCs w:val="24"/>
        </w:rPr>
        <w:t>S</w:t>
      </w:r>
      <w:r w:rsidRPr="00D24383">
        <w:rPr>
          <w:rFonts w:cs="Arial"/>
          <w:szCs w:val="24"/>
        </w:rPr>
        <w:t>ection</w:t>
      </w:r>
      <w:r w:rsidR="00FE054E">
        <w:rPr>
          <w:rFonts w:cs="Arial"/>
          <w:szCs w:val="24"/>
        </w:rPr>
        <w:t xml:space="preserve"> 33381</w:t>
      </w:r>
      <w:r w:rsidRPr="00D24383">
        <w:rPr>
          <w:rFonts w:cs="Arial"/>
          <w:szCs w:val="24"/>
        </w:rPr>
        <w:t xml:space="preserve"> </w:t>
      </w:r>
      <w:proofErr w:type="gramStart"/>
      <w:r w:rsidRPr="00D24383">
        <w:rPr>
          <w:rFonts w:cs="Arial"/>
          <w:szCs w:val="24"/>
        </w:rPr>
        <w:t>cost</w:t>
      </w:r>
      <w:r w:rsidR="0040336F">
        <w:rPr>
          <w:rFonts w:cs="Arial"/>
          <w:szCs w:val="24"/>
        </w:rPr>
        <w:t>-</w:t>
      </w:r>
      <w:r w:rsidRPr="00D24383">
        <w:rPr>
          <w:rFonts w:cs="Arial"/>
          <w:szCs w:val="24"/>
        </w:rPr>
        <w:t>prohibitive</w:t>
      </w:r>
      <w:proofErr w:type="gramEnd"/>
      <w:r w:rsidRPr="00D24383">
        <w:rPr>
          <w:rFonts w:cs="Arial"/>
          <w:szCs w:val="24"/>
        </w:rPr>
        <w:t xml:space="preserve">. The AIECs </w:t>
      </w:r>
      <w:proofErr w:type="gramStart"/>
      <w:r w:rsidRPr="00D24383">
        <w:rPr>
          <w:rFonts w:cs="Arial"/>
          <w:szCs w:val="24"/>
        </w:rPr>
        <w:t>mainly provide</w:t>
      </w:r>
      <w:proofErr w:type="gramEnd"/>
      <w:r w:rsidRPr="00D24383">
        <w:rPr>
          <w:rFonts w:cs="Arial"/>
          <w:szCs w:val="24"/>
        </w:rPr>
        <w:t xml:space="preserve"> academic assistance to American Indian students in reading/language arts</w:t>
      </w:r>
      <w:r w:rsidR="009206B0">
        <w:rPr>
          <w:rFonts w:cs="Arial"/>
          <w:szCs w:val="24"/>
        </w:rPr>
        <w:t>,</w:t>
      </w:r>
      <w:r w:rsidRPr="00D24383">
        <w:rPr>
          <w:rFonts w:cs="Arial"/>
          <w:szCs w:val="24"/>
        </w:rPr>
        <w:t xml:space="preserve"> and mathematics; provide educational experiences that honor and encourage the maintenance of American Indian culture and language; and emphasize becoming successful by combining culture and education. Table </w:t>
      </w:r>
      <w:r w:rsidR="00AA3AF7" w:rsidRPr="00D24383">
        <w:rPr>
          <w:rFonts w:cs="Arial"/>
          <w:szCs w:val="24"/>
        </w:rPr>
        <w:t>7</w:t>
      </w:r>
      <w:r w:rsidRPr="00D24383">
        <w:rPr>
          <w:rFonts w:cs="Arial"/>
          <w:szCs w:val="24"/>
        </w:rPr>
        <w:t xml:space="preserve"> shows the data collected from 2015</w:t>
      </w:r>
      <w:r w:rsidR="00B20286" w:rsidRPr="00D24383">
        <w:rPr>
          <w:rFonts w:cs="Arial"/>
          <w:szCs w:val="24"/>
        </w:rPr>
        <w:t>–</w:t>
      </w:r>
      <w:r w:rsidRPr="00D24383">
        <w:rPr>
          <w:rFonts w:cs="Arial"/>
          <w:szCs w:val="24"/>
        </w:rPr>
        <w:t xml:space="preserve">20. This table includes the total amount of the award that was allocated to the 25 funded AIECs, the total number of registered AIEC students who received at least 12 hours of services from the AIEC, the AIEC </w:t>
      </w:r>
      <w:r w:rsidR="00CC34E0" w:rsidRPr="00D24383">
        <w:rPr>
          <w:rFonts w:cs="Arial"/>
          <w:szCs w:val="24"/>
        </w:rPr>
        <w:t>s</w:t>
      </w:r>
      <w:r w:rsidRPr="00D24383">
        <w:rPr>
          <w:rFonts w:cs="Arial"/>
          <w:szCs w:val="24"/>
        </w:rPr>
        <w:t>chool</w:t>
      </w:r>
      <w:r w:rsidR="00CC34E0" w:rsidRPr="00D24383">
        <w:rPr>
          <w:rFonts w:cs="Arial"/>
          <w:szCs w:val="24"/>
        </w:rPr>
        <w:t xml:space="preserve"> y</w:t>
      </w:r>
      <w:r w:rsidRPr="00D24383">
        <w:rPr>
          <w:rFonts w:cs="Arial"/>
          <w:szCs w:val="24"/>
        </w:rPr>
        <w:t xml:space="preserve">ear attendance rate, the AIEC </w:t>
      </w:r>
      <w:r w:rsidR="00CC34E0" w:rsidRPr="00D24383">
        <w:rPr>
          <w:rFonts w:cs="Arial"/>
          <w:szCs w:val="24"/>
        </w:rPr>
        <w:t>s</w:t>
      </w:r>
      <w:r w:rsidRPr="00D24383">
        <w:rPr>
          <w:rFonts w:cs="Arial"/>
          <w:szCs w:val="24"/>
        </w:rPr>
        <w:t xml:space="preserve">ummer session attendance rate, and the </w:t>
      </w:r>
      <w:r w:rsidR="00CC34E0" w:rsidRPr="00D24383">
        <w:rPr>
          <w:rFonts w:cs="Arial"/>
          <w:szCs w:val="24"/>
        </w:rPr>
        <w:t xml:space="preserve">school attendance </w:t>
      </w:r>
      <w:r w:rsidRPr="00D24383">
        <w:rPr>
          <w:rFonts w:cs="Arial"/>
          <w:szCs w:val="24"/>
        </w:rPr>
        <w:t>rate for AIEC registered students.</w:t>
      </w:r>
    </w:p>
    <w:p w14:paraId="0080122A" w14:textId="69F1DA19" w:rsidR="00CE5D84" w:rsidRDefault="00CE5D84" w:rsidP="00D24383">
      <w:pPr>
        <w:spacing w:before="240"/>
        <w:rPr>
          <w:rFonts w:cs="Arial"/>
          <w:b/>
          <w:szCs w:val="24"/>
        </w:rPr>
      </w:pPr>
      <w:r w:rsidRPr="00D24383">
        <w:rPr>
          <w:rFonts w:cs="Arial"/>
          <w:b/>
          <w:szCs w:val="24"/>
        </w:rPr>
        <w:lastRenderedPageBreak/>
        <w:t xml:space="preserve">Table 7: AIEC Total Allocation, Number of Students Served, and Attendance </w:t>
      </w:r>
      <w:r w:rsidR="008060C6" w:rsidRPr="00D24383">
        <w:rPr>
          <w:rFonts w:cs="Arial"/>
          <w:b/>
          <w:szCs w:val="24"/>
        </w:rPr>
        <w:t xml:space="preserve">in </w:t>
      </w:r>
      <w:r w:rsidRPr="00D24383">
        <w:rPr>
          <w:rFonts w:cs="Arial"/>
          <w:b/>
          <w:szCs w:val="24"/>
        </w:rPr>
        <w:t>2015–20</w:t>
      </w:r>
      <w:r w:rsidR="00BC72EA">
        <w:rPr>
          <w:rStyle w:val="FootnoteReference"/>
          <w:rFonts w:cs="Arial"/>
          <w:b/>
          <w:szCs w:val="24"/>
        </w:rPr>
        <w:footnoteReference w:id="30"/>
      </w:r>
    </w:p>
    <w:p w14:paraId="7E48E31F" w14:textId="25F1A393" w:rsidR="003F2F1C" w:rsidRPr="003F2F1C" w:rsidRDefault="003F2F1C" w:rsidP="00D24383">
      <w:pPr>
        <w:spacing w:before="240"/>
        <w:rPr>
          <w:rFonts w:cs="Arial"/>
          <w:szCs w:val="24"/>
        </w:rPr>
      </w:pPr>
      <w:r w:rsidRPr="00D24383">
        <w:rPr>
          <w:rFonts w:cs="Arial"/>
          <w:szCs w:val="24"/>
        </w:rPr>
        <w:t>*</w:t>
      </w:r>
      <w:r>
        <w:rPr>
          <w:rFonts w:cs="Arial"/>
          <w:szCs w:val="24"/>
        </w:rPr>
        <w:t xml:space="preserve"> </w:t>
      </w:r>
      <w:r w:rsidRPr="00D24383">
        <w:rPr>
          <w:rFonts w:cs="Arial"/>
          <w:szCs w:val="24"/>
        </w:rPr>
        <w:t>The COVID-19 pandemic and subsequent stay-at-home order, including Governor Newsom’s Executive Order N-26-20</w:t>
      </w:r>
      <w:r>
        <w:rPr>
          <w:rFonts w:cs="Arial"/>
          <w:szCs w:val="24"/>
        </w:rPr>
        <w:t>,</w:t>
      </w:r>
      <w:r w:rsidRPr="00D24383">
        <w:rPr>
          <w:rFonts w:cs="Arial"/>
          <w:szCs w:val="24"/>
        </w:rPr>
        <w:t xml:space="preserve"> which closed schools in California, the 2019–20 AIEC data collection </w:t>
      </w:r>
      <w:proofErr w:type="gramStart"/>
      <w:r w:rsidRPr="00D24383">
        <w:rPr>
          <w:rFonts w:cs="Arial"/>
          <w:szCs w:val="24"/>
        </w:rPr>
        <w:t>was suspended</w:t>
      </w:r>
      <w:proofErr w:type="gramEnd"/>
      <w:r w:rsidRPr="00D24383">
        <w:rPr>
          <w:rFonts w:cs="Arial"/>
          <w:szCs w:val="24"/>
        </w:rPr>
        <w:t>.</w:t>
      </w:r>
    </w:p>
    <w:tbl>
      <w:tblPr>
        <w:tblStyle w:val="TableGrid"/>
        <w:tblW w:w="5149" w:type="pct"/>
        <w:tblLook w:val="04A0" w:firstRow="1" w:lastRow="0" w:firstColumn="1" w:lastColumn="0" w:noHBand="0" w:noVBand="1"/>
        <w:tblDescription w:val="This table contains the American Indian Education Centers (AIEC) Total Allocation by Number of Students Served, and Attendance data for the years 2015–20."/>
      </w:tblPr>
      <w:tblGrid>
        <w:gridCol w:w="1153"/>
        <w:gridCol w:w="1420"/>
        <w:gridCol w:w="1797"/>
        <w:gridCol w:w="1830"/>
        <w:gridCol w:w="1779"/>
        <w:gridCol w:w="1650"/>
      </w:tblGrid>
      <w:tr w:rsidR="00D24383" w:rsidRPr="00D24383" w14:paraId="649BE046" w14:textId="77777777" w:rsidTr="00C5604B">
        <w:trPr>
          <w:cantSplit/>
          <w:trHeight w:val="432"/>
          <w:tblHeader/>
        </w:trPr>
        <w:tc>
          <w:tcPr>
            <w:tcW w:w="598" w:type="pct"/>
            <w:shd w:val="clear" w:color="auto" w:fill="D9D9D9" w:themeFill="background1" w:themeFillShade="D9"/>
            <w:vAlign w:val="center"/>
          </w:tcPr>
          <w:p w14:paraId="3AC1E3CD" w14:textId="390162D7" w:rsidR="00CE5D84" w:rsidRPr="00D24383" w:rsidRDefault="00CE5D84" w:rsidP="00D24383">
            <w:pPr>
              <w:spacing w:before="240" w:after="240"/>
              <w:jc w:val="center"/>
              <w:rPr>
                <w:rFonts w:cs="Arial"/>
                <w:b/>
                <w:szCs w:val="24"/>
              </w:rPr>
            </w:pPr>
            <w:r w:rsidRPr="00D24383">
              <w:rPr>
                <w:rFonts w:cs="Arial"/>
                <w:b/>
                <w:szCs w:val="24"/>
              </w:rPr>
              <w:t>Year</w:t>
            </w:r>
          </w:p>
        </w:tc>
        <w:tc>
          <w:tcPr>
            <w:tcW w:w="737" w:type="pct"/>
            <w:shd w:val="clear" w:color="auto" w:fill="D9D9D9" w:themeFill="background1" w:themeFillShade="D9"/>
            <w:vAlign w:val="center"/>
          </w:tcPr>
          <w:p w14:paraId="3B4CF921" w14:textId="172EAFF2" w:rsidR="00CE5D84" w:rsidRPr="00D24383" w:rsidRDefault="00CE5D84" w:rsidP="00D24383">
            <w:pPr>
              <w:spacing w:before="240" w:after="240"/>
              <w:jc w:val="center"/>
              <w:rPr>
                <w:rFonts w:cs="Arial"/>
                <w:b/>
                <w:szCs w:val="24"/>
              </w:rPr>
            </w:pPr>
            <w:r w:rsidRPr="00D24383">
              <w:rPr>
                <w:rFonts w:cs="Arial"/>
                <w:b/>
                <w:szCs w:val="24"/>
              </w:rPr>
              <w:t>Award</w:t>
            </w:r>
          </w:p>
        </w:tc>
        <w:tc>
          <w:tcPr>
            <w:tcW w:w="933" w:type="pct"/>
            <w:shd w:val="clear" w:color="auto" w:fill="D9D9D9" w:themeFill="background1" w:themeFillShade="D9"/>
            <w:vAlign w:val="center"/>
          </w:tcPr>
          <w:p w14:paraId="12FE2FAC" w14:textId="15088F22" w:rsidR="00CE5D84" w:rsidRPr="00D24383" w:rsidRDefault="00CE5D84" w:rsidP="00D24383">
            <w:pPr>
              <w:spacing w:before="240" w:after="240"/>
              <w:jc w:val="center"/>
              <w:rPr>
                <w:rFonts w:cs="Arial"/>
                <w:b/>
                <w:szCs w:val="24"/>
              </w:rPr>
            </w:pPr>
            <w:r w:rsidRPr="00D24383">
              <w:rPr>
                <w:rFonts w:cs="Arial"/>
                <w:b/>
                <w:szCs w:val="24"/>
              </w:rPr>
              <w:t>Number of students who received over 12 hours</w:t>
            </w:r>
          </w:p>
        </w:tc>
        <w:tc>
          <w:tcPr>
            <w:tcW w:w="950" w:type="pct"/>
            <w:shd w:val="clear" w:color="auto" w:fill="D9D9D9" w:themeFill="background1" w:themeFillShade="D9"/>
            <w:vAlign w:val="center"/>
          </w:tcPr>
          <w:p w14:paraId="3C77944E" w14:textId="003EE1D8" w:rsidR="00CE5D84" w:rsidRPr="00D24383" w:rsidRDefault="00CE5D84" w:rsidP="00D24383">
            <w:pPr>
              <w:spacing w:before="240" w:after="240"/>
              <w:jc w:val="center"/>
              <w:rPr>
                <w:rFonts w:cs="Arial"/>
                <w:b/>
                <w:szCs w:val="24"/>
              </w:rPr>
            </w:pPr>
            <w:r w:rsidRPr="00D24383">
              <w:rPr>
                <w:rFonts w:cs="Arial"/>
                <w:b/>
                <w:szCs w:val="24"/>
              </w:rPr>
              <w:t>AIEC School Year Attendance rate</w:t>
            </w:r>
          </w:p>
        </w:tc>
        <w:tc>
          <w:tcPr>
            <w:tcW w:w="924" w:type="pct"/>
            <w:shd w:val="clear" w:color="auto" w:fill="D9D9D9" w:themeFill="background1" w:themeFillShade="D9"/>
            <w:vAlign w:val="center"/>
          </w:tcPr>
          <w:p w14:paraId="52813E5D" w14:textId="076ACFC6" w:rsidR="00CE5D84" w:rsidRPr="00D24383" w:rsidRDefault="00CE5D84" w:rsidP="00D24383">
            <w:pPr>
              <w:spacing w:before="240" w:after="240"/>
              <w:jc w:val="center"/>
              <w:rPr>
                <w:rFonts w:cs="Arial"/>
                <w:b/>
                <w:szCs w:val="24"/>
              </w:rPr>
            </w:pPr>
            <w:r w:rsidRPr="00D24383">
              <w:rPr>
                <w:rFonts w:cs="Arial"/>
                <w:b/>
                <w:szCs w:val="24"/>
              </w:rPr>
              <w:t>AIEC Summer Attendance Rate</w:t>
            </w:r>
          </w:p>
        </w:tc>
        <w:tc>
          <w:tcPr>
            <w:tcW w:w="857" w:type="pct"/>
            <w:shd w:val="clear" w:color="auto" w:fill="D9D9D9" w:themeFill="background1" w:themeFillShade="D9"/>
            <w:vAlign w:val="center"/>
          </w:tcPr>
          <w:p w14:paraId="4342614F" w14:textId="27B18A2B" w:rsidR="00CE5D84" w:rsidRPr="00D24383" w:rsidRDefault="00CE5D84" w:rsidP="00D24383">
            <w:pPr>
              <w:spacing w:before="240" w:after="240"/>
              <w:jc w:val="center"/>
              <w:rPr>
                <w:rFonts w:cs="Arial"/>
                <w:b/>
                <w:szCs w:val="24"/>
              </w:rPr>
            </w:pPr>
            <w:r w:rsidRPr="00D24383">
              <w:rPr>
                <w:rFonts w:cs="Arial"/>
                <w:b/>
                <w:szCs w:val="24"/>
              </w:rPr>
              <w:t>School Attendance Rate</w:t>
            </w:r>
          </w:p>
        </w:tc>
      </w:tr>
      <w:tr w:rsidR="00D24383" w:rsidRPr="00D24383" w14:paraId="3231B057" w14:textId="77777777" w:rsidTr="00C5604B">
        <w:trPr>
          <w:cantSplit/>
          <w:trHeight w:val="432"/>
        </w:trPr>
        <w:tc>
          <w:tcPr>
            <w:tcW w:w="598" w:type="pct"/>
            <w:vAlign w:val="center"/>
          </w:tcPr>
          <w:p w14:paraId="4AF7CFB2" w14:textId="52D5AC9B" w:rsidR="00CE5D84" w:rsidRPr="00D24383" w:rsidRDefault="00CE5D84" w:rsidP="00D24383">
            <w:pPr>
              <w:spacing w:before="240" w:after="240"/>
              <w:jc w:val="center"/>
              <w:rPr>
                <w:rFonts w:cs="Arial"/>
                <w:szCs w:val="24"/>
              </w:rPr>
            </w:pPr>
            <w:r w:rsidRPr="00D24383">
              <w:rPr>
                <w:rFonts w:cs="Arial"/>
                <w:szCs w:val="24"/>
              </w:rPr>
              <w:t>2015</w:t>
            </w:r>
            <w:r w:rsidR="00AA3AF7" w:rsidRPr="00D24383">
              <w:rPr>
                <w:rFonts w:cs="Arial"/>
                <w:szCs w:val="24"/>
              </w:rPr>
              <w:t>–</w:t>
            </w:r>
            <w:r w:rsidRPr="00D24383">
              <w:rPr>
                <w:rFonts w:cs="Arial"/>
                <w:szCs w:val="24"/>
              </w:rPr>
              <w:t>16</w:t>
            </w:r>
          </w:p>
        </w:tc>
        <w:tc>
          <w:tcPr>
            <w:tcW w:w="737" w:type="pct"/>
            <w:vAlign w:val="center"/>
          </w:tcPr>
          <w:p w14:paraId="1FE7B995" w14:textId="7ED6D410" w:rsidR="00CE5D84" w:rsidRPr="00D24383" w:rsidRDefault="00CE5D84" w:rsidP="00D24383">
            <w:pPr>
              <w:spacing w:before="240" w:after="240"/>
              <w:jc w:val="center"/>
              <w:rPr>
                <w:rFonts w:cs="Arial"/>
                <w:szCs w:val="24"/>
              </w:rPr>
            </w:pPr>
            <w:r w:rsidRPr="00D24383">
              <w:rPr>
                <w:rFonts w:cs="Arial"/>
                <w:szCs w:val="24"/>
              </w:rPr>
              <w:t>$3,497,624</w:t>
            </w:r>
          </w:p>
        </w:tc>
        <w:tc>
          <w:tcPr>
            <w:tcW w:w="933" w:type="pct"/>
            <w:vAlign w:val="center"/>
          </w:tcPr>
          <w:p w14:paraId="17C73B69" w14:textId="1EFADB0C" w:rsidR="00CE5D84" w:rsidRPr="00D24383" w:rsidRDefault="00CE5D84" w:rsidP="00D24383">
            <w:pPr>
              <w:spacing w:before="240" w:after="240"/>
              <w:jc w:val="center"/>
              <w:rPr>
                <w:rFonts w:cs="Arial"/>
                <w:szCs w:val="24"/>
              </w:rPr>
            </w:pPr>
            <w:r w:rsidRPr="00D24383">
              <w:rPr>
                <w:rFonts w:cs="Arial"/>
                <w:szCs w:val="24"/>
              </w:rPr>
              <w:t>1075</w:t>
            </w:r>
          </w:p>
        </w:tc>
        <w:tc>
          <w:tcPr>
            <w:tcW w:w="950" w:type="pct"/>
            <w:vAlign w:val="center"/>
          </w:tcPr>
          <w:p w14:paraId="513EDA0D" w14:textId="18B21D39" w:rsidR="00CE5D84" w:rsidRPr="00D24383" w:rsidRDefault="00CE5D84" w:rsidP="00D24383">
            <w:pPr>
              <w:spacing w:before="240" w:after="240"/>
              <w:jc w:val="center"/>
              <w:rPr>
                <w:rFonts w:cs="Arial"/>
                <w:szCs w:val="24"/>
              </w:rPr>
            </w:pPr>
            <w:r w:rsidRPr="00D24383">
              <w:rPr>
                <w:rFonts w:cs="Arial"/>
                <w:szCs w:val="24"/>
              </w:rPr>
              <w:t>69%</w:t>
            </w:r>
          </w:p>
        </w:tc>
        <w:tc>
          <w:tcPr>
            <w:tcW w:w="924" w:type="pct"/>
            <w:vAlign w:val="center"/>
          </w:tcPr>
          <w:p w14:paraId="733FF352" w14:textId="0417E096" w:rsidR="00CE5D84" w:rsidRPr="00D24383" w:rsidRDefault="00CE5D84" w:rsidP="00D24383">
            <w:pPr>
              <w:spacing w:before="240" w:after="240"/>
              <w:jc w:val="center"/>
              <w:rPr>
                <w:rFonts w:cs="Arial"/>
                <w:szCs w:val="24"/>
              </w:rPr>
            </w:pPr>
            <w:r w:rsidRPr="00D24383">
              <w:rPr>
                <w:rFonts w:cs="Arial"/>
                <w:szCs w:val="24"/>
              </w:rPr>
              <w:t>71%</w:t>
            </w:r>
          </w:p>
        </w:tc>
        <w:tc>
          <w:tcPr>
            <w:tcW w:w="857" w:type="pct"/>
            <w:vAlign w:val="center"/>
          </w:tcPr>
          <w:p w14:paraId="77667F61" w14:textId="230F9BE8" w:rsidR="00CE5D84" w:rsidRPr="00D24383" w:rsidRDefault="00CE5D84" w:rsidP="00D24383">
            <w:pPr>
              <w:spacing w:before="240" w:after="240"/>
              <w:jc w:val="center"/>
              <w:rPr>
                <w:rFonts w:cs="Arial"/>
                <w:szCs w:val="24"/>
              </w:rPr>
            </w:pPr>
            <w:r w:rsidRPr="00D24383">
              <w:rPr>
                <w:rFonts w:cs="Arial"/>
                <w:szCs w:val="24"/>
              </w:rPr>
              <w:t>90%</w:t>
            </w:r>
          </w:p>
        </w:tc>
      </w:tr>
      <w:tr w:rsidR="00D24383" w:rsidRPr="00D24383" w14:paraId="57FE11FB" w14:textId="77777777" w:rsidTr="00C5604B">
        <w:trPr>
          <w:cantSplit/>
          <w:trHeight w:val="432"/>
        </w:trPr>
        <w:tc>
          <w:tcPr>
            <w:tcW w:w="598" w:type="pct"/>
            <w:vAlign w:val="center"/>
          </w:tcPr>
          <w:p w14:paraId="3746B613" w14:textId="6ECC2026" w:rsidR="00CE5D84" w:rsidRPr="00D24383" w:rsidRDefault="00CE5D84" w:rsidP="00D24383">
            <w:pPr>
              <w:spacing w:before="240" w:after="240"/>
              <w:jc w:val="center"/>
              <w:rPr>
                <w:rFonts w:cs="Arial"/>
                <w:szCs w:val="24"/>
              </w:rPr>
            </w:pPr>
            <w:r w:rsidRPr="00D24383">
              <w:rPr>
                <w:rFonts w:cs="Arial"/>
                <w:szCs w:val="24"/>
              </w:rPr>
              <w:t>2016</w:t>
            </w:r>
            <w:r w:rsidR="00AA3AF7" w:rsidRPr="00D24383">
              <w:rPr>
                <w:rFonts w:cs="Arial"/>
                <w:szCs w:val="24"/>
              </w:rPr>
              <w:t>–</w:t>
            </w:r>
            <w:r w:rsidRPr="00D24383">
              <w:rPr>
                <w:rFonts w:cs="Arial"/>
                <w:szCs w:val="24"/>
              </w:rPr>
              <w:t>17</w:t>
            </w:r>
          </w:p>
        </w:tc>
        <w:tc>
          <w:tcPr>
            <w:tcW w:w="737" w:type="pct"/>
            <w:vAlign w:val="center"/>
          </w:tcPr>
          <w:p w14:paraId="2EC3C0C8" w14:textId="129261ED" w:rsidR="00CE5D84" w:rsidRPr="00D24383" w:rsidRDefault="00CE5D84" w:rsidP="00D24383">
            <w:pPr>
              <w:spacing w:before="240" w:after="240"/>
              <w:jc w:val="center"/>
              <w:rPr>
                <w:rFonts w:cs="Arial"/>
                <w:szCs w:val="24"/>
              </w:rPr>
            </w:pPr>
            <w:r w:rsidRPr="00D24383">
              <w:rPr>
                <w:rFonts w:cs="Arial"/>
                <w:szCs w:val="24"/>
              </w:rPr>
              <w:t>$3,497,624</w:t>
            </w:r>
          </w:p>
        </w:tc>
        <w:tc>
          <w:tcPr>
            <w:tcW w:w="933" w:type="pct"/>
            <w:vAlign w:val="center"/>
          </w:tcPr>
          <w:p w14:paraId="26C7963E" w14:textId="353F0729" w:rsidR="00CE5D84" w:rsidRPr="00D24383" w:rsidRDefault="00CE5D84" w:rsidP="00D24383">
            <w:pPr>
              <w:spacing w:before="240" w:after="240"/>
              <w:jc w:val="center"/>
              <w:rPr>
                <w:rFonts w:cs="Arial"/>
                <w:szCs w:val="24"/>
              </w:rPr>
            </w:pPr>
            <w:r w:rsidRPr="00D24383">
              <w:rPr>
                <w:rFonts w:cs="Arial"/>
                <w:szCs w:val="24"/>
              </w:rPr>
              <w:t>970</w:t>
            </w:r>
          </w:p>
        </w:tc>
        <w:tc>
          <w:tcPr>
            <w:tcW w:w="950" w:type="pct"/>
            <w:vAlign w:val="center"/>
          </w:tcPr>
          <w:p w14:paraId="51DB9D57" w14:textId="4E0278CD" w:rsidR="00CE5D84" w:rsidRPr="00D24383" w:rsidRDefault="00CE5D84" w:rsidP="00D24383">
            <w:pPr>
              <w:spacing w:before="240" w:after="240"/>
              <w:jc w:val="center"/>
              <w:rPr>
                <w:rFonts w:cs="Arial"/>
                <w:szCs w:val="24"/>
              </w:rPr>
            </w:pPr>
            <w:r w:rsidRPr="00D24383">
              <w:rPr>
                <w:rFonts w:cs="Arial"/>
                <w:szCs w:val="24"/>
              </w:rPr>
              <w:t>59%</w:t>
            </w:r>
          </w:p>
        </w:tc>
        <w:tc>
          <w:tcPr>
            <w:tcW w:w="924" w:type="pct"/>
            <w:vAlign w:val="center"/>
          </w:tcPr>
          <w:p w14:paraId="7130041F" w14:textId="4FE12032" w:rsidR="00CE5D84" w:rsidRPr="00D24383" w:rsidRDefault="00CE5D84" w:rsidP="00D24383">
            <w:pPr>
              <w:spacing w:before="240" w:after="240"/>
              <w:jc w:val="center"/>
              <w:rPr>
                <w:rFonts w:cs="Arial"/>
                <w:szCs w:val="24"/>
              </w:rPr>
            </w:pPr>
            <w:r w:rsidRPr="00D24383">
              <w:rPr>
                <w:rFonts w:cs="Arial"/>
                <w:szCs w:val="24"/>
              </w:rPr>
              <w:t>61%</w:t>
            </w:r>
          </w:p>
        </w:tc>
        <w:tc>
          <w:tcPr>
            <w:tcW w:w="857" w:type="pct"/>
            <w:vAlign w:val="center"/>
          </w:tcPr>
          <w:p w14:paraId="5A1AFA38" w14:textId="0A9D0232" w:rsidR="00CE5D84" w:rsidRPr="00D24383" w:rsidRDefault="00CE5D84" w:rsidP="00D24383">
            <w:pPr>
              <w:spacing w:before="240" w:after="240"/>
              <w:jc w:val="center"/>
              <w:rPr>
                <w:rFonts w:cs="Arial"/>
                <w:szCs w:val="24"/>
              </w:rPr>
            </w:pPr>
            <w:r w:rsidRPr="00D24383">
              <w:rPr>
                <w:rFonts w:cs="Arial"/>
                <w:szCs w:val="24"/>
              </w:rPr>
              <w:t>93%</w:t>
            </w:r>
          </w:p>
        </w:tc>
      </w:tr>
      <w:tr w:rsidR="00D24383" w:rsidRPr="00D24383" w14:paraId="20BE386B" w14:textId="77777777" w:rsidTr="00C5604B">
        <w:trPr>
          <w:cantSplit/>
          <w:trHeight w:val="432"/>
        </w:trPr>
        <w:tc>
          <w:tcPr>
            <w:tcW w:w="598" w:type="pct"/>
            <w:vAlign w:val="center"/>
          </w:tcPr>
          <w:p w14:paraId="4904A9A4" w14:textId="4660088C" w:rsidR="00CE5D84" w:rsidRPr="00D24383" w:rsidRDefault="00CE5D84" w:rsidP="00D24383">
            <w:pPr>
              <w:spacing w:before="240" w:after="240"/>
              <w:jc w:val="center"/>
              <w:rPr>
                <w:rFonts w:cs="Arial"/>
                <w:szCs w:val="24"/>
              </w:rPr>
            </w:pPr>
            <w:r w:rsidRPr="00D24383">
              <w:rPr>
                <w:rFonts w:cs="Arial"/>
                <w:szCs w:val="24"/>
              </w:rPr>
              <w:t>2017</w:t>
            </w:r>
            <w:r w:rsidR="00AA3AF7" w:rsidRPr="00D24383">
              <w:rPr>
                <w:rFonts w:cs="Arial"/>
                <w:szCs w:val="24"/>
              </w:rPr>
              <w:t>–</w:t>
            </w:r>
            <w:r w:rsidRPr="00D24383">
              <w:rPr>
                <w:rFonts w:cs="Arial"/>
                <w:szCs w:val="24"/>
              </w:rPr>
              <w:t>18</w:t>
            </w:r>
          </w:p>
        </w:tc>
        <w:tc>
          <w:tcPr>
            <w:tcW w:w="737" w:type="pct"/>
            <w:vAlign w:val="center"/>
          </w:tcPr>
          <w:p w14:paraId="52ECE227" w14:textId="14C37B2C" w:rsidR="00CE5D84" w:rsidRPr="00D24383" w:rsidRDefault="00CE5D84" w:rsidP="00D24383">
            <w:pPr>
              <w:spacing w:before="240" w:after="240"/>
              <w:jc w:val="center"/>
              <w:rPr>
                <w:rFonts w:cs="Arial"/>
                <w:szCs w:val="24"/>
              </w:rPr>
            </w:pPr>
            <w:r w:rsidRPr="00D24383">
              <w:rPr>
                <w:rFonts w:cs="Arial"/>
                <w:szCs w:val="24"/>
              </w:rPr>
              <w:t>$3,561,637</w:t>
            </w:r>
          </w:p>
        </w:tc>
        <w:tc>
          <w:tcPr>
            <w:tcW w:w="933" w:type="pct"/>
            <w:vAlign w:val="center"/>
          </w:tcPr>
          <w:p w14:paraId="64ACC962" w14:textId="625C7732" w:rsidR="00CE5D84" w:rsidRPr="00D24383" w:rsidRDefault="00CE5D84" w:rsidP="00D24383">
            <w:pPr>
              <w:spacing w:before="240" w:after="240"/>
              <w:jc w:val="center"/>
              <w:rPr>
                <w:rFonts w:cs="Arial"/>
                <w:szCs w:val="24"/>
              </w:rPr>
            </w:pPr>
            <w:r w:rsidRPr="00D24383">
              <w:rPr>
                <w:rFonts w:cs="Arial"/>
                <w:szCs w:val="24"/>
              </w:rPr>
              <w:t>919</w:t>
            </w:r>
          </w:p>
        </w:tc>
        <w:tc>
          <w:tcPr>
            <w:tcW w:w="950" w:type="pct"/>
            <w:vAlign w:val="center"/>
          </w:tcPr>
          <w:p w14:paraId="53B69EED" w14:textId="105598B3" w:rsidR="00CE5D84" w:rsidRPr="00D24383" w:rsidRDefault="00CE5D84" w:rsidP="00D24383">
            <w:pPr>
              <w:spacing w:before="240" w:after="240"/>
              <w:jc w:val="center"/>
              <w:rPr>
                <w:rFonts w:cs="Arial"/>
                <w:szCs w:val="24"/>
              </w:rPr>
            </w:pPr>
            <w:r w:rsidRPr="00D24383">
              <w:rPr>
                <w:rFonts w:cs="Arial"/>
                <w:szCs w:val="24"/>
              </w:rPr>
              <w:t>67%</w:t>
            </w:r>
          </w:p>
        </w:tc>
        <w:tc>
          <w:tcPr>
            <w:tcW w:w="924" w:type="pct"/>
            <w:vAlign w:val="center"/>
          </w:tcPr>
          <w:p w14:paraId="1FFBBA46" w14:textId="3ECFD535" w:rsidR="00CE5D84" w:rsidRPr="00D24383" w:rsidRDefault="00CE5D84" w:rsidP="00D24383">
            <w:pPr>
              <w:spacing w:before="240" w:after="240"/>
              <w:jc w:val="center"/>
              <w:rPr>
                <w:rFonts w:cs="Arial"/>
                <w:szCs w:val="24"/>
              </w:rPr>
            </w:pPr>
            <w:r w:rsidRPr="00D24383">
              <w:rPr>
                <w:rFonts w:cs="Arial"/>
                <w:szCs w:val="24"/>
              </w:rPr>
              <w:t>68%</w:t>
            </w:r>
          </w:p>
        </w:tc>
        <w:tc>
          <w:tcPr>
            <w:tcW w:w="857" w:type="pct"/>
            <w:vAlign w:val="center"/>
          </w:tcPr>
          <w:p w14:paraId="1725D08C" w14:textId="46332559" w:rsidR="00CE5D84" w:rsidRPr="00D24383" w:rsidRDefault="00CE5D84" w:rsidP="00D24383">
            <w:pPr>
              <w:spacing w:before="240" w:after="240"/>
              <w:jc w:val="center"/>
              <w:rPr>
                <w:rFonts w:cs="Arial"/>
                <w:szCs w:val="24"/>
              </w:rPr>
            </w:pPr>
            <w:r w:rsidRPr="00D24383">
              <w:rPr>
                <w:rFonts w:cs="Arial"/>
                <w:szCs w:val="24"/>
              </w:rPr>
              <w:t>92%</w:t>
            </w:r>
          </w:p>
        </w:tc>
      </w:tr>
      <w:tr w:rsidR="00D24383" w:rsidRPr="00D24383" w14:paraId="05F1778A" w14:textId="77777777" w:rsidTr="00C5604B">
        <w:trPr>
          <w:cantSplit/>
          <w:trHeight w:val="432"/>
        </w:trPr>
        <w:tc>
          <w:tcPr>
            <w:tcW w:w="598" w:type="pct"/>
            <w:vAlign w:val="center"/>
          </w:tcPr>
          <w:p w14:paraId="3C872522" w14:textId="1A211D3F" w:rsidR="00CE5D84" w:rsidRPr="00D24383" w:rsidRDefault="00CE5D84" w:rsidP="00D24383">
            <w:pPr>
              <w:spacing w:before="240" w:after="240"/>
              <w:jc w:val="center"/>
              <w:rPr>
                <w:rFonts w:cs="Arial"/>
                <w:szCs w:val="24"/>
              </w:rPr>
            </w:pPr>
            <w:r w:rsidRPr="00D24383">
              <w:rPr>
                <w:rFonts w:cs="Arial"/>
                <w:szCs w:val="24"/>
              </w:rPr>
              <w:t>2018</w:t>
            </w:r>
            <w:r w:rsidR="00AA3AF7" w:rsidRPr="00D24383">
              <w:rPr>
                <w:rFonts w:cs="Arial"/>
                <w:szCs w:val="24"/>
              </w:rPr>
              <w:t>–</w:t>
            </w:r>
            <w:r w:rsidRPr="00D24383">
              <w:rPr>
                <w:rFonts w:cs="Arial"/>
                <w:szCs w:val="24"/>
              </w:rPr>
              <w:t>19</w:t>
            </w:r>
          </w:p>
        </w:tc>
        <w:tc>
          <w:tcPr>
            <w:tcW w:w="737" w:type="pct"/>
            <w:vAlign w:val="center"/>
          </w:tcPr>
          <w:p w14:paraId="27A84F09" w14:textId="2A58F1B2" w:rsidR="00CE5D84" w:rsidRPr="00D24383" w:rsidRDefault="00CE5D84" w:rsidP="00D24383">
            <w:pPr>
              <w:spacing w:before="240" w:after="240"/>
              <w:jc w:val="center"/>
              <w:rPr>
                <w:rFonts w:cs="Arial"/>
                <w:szCs w:val="24"/>
              </w:rPr>
            </w:pPr>
            <w:r w:rsidRPr="00D24383">
              <w:rPr>
                <w:rFonts w:cs="Arial"/>
                <w:szCs w:val="24"/>
              </w:rPr>
              <w:t>$3,843,939</w:t>
            </w:r>
          </w:p>
        </w:tc>
        <w:tc>
          <w:tcPr>
            <w:tcW w:w="933" w:type="pct"/>
            <w:vAlign w:val="center"/>
          </w:tcPr>
          <w:p w14:paraId="7EECE342" w14:textId="7E93A5D1" w:rsidR="00CE5D84" w:rsidRPr="00D24383" w:rsidRDefault="00CE5D84" w:rsidP="00D24383">
            <w:pPr>
              <w:spacing w:before="240" w:after="240"/>
              <w:jc w:val="center"/>
              <w:rPr>
                <w:rFonts w:cs="Arial"/>
                <w:szCs w:val="24"/>
              </w:rPr>
            </w:pPr>
            <w:r w:rsidRPr="00D24383">
              <w:rPr>
                <w:rFonts w:cs="Arial"/>
                <w:szCs w:val="24"/>
              </w:rPr>
              <w:t>985</w:t>
            </w:r>
          </w:p>
        </w:tc>
        <w:tc>
          <w:tcPr>
            <w:tcW w:w="950" w:type="pct"/>
            <w:vAlign w:val="center"/>
          </w:tcPr>
          <w:p w14:paraId="60D756C2" w14:textId="014D3F16" w:rsidR="00CE5D84" w:rsidRPr="00D24383" w:rsidRDefault="00CE5D84" w:rsidP="00D24383">
            <w:pPr>
              <w:spacing w:before="240" w:after="240"/>
              <w:jc w:val="center"/>
              <w:rPr>
                <w:rFonts w:cs="Arial"/>
                <w:szCs w:val="24"/>
              </w:rPr>
            </w:pPr>
            <w:r w:rsidRPr="00D24383">
              <w:rPr>
                <w:rFonts w:cs="Arial"/>
                <w:szCs w:val="24"/>
              </w:rPr>
              <w:t>68%</w:t>
            </w:r>
          </w:p>
        </w:tc>
        <w:tc>
          <w:tcPr>
            <w:tcW w:w="924" w:type="pct"/>
            <w:vAlign w:val="center"/>
          </w:tcPr>
          <w:p w14:paraId="40282D03" w14:textId="0B79E1B9" w:rsidR="00CE5D84" w:rsidRPr="00D24383" w:rsidRDefault="00CE5D84" w:rsidP="00D24383">
            <w:pPr>
              <w:spacing w:before="240" w:after="240"/>
              <w:jc w:val="center"/>
              <w:rPr>
                <w:rFonts w:cs="Arial"/>
                <w:szCs w:val="24"/>
              </w:rPr>
            </w:pPr>
            <w:r w:rsidRPr="00D24383">
              <w:rPr>
                <w:rFonts w:cs="Arial"/>
                <w:szCs w:val="24"/>
              </w:rPr>
              <w:t>70%</w:t>
            </w:r>
          </w:p>
        </w:tc>
        <w:tc>
          <w:tcPr>
            <w:tcW w:w="857" w:type="pct"/>
            <w:vAlign w:val="center"/>
          </w:tcPr>
          <w:p w14:paraId="6053B271" w14:textId="5DD5288F" w:rsidR="00CE5D84" w:rsidRPr="00D24383" w:rsidRDefault="00CE5D84" w:rsidP="00D24383">
            <w:pPr>
              <w:spacing w:before="240" w:after="240"/>
              <w:jc w:val="center"/>
              <w:rPr>
                <w:rFonts w:cs="Arial"/>
                <w:szCs w:val="24"/>
              </w:rPr>
            </w:pPr>
            <w:r w:rsidRPr="00D24383">
              <w:rPr>
                <w:rFonts w:cs="Arial"/>
                <w:szCs w:val="24"/>
              </w:rPr>
              <w:t>95%</w:t>
            </w:r>
          </w:p>
        </w:tc>
      </w:tr>
      <w:tr w:rsidR="00D24383" w:rsidRPr="00D24383" w14:paraId="7CFED757" w14:textId="77777777" w:rsidTr="00C5604B">
        <w:trPr>
          <w:cantSplit/>
          <w:trHeight w:val="432"/>
        </w:trPr>
        <w:tc>
          <w:tcPr>
            <w:tcW w:w="598" w:type="pct"/>
            <w:vAlign w:val="center"/>
          </w:tcPr>
          <w:p w14:paraId="1B839E7C" w14:textId="57423F4C" w:rsidR="00CE5D84" w:rsidRPr="00D24383" w:rsidRDefault="00CE5D84" w:rsidP="00D24383">
            <w:pPr>
              <w:spacing w:before="240" w:after="240"/>
              <w:jc w:val="center"/>
              <w:rPr>
                <w:rFonts w:cs="Arial"/>
                <w:szCs w:val="24"/>
              </w:rPr>
            </w:pPr>
            <w:r w:rsidRPr="00D24383">
              <w:rPr>
                <w:rFonts w:cs="Arial"/>
                <w:szCs w:val="24"/>
              </w:rPr>
              <w:t>2019</w:t>
            </w:r>
            <w:r w:rsidR="00AA3AF7" w:rsidRPr="00D24383">
              <w:rPr>
                <w:rFonts w:cs="Arial"/>
                <w:szCs w:val="24"/>
              </w:rPr>
              <w:t>–</w:t>
            </w:r>
            <w:r w:rsidRPr="00D24383">
              <w:rPr>
                <w:rFonts w:cs="Arial"/>
                <w:szCs w:val="24"/>
              </w:rPr>
              <w:t>20</w:t>
            </w:r>
          </w:p>
        </w:tc>
        <w:tc>
          <w:tcPr>
            <w:tcW w:w="737" w:type="pct"/>
            <w:vAlign w:val="center"/>
          </w:tcPr>
          <w:p w14:paraId="2363BB1D" w14:textId="313D01AC" w:rsidR="00CE5D84" w:rsidRPr="00D24383" w:rsidRDefault="00CE5D84" w:rsidP="00D24383">
            <w:pPr>
              <w:spacing w:before="240" w:after="240"/>
              <w:jc w:val="center"/>
              <w:rPr>
                <w:rFonts w:cs="Arial"/>
                <w:szCs w:val="24"/>
              </w:rPr>
            </w:pPr>
            <w:r w:rsidRPr="00D24383">
              <w:rPr>
                <w:rFonts w:cs="Arial"/>
                <w:szCs w:val="24"/>
              </w:rPr>
              <w:t>$4,393,000</w:t>
            </w:r>
          </w:p>
        </w:tc>
        <w:tc>
          <w:tcPr>
            <w:tcW w:w="933" w:type="pct"/>
            <w:vAlign w:val="center"/>
          </w:tcPr>
          <w:p w14:paraId="440E06A0" w14:textId="30E5FF21" w:rsidR="00CE5D84" w:rsidRPr="00D24383" w:rsidRDefault="00CE5D84" w:rsidP="00D24383">
            <w:pPr>
              <w:spacing w:before="240" w:after="240"/>
              <w:jc w:val="center"/>
              <w:rPr>
                <w:rFonts w:cs="Arial"/>
                <w:szCs w:val="24"/>
              </w:rPr>
            </w:pPr>
            <w:r w:rsidRPr="00D24383">
              <w:rPr>
                <w:rFonts w:cs="Arial"/>
                <w:szCs w:val="24"/>
              </w:rPr>
              <w:t>*</w:t>
            </w:r>
          </w:p>
        </w:tc>
        <w:tc>
          <w:tcPr>
            <w:tcW w:w="950" w:type="pct"/>
            <w:vAlign w:val="center"/>
          </w:tcPr>
          <w:p w14:paraId="6920FFB7" w14:textId="02796D2F" w:rsidR="00CE5D84" w:rsidRPr="00D24383" w:rsidRDefault="00CE5D84" w:rsidP="00D24383">
            <w:pPr>
              <w:spacing w:before="240" w:after="240"/>
              <w:jc w:val="center"/>
              <w:rPr>
                <w:rFonts w:cs="Arial"/>
                <w:szCs w:val="24"/>
              </w:rPr>
            </w:pPr>
            <w:r w:rsidRPr="00D24383">
              <w:rPr>
                <w:rFonts w:cs="Arial"/>
                <w:szCs w:val="24"/>
              </w:rPr>
              <w:t>*</w:t>
            </w:r>
          </w:p>
        </w:tc>
        <w:tc>
          <w:tcPr>
            <w:tcW w:w="924" w:type="pct"/>
            <w:vAlign w:val="center"/>
          </w:tcPr>
          <w:p w14:paraId="31FEF649" w14:textId="075E4F89" w:rsidR="00CE5D84" w:rsidRPr="00D24383" w:rsidRDefault="00CE5D84" w:rsidP="00D24383">
            <w:pPr>
              <w:spacing w:before="240" w:after="240"/>
              <w:jc w:val="center"/>
              <w:rPr>
                <w:rFonts w:cs="Arial"/>
                <w:szCs w:val="24"/>
              </w:rPr>
            </w:pPr>
            <w:r w:rsidRPr="00D24383">
              <w:rPr>
                <w:rFonts w:cs="Arial"/>
                <w:szCs w:val="24"/>
              </w:rPr>
              <w:t>*</w:t>
            </w:r>
          </w:p>
        </w:tc>
        <w:tc>
          <w:tcPr>
            <w:tcW w:w="857" w:type="pct"/>
            <w:vAlign w:val="center"/>
          </w:tcPr>
          <w:p w14:paraId="1D3B0A17" w14:textId="481DFBBC" w:rsidR="00CE5D84" w:rsidRPr="00D24383" w:rsidRDefault="00CE5D84" w:rsidP="00D24383">
            <w:pPr>
              <w:spacing w:before="240" w:after="240"/>
              <w:jc w:val="center"/>
              <w:rPr>
                <w:rFonts w:cs="Arial"/>
                <w:szCs w:val="24"/>
              </w:rPr>
            </w:pPr>
            <w:r w:rsidRPr="00D24383">
              <w:rPr>
                <w:rFonts w:cs="Arial"/>
                <w:szCs w:val="24"/>
              </w:rPr>
              <w:t>*</w:t>
            </w:r>
          </w:p>
        </w:tc>
      </w:tr>
    </w:tbl>
    <w:p w14:paraId="6030FE91" w14:textId="25363688" w:rsidR="003F2F1C" w:rsidRDefault="00C9574A" w:rsidP="00D24383">
      <w:pPr>
        <w:spacing w:before="240"/>
        <w:rPr>
          <w:rFonts w:cs="Arial"/>
          <w:szCs w:val="24"/>
        </w:rPr>
      </w:pPr>
      <w:r w:rsidRPr="00D24383">
        <w:rPr>
          <w:rFonts w:cs="Arial"/>
          <w:szCs w:val="24"/>
        </w:rPr>
        <w:t>The AIECs offer a variety of services</w:t>
      </w:r>
      <w:r w:rsidR="009206B0">
        <w:rPr>
          <w:rFonts w:cs="Arial"/>
          <w:szCs w:val="24"/>
        </w:rPr>
        <w:t>,</w:t>
      </w:r>
      <w:r w:rsidRPr="00D24383">
        <w:rPr>
          <w:rFonts w:cs="Arial"/>
          <w:szCs w:val="24"/>
        </w:rPr>
        <w:t xml:space="preserve"> ranging from tutoring to cultural</w:t>
      </w:r>
      <w:r w:rsidR="0040336F">
        <w:rPr>
          <w:rFonts w:cs="Arial"/>
          <w:szCs w:val="24"/>
        </w:rPr>
        <w:t xml:space="preserve"> education</w:t>
      </w:r>
      <w:r w:rsidRPr="00D24383">
        <w:rPr>
          <w:rFonts w:cs="Arial"/>
          <w:szCs w:val="24"/>
        </w:rPr>
        <w:t xml:space="preserve"> to leadership. Each AIEC tailors </w:t>
      </w:r>
      <w:r w:rsidR="0078221C">
        <w:rPr>
          <w:rFonts w:cs="Arial"/>
          <w:szCs w:val="24"/>
        </w:rPr>
        <w:t>its</w:t>
      </w:r>
      <w:r w:rsidRPr="00D24383">
        <w:rPr>
          <w:rFonts w:cs="Arial"/>
          <w:szCs w:val="24"/>
        </w:rPr>
        <w:t xml:space="preserve"> services to meet the needs of </w:t>
      </w:r>
      <w:r w:rsidR="0078221C">
        <w:rPr>
          <w:rFonts w:cs="Arial"/>
          <w:szCs w:val="24"/>
        </w:rPr>
        <w:t>its</w:t>
      </w:r>
      <w:r w:rsidRPr="00D24383">
        <w:rPr>
          <w:rFonts w:cs="Arial"/>
          <w:szCs w:val="24"/>
        </w:rPr>
        <w:t xml:space="preserve"> local communities. Table </w:t>
      </w:r>
      <w:r w:rsidR="00AA3AF7" w:rsidRPr="00D24383">
        <w:rPr>
          <w:rFonts w:cs="Arial"/>
          <w:szCs w:val="24"/>
        </w:rPr>
        <w:t>8</w:t>
      </w:r>
      <w:r w:rsidRPr="00D24383">
        <w:rPr>
          <w:rFonts w:cs="Arial"/>
          <w:szCs w:val="24"/>
        </w:rPr>
        <w:t xml:space="preserve"> lists the categories of services and the number of students who received these services during the regular school year. </w:t>
      </w:r>
      <w:r w:rsidR="000649DE">
        <w:rPr>
          <w:rFonts w:cs="Arial"/>
          <w:szCs w:val="24"/>
        </w:rPr>
        <w:t>Individual students</w:t>
      </w:r>
      <w:r w:rsidR="00AB2661">
        <w:rPr>
          <w:rFonts w:cs="Arial"/>
          <w:szCs w:val="24"/>
        </w:rPr>
        <w:t xml:space="preserve"> may </w:t>
      </w:r>
      <w:proofErr w:type="gramStart"/>
      <w:r w:rsidR="00AB2661">
        <w:rPr>
          <w:rFonts w:cs="Arial"/>
          <w:szCs w:val="24"/>
        </w:rPr>
        <w:t>be counted</w:t>
      </w:r>
      <w:proofErr w:type="gramEnd"/>
      <w:r w:rsidR="00AB2661">
        <w:rPr>
          <w:rFonts w:cs="Arial"/>
          <w:szCs w:val="24"/>
        </w:rPr>
        <w:t xml:space="preserve"> in more than one </w:t>
      </w:r>
      <w:r w:rsidR="000649DE">
        <w:rPr>
          <w:rFonts w:cs="Arial"/>
          <w:szCs w:val="24"/>
        </w:rPr>
        <w:t>service category.</w:t>
      </w:r>
      <w:r w:rsidR="003F2F1C">
        <w:rPr>
          <w:rFonts w:cs="Arial"/>
          <w:szCs w:val="24"/>
        </w:rPr>
        <w:br w:type="page"/>
      </w:r>
    </w:p>
    <w:p w14:paraId="31341DFD" w14:textId="170D96D4" w:rsidR="008C37E1" w:rsidRDefault="008C37E1" w:rsidP="00D24383">
      <w:pPr>
        <w:spacing w:before="240"/>
        <w:rPr>
          <w:rFonts w:cs="Arial"/>
          <w:b/>
          <w:szCs w:val="24"/>
        </w:rPr>
      </w:pPr>
      <w:r w:rsidRPr="00D24383">
        <w:rPr>
          <w:rFonts w:cs="Arial"/>
          <w:b/>
          <w:szCs w:val="24"/>
        </w:rPr>
        <w:lastRenderedPageBreak/>
        <w:t xml:space="preserve">Table 8: Types of </w:t>
      </w:r>
      <w:r w:rsidR="00D64BB7" w:rsidRPr="00D24383">
        <w:rPr>
          <w:rFonts w:cs="Arial"/>
          <w:b/>
          <w:szCs w:val="24"/>
        </w:rPr>
        <w:t xml:space="preserve">School Year </w:t>
      </w:r>
      <w:r w:rsidRPr="00D24383">
        <w:rPr>
          <w:rFonts w:cs="Arial"/>
          <w:b/>
          <w:szCs w:val="24"/>
        </w:rPr>
        <w:t>Services and Number of Students Receiving Services for All AIECs</w:t>
      </w:r>
      <w:r w:rsidR="00F75853" w:rsidRPr="00D24383">
        <w:rPr>
          <w:rFonts w:cs="Arial"/>
          <w:b/>
          <w:szCs w:val="24"/>
        </w:rPr>
        <w:t xml:space="preserve">, </w:t>
      </w:r>
      <w:r w:rsidR="008060C6" w:rsidRPr="00D24383">
        <w:rPr>
          <w:rFonts w:cs="Arial"/>
          <w:b/>
          <w:szCs w:val="24"/>
        </w:rPr>
        <w:t>in</w:t>
      </w:r>
      <w:r w:rsidR="00AA3AF7" w:rsidRPr="00D24383">
        <w:rPr>
          <w:rFonts w:cs="Arial"/>
          <w:b/>
          <w:szCs w:val="24"/>
        </w:rPr>
        <w:t xml:space="preserve"> </w:t>
      </w:r>
      <w:r w:rsidR="00F75853" w:rsidRPr="00D24383">
        <w:rPr>
          <w:rFonts w:cs="Arial"/>
          <w:b/>
          <w:szCs w:val="24"/>
        </w:rPr>
        <w:t>2015–20</w:t>
      </w:r>
      <w:r w:rsidR="00BC72EA">
        <w:rPr>
          <w:rStyle w:val="FootnoteReference"/>
          <w:rFonts w:cs="Arial"/>
          <w:b/>
          <w:szCs w:val="24"/>
        </w:rPr>
        <w:footnoteReference w:id="31"/>
      </w:r>
    </w:p>
    <w:p w14:paraId="7F6006BF" w14:textId="15C3A1D7" w:rsidR="003F2F1C" w:rsidRPr="003F2F1C" w:rsidRDefault="003F2F1C" w:rsidP="00D24383">
      <w:pPr>
        <w:spacing w:before="240"/>
        <w:rPr>
          <w:rFonts w:cs="Arial"/>
          <w:szCs w:val="24"/>
        </w:rPr>
      </w:pPr>
      <w:r w:rsidRPr="00D24383">
        <w:rPr>
          <w:rFonts w:cs="Arial"/>
          <w:szCs w:val="24"/>
        </w:rPr>
        <w:t>*</w:t>
      </w:r>
      <w:r>
        <w:rPr>
          <w:rFonts w:cs="Arial"/>
          <w:szCs w:val="24"/>
        </w:rPr>
        <w:t xml:space="preserve"> </w:t>
      </w:r>
      <w:r w:rsidRPr="00D24383">
        <w:rPr>
          <w:rFonts w:cs="Arial"/>
          <w:szCs w:val="24"/>
        </w:rPr>
        <w:t>The COVID-19 pandemic and subsequent stay-at-home order, including Governor Newsom’s Executive Order N-26-20</w:t>
      </w:r>
      <w:r>
        <w:rPr>
          <w:rFonts w:cs="Arial"/>
          <w:szCs w:val="24"/>
        </w:rPr>
        <w:t>,</w:t>
      </w:r>
      <w:r w:rsidRPr="00D24383">
        <w:rPr>
          <w:rFonts w:cs="Arial"/>
          <w:szCs w:val="24"/>
        </w:rPr>
        <w:t xml:space="preserve"> which closed schools in California, the 2019–20 AIEC data collection </w:t>
      </w:r>
      <w:proofErr w:type="gramStart"/>
      <w:r w:rsidRPr="00D24383">
        <w:rPr>
          <w:rFonts w:cs="Arial"/>
          <w:szCs w:val="24"/>
        </w:rPr>
        <w:t>was suspended</w:t>
      </w:r>
      <w:proofErr w:type="gramEnd"/>
      <w:r w:rsidRPr="00D24383">
        <w:rPr>
          <w:rFonts w:cs="Arial"/>
          <w:szCs w:val="24"/>
        </w:rPr>
        <w:t>.</w:t>
      </w:r>
    </w:p>
    <w:tbl>
      <w:tblPr>
        <w:tblStyle w:val="TableGrid"/>
        <w:tblW w:w="0" w:type="auto"/>
        <w:tblLook w:val="04A0" w:firstRow="1" w:lastRow="0" w:firstColumn="1" w:lastColumn="0" w:noHBand="0" w:noVBand="1"/>
        <w:tblDescription w:val="This table contains the Types of School Year Services and Number of Students Receiving Services for All AIECs between the years 2015–20."/>
      </w:tblPr>
      <w:tblGrid>
        <w:gridCol w:w="3456"/>
        <w:gridCol w:w="1151"/>
        <w:gridCol w:w="1151"/>
        <w:gridCol w:w="1151"/>
        <w:gridCol w:w="1151"/>
        <w:gridCol w:w="1151"/>
      </w:tblGrid>
      <w:tr w:rsidR="00D24383" w:rsidRPr="00D24383" w14:paraId="6071EB02" w14:textId="77777777" w:rsidTr="00C5604B">
        <w:trPr>
          <w:cantSplit/>
          <w:trHeight w:val="432"/>
          <w:tblHeader/>
        </w:trPr>
        <w:tc>
          <w:tcPr>
            <w:tcW w:w="3456" w:type="dxa"/>
            <w:shd w:val="clear" w:color="auto" w:fill="D9D9D9" w:themeFill="background1" w:themeFillShade="D9"/>
            <w:vAlign w:val="center"/>
          </w:tcPr>
          <w:p w14:paraId="1B8F43A5" w14:textId="4AD8EC9B" w:rsidR="008C37E1" w:rsidRPr="00D24383" w:rsidRDefault="00F75853" w:rsidP="00D24383">
            <w:pPr>
              <w:spacing w:before="240" w:after="240"/>
              <w:jc w:val="center"/>
              <w:rPr>
                <w:rFonts w:cs="Arial"/>
                <w:b/>
                <w:szCs w:val="24"/>
              </w:rPr>
            </w:pPr>
            <w:r w:rsidRPr="00D24383">
              <w:rPr>
                <w:rFonts w:cs="Arial"/>
                <w:b/>
                <w:szCs w:val="24"/>
              </w:rPr>
              <w:t>Type of Services</w:t>
            </w:r>
          </w:p>
        </w:tc>
        <w:tc>
          <w:tcPr>
            <w:tcW w:w="0" w:type="auto"/>
            <w:shd w:val="clear" w:color="auto" w:fill="D9D9D9" w:themeFill="background1" w:themeFillShade="D9"/>
            <w:vAlign w:val="center"/>
          </w:tcPr>
          <w:p w14:paraId="6222C77D" w14:textId="2DC6A077" w:rsidR="008C37E1" w:rsidRPr="00D24383" w:rsidRDefault="00F75853" w:rsidP="00D24383">
            <w:pPr>
              <w:spacing w:before="240" w:after="240"/>
              <w:jc w:val="center"/>
              <w:rPr>
                <w:rFonts w:cs="Arial"/>
                <w:b/>
                <w:szCs w:val="24"/>
              </w:rPr>
            </w:pPr>
            <w:r w:rsidRPr="00D24383">
              <w:rPr>
                <w:rFonts w:cs="Arial"/>
                <w:b/>
                <w:szCs w:val="24"/>
              </w:rPr>
              <w:t>2015–16</w:t>
            </w:r>
          </w:p>
        </w:tc>
        <w:tc>
          <w:tcPr>
            <w:tcW w:w="0" w:type="auto"/>
            <w:shd w:val="clear" w:color="auto" w:fill="D9D9D9" w:themeFill="background1" w:themeFillShade="D9"/>
            <w:vAlign w:val="center"/>
          </w:tcPr>
          <w:p w14:paraId="6B4BE93D" w14:textId="560147BE" w:rsidR="008C37E1" w:rsidRPr="00D24383" w:rsidRDefault="00F75853" w:rsidP="00D24383">
            <w:pPr>
              <w:spacing w:before="240" w:after="240"/>
              <w:jc w:val="center"/>
              <w:rPr>
                <w:rFonts w:cs="Arial"/>
                <w:b/>
                <w:szCs w:val="24"/>
              </w:rPr>
            </w:pPr>
            <w:r w:rsidRPr="00D24383">
              <w:rPr>
                <w:rFonts w:cs="Arial"/>
                <w:b/>
                <w:szCs w:val="24"/>
              </w:rPr>
              <w:t>2016–17</w:t>
            </w:r>
          </w:p>
        </w:tc>
        <w:tc>
          <w:tcPr>
            <w:tcW w:w="0" w:type="auto"/>
            <w:shd w:val="clear" w:color="auto" w:fill="D9D9D9" w:themeFill="background1" w:themeFillShade="D9"/>
            <w:vAlign w:val="center"/>
          </w:tcPr>
          <w:p w14:paraId="5A3FB967" w14:textId="1792DE49" w:rsidR="008C37E1" w:rsidRPr="00D24383" w:rsidRDefault="00F75853" w:rsidP="00D24383">
            <w:pPr>
              <w:spacing w:before="240" w:after="240"/>
              <w:jc w:val="center"/>
              <w:rPr>
                <w:rFonts w:cs="Arial"/>
                <w:b/>
                <w:szCs w:val="24"/>
              </w:rPr>
            </w:pPr>
            <w:r w:rsidRPr="00D24383">
              <w:rPr>
                <w:rFonts w:cs="Arial"/>
                <w:b/>
                <w:szCs w:val="24"/>
              </w:rPr>
              <w:t>2017–18</w:t>
            </w:r>
          </w:p>
        </w:tc>
        <w:tc>
          <w:tcPr>
            <w:tcW w:w="0" w:type="auto"/>
            <w:shd w:val="clear" w:color="auto" w:fill="D9D9D9" w:themeFill="background1" w:themeFillShade="D9"/>
            <w:vAlign w:val="center"/>
          </w:tcPr>
          <w:p w14:paraId="59B88227" w14:textId="7AC0D7B7" w:rsidR="008C37E1" w:rsidRPr="00D24383" w:rsidRDefault="00F75853" w:rsidP="00D24383">
            <w:pPr>
              <w:spacing w:before="240" w:after="240"/>
              <w:jc w:val="center"/>
              <w:rPr>
                <w:rFonts w:cs="Arial"/>
                <w:b/>
                <w:szCs w:val="24"/>
              </w:rPr>
            </w:pPr>
            <w:r w:rsidRPr="00D24383">
              <w:rPr>
                <w:rFonts w:cs="Arial"/>
                <w:b/>
                <w:szCs w:val="24"/>
              </w:rPr>
              <w:t>2018–19</w:t>
            </w:r>
          </w:p>
        </w:tc>
        <w:tc>
          <w:tcPr>
            <w:tcW w:w="0" w:type="auto"/>
            <w:shd w:val="clear" w:color="auto" w:fill="D9D9D9" w:themeFill="background1" w:themeFillShade="D9"/>
            <w:vAlign w:val="center"/>
          </w:tcPr>
          <w:p w14:paraId="1665F4ED" w14:textId="3774937F" w:rsidR="008C37E1" w:rsidRPr="00D24383" w:rsidRDefault="00F75853" w:rsidP="00D24383">
            <w:pPr>
              <w:spacing w:before="240" w:after="240"/>
              <w:jc w:val="center"/>
              <w:rPr>
                <w:rFonts w:cs="Arial"/>
                <w:b/>
                <w:szCs w:val="24"/>
              </w:rPr>
            </w:pPr>
            <w:r w:rsidRPr="00D24383">
              <w:rPr>
                <w:rFonts w:cs="Arial"/>
                <w:b/>
                <w:szCs w:val="24"/>
              </w:rPr>
              <w:t>2019–20</w:t>
            </w:r>
          </w:p>
        </w:tc>
      </w:tr>
      <w:tr w:rsidR="00D24383" w:rsidRPr="00D24383" w14:paraId="2126B3A0" w14:textId="77777777" w:rsidTr="00C5604B">
        <w:trPr>
          <w:cantSplit/>
          <w:trHeight w:val="432"/>
        </w:trPr>
        <w:tc>
          <w:tcPr>
            <w:tcW w:w="3456" w:type="dxa"/>
            <w:vAlign w:val="center"/>
          </w:tcPr>
          <w:p w14:paraId="0D518D70" w14:textId="0ABE1CC7" w:rsidR="008C37E1" w:rsidRPr="00D24383" w:rsidRDefault="00F75853" w:rsidP="00D24383">
            <w:pPr>
              <w:spacing w:before="240" w:after="240"/>
              <w:jc w:val="center"/>
              <w:rPr>
                <w:rFonts w:cs="Arial"/>
                <w:szCs w:val="24"/>
              </w:rPr>
            </w:pPr>
            <w:r w:rsidRPr="00D24383">
              <w:rPr>
                <w:rFonts w:cs="Arial"/>
                <w:szCs w:val="24"/>
              </w:rPr>
              <w:t>In-Class</w:t>
            </w:r>
          </w:p>
        </w:tc>
        <w:tc>
          <w:tcPr>
            <w:tcW w:w="0" w:type="auto"/>
            <w:vAlign w:val="center"/>
          </w:tcPr>
          <w:p w14:paraId="0CABAFC6" w14:textId="135514E8" w:rsidR="008C37E1" w:rsidRPr="00D24383" w:rsidRDefault="00F75853" w:rsidP="00D24383">
            <w:pPr>
              <w:spacing w:before="240" w:after="240"/>
              <w:jc w:val="center"/>
              <w:rPr>
                <w:rFonts w:cs="Arial"/>
                <w:szCs w:val="24"/>
              </w:rPr>
            </w:pPr>
            <w:r w:rsidRPr="00D24383">
              <w:rPr>
                <w:rFonts w:cs="Arial"/>
                <w:szCs w:val="24"/>
              </w:rPr>
              <w:t>115</w:t>
            </w:r>
          </w:p>
        </w:tc>
        <w:tc>
          <w:tcPr>
            <w:tcW w:w="0" w:type="auto"/>
            <w:vAlign w:val="center"/>
          </w:tcPr>
          <w:p w14:paraId="3182E73E" w14:textId="17D8B483" w:rsidR="008C37E1" w:rsidRPr="00D24383" w:rsidRDefault="00F75853" w:rsidP="00D24383">
            <w:pPr>
              <w:spacing w:before="240" w:after="240"/>
              <w:jc w:val="center"/>
              <w:rPr>
                <w:rFonts w:cs="Arial"/>
                <w:szCs w:val="24"/>
              </w:rPr>
            </w:pPr>
            <w:r w:rsidRPr="00D24383">
              <w:rPr>
                <w:rFonts w:cs="Arial"/>
                <w:szCs w:val="24"/>
              </w:rPr>
              <w:t>166</w:t>
            </w:r>
          </w:p>
        </w:tc>
        <w:tc>
          <w:tcPr>
            <w:tcW w:w="0" w:type="auto"/>
            <w:vAlign w:val="center"/>
          </w:tcPr>
          <w:p w14:paraId="05EE04BA" w14:textId="16B740A2" w:rsidR="008C37E1" w:rsidRPr="00D24383" w:rsidRDefault="00F75853" w:rsidP="00D24383">
            <w:pPr>
              <w:spacing w:before="240" w:after="240"/>
              <w:jc w:val="center"/>
              <w:rPr>
                <w:rFonts w:cs="Arial"/>
                <w:szCs w:val="24"/>
              </w:rPr>
            </w:pPr>
            <w:r w:rsidRPr="00D24383">
              <w:rPr>
                <w:rFonts w:cs="Arial"/>
                <w:szCs w:val="24"/>
              </w:rPr>
              <w:t>256</w:t>
            </w:r>
          </w:p>
        </w:tc>
        <w:tc>
          <w:tcPr>
            <w:tcW w:w="0" w:type="auto"/>
            <w:vAlign w:val="center"/>
          </w:tcPr>
          <w:p w14:paraId="173806D3" w14:textId="401279D3" w:rsidR="008C37E1" w:rsidRPr="00D24383" w:rsidRDefault="00F75853" w:rsidP="00D24383">
            <w:pPr>
              <w:spacing w:before="240" w:after="240"/>
              <w:jc w:val="center"/>
              <w:rPr>
                <w:rFonts w:cs="Arial"/>
                <w:szCs w:val="24"/>
              </w:rPr>
            </w:pPr>
            <w:r w:rsidRPr="00D24383">
              <w:rPr>
                <w:rFonts w:cs="Arial"/>
                <w:szCs w:val="24"/>
              </w:rPr>
              <w:t>226</w:t>
            </w:r>
          </w:p>
        </w:tc>
        <w:tc>
          <w:tcPr>
            <w:tcW w:w="0" w:type="auto"/>
            <w:vAlign w:val="center"/>
          </w:tcPr>
          <w:p w14:paraId="5B6A896B" w14:textId="1FD87B48" w:rsidR="008C37E1" w:rsidRPr="00D24383" w:rsidRDefault="00F75853" w:rsidP="00D24383">
            <w:pPr>
              <w:spacing w:before="240" w:after="240"/>
              <w:jc w:val="center"/>
              <w:rPr>
                <w:rFonts w:cs="Arial"/>
                <w:szCs w:val="24"/>
              </w:rPr>
            </w:pPr>
            <w:r w:rsidRPr="00D24383">
              <w:rPr>
                <w:rFonts w:cs="Arial"/>
                <w:szCs w:val="24"/>
              </w:rPr>
              <w:t>*</w:t>
            </w:r>
          </w:p>
        </w:tc>
      </w:tr>
      <w:tr w:rsidR="00D24383" w:rsidRPr="00D24383" w14:paraId="7C2653E3" w14:textId="77777777" w:rsidTr="00C5604B">
        <w:trPr>
          <w:cantSplit/>
          <w:trHeight w:val="432"/>
        </w:trPr>
        <w:tc>
          <w:tcPr>
            <w:tcW w:w="3456" w:type="dxa"/>
            <w:vAlign w:val="center"/>
          </w:tcPr>
          <w:p w14:paraId="64C5CE39" w14:textId="25F9ABAC" w:rsidR="008C37E1" w:rsidRPr="00D24383" w:rsidRDefault="00F75853" w:rsidP="00D24383">
            <w:pPr>
              <w:spacing w:before="240" w:after="240"/>
              <w:jc w:val="center"/>
              <w:rPr>
                <w:rFonts w:cs="Arial"/>
                <w:szCs w:val="24"/>
              </w:rPr>
            </w:pPr>
            <w:r w:rsidRPr="00D24383">
              <w:rPr>
                <w:rFonts w:cs="Arial"/>
                <w:szCs w:val="24"/>
              </w:rPr>
              <w:t>One-on-One and Small Group Tutoring Hours</w:t>
            </w:r>
          </w:p>
        </w:tc>
        <w:tc>
          <w:tcPr>
            <w:tcW w:w="0" w:type="auto"/>
            <w:vAlign w:val="center"/>
          </w:tcPr>
          <w:p w14:paraId="13855D64" w14:textId="10A57460" w:rsidR="008C37E1" w:rsidRPr="00D24383" w:rsidRDefault="00F75853" w:rsidP="00D24383">
            <w:pPr>
              <w:spacing w:before="240" w:after="240"/>
              <w:jc w:val="center"/>
              <w:rPr>
                <w:rFonts w:cs="Arial"/>
                <w:szCs w:val="24"/>
              </w:rPr>
            </w:pPr>
            <w:r w:rsidRPr="00D24383">
              <w:rPr>
                <w:rFonts w:cs="Arial"/>
                <w:szCs w:val="24"/>
              </w:rPr>
              <w:t>967</w:t>
            </w:r>
          </w:p>
        </w:tc>
        <w:tc>
          <w:tcPr>
            <w:tcW w:w="0" w:type="auto"/>
            <w:vAlign w:val="center"/>
          </w:tcPr>
          <w:p w14:paraId="7E5C8264" w14:textId="624C35F8" w:rsidR="008C37E1" w:rsidRPr="00D24383" w:rsidRDefault="00F75853" w:rsidP="00D24383">
            <w:pPr>
              <w:spacing w:before="240" w:after="240"/>
              <w:jc w:val="center"/>
              <w:rPr>
                <w:rFonts w:cs="Arial"/>
                <w:szCs w:val="24"/>
              </w:rPr>
            </w:pPr>
            <w:r w:rsidRPr="00D24383">
              <w:rPr>
                <w:rFonts w:cs="Arial"/>
                <w:szCs w:val="24"/>
              </w:rPr>
              <w:t>833</w:t>
            </w:r>
          </w:p>
        </w:tc>
        <w:tc>
          <w:tcPr>
            <w:tcW w:w="0" w:type="auto"/>
            <w:vAlign w:val="center"/>
          </w:tcPr>
          <w:p w14:paraId="3E0337F4" w14:textId="62B392AC" w:rsidR="008C37E1" w:rsidRPr="00D24383" w:rsidRDefault="00F75853" w:rsidP="00D24383">
            <w:pPr>
              <w:spacing w:before="240" w:after="240"/>
              <w:jc w:val="center"/>
              <w:rPr>
                <w:rFonts w:cs="Arial"/>
                <w:szCs w:val="24"/>
              </w:rPr>
            </w:pPr>
            <w:r w:rsidRPr="00D24383">
              <w:rPr>
                <w:rFonts w:cs="Arial"/>
                <w:szCs w:val="24"/>
              </w:rPr>
              <w:t>651</w:t>
            </w:r>
          </w:p>
        </w:tc>
        <w:tc>
          <w:tcPr>
            <w:tcW w:w="0" w:type="auto"/>
            <w:vAlign w:val="center"/>
          </w:tcPr>
          <w:p w14:paraId="1C866EC6" w14:textId="49FCE9B6" w:rsidR="008C37E1" w:rsidRPr="00D24383" w:rsidRDefault="00F75853" w:rsidP="00D24383">
            <w:pPr>
              <w:spacing w:before="240" w:after="240"/>
              <w:jc w:val="center"/>
              <w:rPr>
                <w:rFonts w:cs="Arial"/>
                <w:szCs w:val="24"/>
              </w:rPr>
            </w:pPr>
            <w:r w:rsidRPr="00D24383">
              <w:rPr>
                <w:rFonts w:cs="Arial"/>
                <w:szCs w:val="24"/>
              </w:rPr>
              <w:t>750</w:t>
            </w:r>
          </w:p>
        </w:tc>
        <w:tc>
          <w:tcPr>
            <w:tcW w:w="0" w:type="auto"/>
            <w:vAlign w:val="center"/>
          </w:tcPr>
          <w:p w14:paraId="6C546151" w14:textId="34D3705F" w:rsidR="008C37E1" w:rsidRPr="00D24383" w:rsidRDefault="00F75853" w:rsidP="00D24383">
            <w:pPr>
              <w:spacing w:before="240" w:after="240"/>
              <w:jc w:val="center"/>
              <w:rPr>
                <w:rFonts w:cs="Arial"/>
                <w:szCs w:val="24"/>
              </w:rPr>
            </w:pPr>
            <w:r w:rsidRPr="00D24383">
              <w:rPr>
                <w:rFonts w:cs="Arial"/>
                <w:szCs w:val="24"/>
              </w:rPr>
              <w:t>*</w:t>
            </w:r>
          </w:p>
        </w:tc>
      </w:tr>
      <w:tr w:rsidR="00D24383" w:rsidRPr="00D24383" w14:paraId="657FB77D" w14:textId="77777777" w:rsidTr="00C5604B">
        <w:trPr>
          <w:cantSplit/>
          <w:trHeight w:val="432"/>
        </w:trPr>
        <w:tc>
          <w:tcPr>
            <w:tcW w:w="3456" w:type="dxa"/>
            <w:vAlign w:val="center"/>
          </w:tcPr>
          <w:p w14:paraId="656D2838" w14:textId="312F97F3" w:rsidR="008C37E1" w:rsidRPr="00D24383" w:rsidRDefault="00F75853" w:rsidP="00D24383">
            <w:pPr>
              <w:spacing w:before="240" w:after="240"/>
              <w:jc w:val="center"/>
              <w:rPr>
                <w:rFonts w:cs="Arial"/>
                <w:szCs w:val="24"/>
              </w:rPr>
            </w:pPr>
            <w:r w:rsidRPr="00D24383">
              <w:rPr>
                <w:rFonts w:cs="Arial"/>
                <w:szCs w:val="24"/>
              </w:rPr>
              <w:t>Large Group Tutoring Hours</w:t>
            </w:r>
          </w:p>
        </w:tc>
        <w:tc>
          <w:tcPr>
            <w:tcW w:w="0" w:type="auto"/>
            <w:vAlign w:val="center"/>
          </w:tcPr>
          <w:p w14:paraId="27ACD6D2" w14:textId="346D627B" w:rsidR="008C37E1" w:rsidRPr="00D24383" w:rsidRDefault="00F75853" w:rsidP="00D24383">
            <w:pPr>
              <w:spacing w:before="240" w:after="240"/>
              <w:jc w:val="center"/>
              <w:rPr>
                <w:rFonts w:cs="Arial"/>
                <w:szCs w:val="24"/>
              </w:rPr>
            </w:pPr>
            <w:r w:rsidRPr="00D24383">
              <w:rPr>
                <w:rFonts w:cs="Arial"/>
                <w:szCs w:val="24"/>
              </w:rPr>
              <w:t>768</w:t>
            </w:r>
          </w:p>
        </w:tc>
        <w:tc>
          <w:tcPr>
            <w:tcW w:w="0" w:type="auto"/>
            <w:vAlign w:val="center"/>
          </w:tcPr>
          <w:p w14:paraId="2CB9EE0A" w14:textId="4BDE3627" w:rsidR="008C37E1" w:rsidRPr="00D24383" w:rsidRDefault="00F75853" w:rsidP="00D24383">
            <w:pPr>
              <w:spacing w:before="240" w:after="240"/>
              <w:jc w:val="center"/>
              <w:rPr>
                <w:rFonts w:cs="Arial"/>
                <w:szCs w:val="24"/>
              </w:rPr>
            </w:pPr>
            <w:r w:rsidRPr="00D24383">
              <w:rPr>
                <w:rFonts w:cs="Arial"/>
                <w:szCs w:val="24"/>
              </w:rPr>
              <w:t>582</w:t>
            </w:r>
          </w:p>
        </w:tc>
        <w:tc>
          <w:tcPr>
            <w:tcW w:w="0" w:type="auto"/>
            <w:vAlign w:val="center"/>
          </w:tcPr>
          <w:p w14:paraId="73EDAE80" w14:textId="0ECE45CC" w:rsidR="008C37E1" w:rsidRPr="00D24383" w:rsidRDefault="00F75853" w:rsidP="00D24383">
            <w:pPr>
              <w:spacing w:before="240" w:after="240"/>
              <w:jc w:val="center"/>
              <w:rPr>
                <w:rFonts w:cs="Arial"/>
                <w:szCs w:val="24"/>
              </w:rPr>
            </w:pPr>
            <w:r w:rsidRPr="00D24383">
              <w:rPr>
                <w:rFonts w:cs="Arial"/>
                <w:szCs w:val="24"/>
              </w:rPr>
              <w:t>536</w:t>
            </w:r>
          </w:p>
        </w:tc>
        <w:tc>
          <w:tcPr>
            <w:tcW w:w="0" w:type="auto"/>
            <w:vAlign w:val="center"/>
          </w:tcPr>
          <w:p w14:paraId="004C5F89" w14:textId="0FDA8453" w:rsidR="008C37E1" w:rsidRPr="00D24383" w:rsidRDefault="00F75853" w:rsidP="00D24383">
            <w:pPr>
              <w:spacing w:before="240" w:after="240"/>
              <w:jc w:val="center"/>
              <w:rPr>
                <w:rFonts w:cs="Arial"/>
                <w:szCs w:val="24"/>
              </w:rPr>
            </w:pPr>
            <w:r w:rsidRPr="00D24383">
              <w:rPr>
                <w:rFonts w:cs="Arial"/>
                <w:szCs w:val="24"/>
              </w:rPr>
              <w:t>621</w:t>
            </w:r>
          </w:p>
        </w:tc>
        <w:tc>
          <w:tcPr>
            <w:tcW w:w="0" w:type="auto"/>
            <w:vAlign w:val="center"/>
          </w:tcPr>
          <w:p w14:paraId="0CF9C824" w14:textId="2E8AC7DA" w:rsidR="008C37E1" w:rsidRPr="00D24383" w:rsidRDefault="00F75853" w:rsidP="00D24383">
            <w:pPr>
              <w:spacing w:before="240" w:after="240"/>
              <w:jc w:val="center"/>
              <w:rPr>
                <w:rFonts w:cs="Arial"/>
                <w:szCs w:val="24"/>
              </w:rPr>
            </w:pPr>
            <w:r w:rsidRPr="00D24383">
              <w:rPr>
                <w:rFonts w:cs="Arial"/>
                <w:szCs w:val="24"/>
              </w:rPr>
              <w:t>*</w:t>
            </w:r>
          </w:p>
        </w:tc>
      </w:tr>
      <w:tr w:rsidR="00D24383" w:rsidRPr="00D24383" w14:paraId="29753BE9" w14:textId="77777777" w:rsidTr="00C5604B">
        <w:trPr>
          <w:cantSplit/>
          <w:trHeight w:val="432"/>
        </w:trPr>
        <w:tc>
          <w:tcPr>
            <w:tcW w:w="3456" w:type="dxa"/>
            <w:vAlign w:val="center"/>
          </w:tcPr>
          <w:p w14:paraId="6FAF1748" w14:textId="2302017E" w:rsidR="008C37E1" w:rsidRPr="00D24383" w:rsidRDefault="00F75853" w:rsidP="00D24383">
            <w:pPr>
              <w:spacing w:before="240" w:after="240"/>
              <w:jc w:val="center"/>
              <w:rPr>
                <w:rFonts w:cs="Arial"/>
                <w:szCs w:val="24"/>
              </w:rPr>
            </w:pPr>
            <w:r w:rsidRPr="00D24383">
              <w:rPr>
                <w:rFonts w:cs="Arial"/>
                <w:szCs w:val="24"/>
              </w:rPr>
              <w:t>Self-Directed Academic Service</w:t>
            </w:r>
          </w:p>
        </w:tc>
        <w:tc>
          <w:tcPr>
            <w:tcW w:w="0" w:type="auto"/>
            <w:vAlign w:val="center"/>
          </w:tcPr>
          <w:p w14:paraId="2B1D10C1" w14:textId="69E10E97" w:rsidR="008C37E1" w:rsidRPr="00D24383" w:rsidRDefault="00F75853" w:rsidP="00D24383">
            <w:pPr>
              <w:spacing w:before="240" w:after="240"/>
              <w:jc w:val="center"/>
              <w:rPr>
                <w:rFonts w:cs="Arial"/>
                <w:szCs w:val="24"/>
              </w:rPr>
            </w:pPr>
            <w:r w:rsidRPr="00D24383">
              <w:rPr>
                <w:rFonts w:cs="Arial"/>
                <w:szCs w:val="24"/>
              </w:rPr>
              <w:t>344</w:t>
            </w:r>
          </w:p>
        </w:tc>
        <w:tc>
          <w:tcPr>
            <w:tcW w:w="0" w:type="auto"/>
            <w:vAlign w:val="center"/>
          </w:tcPr>
          <w:p w14:paraId="15188FA9" w14:textId="042AE40C" w:rsidR="008C37E1" w:rsidRPr="00D24383" w:rsidRDefault="00F75853" w:rsidP="00D24383">
            <w:pPr>
              <w:spacing w:before="240" w:after="240"/>
              <w:jc w:val="center"/>
              <w:rPr>
                <w:rFonts w:cs="Arial"/>
                <w:szCs w:val="24"/>
              </w:rPr>
            </w:pPr>
            <w:r w:rsidRPr="00D24383">
              <w:rPr>
                <w:rFonts w:cs="Arial"/>
                <w:szCs w:val="24"/>
              </w:rPr>
              <w:t>356</w:t>
            </w:r>
          </w:p>
        </w:tc>
        <w:tc>
          <w:tcPr>
            <w:tcW w:w="0" w:type="auto"/>
            <w:vAlign w:val="center"/>
          </w:tcPr>
          <w:p w14:paraId="6A4C0E2C" w14:textId="1CD479EE" w:rsidR="008C37E1" w:rsidRPr="00D24383" w:rsidRDefault="00F75853" w:rsidP="00D24383">
            <w:pPr>
              <w:spacing w:before="240" w:after="240"/>
              <w:jc w:val="center"/>
              <w:rPr>
                <w:rFonts w:cs="Arial"/>
                <w:szCs w:val="24"/>
              </w:rPr>
            </w:pPr>
            <w:r w:rsidRPr="00D24383">
              <w:rPr>
                <w:rFonts w:cs="Arial"/>
                <w:szCs w:val="24"/>
              </w:rPr>
              <w:t>361</w:t>
            </w:r>
          </w:p>
        </w:tc>
        <w:tc>
          <w:tcPr>
            <w:tcW w:w="0" w:type="auto"/>
            <w:vAlign w:val="center"/>
          </w:tcPr>
          <w:p w14:paraId="02C8AEA4" w14:textId="0EA67151" w:rsidR="008C37E1" w:rsidRPr="00D24383" w:rsidRDefault="00F75853" w:rsidP="00D24383">
            <w:pPr>
              <w:spacing w:before="240" w:after="240"/>
              <w:jc w:val="center"/>
              <w:rPr>
                <w:rFonts w:cs="Arial"/>
                <w:szCs w:val="24"/>
              </w:rPr>
            </w:pPr>
            <w:r w:rsidRPr="00D24383">
              <w:rPr>
                <w:rFonts w:cs="Arial"/>
                <w:szCs w:val="24"/>
              </w:rPr>
              <w:t>356</w:t>
            </w:r>
          </w:p>
        </w:tc>
        <w:tc>
          <w:tcPr>
            <w:tcW w:w="0" w:type="auto"/>
            <w:vAlign w:val="center"/>
          </w:tcPr>
          <w:p w14:paraId="67E07855" w14:textId="1D21B9C8" w:rsidR="008C37E1" w:rsidRPr="00D24383" w:rsidRDefault="00F75853" w:rsidP="00D24383">
            <w:pPr>
              <w:spacing w:before="240" w:after="240"/>
              <w:jc w:val="center"/>
              <w:rPr>
                <w:rFonts w:cs="Arial"/>
                <w:szCs w:val="24"/>
              </w:rPr>
            </w:pPr>
            <w:r w:rsidRPr="00D24383">
              <w:rPr>
                <w:rFonts w:cs="Arial"/>
                <w:szCs w:val="24"/>
              </w:rPr>
              <w:t>*</w:t>
            </w:r>
          </w:p>
        </w:tc>
      </w:tr>
      <w:tr w:rsidR="00D24383" w:rsidRPr="00D24383" w14:paraId="72A11C62" w14:textId="77777777" w:rsidTr="00C5604B">
        <w:trPr>
          <w:cantSplit/>
          <w:trHeight w:val="432"/>
        </w:trPr>
        <w:tc>
          <w:tcPr>
            <w:tcW w:w="3456" w:type="dxa"/>
            <w:vAlign w:val="center"/>
          </w:tcPr>
          <w:p w14:paraId="11881AC3" w14:textId="637F40F3" w:rsidR="008C37E1" w:rsidRPr="00D24383" w:rsidRDefault="00F75853" w:rsidP="00D24383">
            <w:pPr>
              <w:spacing w:before="240" w:after="240"/>
              <w:jc w:val="center"/>
              <w:rPr>
                <w:rFonts w:cs="Arial"/>
                <w:szCs w:val="24"/>
              </w:rPr>
            </w:pPr>
            <w:r w:rsidRPr="00D24383">
              <w:rPr>
                <w:rFonts w:cs="Arial"/>
                <w:szCs w:val="24"/>
              </w:rPr>
              <w:t>Cultural Activities Hours</w:t>
            </w:r>
          </w:p>
        </w:tc>
        <w:tc>
          <w:tcPr>
            <w:tcW w:w="0" w:type="auto"/>
            <w:vAlign w:val="center"/>
          </w:tcPr>
          <w:p w14:paraId="2D775866" w14:textId="4EABB91E" w:rsidR="008C37E1" w:rsidRPr="00D24383" w:rsidRDefault="00F75853" w:rsidP="00D24383">
            <w:pPr>
              <w:spacing w:before="240" w:after="240"/>
              <w:jc w:val="center"/>
              <w:rPr>
                <w:rFonts w:cs="Arial"/>
                <w:szCs w:val="24"/>
              </w:rPr>
            </w:pPr>
            <w:r w:rsidRPr="00D24383">
              <w:rPr>
                <w:rFonts w:cs="Arial"/>
                <w:szCs w:val="24"/>
              </w:rPr>
              <w:t>797</w:t>
            </w:r>
          </w:p>
        </w:tc>
        <w:tc>
          <w:tcPr>
            <w:tcW w:w="0" w:type="auto"/>
            <w:vAlign w:val="center"/>
          </w:tcPr>
          <w:p w14:paraId="56870550" w14:textId="050D7E9D" w:rsidR="008C37E1" w:rsidRPr="00D24383" w:rsidRDefault="00F75853" w:rsidP="00D24383">
            <w:pPr>
              <w:spacing w:before="240" w:after="240"/>
              <w:jc w:val="center"/>
              <w:rPr>
                <w:rFonts w:cs="Arial"/>
                <w:szCs w:val="24"/>
              </w:rPr>
            </w:pPr>
            <w:r w:rsidRPr="00D24383">
              <w:rPr>
                <w:rFonts w:cs="Arial"/>
                <w:szCs w:val="24"/>
              </w:rPr>
              <w:t>576</w:t>
            </w:r>
          </w:p>
        </w:tc>
        <w:tc>
          <w:tcPr>
            <w:tcW w:w="0" w:type="auto"/>
            <w:vAlign w:val="center"/>
          </w:tcPr>
          <w:p w14:paraId="14E3BA1D" w14:textId="6FC1D251" w:rsidR="008C37E1" w:rsidRPr="00D24383" w:rsidRDefault="00F75853" w:rsidP="00D24383">
            <w:pPr>
              <w:spacing w:before="240" w:after="240"/>
              <w:jc w:val="center"/>
              <w:rPr>
                <w:rFonts w:cs="Arial"/>
                <w:szCs w:val="24"/>
              </w:rPr>
            </w:pPr>
            <w:r w:rsidRPr="00D24383">
              <w:rPr>
                <w:rFonts w:cs="Arial"/>
                <w:szCs w:val="24"/>
              </w:rPr>
              <w:t>534</w:t>
            </w:r>
          </w:p>
        </w:tc>
        <w:tc>
          <w:tcPr>
            <w:tcW w:w="0" w:type="auto"/>
            <w:vAlign w:val="center"/>
          </w:tcPr>
          <w:p w14:paraId="7F679B29" w14:textId="1147AE05" w:rsidR="008C37E1" w:rsidRPr="00D24383" w:rsidRDefault="00F75853" w:rsidP="00D24383">
            <w:pPr>
              <w:spacing w:before="240" w:after="240"/>
              <w:jc w:val="center"/>
              <w:rPr>
                <w:rFonts w:cs="Arial"/>
                <w:szCs w:val="24"/>
              </w:rPr>
            </w:pPr>
            <w:r w:rsidRPr="00D24383">
              <w:rPr>
                <w:rFonts w:cs="Arial"/>
                <w:szCs w:val="24"/>
              </w:rPr>
              <w:t>752</w:t>
            </w:r>
          </w:p>
        </w:tc>
        <w:tc>
          <w:tcPr>
            <w:tcW w:w="0" w:type="auto"/>
            <w:vAlign w:val="center"/>
          </w:tcPr>
          <w:p w14:paraId="44B86FAD" w14:textId="31E1015A" w:rsidR="008C37E1" w:rsidRPr="00D24383" w:rsidRDefault="00F75853" w:rsidP="00D24383">
            <w:pPr>
              <w:spacing w:before="240" w:after="240"/>
              <w:jc w:val="center"/>
              <w:rPr>
                <w:rFonts w:cs="Arial"/>
                <w:szCs w:val="24"/>
              </w:rPr>
            </w:pPr>
            <w:r w:rsidRPr="00D24383">
              <w:rPr>
                <w:rFonts w:cs="Arial"/>
                <w:szCs w:val="24"/>
              </w:rPr>
              <w:t>*</w:t>
            </w:r>
          </w:p>
        </w:tc>
      </w:tr>
      <w:tr w:rsidR="00D24383" w:rsidRPr="00D24383" w14:paraId="1F156FE4" w14:textId="77777777" w:rsidTr="00C5604B">
        <w:trPr>
          <w:cantSplit/>
          <w:trHeight w:val="432"/>
        </w:trPr>
        <w:tc>
          <w:tcPr>
            <w:tcW w:w="3456" w:type="dxa"/>
            <w:vAlign w:val="center"/>
          </w:tcPr>
          <w:p w14:paraId="29CAC1F5" w14:textId="1EB3B8C1" w:rsidR="008C37E1" w:rsidRPr="00D24383" w:rsidRDefault="00F75853" w:rsidP="00D24383">
            <w:pPr>
              <w:spacing w:before="240" w:after="240"/>
              <w:jc w:val="center"/>
              <w:rPr>
                <w:rFonts w:cs="Arial"/>
                <w:szCs w:val="24"/>
              </w:rPr>
            </w:pPr>
            <w:r w:rsidRPr="00D24383">
              <w:rPr>
                <w:rFonts w:cs="Arial"/>
                <w:szCs w:val="24"/>
              </w:rPr>
              <w:t>Youth Leadership Hours</w:t>
            </w:r>
          </w:p>
        </w:tc>
        <w:tc>
          <w:tcPr>
            <w:tcW w:w="0" w:type="auto"/>
            <w:vAlign w:val="center"/>
          </w:tcPr>
          <w:p w14:paraId="627F8C46" w14:textId="243A772F" w:rsidR="008C37E1" w:rsidRPr="00D24383" w:rsidRDefault="00F75853" w:rsidP="00D24383">
            <w:pPr>
              <w:spacing w:before="240" w:after="240"/>
              <w:jc w:val="center"/>
              <w:rPr>
                <w:rFonts w:cs="Arial"/>
                <w:szCs w:val="24"/>
              </w:rPr>
            </w:pPr>
            <w:r w:rsidRPr="00D24383">
              <w:rPr>
                <w:rFonts w:cs="Arial"/>
                <w:szCs w:val="24"/>
              </w:rPr>
              <w:t>418</w:t>
            </w:r>
          </w:p>
        </w:tc>
        <w:tc>
          <w:tcPr>
            <w:tcW w:w="0" w:type="auto"/>
            <w:vAlign w:val="center"/>
          </w:tcPr>
          <w:p w14:paraId="52354314" w14:textId="57A35DCE" w:rsidR="008C37E1" w:rsidRPr="00D24383" w:rsidRDefault="00F75853" w:rsidP="00D24383">
            <w:pPr>
              <w:spacing w:before="240" w:after="240"/>
              <w:jc w:val="center"/>
              <w:rPr>
                <w:rFonts w:cs="Arial"/>
                <w:szCs w:val="24"/>
              </w:rPr>
            </w:pPr>
            <w:r w:rsidRPr="00D24383">
              <w:rPr>
                <w:rFonts w:cs="Arial"/>
                <w:szCs w:val="24"/>
              </w:rPr>
              <w:t>396</w:t>
            </w:r>
          </w:p>
        </w:tc>
        <w:tc>
          <w:tcPr>
            <w:tcW w:w="0" w:type="auto"/>
            <w:vAlign w:val="center"/>
          </w:tcPr>
          <w:p w14:paraId="605B3473" w14:textId="380B79A0" w:rsidR="008C37E1" w:rsidRPr="00D24383" w:rsidRDefault="00F75853" w:rsidP="00D24383">
            <w:pPr>
              <w:spacing w:before="240" w:after="240"/>
              <w:jc w:val="center"/>
              <w:rPr>
                <w:rFonts w:cs="Arial"/>
                <w:szCs w:val="24"/>
              </w:rPr>
            </w:pPr>
            <w:r w:rsidRPr="00D24383">
              <w:rPr>
                <w:rFonts w:cs="Arial"/>
                <w:szCs w:val="24"/>
              </w:rPr>
              <w:t>305</w:t>
            </w:r>
          </w:p>
        </w:tc>
        <w:tc>
          <w:tcPr>
            <w:tcW w:w="0" w:type="auto"/>
            <w:vAlign w:val="center"/>
          </w:tcPr>
          <w:p w14:paraId="25F805FB" w14:textId="74954B5F" w:rsidR="008C37E1" w:rsidRPr="00D24383" w:rsidRDefault="00F75853" w:rsidP="00D24383">
            <w:pPr>
              <w:spacing w:before="240" w:after="240"/>
              <w:jc w:val="center"/>
              <w:rPr>
                <w:rFonts w:cs="Arial"/>
                <w:szCs w:val="24"/>
              </w:rPr>
            </w:pPr>
            <w:r w:rsidRPr="00D24383">
              <w:rPr>
                <w:rFonts w:cs="Arial"/>
                <w:szCs w:val="24"/>
              </w:rPr>
              <w:t>326</w:t>
            </w:r>
          </w:p>
        </w:tc>
        <w:tc>
          <w:tcPr>
            <w:tcW w:w="0" w:type="auto"/>
            <w:vAlign w:val="center"/>
          </w:tcPr>
          <w:p w14:paraId="370A3EBB" w14:textId="1FFDAF6A" w:rsidR="008C37E1" w:rsidRPr="00D24383" w:rsidRDefault="00F75853" w:rsidP="00D24383">
            <w:pPr>
              <w:spacing w:before="240" w:after="240"/>
              <w:jc w:val="center"/>
              <w:rPr>
                <w:rFonts w:cs="Arial"/>
                <w:szCs w:val="24"/>
              </w:rPr>
            </w:pPr>
            <w:r w:rsidRPr="00D24383">
              <w:rPr>
                <w:rFonts w:cs="Arial"/>
                <w:szCs w:val="24"/>
              </w:rPr>
              <w:t>*</w:t>
            </w:r>
          </w:p>
        </w:tc>
      </w:tr>
      <w:tr w:rsidR="00D24383" w:rsidRPr="00D24383" w14:paraId="32AA218C" w14:textId="77777777" w:rsidTr="00C5604B">
        <w:trPr>
          <w:cantSplit/>
          <w:trHeight w:val="432"/>
        </w:trPr>
        <w:tc>
          <w:tcPr>
            <w:tcW w:w="3456" w:type="dxa"/>
            <w:vAlign w:val="center"/>
          </w:tcPr>
          <w:p w14:paraId="14723D25" w14:textId="2C4A57EA" w:rsidR="008C37E1" w:rsidRPr="00D24383" w:rsidRDefault="00F75853" w:rsidP="00D24383">
            <w:pPr>
              <w:spacing w:before="240" w:after="240"/>
              <w:jc w:val="center"/>
              <w:rPr>
                <w:rFonts w:cs="Arial"/>
                <w:szCs w:val="24"/>
              </w:rPr>
            </w:pPr>
            <w:r w:rsidRPr="00D24383">
              <w:rPr>
                <w:rFonts w:cs="Arial"/>
                <w:szCs w:val="24"/>
              </w:rPr>
              <w:t>Individual/Group Personal Adjustment/Vocational Academic Hours</w:t>
            </w:r>
          </w:p>
        </w:tc>
        <w:tc>
          <w:tcPr>
            <w:tcW w:w="0" w:type="auto"/>
            <w:vAlign w:val="center"/>
          </w:tcPr>
          <w:p w14:paraId="7DA07A92" w14:textId="5028E552" w:rsidR="008C37E1" w:rsidRPr="00D24383" w:rsidRDefault="00F75853" w:rsidP="00D24383">
            <w:pPr>
              <w:spacing w:before="240" w:after="240"/>
              <w:jc w:val="center"/>
              <w:rPr>
                <w:rFonts w:cs="Arial"/>
                <w:szCs w:val="24"/>
              </w:rPr>
            </w:pPr>
            <w:r w:rsidRPr="00D24383">
              <w:rPr>
                <w:rFonts w:cs="Arial"/>
                <w:szCs w:val="24"/>
              </w:rPr>
              <w:t>272</w:t>
            </w:r>
          </w:p>
        </w:tc>
        <w:tc>
          <w:tcPr>
            <w:tcW w:w="0" w:type="auto"/>
            <w:vAlign w:val="center"/>
          </w:tcPr>
          <w:p w14:paraId="108B33D8" w14:textId="5D440D13" w:rsidR="008C37E1" w:rsidRPr="00D24383" w:rsidRDefault="00F75853" w:rsidP="00D24383">
            <w:pPr>
              <w:spacing w:before="240" w:after="240"/>
              <w:jc w:val="center"/>
              <w:rPr>
                <w:rFonts w:cs="Arial"/>
                <w:szCs w:val="24"/>
              </w:rPr>
            </w:pPr>
            <w:r w:rsidRPr="00D24383">
              <w:rPr>
                <w:rFonts w:cs="Arial"/>
                <w:szCs w:val="24"/>
              </w:rPr>
              <w:t>141</w:t>
            </w:r>
          </w:p>
        </w:tc>
        <w:tc>
          <w:tcPr>
            <w:tcW w:w="0" w:type="auto"/>
            <w:vAlign w:val="center"/>
          </w:tcPr>
          <w:p w14:paraId="4750A23C" w14:textId="19E8B1EF" w:rsidR="008C37E1" w:rsidRPr="00D24383" w:rsidRDefault="00F75853" w:rsidP="00D24383">
            <w:pPr>
              <w:spacing w:before="240" w:after="240"/>
              <w:jc w:val="center"/>
              <w:rPr>
                <w:rFonts w:cs="Arial"/>
                <w:szCs w:val="24"/>
              </w:rPr>
            </w:pPr>
            <w:r w:rsidRPr="00D24383">
              <w:rPr>
                <w:rFonts w:cs="Arial"/>
                <w:szCs w:val="24"/>
              </w:rPr>
              <w:t>247</w:t>
            </w:r>
          </w:p>
        </w:tc>
        <w:tc>
          <w:tcPr>
            <w:tcW w:w="0" w:type="auto"/>
            <w:vAlign w:val="center"/>
          </w:tcPr>
          <w:p w14:paraId="7B6CBD8C" w14:textId="38ABE094" w:rsidR="008C37E1" w:rsidRPr="00D24383" w:rsidRDefault="00F75853" w:rsidP="00D24383">
            <w:pPr>
              <w:spacing w:before="240" w:after="240"/>
              <w:jc w:val="center"/>
              <w:rPr>
                <w:rFonts w:cs="Arial"/>
                <w:szCs w:val="24"/>
              </w:rPr>
            </w:pPr>
            <w:r w:rsidRPr="00D24383">
              <w:rPr>
                <w:rFonts w:cs="Arial"/>
                <w:szCs w:val="24"/>
              </w:rPr>
              <w:t>263</w:t>
            </w:r>
          </w:p>
        </w:tc>
        <w:tc>
          <w:tcPr>
            <w:tcW w:w="0" w:type="auto"/>
            <w:vAlign w:val="center"/>
          </w:tcPr>
          <w:p w14:paraId="15B09754" w14:textId="623F478D" w:rsidR="008C37E1" w:rsidRPr="00D24383" w:rsidRDefault="00F75853" w:rsidP="00D24383">
            <w:pPr>
              <w:spacing w:before="240" w:after="240"/>
              <w:jc w:val="center"/>
              <w:rPr>
                <w:rFonts w:cs="Arial"/>
                <w:szCs w:val="24"/>
              </w:rPr>
            </w:pPr>
            <w:r w:rsidRPr="00D24383">
              <w:rPr>
                <w:rFonts w:cs="Arial"/>
                <w:szCs w:val="24"/>
              </w:rPr>
              <w:t>*</w:t>
            </w:r>
          </w:p>
        </w:tc>
      </w:tr>
    </w:tbl>
    <w:p w14:paraId="1B7BF634" w14:textId="6726336F" w:rsidR="001E6080" w:rsidRDefault="00C9574A" w:rsidP="003F2F1C">
      <w:pPr>
        <w:spacing w:before="240"/>
        <w:rPr>
          <w:rFonts w:cs="Arial"/>
          <w:b/>
          <w:szCs w:val="24"/>
        </w:rPr>
      </w:pPr>
      <w:r w:rsidRPr="00D24383">
        <w:rPr>
          <w:rFonts w:cs="Arial"/>
          <w:szCs w:val="24"/>
        </w:rPr>
        <w:t xml:space="preserve">Table </w:t>
      </w:r>
      <w:r w:rsidR="0073228B" w:rsidRPr="00D24383">
        <w:rPr>
          <w:rFonts w:cs="Arial"/>
          <w:szCs w:val="24"/>
        </w:rPr>
        <w:t>9</w:t>
      </w:r>
      <w:r w:rsidRPr="00D24383">
        <w:rPr>
          <w:rFonts w:cs="Arial"/>
          <w:szCs w:val="24"/>
        </w:rPr>
        <w:t xml:space="preserve"> lists the categories of services and the number of students who received these services during the summer program. </w:t>
      </w:r>
      <w:r w:rsidR="000649DE">
        <w:rPr>
          <w:rFonts w:cs="Arial"/>
          <w:szCs w:val="24"/>
        </w:rPr>
        <w:t xml:space="preserve">Individual students may </w:t>
      </w:r>
      <w:proofErr w:type="gramStart"/>
      <w:r w:rsidR="000649DE">
        <w:rPr>
          <w:rFonts w:cs="Arial"/>
          <w:szCs w:val="24"/>
        </w:rPr>
        <w:t>be counted</w:t>
      </w:r>
      <w:proofErr w:type="gramEnd"/>
      <w:r w:rsidR="000649DE">
        <w:rPr>
          <w:rFonts w:cs="Arial"/>
          <w:szCs w:val="24"/>
        </w:rPr>
        <w:t xml:space="preserve"> in more than one service category.</w:t>
      </w:r>
      <w:r w:rsidR="001E6080">
        <w:rPr>
          <w:rFonts w:cs="Arial"/>
          <w:b/>
          <w:szCs w:val="24"/>
        </w:rPr>
        <w:br w:type="page"/>
      </w:r>
    </w:p>
    <w:p w14:paraId="02368DE7" w14:textId="34C0B154" w:rsidR="00AA3AF7" w:rsidRDefault="0073228B" w:rsidP="00D24383">
      <w:pPr>
        <w:spacing w:before="240"/>
        <w:rPr>
          <w:rFonts w:cs="Arial"/>
          <w:b/>
          <w:szCs w:val="24"/>
        </w:rPr>
      </w:pPr>
      <w:r w:rsidRPr="00D24383">
        <w:rPr>
          <w:rFonts w:cs="Arial"/>
          <w:b/>
          <w:szCs w:val="24"/>
        </w:rPr>
        <w:lastRenderedPageBreak/>
        <w:t xml:space="preserve">Table 9: </w:t>
      </w:r>
      <w:r w:rsidR="00D64BB7" w:rsidRPr="00D24383">
        <w:rPr>
          <w:rFonts w:cs="Arial"/>
          <w:b/>
          <w:szCs w:val="24"/>
        </w:rPr>
        <w:t xml:space="preserve">Types of Summer Services and Number of Students Receiving Services for All AIECs, </w:t>
      </w:r>
      <w:r w:rsidR="008060C6" w:rsidRPr="00D24383">
        <w:rPr>
          <w:rFonts w:cs="Arial"/>
          <w:b/>
          <w:szCs w:val="24"/>
        </w:rPr>
        <w:t>in</w:t>
      </w:r>
      <w:r w:rsidR="00D64BB7" w:rsidRPr="00D24383">
        <w:rPr>
          <w:rFonts w:cs="Arial"/>
          <w:b/>
          <w:szCs w:val="24"/>
        </w:rPr>
        <w:t xml:space="preserve"> 2015–20</w:t>
      </w:r>
      <w:r w:rsidR="00BC72EA">
        <w:rPr>
          <w:rStyle w:val="FootnoteReference"/>
          <w:rFonts w:cs="Arial"/>
          <w:b/>
          <w:szCs w:val="24"/>
        </w:rPr>
        <w:footnoteReference w:id="32"/>
      </w:r>
    </w:p>
    <w:p w14:paraId="5F5FB077" w14:textId="1DB62394" w:rsidR="003F2F1C" w:rsidRPr="003F2F1C" w:rsidRDefault="003F2F1C" w:rsidP="00D24383">
      <w:pPr>
        <w:spacing w:before="240"/>
        <w:rPr>
          <w:rFonts w:cs="Arial"/>
          <w:szCs w:val="24"/>
        </w:rPr>
      </w:pPr>
      <w:r w:rsidRPr="00D24383">
        <w:rPr>
          <w:rFonts w:cs="Arial"/>
          <w:szCs w:val="24"/>
        </w:rPr>
        <w:t>*</w:t>
      </w:r>
      <w:r>
        <w:rPr>
          <w:rFonts w:cs="Arial"/>
          <w:szCs w:val="24"/>
        </w:rPr>
        <w:t xml:space="preserve"> </w:t>
      </w:r>
      <w:r w:rsidRPr="00D24383">
        <w:rPr>
          <w:rFonts w:cs="Arial"/>
          <w:szCs w:val="24"/>
        </w:rPr>
        <w:t>The COVID-19 pandemic and subsequent stay-at-home order, including Governor Newsom’s Executive Order N-26-20</w:t>
      </w:r>
      <w:r>
        <w:rPr>
          <w:rFonts w:cs="Arial"/>
          <w:szCs w:val="24"/>
        </w:rPr>
        <w:t>,</w:t>
      </w:r>
      <w:r w:rsidRPr="00D24383">
        <w:rPr>
          <w:rFonts w:cs="Arial"/>
          <w:szCs w:val="24"/>
        </w:rPr>
        <w:t xml:space="preserve"> which closed schools in California, the 2019–20 AIEC data collection </w:t>
      </w:r>
      <w:proofErr w:type="gramStart"/>
      <w:r w:rsidRPr="00D24383">
        <w:rPr>
          <w:rFonts w:cs="Arial"/>
          <w:szCs w:val="24"/>
        </w:rPr>
        <w:t>was suspended</w:t>
      </w:r>
      <w:proofErr w:type="gramEnd"/>
    </w:p>
    <w:tbl>
      <w:tblPr>
        <w:tblStyle w:val="TableGrid"/>
        <w:tblW w:w="0" w:type="auto"/>
        <w:tblLook w:val="04A0" w:firstRow="1" w:lastRow="0" w:firstColumn="1" w:lastColumn="0" w:noHBand="0" w:noVBand="1"/>
        <w:tblDescription w:val="This table contains the Types of Summer Services and Number of Students Receiving Services between the years 2015–20."/>
      </w:tblPr>
      <w:tblGrid>
        <w:gridCol w:w="3456"/>
        <w:gridCol w:w="1151"/>
        <w:gridCol w:w="1151"/>
        <w:gridCol w:w="1151"/>
        <w:gridCol w:w="1151"/>
        <w:gridCol w:w="1151"/>
      </w:tblGrid>
      <w:tr w:rsidR="00D24383" w:rsidRPr="00D24383" w14:paraId="49956EB8" w14:textId="77777777" w:rsidTr="00C5604B">
        <w:trPr>
          <w:cantSplit/>
          <w:trHeight w:val="432"/>
          <w:tblHeader/>
        </w:trPr>
        <w:tc>
          <w:tcPr>
            <w:tcW w:w="3456" w:type="dxa"/>
            <w:shd w:val="clear" w:color="auto" w:fill="D9D9D9" w:themeFill="background1" w:themeFillShade="D9"/>
            <w:vAlign w:val="center"/>
          </w:tcPr>
          <w:p w14:paraId="31BA1DA3" w14:textId="77777777" w:rsidR="00D64BB7" w:rsidRPr="00D24383" w:rsidRDefault="00D64BB7" w:rsidP="00D24383">
            <w:pPr>
              <w:spacing w:before="240" w:after="240"/>
              <w:jc w:val="center"/>
              <w:rPr>
                <w:rFonts w:cs="Arial"/>
                <w:b/>
                <w:szCs w:val="24"/>
              </w:rPr>
            </w:pPr>
            <w:r w:rsidRPr="00D24383">
              <w:rPr>
                <w:rFonts w:cs="Arial"/>
                <w:b/>
                <w:szCs w:val="24"/>
              </w:rPr>
              <w:t>Type of Services</w:t>
            </w:r>
          </w:p>
        </w:tc>
        <w:tc>
          <w:tcPr>
            <w:tcW w:w="0" w:type="auto"/>
            <w:shd w:val="clear" w:color="auto" w:fill="D9D9D9" w:themeFill="background1" w:themeFillShade="D9"/>
            <w:vAlign w:val="center"/>
          </w:tcPr>
          <w:p w14:paraId="4C0FC50A" w14:textId="77777777" w:rsidR="00D64BB7" w:rsidRPr="00D24383" w:rsidRDefault="00D64BB7" w:rsidP="00D24383">
            <w:pPr>
              <w:spacing w:before="240" w:after="240"/>
              <w:jc w:val="center"/>
              <w:rPr>
                <w:rFonts w:cs="Arial"/>
                <w:b/>
                <w:szCs w:val="24"/>
              </w:rPr>
            </w:pPr>
            <w:r w:rsidRPr="00D24383">
              <w:rPr>
                <w:rFonts w:cs="Arial"/>
                <w:b/>
                <w:szCs w:val="24"/>
              </w:rPr>
              <w:t>2015–16</w:t>
            </w:r>
          </w:p>
        </w:tc>
        <w:tc>
          <w:tcPr>
            <w:tcW w:w="0" w:type="auto"/>
            <w:shd w:val="clear" w:color="auto" w:fill="D9D9D9" w:themeFill="background1" w:themeFillShade="D9"/>
            <w:vAlign w:val="center"/>
          </w:tcPr>
          <w:p w14:paraId="1406EDC6" w14:textId="77777777" w:rsidR="00D64BB7" w:rsidRPr="00D24383" w:rsidRDefault="00D64BB7" w:rsidP="00D24383">
            <w:pPr>
              <w:spacing w:before="240" w:after="240"/>
              <w:jc w:val="center"/>
              <w:rPr>
                <w:rFonts w:cs="Arial"/>
                <w:b/>
                <w:szCs w:val="24"/>
              </w:rPr>
            </w:pPr>
            <w:r w:rsidRPr="00D24383">
              <w:rPr>
                <w:rFonts w:cs="Arial"/>
                <w:b/>
                <w:szCs w:val="24"/>
              </w:rPr>
              <w:t>2016–17</w:t>
            </w:r>
          </w:p>
        </w:tc>
        <w:tc>
          <w:tcPr>
            <w:tcW w:w="0" w:type="auto"/>
            <w:shd w:val="clear" w:color="auto" w:fill="D9D9D9" w:themeFill="background1" w:themeFillShade="D9"/>
            <w:vAlign w:val="center"/>
          </w:tcPr>
          <w:p w14:paraId="68DC6FF0" w14:textId="77777777" w:rsidR="00D64BB7" w:rsidRPr="00D24383" w:rsidRDefault="00D64BB7" w:rsidP="00D24383">
            <w:pPr>
              <w:spacing w:before="240" w:after="240"/>
              <w:jc w:val="center"/>
              <w:rPr>
                <w:rFonts w:cs="Arial"/>
                <w:b/>
                <w:szCs w:val="24"/>
              </w:rPr>
            </w:pPr>
            <w:r w:rsidRPr="00D24383">
              <w:rPr>
                <w:rFonts w:cs="Arial"/>
                <w:b/>
                <w:szCs w:val="24"/>
              </w:rPr>
              <w:t>2017–18</w:t>
            </w:r>
          </w:p>
        </w:tc>
        <w:tc>
          <w:tcPr>
            <w:tcW w:w="0" w:type="auto"/>
            <w:shd w:val="clear" w:color="auto" w:fill="D9D9D9" w:themeFill="background1" w:themeFillShade="D9"/>
            <w:vAlign w:val="center"/>
          </w:tcPr>
          <w:p w14:paraId="6BBF2E11" w14:textId="77777777" w:rsidR="00D64BB7" w:rsidRPr="00D24383" w:rsidRDefault="00D64BB7" w:rsidP="00D24383">
            <w:pPr>
              <w:spacing w:before="240" w:after="240"/>
              <w:jc w:val="center"/>
              <w:rPr>
                <w:rFonts w:cs="Arial"/>
                <w:b/>
                <w:szCs w:val="24"/>
              </w:rPr>
            </w:pPr>
            <w:r w:rsidRPr="00D24383">
              <w:rPr>
                <w:rFonts w:cs="Arial"/>
                <w:b/>
                <w:szCs w:val="24"/>
              </w:rPr>
              <w:t>2018–19</w:t>
            </w:r>
          </w:p>
        </w:tc>
        <w:tc>
          <w:tcPr>
            <w:tcW w:w="0" w:type="auto"/>
            <w:shd w:val="clear" w:color="auto" w:fill="D9D9D9" w:themeFill="background1" w:themeFillShade="D9"/>
            <w:vAlign w:val="center"/>
          </w:tcPr>
          <w:p w14:paraId="205720E3" w14:textId="77777777" w:rsidR="00D64BB7" w:rsidRPr="00D24383" w:rsidRDefault="00D64BB7" w:rsidP="00D24383">
            <w:pPr>
              <w:spacing w:before="240" w:after="240"/>
              <w:jc w:val="center"/>
              <w:rPr>
                <w:rFonts w:cs="Arial"/>
                <w:b/>
                <w:szCs w:val="24"/>
              </w:rPr>
            </w:pPr>
            <w:r w:rsidRPr="00D24383">
              <w:rPr>
                <w:rFonts w:cs="Arial"/>
                <w:b/>
                <w:szCs w:val="24"/>
              </w:rPr>
              <w:t>2019–20</w:t>
            </w:r>
          </w:p>
        </w:tc>
      </w:tr>
      <w:tr w:rsidR="00D24383" w:rsidRPr="00D24383" w14:paraId="2D711BCD" w14:textId="77777777" w:rsidTr="00C5604B">
        <w:trPr>
          <w:cantSplit/>
          <w:trHeight w:val="432"/>
        </w:trPr>
        <w:tc>
          <w:tcPr>
            <w:tcW w:w="3456" w:type="dxa"/>
            <w:vAlign w:val="center"/>
          </w:tcPr>
          <w:p w14:paraId="04C562E9" w14:textId="77777777" w:rsidR="00D64BB7" w:rsidRPr="00D24383" w:rsidRDefault="00D64BB7" w:rsidP="00D24383">
            <w:pPr>
              <w:spacing w:before="240" w:after="240"/>
              <w:jc w:val="center"/>
              <w:rPr>
                <w:rFonts w:cs="Arial"/>
                <w:szCs w:val="24"/>
              </w:rPr>
            </w:pPr>
            <w:r w:rsidRPr="00D24383">
              <w:rPr>
                <w:rFonts w:cs="Arial"/>
                <w:szCs w:val="24"/>
              </w:rPr>
              <w:t>In-Class</w:t>
            </w:r>
          </w:p>
        </w:tc>
        <w:tc>
          <w:tcPr>
            <w:tcW w:w="0" w:type="auto"/>
            <w:vAlign w:val="center"/>
          </w:tcPr>
          <w:p w14:paraId="237044DC" w14:textId="14C0391A" w:rsidR="00D64BB7" w:rsidRPr="00D24383" w:rsidRDefault="00D64BB7" w:rsidP="00D24383">
            <w:pPr>
              <w:spacing w:before="240" w:after="240"/>
              <w:jc w:val="center"/>
              <w:rPr>
                <w:rFonts w:cs="Arial"/>
                <w:szCs w:val="24"/>
              </w:rPr>
            </w:pPr>
            <w:r w:rsidRPr="00D24383">
              <w:rPr>
                <w:rFonts w:cs="Arial"/>
                <w:szCs w:val="24"/>
              </w:rPr>
              <w:t>45</w:t>
            </w:r>
          </w:p>
        </w:tc>
        <w:tc>
          <w:tcPr>
            <w:tcW w:w="0" w:type="auto"/>
            <w:vAlign w:val="center"/>
          </w:tcPr>
          <w:p w14:paraId="250E78F3" w14:textId="2F88384D" w:rsidR="00D64BB7" w:rsidRPr="00D24383" w:rsidRDefault="00D64BB7" w:rsidP="00D24383">
            <w:pPr>
              <w:spacing w:before="240" w:after="240"/>
              <w:jc w:val="center"/>
              <w:rPr>
                <w:rFonts w:cs="Arial"/>
                <w:szCs w:val="24"/>
              </w:rPr>
            </w:pPr>
            <w:r w:rsidRPr="00D24383">
              <w:rPr>
                <w:rFonts w:cs="Arial"/>
                <w:szCs w:val="24"/>
              </w:rPr>
              <w:t>111</w:t>
            </w:r>
          </w:p>
        </w:tc>
        <w:tc>
          <w:tcPr>
            <w:tcW w:w="0" w:type="auto"/>
            <w:vAlign w:val="center"/>
          </w:tcPr>
          <w:p w14:paraId="3742D1A1" w14:textId="3D2B4A8E" w:rsidR="00D64BB7" w:rsidRPr="00D24383" w:rsidRDefault="00D64BB7" w:rsidP="00D24383">
            <w:pPr>
              <w:spacing w:before="240" w:after="240"/>
              <w:jc w:val="center"/>
              <w:rPr>
                <w:rFonts w:cs="Arial"/>
                <w:szCs w:val="24"/>
              </w:rPr>
            </w:pPr>
            <w:r w:rsidRPr="00D24383">
              <w:rPr>
                <w:rFonts w:cs="Arial"/>
                <w:szCs w:val="24"/>
              </w:rPr>
              <w:t>92</w:t>
            </w:r>
          </w:p>
        </w:tc>
        <w:tc>
          <w:tcPr>
            <w:tcW w:w="0" w:type="auto"/>
            <w:vAlign w:val="center"/>
          </w:tcPr>
          <w:p w14:paraId="1970CEAE" w14:textId="61CD434E" w:rsidR="00D64BB7" w:rsidRPr="00D24383" w:rsidRDefault="00D64BB7" w:rsidP="00D24383">
            <w:pPr>
              <w:spacing w:before="240" w:after="240"/>
              <w:jc w:val="center"/>
              <w:rPr>
                <w:rFonts w:cs="Arial"/>
                <w:szCs w:val="24"/>
              </w:rPr>
            </w:pPr>
            <w:r w:rsidRPr="00D24383">
              <w:rPr>
                <w:rFonts w:cs="Arial"/>
                <w:szCs w:val="24"/>
              </w:rPr>
              <w:t>106</w:t>
            </w:r>
          </w:p>
        </w:tc>
        <w:tc>
          <w:tcPr>
            <w:tcW w:w="0" w:type="auto"/>
            <w:vAlign w:val="center"/>
          </w:tcPr>
          <w:p w14:paraId="17B59DBD" w14:textId="77777777" w:rsidR="00D64BB7" w:rsidRPr="00D24383" w:rsidRDefault="00D64BB7" w:rsidP="00D24383">
            <w:pPr>
              <w:spacing w:before="240" w:after="240"/>
              <w:jc w:val="center"/>
              <w:rPr>
                <w:rFonts w:cs="Arial"/>
                <w:szCs w:val="24"/>
              </w:rPr>
            </w:pPr>
            <w:r w:rsidRPr="00D24383">
              <w:rPr>
                <w:rFonts w:cs="Arial"/>
                <w:szCs w:val="24"/>
              </w:rPr>
              <w:t>*</w:t>
            </w:r>
          </w:p>
        </w:tc>
      </w:tr>
      <w:tr w:rsidR="00D24383" w:rsidRPr="00D24383" w14:paraId="31BB606F" w14:textId="77777777" w:rsidTr="00C5604B">
        <w:trPr>
          <w:cantSplit/>
          <w:trHeight w:val="432"/>
        </w:trPr>
        <w:tc>
          <w:tcPr>
            <w:tcW w:w="3456" w:type="dxa"/>
            <w:vAlign w:val="center"/>
          </w:tcPr>
          <w:p w14:paraId="67444D87" w14:textId="77777777" w:rsidR="00D64BB7" w:rsidRPr="00D24383" w:rsidRDefault="00D64BB7" w:rsidP="00D24383">
            <w:pPr>
              <w:spacing w:before="240" w:after="240"/>
              <w:jc w:val="center"/>
              <w:rPr>
                <w:rFonts w:cs="Arial"/>
                <w:szCs w:val="24"/>
              </w:rPr>
            </w:pPr>
            <w:r w:rsidRPr="00D24383">
              <w:rPr>
                <w:rFonts w:cs="Arial"/>
                <w:szCs w:val="24"/>
              </w:rPr>
              <w:t>One-on-One and Small Group Tutoring Hours</w:t>
            </w:r>
          </w:p>
        </w:tc>
        <w:tc>
          <w:tcPr>
            <w:tcW w:w="0" w:type="auto"/>
            <w:vAlign w:val="center"/>
          </w:tcPr>
          <w:p w14:paraId="425F2DE0" w14:textId="6D748D77" w:rsidR="00D64BB7" w:rsidRPr="00D24383" w:rsidRDefault="00D64BB7" w:rsidP="00D24383">
            <w:pPr>
              <w:spacing w:before="240" w:after="240"/>
              <w:jc w:val="center"/>
              <w:rPr>
                <w:rFonts w:cs="Arial"/>
                <w:szCs w:val="24"/>
              </w:rPr>
            </w:pPr>
            <w:r w:rsidRPr="00D24383">
              <w:rPr>
                <w:rFonts w:cs="Arial"/>
                <w:szCs w:val="24"/>
              </w:rPr>
              <w:t>204</w:t>
            </w:r>
          </w:p>
        </w:tc>
        <w:tc>
          <w:tcPr>
            <w:tcW w:w="0" w:type="auto"/>
            <w:vAlign w:val="center"/>
          </w:tcPr>
          <w:p w14:paraId="586FD18D" w14:textId="671F91FD" w:rsidR="00D64BB7" w:rsidRPr="00D24383" w:rsidRDefault="00D64BB7" w:rsidP="00D24383">
            <w:pPr>
              <w:spacing w:before="240" w:after="240"/>
              <w:jc w:val="center"/>
              <w:rPr>
                <w:rFonts w:cs="Arial"/>
                <w:szCs w:val="24"/>
              </w:rPr>
            </w:pPr>
            <w:r w:rsidRPr="00D24383">
              <w:rPr>
                <w:rFonts w:cs="Arial"/>
                <w:szCs w:val="24"/>
              </w:rPr>
              <w:t>202</w:t>
            </w:r>
          </w:p>
        </w:tc>
        <w:tc>
          <w:tcPr>
            <w:tcW w:w="0" w:type="auto"/>
            <w:vAlign w:val="center"/>
          </w:tcPr>
          <w:p w14:paraId="54C6ECA2" w14:textId="34AB1012" w:rsidR="00D64BB7" w:rsidRPr="00D24383" w:rsidRDefault="00D64BB7" w:rsidP="00D24383">
            <w:pPr>
              <w:spacing w:before="240" w:after="240"/>
              <w:jc w:val="center"/>
              <w:rPr>
                <w:rFonts w:cs="Arial"/>
                <w:szCs w:val="24"/>
              </w:rPr>
            </w:pPr>
            <w:r w:rsidRPr="00D24383">
              <w:rPr>
                <w:rFonts w:cs="Arial"/>
                <w:szCs w:val="24"/>
              </w:rPr>
              <w:t>173</w:t>
            </w:r>
          </w:p>
        </w:tc>
        <w:tc>
          <w:tcPr>
            <w:tcW w:w="0" w:type="auto"/>
            <w:vAlign w:val="center"/>
          </w:tcPr>
          <w:p w14:paraId="6E70D798" w14:textId="5F719D11" w:rsidR="00D64BB7" w:rsidRPr="00D24383" w:rsidRDefault="00D64BB7" w:rsidP="00D24383">
            <w:pPr>
              <w:spacing w:before="240" w:after="240"/>
              <w:jc w:val="center"/>
              <w:rPr>
                <w:rFonts w:cs="Arial"/>
                <w:szCs w:val="24"/>
              </w:rPr>
            </w:pPr>
            <w:r w:rsidRPr="00D24383">
              <w:rPr>
                <w:rFonts w:cs="Arial"/>
                <w:szCs w:val="24"/>
              </w:rPr>
              <w:t>195</w:t>
            </w:r>
          </w:p>
        </w:tc>
        <w:tc>
          <w:tcPr>
            <w:tcW w:w="0" w:type="auto"/>
            <w:vAlign w:val="center"/>
          </w:tcPr>
          <w:p w14:paraId="7A0BCCC3" w14:textId="77777777" w:rsidR="00D64BB7" w:rsidRPr="00D24383" w:rsidRDefault="00D64BB7" w:rsidP="00D24383">
            <w:pPr>
              <w:spacing w:before="240" w:after="240"/>
              <w:jc w:val="center"/>
              <w:rPr>
                <w:rFonts w:cs="Arial"/>
                <w:szCs w:val="24"/>
              </w:rPr>
            </w:pPr>
            <w:r w:rsidRPr="00D24383">
              <w:rPr>
                <w:rFonts w:cs="Arial"/>
                <w:szCs w:val="24"/>
              </w:rPr>
              <w:t>*</w:t>
            </w:r>
          </w:p>
        </w:tc>
      </w:tr>
      <w:tr w:rsidR="00D24383" w:rsidRPr="00D24383" w14:paraId="1FB1A784" w14:textId="77777777" w:rsidTr="00C5604B">
        <w:trPr>
          <w:cantSplit/>
          <w:trHeight w:val="432"/>
        </w:trPr>
        <w:tc>
          <w:tcPr>
            <w:tcW w:w="3456" w:type="dxa"/>
            <w:vAlign w:val="center"/>
          </w:tcPr>
          <w:p w14:paraId="7C6F4515" w14:textId="77777777" w:rsidR="00D64BB7" w:rsidRPr="00D24383" w:rsidRDefault="00D64BB7" w:rsidP="00D24383">
            <w:pPr>
              <w:spacing w:before="240" w:after="240"/>
              <w:jc w:val="center"/>
              <w:rPr>
                <w:rFonts w:cs="Arial"/>
                <w:szCs w:val="24"/>
              </w:rPr>
            </w:pPr>
            <w:r w:rsidRPr="00D24383">
              <w:rPr>
                <w:rFonts w:cs="Arial"/>
                <w:szCs w:val="24"/>
              </w:rPr>
              <w:t>Large Group Tutoring Hours</w:t>
            </w:r>
          </w:p>
        </w:tc>
        <w:tc>
          <w:tcPr>
            <w:tcW w:w="0" w:type="auto"/>
            <w:vAlign w:val="center"/>
          </w:tcPr>
          <w:p w14:paraId="53BA30C3" w14:textId="033C2523" w:rsidR="00D64BB7" w:rsidRPr="00D24383" w:rsidRDefault="00D64BB7" w:rsidP="00D24383">
            <w:pPr>
              <w:spacing w:before="240" w:after="240"/>
              <w:jc w:val="center"/>
              <w:rPr>
                <w:rFonts w:cs="Arial"/>
                <w:szCs w:val="24"/>
              </w:rPr>
            </w:pPr>
            <w:r w:rsidRPr="00D24383">
              <w:rPr>
                <w:rFonts w:cs="Arial"/>
                <w:szCs w:val="24"/>
              </w:rPr>
              <w:t>386</w:t>
            </w:r>
          </w:p>
        </w:tc>
        <w:tc>
          <w:tcPr>
            <w:tcW w:w="0" w:type="auto"/>
            <w:vAlign w:val="center"/>
          </w:tcPr>
          <w:p w14:paraId="28ED85AD" w14:textId="64C567DA" w:rsidR="00D64BB7" w:rsidRPr="00D24383" w:rsidRDefault="00D64BB7" w:rsidP="00D24383">
            <w:pPr>
              <w:spacing w:before="240" w:after="240"/>
              <w:jc w:val="center"/>
              <w:rPr>
                <w:rFonts w:cs="Arial"/>
                <w:szCs w:val="24"/>
              </w:rPr>
            </w:pPr>
            <w:r w:rsidRPr="00D24383">
              <w:rPr>
                <w:rFonts w:cs="Arial"/>
                <w:szCs w:val="24"/>
              </w:rPr>
              <w:t>275</w:t>
            </w:r>
          </w:p>
        </w:tc>
        <w:tc>
          <w:tcPr>
            <w:tcW w:w="0" w:type="auto"/>
            <w:vAlign w:val="center"/>
          </w:tcPr>
          <w:p w14:paraId="3B2E19B6" w14:textId="2B376431" w:rsidR="00D64BB7" w:rsidRPr="00D24383" w:rsidRDefault="00D64BB7" w:rsidP="00D24383">
            <w:pPr>
              <w:spacing w:before="240" w:after="240"/>
              <w:jc w:val="center"/>
              <w:rPr>
                <w:rFonts w:cs="Arial"/>
                <w:szCs w:val="24"/>
              </w:rPr>
            </w:pPr>
            <w:r w:rsidRPr="00D24383">
              <w:rPr>
                <w:rFonts w:cs="Arial"/>
                <w:szCs w:val="24"/>
              </w:rPr>
              <w:t>355</w:t>
            </w:r>
          </w:p>
        </w:tc>
        <w:tc>
          <w:tcPr>
            <w:tcW w:w="0" w:type="auto"/>
            <w:vAlign w:val="center"/>
          </w:tcPr>
          <w:p w14:paraId="729D291D" w14:textId="2B6648D4" w:rsidR="00D64BB7" w:rsidRPr="00D24383" w:rsidRDefault="00D64BB7" w:rsidP="00D24383">
            <w:pPr>
              <w:spacing w:before="240" w:after="240"/>
              <w:jc w:val="center"/>
              <w:rPr>
                <w:rFonts w:cs="Arial"/>
                <w:szCs w:val="24"/>
              </w:rPr>
            </w:pPr>
            <w:r w:rsidRPr="00D24383">
              <w:rPr>
                <w:rFonts w:cs="Arial"/>
                <w:szCs w:val="24"/>
              </w:rPr>
              <w:t>352</w:t>
            </w:r>
          </w:p>
        </w:tc>
        <w:tc>
          <w:tcPr>
            <w:tcW w:w="0" w:type="auto"/>
            <w:vAlign w:val="center"/>
          </w:tcPr>
          <w:p w14:paraId="123F411D" w14:textId="77777777" w:rsidR="00D64BB7" w:rsidRPr="00D24383" w:rsidRDefault="00D64BB7" w:rsidP="00D24383">
            <w:pPr>
              <w:spacing w:before="240" w:after="240"/>
              <w:jc w:val="center"/>
              <w:rPr>
                <w:rFonts w:cs="Arial"/>
                <w:szCs w:val="24"/>
              </w:rPr>
            </w:pPr>
            <w:r w:rsidRPr="00D24383">
              <w:rPr>
                <w:rFonts w:cs="Arial"/>
                <w:szCs w:val="24"/>
              </w:rPr>
              <w:t>*</w:t>
            </w:r>
          </w:p>
        </w:tc>
      </w:tr>
      <w:tr w:rsidR="00D24383" w:rsidRPr="00D24383" w14:paraId="5E2506A7" w14:textId="77777777" w:rsidTr="00C5604B">
        <w:trPr>
          <w:cantSplit/>
          <w:trHeight w:val="432"/>
        </w:trPr>
        <w:tc>
          <w:tcPr>
            <w:tcW w:w="3456" w:type="dxa"/>
            <w:vAlign w:val="center"/>
          </w:tcPr>
          <w:p w14:paraId="7D742C58" w14:textId="77777777" w:rsidR="00D64BB7" w:rsidRPr="00D24383" w:rsidRDefault="00D64BB7" w:rsidP="00D24383">
            <w:pPr>
              <w:spacing w:before="240" w:after="240"/>
              <w:jc w:val="center"/>
              <w:rPr>
                <w:rFonts w:cs="Arial"/>
                <w:szCs w:val="24"/>
              </w:rPr>
            </w:pPr>
            <w:r w:rsidRPr="00D24383">
              <w:rPr>
                <w:rFonts w:cs="Arial"/>
                <w:szCs w:val="24"/>
              </w:rPr>
              <w:t>Self-Directed Academic Service</w:t>
            </w:r>
          </w:p>
        </w:tc>
        <w:tc>
          <w:tcPr>
            <w:tcW w:w="0" w:type="auto"/>
            <w:vAlign w:val="center"/>
          </w:tcPr>
          <w:p w14:paraId="6CD6316A" w14:textId="65709235" w:rsidR="00D64BB7" w:rsidRPr="00D24383" w:rsidRDefault="00D64BB7" w:rsidP="00D24383">
            <w:pPr>
              <w:spacing w:before="240" w:after="240"/>
              <w:jc w:val="center"/>
              <w:rPr>
                <w:rFonts w:cs="Arial"/>
                <w:szCs w:val="24"/>
              </w:rPr>
            </w:pPr>
            <w:r w:rsidRPr="00D24383">
              <w:rPr>
                <w:rFonts w:cs="Arial"/>
                <w:szCs w:val="24"/>
              </w:rPr>
              <w:t>76</w:t>
            </w:r>
          </w:p>
        </w:tc>
        <w:tc>
          <w:tcPr>
            <w:tcW w:w="0" w:type="auto"/>
            <w:vAlign w:val="center"/>
          </w:tcPr>
          <w:p w14:paraId="70329CAD" w14:textId="34E63D66" w:rsidR="00D64BB7" w:rsidRPr="00D24383" w:rsidRDefault="00D64BB7" w:rsidP="00D24383">
            <w:pPr>
              <w:spacing w:before="240" w:after="240"/>
              <w:jc w:val="center"/>
              <w:rPr>
                <w:rFonts w:cs="Arial"/>
                <w:szCs w:val="24"/>
              </w:rPr>
            </w:pPr>
            <w:r w:rsidRPr="00D24383">
              <w:rPr>
                <w:rFonts w:cs="Arial"/>
                <w:szCs w:val="24"/>
              </w:rPr>
              <w:t>101</w:t>
            </w:r>
          </w:p>
        </w:tc>
        <w:tc>
          <w:tcPr>
            <w:tcW w:w="0" w:type="auto"/>
            <w:vAlign w:val="center"/>
          </w:tcPr>
          <w:p w14:paraId="60B18BB6" w14:textId="275410D7" w:rsidR="00D64BB7" w:rsidRPr="00D24383" w:rsidRDefault="007473C9" w:rsidP="00D24383">
            <w:pPr>
              <w:spacing w:before="240" w:after="240"/>
              <w:jc w:val="center"/>
              <w:rPr>
                <w:rFonts w:cs="Arial"/>
                <w:szCs w:val="24"/>
              </w:rPr>
            </w:pPr>
            <w:r w:rsidRPr="00D24383">
              <w:rPr>
                <w:rFonts w:cs="Arial"/>
                <w:szCs w:val="24"/>
              </w:rPr>
              <w:t>56</w:t>
            </w:r>
          </w:p>
        </w:tc>
        <w:tc>
          <w:tcPr>
            <w:tcW w:w="0" w:type="auto"/>
            <w:vAlign w:val="center"/>
          </w:tcPr>
          <w:p w14:paraId="1649B07E" w14:textId="08911900" w:rsidR="00D64BB7" w:rsidRPr="00D24383" w:rsidRDefault="007473C9" w:rsidP="00D24383">
            <w:pPr>
              <w:spacing w:before="240" w:after="240"/>
              <w:jc w:val="center"/>
              <w:rPr>
                <w:rFonts w:cs="Arial"/>
                <w:szCs w:val="24"/>
              </w:rPr>
            </w:pPr>
            <w:r w:rsidRPr="00D24383">
              <w:rPr>
                <w:rFonts w:cs="Arial"/>
                <w:szCs w:val="24"/>
              </w:rPr>
              <w:t>65</w:t>
            </w:r>
          </w:p>
        </w:tc>
        <w:tc>
          <w:tcPr>
            <w:tcW w:w="0" w:type="auto"/>
            <w:vAlign w:val="center"/>
          </w:tcPr>
          <w:p w14:paraId="2404906A" w14:textId="77777777" w:rsidR="00D64BB7" w:rsidRPr="00D24383" w:rsidRDefault="00D64BB7" w:rsidP="00D24383">
            <w:pPr>
              <w:spacing w:before="240" w:after="240"/>
              <w:jc w:val="center"/>
              <w:rPr>
                <w:rFonts w:cs="Arial"/>
                <w:szCs w:val="24"/>
              </w:rPr>
            </w:pPr>
            <w:r w:rsidRPr="00D24383">
              <w:rPr>
                <w:rFonts w:cs="Arial"/>
                <w:szCs w:val="24"/>
              </w:rPr>
              <w:t>*</w:t>
            </w:r>
          </w:p>
        </w:tc>
      </w:tr>
      <w:tr w:rsidR="00D24383" w:rsidRPr="00D24383" w14:paraId="14EB9B51" w14:textId="77777777" w:rsidTr="00C5604B">
        <w:trPr>
          <w:cantSplit/>
          <w:trHeight w:val="432"/>
        </w:trPr>
        <w:tc>
          <w:tcPr>
            <w:tcW w:w="3456" w:type="dxa"/>
            <w:vAlign w:val="center"/>
          </w:tcPr>
          <w:p w14:paraId="4D7D0DD5" w14:textId="77777777" w:rsidR="00D64BB7" w:rsidRPr="00D24383" w:rsidRDefault="00D64BB7" w:rsidP="00D24383">
            <w:pPr>
              <w:spacing w:before="240" w:after="240"/>
              <w:jc w:val="center"/>
              <w:rPr>
                <w:rFonts w:cs="Arial"/>
                <w:szCs w:val="24"/>
              </w:rPr>
            </w:pPr>
            <w:r w:rsidRPr="00D24383">
              <w:rPr>
                <w:rFonts w:cs="Arial"/>
                <w:szCs w:val="24"/>
              </w:rPr>
              <w:t>Cultural Activities Hours</w:t>
            </w:r>
          </w:p>
        </w:tc>
        <w:tc>
          <w:tcPr>
            <w:tcW w:w="0" w:type="auto"/>
            <w:vAlign w:val="center"/>
          </w:tcPr>
          <w:p w14:paraId="51888410" w14:textId="2D9146AE" w:rsidR="00D64BB7" w:rsidRPr="00D24383" w:rsidRDefault="007473C9" w:rsidP="00D24383">
            <w:pPr>
              <w:spacing w:before="240" w:after="240"/>
              <w:jc w:val="center"/>
              <w:rPr>
                <w:rFonts w:cs="Arial"/>
                <w:szCs w:val="24"/>
              </w:rPr>
            </w:pPr>
            <w:r w:rsidRPr="00D24383">
              <w:rPr>
                <w:rFonts w:cs="Arial"/>
                <w:szCs w:val="24"/>
              </w:rPr>
              <w:t>721</w:t>
            </w:r>
          </w:p>
        </w:tc>
        <w:tc>
          <w:tcPr>
            <w:tcW w:w="0" w:type="auto"/>
            <w:vAlign w:val="center"/>
          </w:tcPr>
          <w:p w14:paraId="7D3F31ED" w14:textId="5C5AC618" w:rsidR="00D64BB7" w:rsidRPr="00D24383" w:rsidRDefault="007473C9" w:rsidP="00D24383">
            <w:pPr>
              <w:spacing w:before="240" w:after="240"/>
              <w:jc w:val="center"/>
              <w:rPr>
                <w:rFonts w:cs="Arial"/>
                <w:szCs w:val="24"/>
              </w:rPr>
            </w:pPr>
            <w:r w:rsidRPr="00D24383">
              <w:rPr>
                <w:rFonts w:cs="Arial"/>
                <w:szCs w:val="24"/>
              </w:rPr>
              <w:t>614</w:t>
            </w:r>
          </w:p>
        </w:tc>
        <w:tc>
          <w:tcPr>
            <w:tcW w:w="0" w:type="auto"/>
            <w:vAlign w:val="center"/>
          </w:tcPr>
          <w:p w14:paraId="7C6B4250" w14:textId="2EE2D42A" w:rsidR="00D64BB7" w:rsidRPr="00D24383" w:rsidRDefault="007473C9" w:rsidP="00D24383">
            <w:pPr>
              <w:spacing w:before="240" w:after="240"/>
              <w:jc w:val="center"/>
              <w:rPr>
                <w:rFonts w:cs="Arial"/>
                <w:szCs w:val="24"/>
              </w:rPr>
            </w:pPr>
            <w:r w:rsidRPr="00D24383">
              <w:rPr>
                <w:rFonts w:cs="Arial"/>
                <w:szCs w:val="24"/>
              </w:rPr>
              <w:t>572</w:t>
            </w:r>
          </w:p>
        </w:tc>
        <w:tc>
          <w:tcPr>
            <w:tcW w:w="0" w:type="auto"/>
            <w:vAlign w:val="center"/>
          </w:tcPr>
          <w:p w14:paraId="39DBE296" w14:textId="35E94571" w:rsidR="00D64BB7" w:rsidRPr="00D24383" w:rsidRDefault="007473C9" w:rsidP="00D24383">
            <w:pPr>
              <w:spacing w:before="240" w:after="240"/>
              <w:jc w:val="center"/>
              <w:rPr>
                <w:rFonts w:cs="Arial"/>
                <w:szCs w:val="24"/>
              </w:rPr>
            </w:pPr>
            <w:r w:rsidRPr="00D24383">
              <w:rPr>
                <w:rFonts w:cs="Arial"/>
                <w:szCs w:val="24"/>
              </w:rPr>
              <w:t>661</w:t>
            </w:r>
          </w:p>
        </w:tc>
        <w:tc>
          <w:tcPr>
            <w:tcW w:w="0" w:type="auto"/>
            <w:vAlign w:val="center"/>
          </w:tcPr>
          <w:p w14:paraId="43906125" w14:textId="77777777" w:rsidR="00D64BB7" w:rsidRPr="00D24383" w:rsidRDefault="00D64BB7" w:rsidP="00D24383">
            <w:pPr>
              <w:spacing w:before="240" w:after="240"/>
              <w:jc w:val="center"/>
              <w:rPr>
                <w:rFonts w:cs="Arial"/>
                <w:szCs w:val="24"/>
              </w:rPr>
            </w:pPr>
            <w:r w:rsidRPr="00D24383">
              <w:rPr>
                <w:rFonts w:cs="Arial"/>
                <w:szCs w:val="24"/>
              </w:rPr>
              <w:t>*</w:t>
            </w:r>
          </w:p>
        </w:tc>
      </w:tr>
      <w:tr w:rsidR="00D24383" w:rsidRPr="00D24383" w14:paraId="2FA6E377" w14:textId="77777777" w:rsidTr="00C5604B">
        <w:trPr>
          <w:cantSplit/>
          <w:trHeight w:val="432"/>
        </w:trPr>
        <w:tc>
          <w:tcPr>
            <w:tcW w:w="3456" w:type="dxa"/>
            <w:vAlign w:val="center"/>
          </w:tcPr>
          <w:p w14:paraId="2DB221DB" w14:textId="77777777" w:rsidR="00D64BB7" w:rsidRPr="00D24383" w:rsidRDefault="00D64BB7" w:rsidP="00D24383">
            <w:pPr>
              <w:spacing w:before="240" w:after="240"/>
              <w:jc w:val="center"/>
              <w:rPr>
                <w:rFonts w:cs="Arial"/>
                <w:szCs w:val="24"/>
              </w:rPr>
            </w:pPr>
            <w:r w:rsidRPr="00D24383">
              <w:rPr>
                <w:rFonts w:cs="Arial"/>
                <w:szCs w:val="24"/>
              </w:rPr>
              <w:t>Youth Leadership Hours</w:t>
            </w:r>
          </w:p>
        </w:tc>
        <w:tc>
          <w:tcPr>
            <w:tcW w:w="0" w:type="auto"/>
            <w:vAlign w:val="center"/>
          </w:tcPr>
          <w:p w14:paraId="25C9A793" w14:textId="558AF29A" w:rsidR="00D64BB7" w:rsidRPr="00D24383" w:rsidRDefault="007473C9" w:rsidP="00D24383">
            <w:pPr>
              <w:spacing w:before="240" w:after="240"/>
              <w:jc w:val="center"/>
              <w:rPr>
                <w:rFonts w:cs="Arial"/>
                <w:szCs w:val="24"/>
              </w:rPr>
            </w:pPr>
            <w:r w:rsidRPr="00D24383">
              <w:rPr>
                <w:rFonts w:cs="Arial"/>
                <w:szCs w:val="24"/>
              </w:rPr>
              <w:t>337</w:t>
            </w:r>
          </w:p>
        </w:tc>
        <w:tc>
          <w:tcPr>
            <w:tcW w:w="0" w:type="auto"/>
            <w:vAlign w:val="center"/>
          </w:tcPr>
          <w:p w14:paraId="442E8426" w14:textId="1A8FC63E" w:rsidR="00D64BB7" w:rsidRPr="00D24383" w:rsidRDefault="007473C9" w:rsidP="00D24383">
            <w:pPr>
              <w:spacing w:before="240" w:after="240"/>
              <w:jc w:val="center"/>
              <w:rPr>
                <w:rFonts w:cs="Arial"/>
                <w:szCs w:val="24"/>
              </w:rPr>
            </w:pPr>
            <w:r w:rsidRPr="00D24383">
              <w:rPr>
                <w:rFonts w:cs="Arial"/>
                <w:szCs w:val="24"/>
              </w:rPr>
              <w:t>237</w:t>
            </w:r>
          </w:p>
        </w:tc>
        <w:tc>
          <w:tcPr>
            <w:tcW w:w="0" w:type="auto"/>
            <w:vAlign w:val="center"/>
          </w:tcPr>
          <w:p w14:paraId="4790862A" w14:textId="309FC191" w:rsidR="00D64BB7" w:rsidRPr="00D24383" w:rsidRDefault="007473C9" w:rsidP="00D24383">
            <w:pPr>
              <w:spacing w:before="240" w:after="240"/>
              <w:jc w:val="center"/>
              <w:rPr>
                <w:rFonts w:cs="Arial"/>
                <w:szCs w:val="24"/>
              </w:rPr>
            </w:pPr>
            <w:r w:rsidRPr="00D24383">
              <w:rPr>
                <w:rFonts w:cs="Arial"/>
                <w:szCs w:val="24"/>
              </w:rPr>
              <w:t>210</w:t>
            </w:r>
          </w:p>
        </w:tc>
        <w:tc>
          <w:tcPr>
            <w:tcW w:w="0" w:type="auto"/>
            <w:vAlign w:val="center"/>
          </w:tcPr>
          <w:p w14:paraId="0E77C35E" w14:textId="085D71CD" w:rsidR="00D64BB7" w:rsidRPr="00D24383" w:rsidRDefault="007473C9" w:rsidP="00D24383">
            <w:pPr>
              <w:spacing w:before="240" w:after="240"/>
              <w:jc w:val="center"/>
              <w:rPr>
                <w:rFonts w:cs="Arial"/>
                <w:szCs w:val="24"/>
              </w:rPr>
            </w:pPr>
            <w:r w:rsidRPr="00D24383">
              <w:rPr>
                <w:rFonts w:cs="Arial"/>
                <w:szCs w:val="24"/>
              </w:rPr>
              <w:t>241</w:t>
            </w:r>
          </w:p>
        </w:tc>
        <w:tc>
          <w:tcPr>
            <w:tcW w:w="0" w:type="auto"/>
            <w:vAlign w:val="center"/>
          </w:tcPr>
          <w:p w14:paraId="238E92EA" w14:textId="77777777" w:rsidR="00D64BB7" w:rsidRPr="00D24383" w:rsidRDefault="00D64BB7" w:rsidP="00D24383">
            <w:pPr>
              <w:spacing w:before="240" w:after="240"/>
              <w:jc w:val="center"/>
              <w:rPr>
                <w:rFonts w:cs="Arial"/>
                <w:szCs w:val="24"/>
              </w:rPr>
            </w:pPr>
            <w:r w:rsidRPr="00D24383">
              <w:rPr>
                <w:rFonts w:cs="Arial"/>
                <w:szCs w:val="24"/>
              </w:rPr>
              <w:t>*</w:t>
            </w:r>
          </w:p>
        </w:tc>
      </w:tr>
      <w:tr w:rsidR="00D24383" w:rsidRPr="00D24383" w14:paraId="4230D37F" w14:textId="77777777" w:rsidTr="00C5604B">
        <w:trPr>
          <w:cantSplit/>
          <w:trHeight w:val="432"/>
        </w:trPr>
        <w:tc>
          <w:tcPr>
            <w:tcW w:w="3456" w:type="dxa"/>
            <w:vAlign w:val="center"/>
          </w:tcPr>
          <w:p w14:paraId="0FC58A4C" w14:textId="526172FE" w:rsidR="007473C9" w:rsidRPr="00D24383" w:rsidRDefault="007473C9" w:rsidP="00D24383">
            <w:pPr>
              <w:spacing w:before="240" w:after="240"/>
              <w:jc w:val="center"/>
              <w:rPr>
                <w:rFonts w:cs="Arial"/>
                <w:szCs w:val="24"/>
              </w:rPr>
            </w:pPr>
            <w:r w:rsidRPr="00D24383">
              <w:rPr>
                <w:rFonts w:cs="Arial"/>
                <w:szCs w:val="24"/>
              </w:rPr>
              <w:t>Recreational Activity Hours</w:t>
            </w:r>
          </w:p>
        </w:tc>
        <w:tc>
          <w:tcPr>
            <w:tcW w:w="0" w:type="auto"/>
            <w:vAlign w:val="center"/>
          </w:tcPr>
          <w:p w14:paraId="28573830" w14:textId="4EAE4305" w:rsidR="007473C9" w:rsidRPr="00D24383" w:rsidRDefault="007473C9" w:rsidP="00D24383">
            <w:pPr>
              <w:spacing w:before="240" w:after="240"/>
              <w:jc w:val="center"/>
              <w:rPr>
                <w:rFonts w:cs="Arial"/>
                <w:szCs w:val="24"/>
              </w:rPr>
            </w:pPr>
            <w:r w:rsidRPr="00D24383">
              <w:rPr>
                <w:rFonts w:cs="Arial"/>
                <w:szCs w:val="24"/>
              </w:rPr>
              <w:t>478</w:t>
            </w:r>
          </w:p>
        </w:tc>
        <w:tc>
          <w:tcPr>
            <w:tcW w:w="0" w:type="auto"/>
            <w:vAlign w:val="center"/>
          </w:tcPr>
          <w:p w14:paraId="35135438" w14:textId="2450670C" w:rsidR="007473C9" w:rsidRPr="00D24383" w:rsidRDefault="007473C9" w:rsidP="00D24383">
            <w:pPr>
              <w:spacing w:before="240" w:after="240"/>
              <w:jc w:val="center"/>
              <w:rPr>
                <w:rFonts w:cs="Arial"/>
                <w:szCs w:val="24"/>
              </w:rPr>
            </w:pPr>
            <w:r w:rsidRPr="00D24383">
              <w:rPr>
                <w:rFonts w:cs="Arial"/>
                <w:szCs w:val="24"/>
              </w:rPr>
              <w:t>391</w:t>
            </w:r>
          </w:p>
        </w:tc>
        <w:tc>
          <w:tcPr>
            <w:tcW w:w="0" w:type="auto"/>
            <w:vAlign w:val="center"/>
          </w:tcPr>
          <w:p w14:paraId="4192A676" w14:textId="0ADAEF30" w:rsidR="007473C9" w:rsidRPr="00D24383" w:rsidRDefault="007473C9" w:rsidP="00D24383">
            <w:pPr>
              <w:spacing w:before="240" w:after="240"/>
              <w:jc w:val="center"/>
              <w:rPr>
                <w:rFonts w:cs="Arial"/>
                <w:szCs w:val="24"/>
              </w:rPr>
            </w:pPr>
            <w:r w:rsidRPr="00D24383">
              <w:rPr>
                <w:rFonts w:cs="Arial"/>
                <w:szCs w:val="24"/>
              </w:rPr>
              <w:t>359</w:t>
            </w:r>
          </w:p>
        </w:tc>
        <w:tc>
          <w:tcPr>
            <w:tcW w:w="0" w:type="auto"/>
            <w:vAlign w:val="center"/>
          </w:tcPr>
          <w:p w14:paraId="3208C699" w14:textId="7C5DDBF6" w:rsidR="007473C9" w:rsidRPr="00D24383" w:rsidRDefault="007473C9" w:rsidP="00D24383">
            <w:pPr>
              <w:spacing w:before="240" w:after="240"/>
              <w:jc w:val="center"/>
              <w:rPr>
                <w:rFonts w:cs="Arial"/>
                <w:szCs w:val="24"/>
              </w:rPr>
            </w:pPr>
            <w:r w:rsidRPr="00D24383">
              <w:rPr>
                <w:rFonts w:cs="Arial"/>
                <w:szCs w:val="24"/>
              </w:rPr>
              <w:t>387</w:t>
            </w:r>
          </w:p>
        </w:tc>
        <w:tc>
          <w:tcPr>
            <w:tcW w:w="0" w:type="auto"/>
            <w:vAlign w:val="center"/>
          </w:tcPr>
          <w:p w14:paraId="15B7AB3C" w14:textId="37CC702B" w:rsidR="007473C9" w:rsidRPr="00D24383" w:rsidRDefault="007473C9" w:rsidP="00D24383">
            <w:pPr>
              <w:spacing w:before="240" w:after="240"/>
              <w:jc w:val="center"/>
              <w:rPr>
                <w:rFonts w:cs="Arial"/>
                <w:szCs w:val="24"/>
              </w:rPr>
            </w:pPr>
            <w:r w:rsidRPr="00D24383">
              <w:rPr>
                <w:rFonts w:cs="Arial"/>
                <w:szCs w:val="24"/>
              </w:rPr>
              <w:t>*</w:t>
            </w:r>
          </w:p>
        </w:tc>
      </w:tr>
      <w:tr w:rsidR="00D24383" w:rsidRPr="00D24383" w14:paraId="6F7C841E" w14:textId="77777777" w:rsidTr="00C5604B">
        <w:trPr>
          <w:cantSplit/>
          <w:trHeight w:val="432"/>
        </w:trPr>
        <w:tc>
          <w:tcPr>
            <w:tcW w:w="3456" w:type="dxa"/>
            <w:vAlign w:val="center"/>
          </w:tcPr>
          <w:p w14:paraId="30711882" w14:textId="77777777" w:rsidR="00D64BB7" w:rsidRPr="00D24383" w:rsidRDefault="00D64BB7" w:rsidP="00D24383">
            <w:pPr>
              <w:spacing w:before="240" w:after="240"/>
              <w:jc w:val="center"/>
              <w:rPr>
                <w:rFonts w:cs="Arial"/>
                <w:szCs w:val="24"/>
              </w:rPr>
            </w:pPr>
            <w:r w:rsidRPr="00D24383">
              <w:rPr>
                <w:rFonts w:cs="Arial"/>
                <w:szCs w:val="24"/>
              </w:rPr>
              <w:t>Individual/Group Personal Adjustment/Vocational Academic Hours</w:t>
            </w:r>
          </w:p>
        </w:tc>
        <w:tc>
          <w:tcPr>
            <w:tcW w:w="0" w:type="auto"/>
            <w:vAlign w:val="center"/>
          </w:tcPr>
          <w:p w14:paraId="7DC6099E" w14:textId="02E8DE14" w:rsidR="00D64BB7" w:rsidRPr="00D24383" w:rsidRDefault="007473C9" w:rsidP="00D24383">
            <w:pPr>
              <w:spacing w:before="240" w:after="240"/>
              <w:jc w:val="center"/>
              <w:rPr>
                <w:rFonts w:cs="Arial"/>
                <w:szCs w:val="24"/>
              </w:rPr>
            </w:pPr>
            <w:r w:rsidRPr="00D24383">
              <w:rPr>
                <w:rFonts w:cs="Arial"/>
                <w:szCs w:val="24"/>
              </w:rPr>
              <w:t>286</w:t>
            </w:r>
          </w:p>
        </w:tc>
        <w:tc>
          <w:tcPr>
            <w:tcW w:w="0" w:type="auto"/>
            <w:vAlign w:val="center"/>
          </w:tcPr>
          <w:p w14:paraId="316BDCCC" w14:textId="5324A3D3" w:rsidR="00D64BB7" w:rsidRPr="00D24383" w:rsidRDefault="007473C9" w:rsidP="00D24383">
            <w:pPr>
              <w:spacing w:before="240" w:after="240"/>
              <w:jc w:val="center"/>
              <w:rPr>
                <w:rFonts w:cs="Arial"/>
                <w:szCs w:val="24"/>
              </w:rPr>
            </w:pPr>
            <w:r w:rsidRPr="00D24383">
              <w:rPr>
                <w:rFonts w:cs="Arial"/>
                <w:szCs w:val="24"/>
              </w:rPr>
              <w:t>117</w:t>
            </w:r>
          </w:p>
        </w:tc>
        <w:tc>
          <w:tcPr>
            <w:tcW w:w="0" w:type="auto"/>
            <w:vAlign w:val="center"/>
          </w:tcPr>
          <w:p w14:paraId="12025541" w14:textId="2D4372D5" w:rsidR="00D64BB7" w:rsidRPr="00D24383" w:rsidRDefault="007473C9" w:rsidP="00D24383">
            <w:pPr>
              <w:spacing w:before="240" w:after="240"/>
              <w:jc w:val="center"/>
              <w:rPr>
                <w:rFonts w:cs="Arial"/>
                <w:szCs w:val="24"/>
              </w:rPr>
            </w:pPr>
            <w:r w:rsidRPr="00D24383">
              <w:rPr>
                <w:rFonts w:cs="Arial"/>
                <w:szCs w:val="24"/>
              </w:rPr>
              <w:t>216</w:t>
            </w:r>
          </w:p>
        </w:tc>
        <w:tc>
          <w:tcPr>
            <w:tcW w:w="0" w:type="auto"/>
            <w:vAlign w:val="center"/>
          </w:tcPr>
          <w:p w14:paraId="7E8D5B9A" w14:textId="2F17F0E0" w:rsidR="00D64BB7" w:rsidRPr="00D24383" w:rsidRDefault="007473C9" w:rsidP="00D24383">
            <w:pPr>
              <w:spacing w:before="240" w:after="240"/>
              <w:jc w:val="center"/>
              <w:rPr>
                <w:rFonts w:cs="Arial"/>
                <w:szCs w:val="24"/>
              </w:rPr>
            </w:pPr>
            <w:r w:rsidRPr="00D24383">
              <w:rPr>
                <w:rFonts w:cs="Arial"/>
                <w:szCs w:val="24"/>
              </w:rPr>
              <w:t>216</w:t>
            </w:r>
          </w:p>
        </w:tc>
        <w:tc>
          <w:tcPr>
            <w:tcW w:w="0" w:type="auto"/>
            <w:vAlign w:val="center"/>
          </w:tcPr>
          <w:p w14:paraId="10001D9B" w14:textId="77777777" w:rsidR="00D64BB7" w:rsidRPr="00D24383" w:rsidRDefault="00D64BB7" w:rsidP="00D24383">
            <w:pPr>
              <w:spacing w:before="240" w:after="240"/>
              <w:jc w:val="center"/>
              <w:rPr>
                <w:rFonts w:cs="Arial"/>
                <w:szCs w:val="24"/>
              </w:rPr>
            </w:pPr>
            <w:r w:rsidRPr="00D24383">
              <w:rPr>
                <w:rFonts w:cs="Arial"/>
                <w:szCs w:val="24"/>
              </w:rPr>
              <w:t>*</w:t>
            </w:r>
          </w:p>
        </w:tc>
      </w:tr>
    </w:tbl>
    <w:p w14:paraId="3BE60CCD" w14:textId="407FC585" w:rsidR="0078221C" w:rsidRDefault="00C9574A" w:rsidP="003F2F1C">
      <w:pPr>
        <w:spacing w:before="240"/>
        <w:rPr>
          <w:rFonts w:cs="Arial"/>
          <w:b/>
          <w:szCs w:val="24"/>
        </w:rPr>
      </w:pPr>
      <w:r w:rsidRPr="00D24383">
        <w:rPr>
          <w:rFonts w:cs="Arial"/>
          <w:szCs w:val="24"/>
        </w:rPr>
        <w:t>According to the End</w:t>
      </w:r>
      <w:r w:rsidR="002F313B" w:rsidRPr="00D24383">
        <w:rPr>
          <w:rFonts w:cs="Arial"/>
          <w:szCs w:val="24"/>
        </w:rPr>
        <w:t>-</w:t>
      </w:r>
      <w:r w:rsidRPr="00D24383">
        <w:rPr>
          <w:rFonts w:cs="Arial"/>
          <w:szCs w:val="24"/>
        </w:rPr>
        <w:t>of</w:t>
      </w:r>
      <w:r w:rsidR="002F313B" w:rsidRPr="00D24383">
        <w:rPr>
          <w:rFonts w:cs="Arial"/>
          <w:szCs w:val="24"/>
        </w:rPr>
        <w:t>-</w:t>
      </w:r>
      <w:r w:rsidRPr="00D24383">
        <w:rPr>
          <w:rFonts w:cs="Arial"/>
          <w:szCs w:val="24"/>
        </w:rPr>
        <w:t>Year Reports for the years 2015</w:t>
      </w:r>
      <w:r w:rsidR="00B20286" w:rsidRPr="00D24383">
        <w:rPr>
          <w:rFonts w:cs="Arial"/>
          <w:szCs w:val="24"/>
        </w:rPr>
        <w:t>–</w:t>
      </w:r>
      <w:r w:rsidRPr="00D24383">
        <w:rPr>
          <w:rFonts w:cs="Arial"/>
          <w:szCs w:val="24"/>
        </w:rPr>
        <w:t>16 to 2019</w:t>
      </w:r>
      <w:r w:rsidR="00B20286" w:rsidRPr="00D24383">
        <w:rPr>
          <w:rFonts w:cs="Arial"/>
          <w:szCs w:val="24"/>
        </w:rPr>
        <w:t>–</w:t>
      </w:r>
      <w:r w:rsidRPr="00D24383">
        <w:rPr>
          <w:rFonts w:cs="Arial"/>
          <w:szCs w:val="24"/>
        </w:rPr>
        <w:t>20</w:t>
      </w:r>
      <w:r w:rsidR="002F313B" w:rsidRPr="00D24383">
        <w:rPr>
          <w:rFonts w:cs="Arial"/>
          <w:szCs w:val="24"/>
        </w:rPr>
        <w:t>,</w:t>
      </w:r>
      <w:r w:rsidRPr="00D24383">
        <w:rPr>
          <w:rFonts w:cs="Arial"/>
          <w:szCs w:val="24"/>
        </w:rPr>
        <w:t xml:space="preserve"> the AIECs provided services that meet all the requirements of this program</w:t>
      </w:r>
      <w:r w:rsidR="002F313B" w:rsidRPr="00D24383">
        <w:rPr>
          <w:rFonts w:cs="Arial"/>
          <w:szCs w:val="24"/>
        </w:rPr>
        <w:t>, which</w:t>
      </w:r>
      <w:r w:rsidRPr="00D24383">
        <w:rPr>
          <w:rFonts w:cs="Arial"/>
          <w:szCs w:val="24"/>
        </w:rPr>
        <w:t xml:space="preserve"> </w:t>
      </w:r>
      <w:proofErr w:type="gramStart"/>
      <w:r w:rsidR="002F313B" w:rsidRPr="00D24383">
        <w:rPr>
          <w:rFonts w:cs="Arial"/>
          <w:szCs w:val="24"/>
        </w:rPr>
        <w:t>are</w:t>
      </w:r>
      <w:r w:rsidRPr="00D24383">
        <w:rPr>
          <w:rFonts w:cs="Arial"/>
          <w:szCs w:val="24"/>
        </w:rPr>
        <w:t xml:space="preserve"> enumerated</w:t>
      </w:r>
      <w:proofErr w:type="gramEnd"/>
      <w:r w:rsidRPr="00D24383">
        <w:rPr>
          <w:rFonts w:cs="Arial"/>
          <w:szCs w:val="24"/>
        </w:rPr>
        <w:t xml:space="preserve"> in </w:t>
      </w:r>
      <w:r w:rsidRPr="00D24383">
        <w:rPr>
          <w:rFonts w:cs="Arial"/>
          <w:i/>
          <w:szCs w:val="24"/>
        </w:rPr>
        <w:t>EC</w:t>
      </w:r>
      <w:r w:rsidRPr="00D24383">
        <w:rPr>
          <w:rFonts w:cs="Arial"/>
          <w:szCs w:val="24"/>
        </w:rPr>
        <w:t xml:space="preserve"> sections 33380</w:t>
      </w:r>
      <w:r w:rsidR="00B20286" w:rsidRPr="00D24383">
        <w:rPr>
          <w:rFonts w:cs="Arial"/>
          <w:szCs w:val="24"/>
        </w:rPr>
        <w:t>–</w:t>
      </w:r>
      <w:r w:rsidRPr="00D24383">
        <w:rPr>
          <w:rFonts w:cs="Arial"/>
          <w:szCs w:val="24"/>
        </w:rPr>
        <w:t>33385. Table 1</w:t>
      </w:r>
      <w:r w:rsidR="00F372C5" w:rsidRPr="00D24383">
        <w:rPr>
          <w:rFonts w:cs="Arial"/>
          <w:szCs w:val="24"/>
        </w:rPr>
        <w:t>0</w:t>
      </w:r>
      <w:r w:rsidRPr="00D24383">
        <w:rPr>
          <w:rFonts w:cs="Arial"/>
          <w:szCs w:val="24"/>
        </w:rPr>
        <w:t xml:space="preserve"> indicates the percent</w:t>
      </w:r>
      <w:r w:rsidR="0078221C">
        <w:rPr>
          <w:rFonts w:cs="Arial"/>
          <w:szCs w:val="24"/>
        </w:rPr>
        <w:t>age</w:t>
      </w:r>
      <w:r w:rsidRPr="00D24383">
        <w:rPr>
          <w:rFonts w:cs="Arial"/>
          <w:szCs w:val="24"/>
        </w:rPr>
        <w:t xml:space="preserve"> of the AIECs </w:t>
      </w:r>
      <w:r w:rsidR="0040336F">
        <w:rPr>
          <w:rFonts w:cs="Arial"/>
          <w:szCs w:val="24"/>
        </w:rPr>
        <w:t>that</w:t>
      </w:r>
      <w:r w:rsidRPr="00D24383">
        <w:rPr>
          <w:rFonts w:cs="Arial"/>
          <w:szCs w:val="24"/>
        </w:rPr>
        <w:t xml:space="preserve"> offer the listed services.</w:t>
      </w:r>
      <w:r w:rsidR="0078221C">
        <w:rPr>
          <w:rFonts w:cs="Arial"/>
          <w:b/>
          <w:szCs w:val="24"/>
        </w:rPr>
        <w:br w:type="page"/>
      </w:r>
    </w:p>
    <w:p w14:paraId="2475FF01" w14:textId="637C8ACF" w:rsidR="00F372C5" w:rsidRPr="00D24383" w:rsidRDefault="00F372C5" w:rsidP="00D24383">
      <w:pPr>
        <w:spacing w:before="240"/>
        <w:rPr>
          <w:rFonts w:cs="Arial"/>
          <w:b/>
          <w:szCs w:val="24"/>
        </w:rPr>
      </w:pPr>
      <w:r w:rsidRPr="00D24383">
        <w:rPr>
          <w:rFonts w:cs="Arial"/>
          <w:b/>
          <w:szCs w:val="24"/>
        </w:rPr>
        <w:lastRenderedPageBreak/>
        <w:t>Table 10: Survey of Services</w:t>
      </w:r>
      <w:r w:rsidR="008060C6" w:rsidRPr="00D24383">
        <w:rPr>
          <w:rFonts w:cs="Arial"/>
          <w:b/>
          <w:szCs w:val="24"/>
        </w:rPr>
        <w:t xml:space="preserve"> Provided by AIECs by Percentage</w:t>
      </w:r>
      <w:r w:rsidR="00BC72EA">
        <w:rPr>
          <w:rStyle w:val="FootnoteReference"/>
          <w:rFonts w:cs="Arial"/>
          <w:b/>
          <w:szCs w:val="24"/>
        </w:rPr>
        <w:footnoteReference w:id="33"/>
      </w:r>
    </w:p>
    <w:tbl>
      <w:tblPr>
        <w:tblStyle w:val="TableGrid"/>
        <w:tblW w:w="5000" w:type="pct"/>
        <w:tblLook w:val="04A0" w:firstRow="1" w:lastRow="0" w:firstColumn="1" w:lastColumn="0" w:noHBand="0" w:noVBand="1"/>
        <w:tblDescription w:val="This table contains a Survey of Services Provided by Percentage."/>
      </w:tblPr>
      <w:tblGrid>
        <w:gridCol w:w="7753"/>
        <w:gridCol w:w="1597"/>
      </w:tblGrid>
      <w:tr w:rsidR="00D24383" w:rsidRPr="00D24383" w14:paraId="2014AEEC" w14:textId="77777777" w:rsidTr="00AD21B9">
        <w:trPr>
          <w:cantSplit/>
          <w:trHeight w:val="432"/>
          <w:tblHeader/>
        </w:trPr>
        <w:tc>
          <w:tcPr>
            <w:tcW w:w="4146" w:type="pct"/>
            <w:shd w:val="clear" w:color="auto" w:fill="D9D9D9" w:themeFill="background1" w:themeFillShade="D9"/>
            <w:vAlign w:val="center"/>
          </w:tcPr>
          <w:p w14:paraId="61A45805" w14:textId="5D88A98D" w:rsidR="00F372C5" w:rsidRPr="00D24383" w:rsidRDefault="008060C6" w:rsidP="00D24383">
            <w:pPr>
              <w:spacing w:before="240" w:after="240"/>
              <w:jc w:val="center"/>
              <w:rPr>
                <w:rFonts w:cs="Arial"/>
                <w:b/>
                <w:szCs w:val="24"/>
              </w:rPr>
            </w:pPr>
            <w:r w:rsidRPr="00D24383">
              <w:rPr>
                <w:rFonts w:eastAsia="Times New Roman" w:cs="Arial"/>
                <w:b/>
                <w:szCs w:val="24"/>
              </w:rPr>
              <w:t>AIEC</w:t>
            </w:r>
            <w:r w:rsidR="00F372C5" w:rsidRPr="00D24383">
              <w:rPr>
                <w:rFonts w:eastAsia="Times New Roman" w:cs="Arial"/>
                <w:b/>
                <w:szCs w:val="24"/>
              </w:rPr>
              <w:t xml:space="preserve"> Program Goals</w:t>
            </w:r>
          </w:p>
        </w:tc>
        <w:tc>
          <w:tcPr>
            <w:tcW w:w="854" w:type="pct"/>
            <w:shd w:val="clear" w:color="auto" w:fill="D9D9D9" w:themeFill="background1" w:themeFillShade="D9"/>
            <w:vAlign w:val="center"/>
          </w:tcPr>
          <w:p w14:paraId="78D1B4DE" w14:textId="323FABE4" w:rsidR="00F372C5" w:rsidRPr="00D24383" w:rsidRDefault="00F372C5" w:rsidP="00D24383">
            <w:pPr>
              <w:spacing w:before="240" w:after="240"/>
              <w:jc w:val="center"/>
              <w:rPr>
                <w:rFonts w:cs="Arial"/>
                <w:b/>
                <w:szCs w:val="24"/>
              </w:rPr>
            </w:pPr>
            <w:r w:rsidRPr="00D24383">
              <w:rPr>
                <w:rFonts w:eastAsia="Times New Roman" w:cs="Arial"/>
                <w:b/>
                <w:szCs w:val="24"/>
              </w:rPr>
              <w:t>Percent of Centers</w:t>
            </w:r>
          </w:p>
        </w:tc>
      </w:tr>
      <w:tr w:rsidR="00D24383" w:rsidRPr="00D24383" w14:paraId="09523849" w14:textId="77777777" w:rsidTr="00AD21B9">
        <w:trPr>
          <w:cantSplit/>
          <w:trHeight w:val="432"/>
        </w:trPr>
        <w:tc>
          <w:tcPr>
            <w:tcW w:w="4146" w:type="pct"/>
            <w:vAlign w:val="center"/>
          </w:tcPr>
          <w:p w14:paraId="54875A64" w14:textId="555029FB" w:rsidR="00F372C5" w:rsidRPr="00D24383" w:rsidRDefault="00F372C5" w:rsidP="00D24383">
            <w:pPr>
              <w:spacing w:before="240" w:after="240"/>
              <w:jc w:val="center"/>
              <w:rPr>
                <w:rFonts w:cs="Arial"/>
                <w:szCs w:val="24"/>
              </w:rPr>
            </w:pPr>
            <w:r w:rsidRPr="00D24383">
              <w:rPr>
                <w:rFonts w:cs="Arial"/>
                <w:szCs w:val="24"/>
              </w:rPr>
              <w:t xml:space="preserve">Improve the academic achievement of American </w:t>
            </w:r>
            <w:r w:rsidRPr="00D24383">
              <w:rPr>
                <w:rStyle w:val="Strong"/>
                <w:rFonts w:cs="Arial"/>
                <w:b w:val="0"/>
                <w:szCs w:val="24"/>
              </w:rPr>
              <w:t>Indian</w:t>
            </w:r>
            <w:r w:rsidRPr="00D24383">
              <w:rPr>
                <w:rFonts w:cs="Arial"/>
                <w:szCs w:val="24"/>
              </w:rPr>
              <w:t xml:space="preserve"> pupils with particular emphasis on reading and mathematics.</w:t>
            </w:r>
          </w:p>
        </w:tc>
        <w:tc>
          <w:tcPr>
            <w:tcW w:w="854" w:type="pct"/>
            <w:vAlign w:val="center"/>
          </w:tcPr>
          <w:p w14:paraId="67A3932E" w14:textId="4D30838D" w:rsidR="00F372C5" w:rsidRPr="00D24383" w:rsidRDefault="00F372C5" w:rsidP="00D24383">
            <w:pPr>
              <w:spacing w:before="240" w:after="240"/>
              <w:jc w:val="center"/>
              <w:rPr>
                <w:rFonts w:cs="Arial"/>
                <w:szCs w:val="24"/>
              </w:rPr>
            </w:pPr>
            <w:r w:rsidRPr="00D24383">
              <w:rPr>
                <w:rFonts w:cs="Arial"/>
                <w:szCs w:val="24"/>
              </w:rPr>
              <w:t>100%</w:t>
            </w:r>
          </w:p>
        </w:tc>
      </w:tr>
      <w:tr w:rsidR="00D24383" w:rsidRPr="00D24383" w14:paraId="79DB720B" w14:textId="77777777" w:rsidTr="00AD21B9">
        <w:trPr>
          <w:cantSplit/>
          <w:trHeight w:val="432"/>
        </w:trPr>
        <w:tc>
          <w:tcPr>
            <w:tcW w:w="4146" w:type="pct"/>
            <w:vAlign w:val="center"/>
          </w:tcPr>
          <w:p w14:paraId="32460390" w14:textId="45EC2AF3" w:rsidR="00F372C5" w:rsidRPr="00D24383" w:rsidRDefault="00F372C5" w:rsidP="00D24383">
            <w:pPr>
              <w:spacing w:before="240" w:after="240"/>
              <w:jc w:val="center"/>
              <w:rPr>
                <w:rFonts w:cs="Arial"/>
                <w:szCs w:val="24"/>
              </w:rPr>
            </w:pPr>
            <w:r w:rsidRPr="00D24383">
              <w:rPr>
                <w:rFonts w:cs="Arial"/>
                <w:szCs w:val="24"/>
              </w:rPr>
              <w:t xml:space="preserve">Improve the self-concept of American </w:t>
            </w:r>
            <w:r w:rsidRPr="00D24383">
              <w:rPr>
                <w:rStyle w:val="Strong"/>
                <w:rFonts w:cs="Arial"/>
                <w:b w:val="0"/>
                <w:szCs w:val="24"/>
              </w:rPr>
              <w:t>Indian</w:t>
            </w:r>
            <w:r w:rsidRPr="00D24383">
              <w:rPr>
                <w:rFonts w:cs="Arial"/>
                <w:szCs w:val="24"/>
              </w:rPr>
              <w:t xml:space="preserve"> pupils and adults.</w:t>
            </w:r>
          </w:p>
        </w:tc>
        <w:tc>
          <w:tcPr>
            <w:tcW w:w="854" w:type="pct"/>
            <w:vAlign w:val="center"/>
          </w:tcPr>
          <w:p w14:paraId="43038A3F" w14:textId="19636221" w:rsidR="00F372C5" w:rsidRPr="00D24383" w:rsidRDefault="00F372C5" w:rsidP="00D24383">
            <w:pPr>
              <w:spacing w:before="240" w:after="240"/>
              <w:jc w:val="center"/>
              <w:rPr>
                <w:rFonts w:cs="Arial"/>
                <w:szCs w:val="24"/>
              </w:rPr>
            </w:pPr>
            <w:r w:rsidRPr="00D24383">
              <w:rPr>
                <w:rFonts w:eastAsia="Times New Roman" w:cs="Arial"/>
                <w:szCs w:val="24"/>
              </w:rPr>
              <w:t>100%</w:t>
            </w:r>
          </w:p>
        </w:tc>
      </w:tr>
      <w:tr w:rsidR="00D24383" w:rsidRPr="00D24383" w14:paraId="63E2C993" w14:textId="77777777" w:rsidTr="00AD21B9">
        <w:trPr>
          <w:cantSplit/>
          <w:trHeight w:val="432"/>
        </w:trPr>
        <w:tc>
          <w:tcPr>
            <w:tcW w:w="4146" w:type="pct"/>
            <w:vAlign w:val="center"/>
          </w:tcPr>
          <w:p w14:paraId="72B3040F" w14:textId="3C10FD69" w:rsidR="00F372C5" w:rsidRPr="00D24383" w:rsidRDefault="00F372C5" w:rsidP="00D24383">
            <w:pPr>
              <w:spacing w:before="240" w:after="240"/>
              <w:jc w:val="center"/>
              <w:rPr>
                <w:rFonts w:cs="Arial"/>
                <w:szCs w:val="24"/>
              </w:rPr>
            </w:pPr>
            <w:r w:rsidRPr="00D24383">
              <w:rPr>
                <w:rFonts w:cs="Arial"/>
                <w:szCs w:val="24"/>
              </w:rPr>
              <w:t xml:space="preserve">Increase the employment of American </w:t>
            </w:r>
            <w:r w:rsidRPr="00D24383">
              <w:rPr>
                <w:rStyle w:val="Strong"/>
                <w:rFonts w:cs="Arial"/>
                <w:b w:val="0"/>
                <w:szCs w:val="24"/>
              </w:rPr>
              <w:t>Indian</w:t>
            </w:r>
            <w:r w:rsidRPr="00D24383">
              <w:rPr>
                <w:rFonts w:cs="Arial"/>
                <w:szCs w:val="24"/>
              </w:rPr>
              <w:t xml:space="preserve"> adults.</w:t>
            </w:r>
          </w:p>
        </w:tc>
        <w:tc>
          <w:tcPr>
            <w:tcW w:w="854" w:type="pct"/>
            <w:vAlign w:val="center"/>
          </w:tcPr>
          <w:p w14:paraId="58AF9B39" w14:textId="7413100C" w:rsidR="00F372C5" w:rsidRPr="00D24383" w:rsidRDefault="00F372C5" w:rsidP="00D24383">
            <w:pPr>
              <w:spacing w:before="240" w:after="240"/>
              <w:jc w:val="center"/>
              <w:rPr>
                <w:rFonts w:cs="Arial"/>
                <w:szCs w:val="24"/>
              </w:rPr>
            </w:pPr>
            <w:r w:rsidRPr="00D24383">
              <w:rPr>
                <w:rFonts w:cs="Arial"/>
                <w:szCs w:val="24"/>
              </w:rPr>
              <w:t>92%</w:t>
            </w:r>
          </w:p>
        </w:tc>
      </w:tr>
      <w:tr w:rsidR="00D24383" w:rsidRPr="00D24383" w14:paraId="3BE838F3" w14:textId="77777777" w:rsidTr="00AD21B9">
        <w:trPr>
          <w:cantSplit/>
          <w:trHeight w:val="432"/>
        </w:trPr>
        <w:tc>
          <w:tcPr>
            <w:tcW w:w="4146" w:type="pct"/>
            <w:vAlign w:val="center"/>
          </w:tcPr>
          <w:p w14:paraId="0E5BED83" w14:textId="6079DAD9" w:rsidR="00F372C5" w:rsidRPr="00D24383" w:rsidRDefault="00F372C5" w:rsidP="00D24383">
            <w:pPr>
              <w:spacing w:before="240" w:after="240"/>
              <w:jc w:val="center"/>
              <w:rPr>
                <w:rFonts w:cs="Arial"/>
                <w:szCs w:val="24"/>
              </w:rPr>
            </w:pPr>
            <w:r w:rsidRPr="00D24383">
              <w:rPr>
                <w:rFonts w:cs="Arial"/>
                <w:szCs w:val="24"/>
              </w:rPr>
              <w:t>Serve as a center for related community activities.</w:t>
            </w:r>
          </w:p>
        </w:tc>
        <w:tc>
          <w:tcPr>
            <w:tcW w:w="854" w:type="pct"/>
            <w:vAlign w:val="center"/>
          </w:tcPr>
          <w:p w14:paraId="77B37DA6" w14:textId="6FCFF49E" w:rsidR="00F372C5" w:rsidRPr="00D24383" w:rsidRDefault="00F372C5" w:rsidP="00D24383">
            <w:pPr>
              <w:spacing w:before="240" w:after="240"/>
              <w:jc w:val="center"/>
              <w:rPr>
                <w:rFonts w:cs="Arial"/>
                <w:szCs w:val="24"/>
              </w:rPr>
            </w:pPr>
            <w:r w:rsidRPr="00D24383">
              <w:rPr>
                <w:rFonts w:cs="Arial"/>
                <w:szCs w:val="24"/>
              </w:rPr>
              <w:t>100%</w:t>
            </w:r>
          </w:p>
        </w:tc>
      </w:tr>
      <w:tr w:rsidR="00D24383" w:rsidRPr="00D24383" w14:paraId="2CF5D21C" w14:textId="77777777" w:rsidTr="00AD21B9">
        <w:trPr>
          <w:cantSplit/>
          <w:trHeight w:val="432"/>
        </w:trPr>
        <w:tc>
          <w:tcPr>
            <w:tcW w:w="4146" w:type="pct"/>
            <w:vAlign w:val="center"/>
          </w:tcPr>
          <w:p w14:paraId="56DD8EA1" w14:textId="34201C3C" w:rsidR="00F372C5" w:rsidRPr="00D24383" w:rsidRDefault="00F372C5" w:rsidP="00D24383">
            <w:pPr>
              <w:spacing w:before="240" w:after="240"/>
              <w:jc w:val="center"/>
              <w:rPr>
                <w:rFonts w:cs="Arial"/>
                <w:szCs w:val="24"/>
              </w:rPr>
            </w:pPr>
            <w:r w:rsidRPr="00D24383">
              <w:rPr>
                <w:rFonts w:cs="Arial"/>
                <w:szCs w:val="24"/>
              </w:rPr>
              <w:t>Provide tutorial assistance to pupils in reading and mathematics.</w:t>
            </w:r>
          </w:p>
        </w:tc>
        <w:tc>
          <w:tcPr>
            <w:tcW w:w="854" w:type="pct"/>
            <w:vAlign w:val="center"/>
          </w:tcPr>
          <w:p w14:paraId="0CB593DA" w14:textId="1A5B83FD" w:rsidR="00F372C5" w:rsidRPr="00D24383" w:rsidRDefault="00F372C5" w:rsidP="00D24383">
            <w:pPr>
              <w:spacing w:before="240" w:after="240"/>
              <w:jc w:val="center"/>
              <w:rPr>
                <w:rFonts w:cs="Arial"/>
                <w:szCs w:val="24"/>
              </w:rPr>
            </w:pPr>
            <w:r w:rsidRPr="00D24383">
              <w:rPr>
                <w:rFonts w:cs="Arial"/>
                <w:szCs w:val="24"/>
              </w:rPr>
              <w:t>92%</w:t>
            </w:r>
          </w:p>
        </w:tc>
      </w:tr>
      <w:tr w:rsidR="00D24383" w:rsidRPr="00D24383" w14:paraId="59A879B1" w14:textId="77777777" w:rsidTr="00AD21B9">
        <w:trPr>
          <w:cantSplit/>
          <w:trHeight w:val="432"/>
        </w:trPr>
        <w:tc>
          <w:tcPr>
            <w:tcW w:w="4146" w:type="pct"/>
            <w:vAlign w:val="center"/>
          </w:tcPr>
          <w:p w14:paraId="6D8A53B0" w14:textId="77D8FF6F" w:rsidR="00F372C5" w:rsidRPr="00D24383" w:rsidRDefault="00F372C5" w:rsidP="00D24383">
            <w:pPr>
              <w:spacing w:before="240" w:after="240"/>
              <w:jc w:val="center"/>
              <w:rPr>
                <w:rFonts w:cs="Arial"/>
                <w:szCs w:val="24"/>
              </w:rPr>
            </w:pPr>
            <w:r w:rsidRPr="00D24383">
              <w:rPr>
                <w:rFonts w:cs="Arial"/>
                <w:szCs w:val="24"/>
              </w:rPr>
              <w:t>Provide individual and group counseling to pupils and adults related to personal adjustment, academic progress, and vocational planning.</w:t>
            </w:r>
          </w:p>
        </w:tc>
        <w:tc>
          <w:tcPr>
            <w:tcW w:w="854" w:type="pct"/>
            <w:vAlign w:val="center"/>
          </w:tcPr>
          <w:p w14:paraId="6EB966C5" w14:textId="43E33C7A" w:rsidR="00F372C5" w:rsidRPr="00D24383" w:rsidRDefault="00F372C5" w:rsidP="00D24383">
            <w:pPr>
              <w:spacing w:before="240" w:after="240"/>
              <w:jc w:val="center"/>
              <w:rPr>
                <w:rFonts w:cs="Arial"/>
                <w:szCs w:val="24"/>
              </w:rPr>
            </w:pPr>
            <w:r w:rsidRPr="00D24383">
              <w:rPr>
                <w:rFonts w:cs="Arial"/>
                <w:szCs w:val="24"/>
              </w:rPr>
              <w:t>75%</w:t>
            </w:r>
          </w:p>
        </w:tc>
      </w:tr>
      <w:tr w:rsidR="00D24383" w:rsidRPr="00D24383" w14:paraId="43D269C7" w14:textId="77777777" w:rsidTr="00AD21B9">
        <w:trPr>
          <w:cantSplit/>
          <w:trHeight w:val="432"/>
        </w:trPr>
        <w:tc>
          <w:tcPr>
            <w:tcW w:w="4146" w:type="pct"/>
            <w:vAlign w:val="center"/>
          </w:tcPr>
          <w:p w14:paraId="2F516B52" w14:textId="7581E62B" w:rsidR="00F372C5" w:rsidRPr="00D24383" w:rsidRDefault="00F372C5" w:rsidP="00D24383">
            <w:pPr>
              <w:spacing w:before="240" w:after="240"/>
              <w:jc w:val="center"/>
              <w:rPr>
                <w:rFonts w:cs="Arial"/>
                <w:szCs w:val="24"/>
              </w:rPr>
            </w:pPr>
            <w:r w:rsidRPr="00D24383">
              <w:rPr>
                <w:rFonts w:cs="Arial"/>
                <w:szCs w:val="24"/>
              </w:rPr>
              <w:t>Provide coordinated programs with the public schools.</w:t>
            </w:r>
          </w:p>
        </w:tc>
        <w:tc>
          <w:tcPr>
            <w:tcW w:w="854" w:type="pct"/>
            <w:vAlign w:val="center"/>
          </w:tcPr>
          <w:p w14:paraId="618EF178" w14:textId="7F93FDAA" w:rsidR="00F372C5" w:rsidRPr="00D24383" w:rsidRDefault="00F372C5" w:rsidP="00D24383">
            <w:pPr>
              <w:spacing w:before="240" w:after="240"/>
              <w:jc w:val="center"/>
              <w:rPr>
                <w:rFonts w:cs="Arial"/>
                <w:szCs w:val="24"/>
              </w:rPr>
            </w:pPr>
            <w:r w:rsidRPr="00D24383">
              <w:rPr>
                <w:rFonts w:cs="Arial"/>
                <w:szCs w:val="24"/>
              </w:rPr>
              <w:t>85%</w:t>
            </w:r>
          </w:p>
        </w:tc>
      </w:tr>
      <w:tr w:rsidR="00D24383" w:rsidRPr="00D24383" w14:paraId="1EE393B7" w14:textId="77777777" w:rsidTr="00AD21B9">
        <w:trPr>
          <w:cantSplit/>
          <w:trHeight w:val="432"/>
        </w:trPr>
        <w:tc>
          <w:tcPr>
            <w:tcW w:w="4146" w:type="pct"/>
            <w:vAlign w:val="center"/>
          </w:tcPr>
          <w:p w14:paraId="7A30C152" w14:textId="62E3064A" w:rsidR="00F372C5" w:rsidRPr="00D24383" w:rsidRDefault="00F372C5" w:rsidP="00D24383">
            <w:pPr>
              <w:spacing w:before="240" w:after="240"/>
              <w:jc w:val="center"/>
              <w:rPr>
                <w:rFonts w:cs="Arial"/>
                <w:szCs w:val="24"/>
              </w:rPr>
            </w:pPr>
            <w:r w:rsidRPr="00D24383">
              <w:rPr>
                <w:rFonts w:cs="Arial"/>
                <w:szCs w:val="24"/>
              </w:rPr>
              <w:t>Provide a neutral location for parent-teacher conferences.</w:t>
            </w:r>
          </w:p>
        </w:tc>
        <w:tc>
          <w:tcPr>
            <w:tcW w:w="854" w:type="pct"/>
            <w:vAlign w:val="center"/>
          </w:tcPr>
          <w:p w14:paraId="3B755250" w14:textId="6B7771CB" w:rsidR="00F372C5" w:rsidRPr="00D24383" w:rsidRDefault="00F372C5" w:rsidP="00D24383">
            <w:pPr>
              <w:spacing w:before="240" w:after="240"/>
              <w:jc w:val="center"/>
              <w:rPr>
                <w:rFonts w:cs="Arial"/>
                <w:szCs w:val="24"/>
              </w:rPr>
            </w:pPr>
            <w:r w:rsidRPr="00D24383">
              <w:rPr>
                <w:rFonts w:cs="Arial"/>
                <w:szCs w:val="24"/>
              </w:rPr>
              <w:t>69%</w:t>
            </w:r>
          </w:p>
        </w:tc>
      </w:tr>
      <w:tr w:rsidR="00D24383" w:rsidRPr="00D24383" w14:paraId="7441B46C" w14:textId="77777777" w:rsidTr="00AD21B9">
        <w:trPr>
          <w:cantSplit/>
          <w:trHeight w:val="432"/>
        </w:trPr>
        <w:tc>
          <w:tcPr>
            <w:tcW w:w="4146" w:type="pct"/>
            <w:vAlign w:val="center"/>
          </w:tcPr>
          <w:p w14:paraId="1BA6A65B" w14:textId="54DFF196" w:rsidR="00F372C5" w:rsidRPr="00D24383" w:rsidRDefault="00F372C5" w:rsidP="00D24383">
            <w:pPr>
              <w:spacing w:before="240" w:after="240"/>
              <w:jc w:val="center"/>
              <w:rPr>
                <w:rFonts w:cs="Arial"/>
                <w:szCs w:val="24"/>
              </w:rPr>
            </w:pPr>
            <w:r w:rsidRPr="00D24383">
              <w:rPr>
                <w:rFonts w:cs="Arial"/>
                <w:szCs w:val="24"/>
              </w:rPr>
              <w:t>Provide a focus for summer recreational sports and academic experience.</w:t>
            </w:r>
          </w:p>
        </w:tc>
        <w:tc>
          <w:tcPr>
            <w:tcW w:w="854" w:type="pct"/>
            <w:vAlign w:val="center"/>
          </w:tcPr>
          <w:p w14:paraId="6348A07D" w14:textId="60556F81" w:rsidR="00F372C5" w:rsidRPr="00D24383" w:rsidRDefault="00F372C5" w:rsidP="00D24383">
            <w:pPr>
              <w:spacing w:before="240" w:after="240"/>
              <w:jc w:val="center"/>
              <w:rPr>
                <w:rFonts w:cs="Arial"/>
                <w:szCs w:val="24"/>
              </w:rPr>
            </w:pPr>
            <w:r w:rsidRPr="00D24383">
              <w:rPr>
                <w:rFonts w:cs="Arial"/>
                <w:szCs w:val="24"/>
              </w:rPr>
              <w:t>90%</w:t>
            </w:r>
          </w:p>
        </w:tc>
      </w:tr>
      <w:tr w:rsidR="00D24383" w:rsidRPr="00D24383" w14:paraId="308B337E" w14:textId="77777777" w:rsidTr="00AD21B9">
        <w:trPr>
          <w:cantSplit/>
          <w:trHeight w:val="432"/>
        </w:trPr>
        <w:tc>
          <w:tcPr>
            <w:tcW w:w="4146" w:type="pct"/>
            <w:vAlign w:val="center"/>
          </w:tcPr>
          <w:p w14:paraId="17B38B59" w14:textId="68D9EEC1" w:rsidR="00F372C5" w:rsidRPr="00D24383" w:rsidRDefault="00F372C5" w:rsidP="00D24383">
            <w:pPr>
              <w:spacing w:before="240" w:after="240"/>
              <w:jc w:val="center"/>
              <w:rPr>
                <w:rFonts w:cs="Arial"/>
                <w:szCs w:val="24"/>
              </w:rPr>
            </w:pPr>
            <w:r w:rsidRPr="00D24383">
              <w:rPr>
                <w:rFonts w:cs="Arial"/>
                <w:szCs w:val="24"/>
              </w:rPr>
              <w:t>Provide adult classes and activities.</w:t>
            </w:r>
          </w:p>
        </w:tc>
        <w:tc>
          <w:tcPr>
            <w:tcW w:w="854" w:type="pct"/>
            <w:vAlign w:val="center"/>
          </w:tcPr>
          <w:p w14:paraId="5DF58F66" w14:textId="48A3A452" w:rsidR="00F372C5" w:rsidRPr="00D24383" w:rsidRDefault="00F372C5" w:rsidP="00D24383">
            <w:pPr>
              <w:spacing w:before="240" w:after="240"/>
              <w:jc w:val="center"/>
              <w:rPr>
                <w:rFonts w:cs="Arial"/>
                <w:szCs w:val="24"/>
              </w:rPr>
            </w:pPr>
            <w:r w:rsidRPr="00D24383">
              <w:rPr>
                <w:rFonts w:cs="Arial"/>
                <w:szCs w:val="24"/>
              </w:rPr>
              <w:t>75%</w:t>
            </w:r>
          </w:p>
        </w:tc>
      </w:tr>
      <w:tr w:rsidR="00D24383" w:rsidRPr="00D24383" w14:paraId="507E512A" w14:textId="77777777" w:rsidTr="00AD21B9">
        <w:trPr>
          <w:cantSplit/>
          <w:trHeight w:val="432"/>
        </w:trPr>
        <w:tc>
          <w:tcPr>
            <w:tcW w:w="4146" w:type="pct"/>
            <w:vAlign w:val="center"/>
          </w:tcPr>
          <w:p w14:paraId="674330C7" w14:textId="1DFCCEDB" w:rsidR="00F372C5" w:rsidRPr="00D24383" w:rsidRDefault="00F372C5" w:rsidP="00D24383">
            <w:pPr>
              <w:spacing w:before="240" w:after="240"/>
              <w:jc w:val="center"/>
              <w:rPr>
                <w:rFonts w:cs="Arial"/>
                <w:szCs w:val="24"/>
              </w:rPr>
            </w:pPr>
            <w:r w:rsidRPr="00D24383">
              <w:rPr>
                <w:rFonts w:cs="Arial"/>
                <w:szCs w:val="24"/>
              </w:rPr>
              <w:t xml:space="preserve">Provide college-related training programs for prospective American </w:t>
            </w:r>
            <w:r w:rsidRPr="00D24383">
              <w:rPr>
                <w:rStyle w:val="Strong"/>
                <w:rFonts w:cs="Arial"/>
                <w:b w:val="0"/>
                <w:szCs w:val="24"/>
              </w:rPr>
              <w:t>Indian</w:t>
            </w:r>
            <w:r w:rsidRPr="00D24383">
              <w:rPr>
                <w:rFonts w:cs="Arial"/>
                <w:szCs w:val="24"/>
              </w:rPr>
              <w:t xml:space="preserve"> teachers.</w:t>
            </w:r>
          </w:p>
        </w:tc>
        <w:tc>
          <w:tcPr>
            <w:tcW w:w="854" w:type="pct"/>
            <w:vAlign w:val="center"/>
          </w:tcPr>
          <w:p w14:paraId="17B3317D" w14:textId="51FFD336" w:rsidR="00F372C5" w:rsidRPr="00D24383" w:rsidRDefault="00F372C5" w:rsidP="00D24383">
            <w:pPr>
              <w:spacing w:before="240" w:after="240"/>
              <w:jc w:val="center"/>
              <w:rPr>
                <w:rFonts w:cs="Arial"/>
                <w:szCs w:val="24"/>
              </w:rPr>
            </w:pPr>
            <w:r w:rsidRPr="00D24383">
              <w:rPr>
                <w:rFonts w:cs="Arial"/>
                <w:szCs w:val="24"/>
              </w:rPr>
              <w:t>30%</w:t>
            </w:r>
          </w:p>
        </w:tc>
      </w:tr>
      <w:tr w:rsidR="00D24383" w:rsidRPr="00D24383" w14:paraId="302FB89F" w14:textId="77777777" w:rsidTr="00AD21B9">
        <w:trPr>
          <w:cantSplit/>
          <w:trHeight w:val="432"/>
        </w:trPr>
        <w:tc>
          <w:tcPr>
            <w:tcW w:w="4146" w:type="pct"/>
            <w:vAlign w:val="center"/>
          </w:tcPr>
          <w:p w14:paraId="18FCA069" w14:textId="4573F948" w:rsidR="00F372C5" w:rsidRPr="00D24383" w:rsidRDefault="00F372C5" w:rsidP="00D24383">
            <w:pPr>
              <w:spacing w:before="240" w:after="240"/>
              <w:jc w:val="center"/>
              <w:rPr>
                <w:rFonts w:cs="Arial"/>
                <w:szCs w:val="24"/>
              </w:rPr>
            </w:pPr>
            <w:r w:rsidRPr="00D24383">
              <w:rPr>
                <w:rFonts w:cs="Arial"/>
                <w:szCs w:val="24"/>
              </w:rPr>
              <w:t>Provide libraries and other related educational materials.</w:t>
            </w:r>
          </w:p>
        </w:tc>
        <w:tc>
          <w:tcPr>
            <w:tcW w:w="854" w:type="pct"/>
            <w:vAlign w:val="center"/>
          </w:tcPr>
          <w:p w14:paraId="2EA2A20E" w14:textId="615660B0" w:rsidR="00F372C5" w:rsidRPr="00D24383" w:rsidRDefault="00F372C5" w:rsidP="00D24383">
            <w:pPr>
              <w:spacing w:before="240" w:after="240"/>
              <w:jc w:val="center"/>
              <w:rPr>
                <w:rFonts w:cs="Arial"/>
                <w:szCs w:val="24"/>
              </w:rPr>
            </w:pPr>
            <w:r w:rsidRPr="00D24383">
              <w:rPr>
                <w:rFonts w:cs="Arial"/>
                <w:szCs w:val="24"/>
              </w:rPr>
              <w:t>92%</w:t>
            </w:r>
          </w:p>
        </w:tc>
      </w:tr>
    </w:tbl>
    <w:p w14:paraId="06C38146" w14:textId="77777777" w:rsidR="00C9574A" w:rsidRPr="00D24383" w:rsidRDefault="00D24C9D" w:rsidP="00D24383">
      <w:pPr>
        <w:pStyle w:val="Heading2"/>
        <w:spacing w:after="240"/>
        <w:rPr>
          <w:rFonts w:cs="Arial"/>
          <w:sz w:val="24"/>
          <w:szCs w:val="24"/>
        </w:rPr>
      </w:pPr>
      <w:bookmarkStart w:id="17" w:name="_Toc140496117"/>
      <w:r w:rsidRPr="00D24383">
        <w:rPr>
          <w:rFonts w:cs="Arial"/>
          <w:sz w:val="24"/>
          <w:szCs w:val="24"/>
        </w:rPr>
        <w:lastRenderedPageBreak/>
        <w:t>Funding</w:t>
      </w:r>
      <w:bookmarkEnd w:id="17"/>
    </w:p>
    <w:p w14:paraId="15431E3E" w14:textId="4ECD3666" w:rsidR="00C9574A" w:rsidRPr="00D24383" w:rsidRDefault="00C9574A" w:rsidP="00D24383">
      <w:pPr>
        <w:spacing w:before="240"/>
        <w:rPr>
          <w:rFonts w:cs="Arial"/>
          <w:szCs w:val="24"/>
        </w:rPr>
      </w:pPr>
      <w:r w:rsidRPr="00D24383">
        <w:rPr>
          <w:rFonts w:cs="Arial"/>
          <w:szCs w:val="24"/>
        </w:rPr>
        <w:t xml:space="preserve">The AIEC </w:t>
      </w:r>
      <w:r w:rsidR="006957AD">
        <w:rPr>
          <w:rFonts w:cs="Arial"/>
          <w:szCs w:val="24"/>
        </w:rPr>
        <w:t>P</w:t>
      </w:r>
      <w:r w:rsidRPr="00D24383">
        <w:rPr>
          <w:rFonts w:cs="Arial"/>
          <w:szCs w:val="24"/>
        </w:rPr>
        <w:t xml:space="preserve">rogram is on a </w:t>
      </w:r>
      <w:r w:rsidR="00412138" w:rsidRPr="00D24383">
        <w:rPr>
          <w:rFonts w:cs="Arial"/>
          <w:szCs w:val="24"/>
        </w:rPr>
        <w:t>five</w:t>
      </w:r>
      <w:r w:rsidRPr="00D24383">
        <w:rPr>
          <w:rFonts w:cs="Arial"/>
          <w:szCs w:val="24"/>
        </w:rPr>
        <w:t xml:space="preserve">-year cycle and runs a competitive grant every </w:t>
      </w:r>
      <w:r w:rsidR="00412138" w:rsidRPr="00D24383">
        <w:rPr>
          <w:rFonts w:cs="Arial"/>
          <w:szCs w:val="24"/>
        </w:rPr>
        <w:t>five</w:t>
      </w:r>
      <w:r w:rsidRPr="00D24383">
        <w:rPr>
          <w:rFonts w:cs="Arial"/>
          <w:szCs w:val="24"/>
        </w:rPr>
        <w:t xml:space="preserve"> years. Funding levels have remained </w:t>
      </w:r>
      <w:proofErr w:type="gramStart"/>
      <w:r w:rsidRPr="00D24383">
        <w:rPr>
          <w:rFonts w:cs="Arial"/>
          <w:szCs w:val="24"/>
        </w:rPr>
        <w:t>relatively stable</w:t>
      </w:r>
      <w:proofErr w:type="gramEnd"/>
      <w:r w:rsidRPr="00D24383">
        <w:rPr>
          <w:rFonts w:cs="Arial"/>
          <w:szCs w:val="24"/>
        </w:rPr>
        <w:t xml:space="preserve"> and ha</w:t>
      </w:r>
      <w:r w:rsidR="0078221C">
        <w:rPr>
          <w:rFonts w:cs="Arial"/>
          <w:szCs w:val="24"/>
        </w:rPr>
        <w:t>ve</w:t>
      </w:r>
      <w:r w:rsidRPr="00D24383">
        <w:rPr>
          <w:rFonts w:cs="Arial"/>
          <w:szCs w:val="24"/>
        </w:rPr>
        <w:t xml:space="preserve"> gone up incrementally through </w:t>
      </w:r>
      <w:r w:rsidR="006915F1" w:rsidRPr="00D24383">
        <w:rPr>
          <w:rFonts w:cs="Arial"/>
          <w:szCs w:val="24"/>
        </w:rPr>
        <w:t>cost-of-living adjustment</w:t>
      </w:r>
      <w:r w:rsidRPr="00D24383">
        <w:rPr>
          <w:rFonts w:cs="Arial"/>
          <w:szCs w:val="24"/>
        </w:rPr>
        <w:t xml:space="preserve"> yearly allocations. The current </w:t>
      </w:r>
      <w:r w:rsidR="00412138" w:rsidRPr="00D24383">
        <w:rPr>
          <w:rFonts w:cs="Arial"/>
          <w:szCs w:val="24"/>
        </w:rPr>
        <w:t>five</w:t>
      </w:r>
      <w:r w:rsidRPr="00D24383">
        <w:rPr>
          <w:rFonts w:cs="Arial"/>
          <w:szCs w:val="24"/>
        </w:rPr>
        <w:t>-year cycle spans 2019</w:t>
      </w:r>
      <w:r w:rsidR="00B20286" w:rsidRPr="00D24383">
        <w:rPr>
          <w:rFonts w:cs="Arial"/>
          <w:szCs w:val="24"/>
        </w:rPr>
        <w:t>–</w:t>
      </w:r>
      <w:r w:rsidRPr="00D24383">
        <w:rPr>
          <w:rFonts w:cs="Arial"/>
          <w:szCs w:val="24"/>
        </w:rPr>
        <w:t>24.</w:t>
      </w:r>
    </w:p>
    <w:p w14:paraId="4AEBFE43" w14:textId="3A8EF92C" w:rsidR="00C9574A" w:rsidRPr="00D24383" w:rsidRDefault="00C9574A" w:rsidP="00D24383">
      <w:pPr>
        <w:spacing w:before="240"/>
        <w:rPr>
          <w:rFonts w:cs="Arial"/>
          <w:szCs w:val="24"/>
        </w:rPr>
      </w:pPr>
      <w:r w:rsidRPr="00D24383">
        <w:rPr>
          <w:rFonts w:cs="Arial"/>
          <w:szCs w:val="24"/>
        </w:rPr>
        <w:t xml:space="preserve">The AIECs currently </w:t>
      </w:r>
      <w:r w:rsidR="00412138" w:rsidRPr="00D24383">
        <w:rPr>
          <w:rFonts w:cs="Arial"/>
          <w:szCs w:val="24"/>
        </w:rPr>
        <w:t xml:space="preserve">adhere to </w:t>
      </w:r>
      <w:r w:rsidR="001741EA" w:rsidRPr="00D24383">
        <w:rPr>
          <w:rFonts w:cs="Arial"/>
          <w:szCs w:val="24"/>
        </w:rPr>
        <w:t>an</w:t>
      </w:r>
      <w:r w:rsidR="00412138" w:rsidRPr="00D24383">
        <w:rPr>
          <w:rFonts w:cs="Arial"/>
          <w:szCs w:val="24"/>
        </w:rPr>
        <w:t xml:space="preserve"> </w:t>
      </w:r>
      <w:r w:rsidRPr="00D24383">
        <w:rPr>
          <w:rFonts w:cs="Arial"/>
          <w:szCs w:val="24"/>
        </w:rPr>
        <w:t>Oct</w:t>
      </w:r>
      <w:r w:rsidR="00412138" w:rsidRPr="00D24383">
        <w:rPr>
          <w:rFonts w:cs="Arial"/>
          <w:szCs w:val="24"/>
        </w:rPr>
        <w:t>ober</w:t>
      </w:r>
      <w:r w:rsidRPr="00D24383">
        <w:rPr>
          <w:rFonts w:cs="Arial"/>
          <w:szCs w:val="24"/>
        </w:rPr>
        <w:t xml:space="preserve"> 1 through September 30 funding year. This allows the AIECs to plan and offer summer enrichment services with guaranteed funding. There is an unmet need for services in </w:t>
      </w:r>
      <w:proofErr w:type="gramStart"/>
      <w:r w:rsidRPr="00D24383">
        <w:rPr>
          <w:rFonts w:cs="Arial"/>
          <w:szCs w:val="24"/>
        </w:rPr>
        <w:t>many</w:t>
      </w:r>
      <w:proofErr w:type="gramEnd"/>
      <w:r w:rsidRPr="00D24383">
        <w:rPr>
          <w:rFonts w:cs="Arial"/>
          <w:szCs w:val="24"/>
        </w:rPr>
        <w:t xml:space="preserve"> areas of California. </w:t>
      </w:r>
      <w:proofErr w:type="gramStart"/>
      <w:r w:rsidRPr="00D24383">
        <w:rPr>
          <w:rFonts w:cs="Arial"/>
          <w:szCs w:val="24"/>
        </w:rPr>
        <w:t>Several</w:t>
      </w:r>
      <w:proofErr w:type="gramEnd"/>
      <w:r w:rsidRPr="00D24383">
        <w:rPr>
          <w:rFonts w:cs="Arial"/>
          <w:szCs w:val="24"/>
        </w:rPr>
        <w:t xml:space="preserve"> centers have requested additional funds to open satellite centers. Using this model, the AIECs could expand services at a lower overhead cost.</w:t>
      </w:r>
    </w:p>
    <w:p w14:paraId="5A862858" w14:textId="155C2532" w:rsidR="00C9574A" w:rsidRPr="00D24383" w:rsidRDefault="00C9574A" w:rsidP="00D24383">
      <w:pPr>
        <w:spacing w:before="240"/>
        <w:rPr>
          <w:rFonts w:cs="Arial"/>
          <w:szCs w:val="24"/>
        </w:rPr>
      </w:pPr>
      <w:r w:rsidRPr="00D24383">
        <w:rPr>
          <w:rFonts w:cs="Arial"/>
          <w:szCs w:val="24"/>
        </w:rPr>
        <w:t xml:space="preserve">CDE supports one </w:t>
      </w:r>
      <w:r w:rsidR="001741EA" w:rsidRPr="00D24383">
        <w:rPr>
          <w:rFonts w:cs="Arial"/>
          <w:szCs w:val="24"/>
        </w:rPr>
        <w:t>full-time employee</w:t>
      </w:r>
      <w:r w:rsidR="00591176">
        <w:rPr>
          <w:rFonts w:cs="Arial"/>
          <w:szCs w:val="24"/>
        </w:rPr>
        <w:t xml:space="preserve"> as an</w:t>
      </w:r>
      <w:r w:rsidRPr="00D24383">
        <w:rPr>
          <w:rFonts w:cs="Arial"/>
          <w:szCs w:val="24"/>
        </w:rPr>
        <w:t xml:space="preserve"> American Indian Education Program</w:t>
      </w:r>
      <w:r w:rsidR="00582F37">
        <w:rPr>
          <w:rFonts w:cs="Arial"/>
          <w:szCs w:val="24"/>
        </w:rPr>
        <w:t>s</w:t>
      </w:r>
      <w:r w:rsidRPr="00D24383">
        <w:rPr>
          <w:rFonts w:cs="Arial"/>
          <w:szCs w:val="24"/>
        </w:rPr>
        <w:t xml:space="preserve"> Consultant for the administration of this program from CDE’s general fund.</w:t>
      </w:r>
    </w:p>
    <w:p w14:paraId="67C68B96" w14:textId="77777777" w:rsidR="00C9574A" w:rsidRPr="00D24383" w:rsidRDefault="00D24C9D" w:rsidP="00D24383">
      <w:pPr>
        <w:pStyle w:val="Heading2"/>
        <w:spacing w:after="240"/>
        <w:rPr>
          <w:rFonts w:cs="Arial"/>
          <w:sz w:val="24"/>
          <w:szCs w:val="24"/>
        </w:rPr>
      </w:pPr>
      <w:bookmarkStart w:id="18" w:name="_Toc140496118"/>
      <w:r w:rsidRPr="00D24383">
        <w:rPr>
          <w:rFonts w:cs="Arial"/>
          <w:sz w:val="24"/>
          <w:szCs w:val="24"/>
        </w:rPr>
        <w:t>State-Level Monitoring</w:t>
      </w:r>
      <w:bookmarkEnd w:id="18"/>
    </w:p>
    <w:p w14:paraId="46E5EE9B" w14:textId="25A883D8" w:rsidR="00C9574A" w:rsidRPr="00D24383" w:rsidRDefault="001741EA" w:rsidP="00D24383">
      <w:pPr>
        <w:spacing w:before="240"/>
        <w:rPr>
          <w:rFonts w:cs="Arial"/>
          <w:szCs w:val="24"/>
        </w:rPr>
      </w:pPr>
      <w:r w:rsidRPr="00D24383">
        <w:rPr>
          <w:rFonts w:cs="Arial"/>
          <w:szCs w:val="24"/>
        </w:rPr>
        <w:t>AIECs</w:t>
      </w:r>
      <w:r w:rsidR="00C9574A" w:rsidRPr="00D24383">
        <w:rPr>
          <w:rFonts w:cs="Arial"/>
          <w:szCs w:val="24"/>
        </w:rPr>
        <w:t xml:space="preserve"> are not school-based programs and </w:t>
      </w:r>
      <w:proofErr w:type="gramStart"/>
      <w:r w:rsidR="00C9574A" w:rsidRPr="00D24383">
        <w:rPr>
          <w:rFonts w:cs="Arial"/>
          <w:szCs w:val="24"/>
        </w:rPr>
        <w:t>are not included</w:t>
      </w:r>
      <w:proofErr w:type="gramEnd"/>
      <w:r w:rsidR="00C9574A" w:rsidRPr="00D24383">
        <w:rPr>
          <w:rFonts w:cs="Arial"/>
          <w:szCs w:val="24"/>
        </w:rPr>
        <w:t xml:space="preserve"> in the state’s Compliance Review process. Current state law requires, as a condition of continued funding, that the AIECs collect and report annual site evaluation data that measure</w:t>
      </w:r>
      <w:r w:rsidR="00591176">
        <w:rPr>
          <w:rFonts w:cs="Arial"/>
          <w:szCs w:val="24"/>
        </w:rPr>
        <w:t>s</w:t>
      </w:r>
      <w:r w:rsidR="00C9574A" w:rsidRPr="00D24383">
        <w:rPr>
          <w:rFonts w:cs="Arial"/>
          <w:szCs w:val="24"/>
        </w:rPr>
        <w:t xml:space="preserve"> the number of students served, the services provided to students, the academic performance of students served, and the extent to which the program goals are being met</w:t>
      </w:r>
      <w:r w:rsidR="0059779F">
        <w:rPr>
          <w:rFonts w:cs="Arial"/>
          <w:szCs w:val="24"/>
        </w:rPr>
        <w:t>.</w:t>
      </w:r>
      <w:r w:rsidR="003842A3" w:rsidRPr="00D24383">
        <w:rPr>
          <w:rStyle w:val="FootnoteReference"/>
          <w:rFonts w:cs="Arial"/>
          <w:szCs w:val="24"/>
        </w:rPr>
        <w:footnoteReference w:id="34"/>
      </w:r>
      <w:r w:rsidR="00B20286" w:rsidRPr="00D24383">
        <w:rPr>
          <w:rFonts w:cs="Arial"/>
          <w:szCs w:val="24"/>
        </w:rPr>
        <w:t xml:space="preserve"> </w:t>
      </w:r>
      <w:r w:rsidR="00C9574A" w:rsidRPr="00D24383">
        <w:rPr>
          <w:rFonts w:cs="Arial"/>
          <w:szCs w:val="24"/>
        </w:rPr>
        <w:t xml:space="preserve">CDE staff have implemented a fiscal monitoring plan. The AIECs submit quarterly fiscal reports that include a copy of the general ledger. They </w:t>
      </w:r>
      <w:proofErr w:type="gramStart"/>
      <w:r w:rsidR="00591176">
        <w:rPr>
          <w:rFonts w:cs="Arial"/>
          <w:szCs w:val="24"/>
        </w:rPr>
        <w:t>are also</w:t>
      </w:r>
      <w:r w:rsidR="00C9574A" w:rsidRPr="00D24383">
        <w:rPr>
          <w:rFonts w:cs="Arial"/>
          <w:szCs w:val="24"/>
        </w:rPr>
        <w:t xml:space="preserve"> required</w:t>
      </w:r>
      <w:proofErr w:type="gramEnd"/>
      <w:r w:rsidR="00C9574A" w:rsidRPr="00D24383">
        <w:rPr>
          <w:rFonts w:cs="Arial"/>
          <w:szCs w:val="24"/>
        </w:rPr>
        <w:t xml:space="preserve"> to submit an annual </w:t>
      </w:r>
      <w:r w:rsidR="00591176" w:rsidRPr="00D24383">
        <w:rPr>
          <w:rFonts w:cs="Arial"/>
          <w:szCs w:val="24"/>
        </w:rPr>
        <w:t xml:space="preserve">audit of revenues and </w:t>
      </w:r>
      <w:proofErr w:type="gramStart"/>
      <w:r w:rsidR="00591176" w:rsidRPr="00D24383">
        <w:rPr>
          <w:rFonts w:cs="Arial"/>
          <w:szCs w:val="24"/>
        </w:rPr>
        <w:t>expenditures</w:t>
      </w:r>
      <w:proofErr w:type="gramEnd"/>
      <w:r w:rsidR="00C9574A" w:rsidRPr="00D24383">
        <w:rPr>
          <w:rFonts w:cs="Arial"/>
          <w:szCs w:val="24"/>
        </w:rPr>
        <w:t>.</w:t>
      </w:r>
    </w:p>
    <w:p w14:paraId="7DFF8679" w14:textId="4DC10839" w:rsidR="00C9574A" w:rsidRPr="00D24383" w:rsidRDefault="00C9574A" w:rsidP="00D24383">
      <w:pPr>
        <w:spacing w:before="240"/>
        <w:rPr>
          <w:rFonts w:cs="Arial"/>
          <w:szCs w:val="24"/>
        </w:rPr>
      </w:pPr>
      <w:r w:rsidRPr="00D24383">
        <w:rPr>
          <w:rFonts w:cs="Arial"/>
          <w:szCs w:val="24"/>
        </w:rPr>
        <w:t xml:space="preserve">The State Board of Education adopted the Guidelines for the Implementation of the AIEC Program in 2007. These can </w:t>
      </w:r>
      <w:proofErr w:type="gramStart"/>
      <w:r w:rsidRPr="00D24383">
        <w:rPr>
          <w:rFonts w:cs="Arial"/>
          <w:szCs w:val="24"/>
        </w:rPr>
        <w:t>be found</w:t>
      </w:r>
      <w:proofErr w:type="gramEnd"/>
      <w:r w:rsidRPr="00D24383">
        <w:rPr>
          <w:rFonts w:cs="Arial"/>
          <w:szCs w:val="24"/>
        </w:rPr>
        <w:t xml:space="preserve"> </w:t>
      </w:r>
      <w:r w:rsidR="001E6080">
        <w:rPr>
          <w:rFonts w:cs="Arial"/>
          <w:szCs w:val="24"/>
        </w:rPr>
        <w:t>in</w:t>
      </w:r>
      <w:r w:rsidRPr="00D24383">
        <w:rPr>
          <w:rFonts w:cs="Arial"/>
          <w:szCs w:val="24"/>
        </w:rPr>
        <w:t xml:space="preserve"> California Code of Regulations Sections 11996</w:t>
      </w:r>
      <w:r w:rsidR="00B20286" w:rsidRPr="00D24383">
        <w:rPr>
          <w:rFonts w:cs="Arial"/>
          <w:szCs w:val="24"/>
        </w:rPr>
        <w:t>–</w:t>
      </w:r>
      <w:r w:rsidRPr="00D24383">
        <w:rPr>
          <w:rFonts w:cs="Arial"/>
          <w:szCs w:val="24"/>
        </w:rPr>
        <w:t xml:space="preserve">11996.11 and have served to strengthen the AIEC </w:t>
      </w:r>
      <w:r w:rsidR="00582F37">
        <w:rPr>
          <w:rFonts w:cs="Arial"/>
          <w:szCs w:val="24"/>
        </w:rPr>
        <w:t>P</w:t>
      </w:r>
      <w:r w:rsidRPr="00D24383">
        <w:rPr>
          <w:rFonts w:cs="Arial"/>
          <w:szCs w:val="24"/>
        </w:rPr>
        <w:t>rogram.</w:t>
      </w:r>
    </w:p>
    <w:p w14:paraId="4ED6CBD0" w14:textId="77777777" w:rsidR="00C9574A" w:rsidRPr="00D24383" w:rsidRDefault="00D24C9D" w:rsidP="00D24383">
      <w:pPr>
        <w:pStyle w:val="Heading2"/>
        <w:spacing w:after="240"/>
        <w:rPr>
          <w:rFonts w:cs="Arial"/>
          <w:sz w:val="24"/>
          <w:szCs w:val="24"/>
        </w:rPr>
      </w:pPr>
      <w:bookmarkStart w:id="19" w:name="_Toc140496119"/>
      <w:r w:rsidRPr="00D24383">
        <w:rPr>
          <w:rFonts w:cs="Arial"/>
          <w:sz w:val="24"/>
          <w:szCs w:val="24"/>
        </w:rPr>
        <w:t>Conclusion</w:t>
      </w:r>
      <w:bookmarkEnd w:id="19"/>
    </w:p>
    <w:p w14:paraId="2155CE25" w14:textId="77777777" w:rsidR="00C9574A" w:rsidRPr="00D24383" w:rsidRDefault="00C9574A" w:rsidP="00D24383">
      <w:pPr>
        <w:spacing w:before="240"/>
        <w:rPr>
          <w:rFonts w:cs="Arial"/>
          <w:szCs w:val="24"/>
        </w:rPr>
      </w:pPr>
      <w:r w:rsidRPr="00D24383">
        <w:rPr>
          <w:rFonts w:cs="Arial"/>
          <w:szCs w:val="24"/>
        </w:rPr>
        <w:t xml:space="preserve">The AIECs met their obligation to </w:t>
      </w:r>
      <w:proofErr w:type="gramStart"/>
      <w:r w:rsidRPr="00D24383">
        <w:rPr>
          <w:rFonts w:cs="Arial"/>
          <w:szCs w:val="24"/>
        </w:rPr>
        <w:t>act as</w:t>
      </w:r>
      <w:proofErr w:type="gramEnd"/>
      <w:r w:rsidRPr="00D24383">
        <w:rPr>
          <w:rFonts w:cs="Arial"/>
          <w:szCs w:val="24"/>
        </w:rPr>
        <w:t xml:space="preserve"> educational resource centers and to provide quality academic and cultural services to the Native American communities. The primary emphasis on direct services </w:t>
      </w:r>
      <w:proofErr w:type="gramStart"/>
      <w:r w:rsidRPr="00D24383">
        <w:rPr>
          <w:rFonts w:cs="Arial"/>
          <w:szCs w:val="24"/>
        </w:rPr>
        <w:t>in an effort to</w:t>
      </w:r>
      <w:proofErr w:type="gramEnd"/>
      <w:r w:rsidRPr="00D24383">
        <w:rPr>
          <w:rFonts w:cs="Arial"/>
          <w:szCs w:val="24"/>
        </w:rPr>
        <w:t xml:space="preserve"> improve achievement in reading/language arts and mathematics is successful. The secondary purpose, building student self-concept through cultural activities, is an integral part of helping American Indian students become successful.</w:t>
      </w:r>
    </w:p>
    <w:p w14:paraId="73D22446" w14:textId="7339491C" w:rsidR="00C9574A" w:rsidRPr="00D24383" w:rsidRDefault="00C9574A" w:rsidP="00D24383">
      <w:pPr>
        <w:spacing w:before="240"/>
        <w:rPr>
          <w:rFonts w:cs="Arial"/>
          <w:szCs w:val="24"/>
        </w:rPr>
      </w:pPr>
      <w:r w:rsidRPr="00D24383">
        <w:rPr>
          <w:rFonts w:cs="Arial"/>
          <w:szCs w:val="24"/>
        </w:rPr>
        <w:t>The AIEC programs are crucial for American Indian students, families, and communities. Participating students report greater self-image</w:t>
      </w:r>
      <w:r w:rsidR="0005508C" w:rsidRPr="00D24383">
        <w:rPr>
          <w:rFonts w:cs="Arial"/>
          <w:szCs w:val="24"/>
        </w:rPr>
        <w:t xml:space="preserve">, </w:t>
      </w:r>
      <w:r w:rsidRPr="00D24383">
        <w:rPr>
          <w:rFonts w:cs="Arial"/>
          <w:szCs w:val="24"/>
        </w:rPr>
        <w:t>self-confidence</w:t>
      </w:r>
      <w:r w:rsidR="0005508C" w:rsidRPr="00D24383">
        <w:rPr>
          <w:rFonts w:cs="Arial"/>
          <w:szCs w:val="24"/>
        </w:rPr>
        <w:t>,</w:t>
      </w:r>
      <w:r w:rsidRPr="00D24383">
        <w:rPr>
          <w:rFonts w:cs="Arial"/>
          <w:szCs w:val="24"/>
        </w:rPr>
        <w:t xml:space="preserve"> and academic success. Families report stronger connections to schools and feel</w:t>
      </w:r>
      <w:r w:rsidR="005D711F">
        <w:rPr>
          <w:rFonts w:cs="Arial"/>
          <w:szCs w:val="24"/>
        </w:rPr>
        <w:t>ing</w:t>
      </w:r>
      <w:r w:rsidRPr="00D24383">
        <w:rPr>
          <w:rFonts w:cs="Arial"/>
          <w:szCs w:val="24"/>
        </w:rPr>
        <w:t xml:space="preserve"> more involved in their children’s education. Part of the strength of the AIEC </w:t>
      </w:r>
      <w:r w:rsidR="00582F37">
        <w:rPr>
          <w:rFonts w:cs="Arial"/>
          <w:szCs w:val="24"/>
        </w:rPr>
        <w:t>P</w:t>
      </w:r>
      <w:r w:rsidRPr="00D24383">
        <w:rPr>
          <w:rFonts w:cs="Arial"/>
          <w:szCs w:val="24"/>
        </w:rPr>
        <w:t xml:space="preserve">rogram lies in its ability to meet the local needs of the community in which </w:t>
      </w:r>
      <w:r w:rsidR="005D711F">
        <w:rPr>
          <w:rFonts w:cs="Arial"/>
          <w:szCs w:val="24"/>
        </w:rPr>
        <w:t>it serves</w:t>
      </w:r>
      <w:r w:rsidRPr="00D24383">
        <w:rPr>
          <w:rFonts w:cs="Arial"/>
          <w:szCs w:val="24"/>
        </w:rPr>
        <w:t xml:space="preserve"> and to develop multi-</w:t>
      </w:r>
      <w:r w:rsidRPr="00D24383">
        <w:rPr>
          <w:rFonts w:cs="Arial"/>
          <w:szCs w:val="24"/>
        </w:rPr>
        <w:lastRenderedPageBreak/>
        <w:t xml:space="preserve">dimensional approaches </w:t>
      </w:r>
      <w:r w:rsidR="001E6080">
        <w:rPr>
          <w:rFonts w:cs="Arial"/>
          <w:szCs w:val="24"/>
        </w:rPr>
        <w:t>to</w:t>
      </w:r>
      <w:r w:rsidRPr="00D24383">
        <w:rPr>
          <w:rFonts w:cs="Arial"/>
          <w:szCs w:val="24"/>
        </w:rPr>
        <w:t xml:space="preserve"> supporting students and families. These approaches successfully integrate the use of tradition and culture in</w:t>
      </w:r>
      <w:r w:rsidR="005D711F">
        <w:rPr>
          <w:rFonts w:cs="Arial"/>
          <w:szCs w:val="24"/>
        </w:rPr>
        <w:t>to</w:t>
      </w:r>
      <w:r w:rsidRPr="00D24383">
        <w:rPr>
          <w:rFonts w:cs="Arial"/>
          <w:szCs w:val="24"/>
        </w:rPr>
        <w:t xml:space="preserve"> academic activities, which build student self-identity and resiliency.</w:t>
      </w:r>
    </w:p>
    <w:p w14:paraId="5FC69288" w14:textId="77777777" w:rsidR="00C9574A" w:rsidRPr="00D24383" w:rsidRDefault="00D24C9D" w:rsidP="00D24383">
      <w:pPr>
        <w:pStyle w:val="Heading2"/>
        <w:spacing w:after="240"/>
        <w:rPr>
          <w:rFonts w:cs="Arial"/>
          <w:sz w:val="24"/>
          <w:szCs w:val="24"/>
        </w:rPr>
      </w:pPr>
      <w:bookmarkStart w:id="20" w:name="_Toc140496120"/>
      <w:r w:rsidRPr="00D24383">
        <w:rPr>
          <w:rFonts w:cs="Arial"/>
          <w:sz w:val="24"/>
          <w:szCs w:val="24"/>
        </w:rPr>
        <w:t>Recommendations</w:t>
      </w:r>
      <w:bookmarkEnd w:id="20"/>
    </w:p>
    <w:p w14:paraId="5FF0440B" w14:textId="46980B56" w:rsidR="00C9574A" w:rsidRPr="00D24383" w:rsidRDefault="00C9574A" w:rsidP="00D24383">
      <w:pPr>
        <w:pStyle w:val="ListParagraph"/>
        <w:numPr>
          <w:ilvl w:val="0"/>
          <w:numId w:val="8"/>
        </w:numPr>
        <w:spacing w:before="240"/>
        <w:ind w:left="720" w:hanging="360"/>
        <w:contextualSpacing w:val="0"/>
        <w:rPr>
          <w:rFonts w:cs="Arial"/>
          <w:szCs w:val="24"/>
        </w:rPr>
      </w:pPr>
      <w:r w:rsidRPr="00D24383">
        <w:rPr>
          <w:rFonts w:cs="Arial"/>
          <w:szCs w:val="24"/>
        </w:rPr>
        <w:t>Offer and support trainings that increase awareness on the issue of American Indian/Alaska Native student achievement by sharing best practices and research on Native students</w:t>
      </w:r>
      <w:r w:rsidR="005D711F">
        <w:rPr>
          <w:rFonts w:cs="Arial"/>
          <w:szCs w:val="24"/>
        </w:rPr>
        <w:t>.</w:t>
      </w:r>
    </w:p>
    <w:p w14:paraId="1F6F55A1" w14:textId="1328828C" w:rsidR="00C9574A" w:rsidRPr="00D24383" w:rsidRDefault="00C9574A" w:rsidP="00D24383">
      <w:pPr>
        <w:pStyle w:val="ListParagraph"/>
        <w:numPr>
          <w:ilvl w:val="0"/>
          <w:numId w:val="8"/>
        </w:numPr>
        <w:spacing w:before="240"/>
        <w:ind w:left="720" w:hanging="360"/>
        <w:contextualSpacing w:val="0"/>
        <w:rPr>
          <w:rFonts w:cs="Arial"/>
          <w:szCs w:val="24"/>
        </w:rPr>
      </w:pPr>
      <w:r w:rsidRPr="00D24383">
        <w:rPr>
          <w:rFonts w:cs="Arial"/>
          <w:szCs w:val="24"/>
        </w:rPr>
        <w:t>Encourage the AIECs to increase the voice of American Indian peoples by purposefully increasing their participation in the work of schools to make schools more culturally relevant places for American Indian children</w:t>
      </w:r>
      <w:r w:rsidR="005D711F">
        <w:rPr>
          <w:rFonts w:cs="Arial"/>
          <w:szCs w:val="24"/>
        </w:rPr>
        <w:t>.</w:t>
      </w:r>
    </w:p>
    <w:p w14:paraId="0D34D017" w14:textId="1424F201" w:rsidR="00C9574A" w:rsidRPr="00D24383" w:rsidRDefault="00C9574A" w:rsidP="00D24383">
      <w:pPr>
        <w:pStyle w:val="ListParagraph"/>
        <w:numPr>
          <w:ilvl w:val="0"/>
          <w:numId w:val="8"/>
        </w:numPr>
        <w:spacing w:before="240"/>
        <w:ind w:left="720" w:hanging="360"/>
        <w:contextualSpacing w:val="0"/>
        <w:rPr>
          <w:rFonts w:cs="Arial"/>
          <w:szCs w:val="24"/>
        </w:rPr>
      </w:pPr>
      <w:r w:rsidRPr="00D24383">
        <w:rPr>
          <w:rFonts w:cs="Arial"/>
          <w:szCs w:val="24"/>
        </w:rPr>
        <w:t xml:space="preserve">Explore increasing the amount allocated to the </w:t>
      </w:r>
      <w:r w:rsidR="0059779F">
        <w:rPr>
          <w:rFonts w:cs="Arial"/>
          <w:szCs w:val="24"/>
        </w:rPr>
        <w:t>AIEC</w:t>
      </w:r>
      <w:r w:rsidRPr="00D24383">
        <w:rPr>
          <w:rFonts w:cs="Arial"/>
          <w:szCs w:val="24"/>
        </w:rPr>
        <w:t xml:space="preserve"> Program. Currently</w:t>
      </w:r>
      <w:r w:rsidR="0005508C" w:rsidRPr="00D24383">
        <w:rPr>
          <w:rFonts w:cs="Arial"/>
          <w:szCs w:val="24"/>
        </w:rPr>
        <w:t>,</w:t>
      </w:r>
      <w:r w:rsidRPr="00D24383">
        <w:rPr>
          <w:rFonts w:cs="Arial"/>
          <w:szCs w:val="24"/>
        </w:rPr>
        <w:t xml:space="preserve"> 23 AIECs </w:t>
      </w:r>
      <w:proofErr w:type="gramStart"/>
      <w:r w:rsidRPr="00D24383">
        <w:rPr>
          <w:rFonts w:cs="Arial"/>
          <w:szCs w:val="24"/>
        </w:rPr>
        <w:t>are funded</w:t>
      </w:r>
      <w:proofErr w:type="gramEnd"/>
      <w:r w:rsidRPr="00D24383">
        <w:rPr>
          <w:rFonts w:cs="Arial"/>
          <w:szCs w:val="24"/>
        </w:rPr>
        <w:t xml:space="preserve"> with a total of $4,468,000. These AIECs would be able to expand to serve unserved American Indian populations if there was an increase in funding</w:t>
      </w:r>
      <w:r w:rsidR="005D711F">
        <w:rPr>
          <w:rFonts w:cs="Arial"/>
          <w:szCs w:val="24"/>
        </w:rPr>
        <w:t>.</w:t>
      </w:r>
    </w:p>
    <w:p w14:paraId="3E1FCA96" w14:textId="6864CC3B" w:rsidR="00C9574A" w:rsidRPr="00D24383" w:rsidRDefault="00C9574A" w:rsidP="00D24383">
      <w:pPr>
        <w:pStyle w:val="ListParagraph"/>
        <w:numPr>
          <w:ilvl w:val="0"/>
          <w:numId w:val="8"/>
        </w:numPr>
        <w:spacing w:before="240"/>
        <w:ind w:left="720" w:hanging="360"/>
        <w:contextualSpacing w:val="0"/>
        <w:rPr>
          <w:rFonts w:cs="Arial"/>
          <w:szCs w:val="24"/>
        </w:rPr>
      </w:pPr>
      <w:r w:rsidRPr="00D24383">
        <w:rPr>
          <w:rFonts w:cs="Arial"/>
          <w:szCs w:val="24"/>
        </w:rPr>
        <w:t xml:space="preserve">An increase in funding to fully support an American Indian Education </w:t>
      </w:r>
      <w:r w:rsidR="0059779F">
        <w:rPr>
          <w:rFonts w:cs="Arial"/>
          <w:szCs w:val="24"/>
        </w:rPr>
        <w:t xml:space="preserve">Programs </w:t>
      </w:r>
      <w:r w:rsidRPr="00D24383">
        <w:rPr>
          <w:rFonts w:cs="Arial"/>
          <w:szCs w:val="24"/>
        </w:rPr>
        <w:t>Consultant and Analyst would allow the CDE staff to become more involved in advocating for American Indian education issues statewide</w:t>
      </w:r>
      <w:r w:rsidR="005D711F">
        <w:rPr>
          <w:rFonts w:cs="Arial"/>
          <w:szCs w:val="24"/>
        </w:rPr>
        <w:t>.</w:t>
      </w:r>
    </w:p>
    <w:p w14:paraId="64ABBA3A" w14:textId="7DFBD24A" w:rsidR="000D7F03" w:rsidRPr="00D24383" w:rsidRDefault="00C9574A" w:rsidP="00D24383">
      <w:pPr>
        <w:pStyle w:val="ListParagraph"/>
        <w:numPr>
          <w:ilvl w:val="0"/>
          <w:numId w:val="8"/>
        </w:numPr>
        <w:spacing w:before="240"/>
        <w:ind w:left="720" w:hanging="360"/>
        <w:contextualSpacing w:val="0"/>
        <w:rPr>
          <w:rFonts w:cs="Arial"/>
          <w:szCs w:val="24"/>
        </w:rPr>
      </w:pPr>
      <w:r w:rsidRPr="00D24383">
        <w:rPr>
          <w:rFonts w:cs="Arial"/>
          <w:szCs w:val="24"/>
        </w:rPr>
        <w:t>Help the AIECs improve the services, support</w:t>
      </w:r>
      <w:r w:rsidR="001E6080">
        <w:rPr>
          <w:rFonts w:cs="Arial"/>
          <w:szCs w:val="24"/>
        </w:rPr>
        <w:t>,</w:t>
      </w:r>
      <w:r w:rsidRPr="00D24383">
        <w:rPr>
          <w:rFonts w:cs="Arial"/>
          <w:szCs w:val="24"/>
        </w:rPr>
        <w:t xml:space="preserve"> and financial support of American Indian students and to create pathways for adult students with </w:t>
      </w:r>
      <w:proofErr w:type="gramStart"/>
      <w:r w:rsidRPr="00D24383">
        <w:rPr>
          <w:rFonts w:cs="Arial"/>
          <w:szCs w:val="24"/>
        </w:rPr>
        <w:t>some</w:t>
      </w:r>
      <w:proofErr w:type="gramEnd"/>
      <w:r w:rsidRPr="00D24383">
        <w:rPr>
          <w:rFonts w:cs="Arial"/>
          <w:szCs w:val="24"/>
        </w:rPr>
        <w:t xml:space="preserve"> college or no degree to increase degree attainment</w:t>
      </w:r>
      <w:r w:rsidR="005D711F">
        <w:rPr>
          <w:rFonts w:cs="Arial"/>
          <w:szCs w:val="24"/>
        </w:rPr>
        <w:t>.</w:t>
      </w:r>
    </w:p>
    <w:sectPr w:rsidR="000D7F03" w:rsidRPr="00D24383" w:rsidSect="00112A87">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BA1B" w14:textId="77777777" w:rsidR="00115B3E" w:rsidRDefault="00115B3E" w:rsidP="00B0375D">
      <w:pPr>
        <w:spacing w:after="0"/>
      </w:pPr>
      <w:r>
        <w:separator/>
      </w:r>
    </w:p>
  </w:endnote>
  <w:endnote w:type="continuationSeparator" w:id="0">
    <w:p w14:paraId="7367BC6C" w14:textId="77777777" w:rsidR="00115B3E" w:rsidRDefault="00115B3E" w:rsidP="00B03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A128" w14:textId="77777777" w:rsidR="004437B1" w:rsidRDefault="00443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277522"/>
      <w:docPartObj>
        <w:docPartGallery w:val="Page Numbers (Bottom of Page)"/>
        <w:docPartUnique/>
      </w:docPartObj>
    </w:sdtPr>
    <w:sdtEndPr>
      <w:rPr>
        <w:noProof/>
      </w:rPr>
    </w:sdtEndPr>
    <w:sdtContent>
      <w:p w14:paraId="171D02B3" w14:textId="343F02CA" w:rsidR="00691133" w:rsidRDefault="006911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00AF" w14:textId="609F57BE" w:rsidR="00691133" w:rsidRPr="007578DE" w:rsidRDefault="00691133" w:rsidP="007578D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244E" w14:textId="75AAB2B4" w:rsidR="00691133" w:rsidRPr="007578DE" w:rsidRDefault="00691133" w:rsidP="007578D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0BE8" w14:textId="77777777" w:rsidR="00115B3E" w:rsidRDefault="00115B3E" w:rsidP="00B0375D">
      <w:pPr>
        <w:spacing w:after="0"/>
      </w:pPr>
      <w:r>
        <w:separator/>
      </w:r>
    </w:p>
  </w:footnote>
  <w:footnote w:type="continuationSeparator" w:id="0">
    <w:p w14:paraId="15D43123" w14:textId="77777777" w:rsidR="00115B3E" w:rsidRDefault="00115B3E" w:rsidP="00B0375D">
      <w:pPr>
        <w:spacing w:after="0"/>
      </w:pPr>
      <w:r>
        <w:continuationSeparator/>
      </w:r>
    </w:p>
  </w:footnote>
  <w:footnote w:id="1">
    <w:p w14:paraId="63F710DB" w14:textId="5EC04B25"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 xml:space="preserve">“The Effects of Poverty on Education in the United States.” ChildFund 2015. Found </w:t>
      </w:r>
      <w:r>
        <w:rPr>
          <w:rFonts w:cs="Arial"/>
          <w:sz w:val="24"/>
          <w:szCs w:val="24"/>
        </w:rPr>
        <w:t xml:space="preserve">at </w:t>
      </w:r>
      <w:hyperlink r:id="rId1" w:tooltip="The Effects of Poverty on Education in the United States" w:history="1">
        <w:r w:rsidRPr="00254FFC">
          <w:rPr>
            <w:rStyle w:val="Hyperlink"/>
            <w:rFonts w:cs="Arial"/>
            <w:sz w:val="24"/>
            <w:szCs w:val="24"/>
          </w:rPr>
          <w:t>https://www.childfund.org/Poverty-and-Education-in-the-US/</w:t>
        </w:r>
      </w:hyperlink>
      <w:r w:rsidRPr="0059779F">
        <w:rPr>
          <w:rFonts w:cs="Arial"/>
          <w:sz w:val="24"/>
          <w:szCs w:val="24"/>
        </w:rPr>
        <w:t xml:space="preserve"> </w:t>
      </w:r>
    </w:p>
  </w:footnote>
  <w:footnote w:id="2">
    <w:p w14:paraId="75BAFF7F" w14:textId="3ECE578D"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lang w:val="en"/>
        </w:rPr>
        <w:t>U.S. Census Bureau, American Community Surve</w:t>
      </w:r>
      <w:r>
        <w:rPr>
          <w:rFonts w:cs="Arial"/>
          <w:sz w:val="24"/>
          <w:szCs w:val="24"/>
          <w:lang w:val="en"/>
        </w:rPr>
        <w:t xml:space="preserve">y </w:t>
      </w:r>
      <w:hyperlink r:id="rId2" w:tooltip="This is a link to the United States Census Bureau, American Community Survey web page." w:history="1">
        <w:r w:rsidRPr="00E21DDD">
          <w:rPr>
            <w:rStyle w:val="Hyperlink"/>
            <w:sz w:val="24"/>
            <w:szCs w:val="24"/>
          </w:rPr>
          <w:t>https://www.census.gov/search-results.html?q=median+income+by+ethnicity&amp;page=1&amp;stateGeo=none&amp;searchtype=web&amp;cssp=SERP&amp;_charset_=UTF-8</w:t>
        </w:r>
      </w:hyperlink>
      <w:r>
        <w:rPr>
          <w:color w:val="0000FF"/>
          <w:sz w:val="24"/>
          <w:szCs w:val="24"/>
          <w:u w:val="single"/>
        </w:rPr>
        <w:t xml:space="preserve"> </w:t>
      </w:r>
    </w:p>
  </w:footnote>
  <w:footnote w:id="3">
    <w:p w14:paraId="2B8EB282" w14:textId="27DA2E28"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r>
        <w:rPr>
          <w:sz w:val="24"/>
          <w:szCs w:val="24"/>
        </w:rPr>
        <w:t>.</w:t>
      </w:r>
    </w:p>
  </w:footnote>
  <w:footnote w:id="4">
    <w:p w14:paraId="4EEC0F02" w14:textId="7D35851B" w:rsidR="00691133" w:rsidRDefault="00691133">
      <w:pPr>
        <w:pStyle w:val="FootnoteText"/>
      </w:pPr>
      <w:r>
        <w:rPr>
          <w:rStyle w:val="FootnoteReference"/>
        </w:rPr>
        <w:footnoteRef/>
      </w:r>
      <w:r>
        <w:t xml:space="preserve"> </w:t>
      </w:r>
      <w:r w:rsidRPr="00D97D65">
        <w:rPr>
          <w:sz w:val="24"/>
          <w:szCs w:val="18"/>
        </w:rPr>
        <w:t>Ibid</w:t>
      </w:r>
      <w:r>
        <w:rPr>
          <w:sz w:val="24"/>
          <w:szCs w:val="18"/>
        </w:rPr>
        <w:t>.</w:t>
      </w:r>
    </w:p>
  </w:footnote>
  <w:footnote w:id="5">
    <w:p w14:paraId="0F669F30" w14:textId="759A258D"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U.S. Department of Education, National Center for Education Statistics, Common Core of Data (CCD), "State Nonfiscal Survey of Public Elementary/Secondary Education," 1990</w:t>
      </w:r>
      <w:r>
        <w:rPr>
          <w:rFonts w:cs="Arial"/>
          <w:sz w:val="24"/>
          <w:szCs w:val="24"/>
        </w:rPr>
        <w:t>–</w:t>
      </w:r>
      <w:r w:rsidRPr="0059779F">
        <w:rPr>
          <w:rFonts w:cs="Arial"/>
          <w:sz w:val="24"/>
          <w:szCs w:val="24"/>
        </w:rPr>
        <w:t>91 through 2012</w:t>
      </w:r>
      <w:r>
        <w:rPr>
          <w:rFonts w:cs="Arial"/>
          <w:sz w:val="24"/>
          <w:szCs w:val="24"/>
        </w:rPr>
        <w:t>–</w:t>
      </w:r>
      <w:r w:rsidRPr="0059779F">
        <w:rPr>
          <w:rFonts w:cs="Arial"/>
          <w:sz w:val="24"/>
          <w:szCs w:val="24"/>
        </w:rPr>
        <w:t xml:space="preserve">13; and State Public Elementary and Secondary Enrollment Projection Model, 1980 through 2024. </w:t>
      </w:r>
      <w:hyperlink r:id="rId3" w:tooltip="This is a link to the &quot;State Nonfiscal Survey of Public Elementary/Secondary Education&quot; web page." w:history="1">
        <w:r w:rsidRPr="0059779F">
          <w:rPr>
            <w:rStyle w:val="Hyperlink"/>
            <w:rFonts w:cs="Arial"/>
            <w:sz w:val="24"/>
            <w:szCs w:val="24"/>
          </w:rPr>
          <w:t>http://nces.ed.gov/programs/digest/d14/tables/dt14_203.20.asp</w:t>
        </w:r>
      </w:hyperlink>
    </w:p>
  </w:footnote>
  <w:footnote w:id="6">
    <w:p w14:paraId="3B08162A" w14:textId="2EF330A8"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D</w:t>
      </w:r>
      <w:r w:rsidRPr="0059779F">
        <w:rPr>
          <w:rFonts w:cs="Arial"/>
          <w:color w:val="000000"/>
          <w:sz w:val="24"/>
          <w:szCs w:val="24"/>
        </w:rPr>
        <w:t>ataQuest is a dynamic system that provides reports about California’s schools and school districts. It contains a wide variety of information</w:t>
      </w:r>
      <w:r>
        <w:rPr>
          <w:rFonts w:cs="Arial"/>
          <w:color w:val="000000"/>
          <w:sz w:val="24"/>
          <w:szCs w:val="24"/>
        </w:rPr>
        <w:t>,</w:t>
      </w:r>
      <w:r w:rsidRPr="0059779F">
        <w:rPr>
          <w:rFonts w:cs="Arial"/>
          <w:color w:val="000000"/>
          <w:sz w:val="24"/>
          <w:szCs w:val="24"/>
        </w:rPr>
        <w:t xml:space="preserve"> including school performance indicators, student and staff demographics, expulsion, suspension, truancy information</w:t>
      </w:r>
      <w:r>
        <w:rPr>
          <w:rFonts w:cs="Arial"/>
          <w:color w:val="000000"/>
          <w:sz w:val="24"/>
          <w:szCs w:val="24"/>
        </w:rPr>
        <w:t>,</w:t>
      </w:r>
      <w:r w:rsidRPr="0059779F">
        <w:rPr>
          <w:rFonts w:cs="Arial"/>
          <w:color w:val="000000"/>
          <w:sz w:val="24"/>
          <w:szCs w:val="24"/>
        </w:rPr>
        <w:t xml:space="preserve"> and a variety of test results. </w:t>
      </w:r>
      <w:r>
        <w:rPr>
          <w:rFonts w:cs="Arial"/>
          <w:color w:val="000000"/>
          <w:sz w:val="24"/>
          <w:szCs w:val="24"/>
        </w:rPr>
        <w:t>The data at</w:t>
      </w:r>
      <w:r w:rsidRPr="0059779F">
        <w:rPr>
          <w:rFonts w:cs="Arial"/>
          <w:color w:val="000000"/>
          <w:sz w:val="24"/>
          <w:szCs w:val="24"/>
        </w:rPr>
        <w:t xml:space="preserve"> </w:t>
      </w:r>
      <w:hyperlink r:id="rId4" w:tooltip="This is a link to the DataQuest home page." w:history="1">
        <w:r w:rsidRPr="0059779F">
          <w:rPr>
            <w:rStyle w:val="Hyperlink"/>
            <w:rFonts w:cs="Arial"/>
            <w:sz w:val="24"/>
            <w:szCs w:val="24"/>
          </w:rPr>
          <w:t>http://dq.cde.ca.gov/dataquest/</w:t>
        </w:r>
      </w:hyperlink>
      <w:r>
        <w:rPr>
          <w:rFonts w:cs="Arial"/>
          <w:color w:val="000000"/>
          <w:sz w:val="24"/>
          <w:szCs w:val="24"/>
        </w:rPr>
        <w:t xml:space="preserve"> is</w:t>
      </w:r>
      <w:r w:rsidRPr="0059779F">
        <w:rPr>
          <w:rFonts w:cs="Arial"/>
          <w:color w:val="000000"/>
          <w:sz w:val="24"/>
          <w:szCs w:val="24"/>
        </w:rPr>
        <w:t xml:space="preserve"> presented so that users can easily compare schools, districts</w:t>
      </w:r>
      <w:r>
        <w:rPr>
          <w:rFonts w:cs="Arial"/>
          <w:color w:val="000000"/>
          <w:sz w:val="24"/>
          <w:szCs w:val="24"/>
        </w:rPr>
        <w:t>,</w:t>
      </w:r>
      <w:r w:rsidRPr="0059779F">
        <w:rPr>
          <w:rFonts w:cs="Arial"/>
          <w:color w:val="000000"/>
          <w:sz w:val="24"/>
          <w:szCs w:val="24"/>
        </w:rPr>
        <w:t xml:space="preserve"> and counties.</w:t>
      </w:r>
    </w:p>
  </w:footnote>
  <w:footnote w:id="7">
    <w:p w14:paraId="0F4350AB" w14:textId="164E1A42"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Individuals who responded to the question on race by indicating only one race and not Hispanic or Latino are referred to as the race-alone population or the group who reported only one race category. All respondents who indicated more than one race are collapsed into the Two or More Races category. If they chose Hispanic or Latino of any race they are counted in the Hispanic or Latino of Any Race category.</w:t>
      </w:r>
    </w:p>
  </w:footnote>
  <w:footnote w:id="8">
    <w:p w14:paraId="00BB9238" w14:textId="08ADA1B3"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D</w:t>
      </w:r>
      <w:r w:rsidRPr="0059779F">
        <w:rPr>
          <w:rFonts w:cs="Arial"/>
          <w:color w:val="000000"/>
          <w:sz w:val="24"/>
          <w:szCs w:val="24"/>
        </w:rPr>
        <w:t>ataQuest. Found</w:t>
      </w:r>
      <w:r>
        <w:rPr>
          <w:rFonts w:cs="Arial"/>
          <w:color w:val="000000"/>
          <w:sz w:val="24"/>
          <w:szCs w:val="24"/>
        </w:rPr>
        <w:t xml:space="preserve"> at </w:t>
      </w:r>
      <w:hyperlink r:id="rId5" w:tooltip="This is a link to the Enrollment Multi-Year Summary by Ethnicity DataQuest report." w:history="1">
        <w:r w:rsidRPr="00254FFC">
          <w:rPr>
            <w:rStyle w:val="Hyperlink"/>
            <w:rFonts w:cs="Arial"/>
            <w:sz w:val="24"/>
            <w:szCs w:val="24"/>
          </w:rPr>
          <w:t>https://dq.cde.ca.gov/dataquest/dqcensus/EnrEthYears.aspx?cds=00&amp;agglevel=state&amp;year=2015-16</w:t>
        </w:r>
      </w:hyperlink>
      <w:r>
        <w:rPr>
          <w:rFonts w:cs="Arial"/>
          <w:color w:val="000000"/>
          <w:sz w:val="24"/>
          <w:szCs w:val="24"/>
        </w:rPr>
        <w:t xml:space="preserve"> </w:t>
      </w:r>
      <w:r w:rsidRPr="0059779F">
        <w:rPr>
          <w:rStyle w:val="Hyperlink"/>
          <w:rFonts w:cs="Arial"/>
          <w:color w:val="auto"/>
          <w:sz w:val="24"/>
          <w:szCs w:val="24"/>
          <w:u w:val="none"/>
        </w:rPr>
        <w:t>by number and</w:t>
      </w:r>
      <w:r>
        <w:rPr>
          <w:rStyle w:val="Hyperlink"/>
          <w:rFonts w:cs="Arial"/>
          <w:color w:val="auto"/>
          <w:sz w:val="24"/>
          <w:szCs w:val="24"/>
          <w:u w:val="none"/>
        </w:rPr>
        <w:t xml:space="preserve"> </w:t>
      </w:r>
      <w:hyperlink r:id="rId6" w:tooltip="This is a link to the Enrollment Multi-Year Summary by Ethnicity DataQuest report." w:history="1">
        <w:r w:rsidRPr="00E21DDD">
          <w:rPr>
            <w:rStyle w:val="Hyperlink"/>
            <w:rFonts w:cs="Arial"/>
            <w:sz w:val="24"/>
            <w:szCs w:val="24"/>
          </w:rPr>
          <w:t>https://dq.cde.ca.gov/dataquest/dqcensus/EnrEthYears.aspx?cds=00&amp;agglevel=state&amp;year=2015-16</w:t>
        </w:r>
      </w:hyperlink>
      <w:r>
        <w:rPr>
          <w:rStyle w:val="Hyperlink"/>
          <w:rFonts w:cs="Arial"/>
          <w:color w:val="auto"/>
          <w:sz w:val="24"/>
          <w:szCs w:val="24"/>
          <w:u w:val="none"/>
        </w:rPr>
        <w:t xml:space="preserve"> </w:t>
      </w:r>
      <w:r w:rsidRPr="0059779F">
        <w:rPr>
          <w:sz w:val="24"/>
          <w:szCs w:val="24"/>
        </w:rPr>
        <w:t>by percentages</w:t>
      </w:r>
    </w:p>
  </w:footnote>
  <w:footnote w:id="9">
    <w:p w14:paraId="657FCA82" w14:textId="393EBC00"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bCs/>
          <w:kern w:val="36"/>
          <w:sz w:val="24"/>
          <w:szCs w:val="24"/>
        </w:rPr>
        <w:t xml:space="preserve">Degree Attainment for Native American Adults </w:t>
      </w:r>
      <w:hyperlink r:id="rId7" w:tooltip="This is a link to degree attainment information for Native American Adults." w:history="1">
        <w:r w:rsidRPr="00633836">
          <w:rPr>
            <w:rStyle w:val="Hyperlink"/>
            <w:bCs/>
            <w:kern w:val="36"/>
            <w:sz w:val="24"/>
            <w:szCs w:val="24"/>
          </w:rPr>
          <w:t>https://edtrust.org/resource/degree-attainment-for-native-american-adults/</w:t>
        </w:r>
      </w:hyperlink>
    </w:p>
  </w:footnote>
  <w:footnote w:id="10">
    <w:p w14:paraId="0B9E6BE2" w14:textId="0502774E"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bCs/>
          <w:kern w:val="36"/>
          <w:sz w:val="24"/>
          <w:szCs w:val="24"/>
        </w:rPr>
        <w:t>Degree Attainment for Native American Adults</w:t>
      </w:r>
      <w:r>
        <w:rPr>
          <w:bCs/>
          <w:kern w:val="36"/>
          <w:sz w:val="24"/>
          <w:szCs w:val="24"/>
        </w:rPr>
        <w:t xml:space="preserve"> found at</w:t>
      </w:r>
      <w:r w:rsidRPr="0059779F">
        <w:rPr>
          <w:bCs/>
          <w:kern w:val="36"/>
          <w:sz w:val="24"/>
          <w:szCs w:val="24"/>
        </w:rPr>
        <w:t xml:space="preserve"> </w:t>
      </w:r>
      <w:hyperlink r:id="rId8" w:tooltip="This is a link to the Degree Attainment for Native American Adults web page." w:history="1">
        <w:r w:rsidRPr="0059779F">
          <w:rPr>
            <w:rStyle w:val="Hyperlink"/>
            <w:bCs/>
            <w:kern w:val="36"/>
            <w:sz w:val="24"/>
            <w:szCs w:val="24"/>
          </w:rPr>
          <w:t>https://edtrust.org/resource/degree-attainment-for-native-american-adults/</w:t>
        </w:r>
      </w:hyperlink>
    </w:p>
  </w:footnote>
  <w:footnote w:id="11">
    <w:p w14:paraId="6613000E" w14:textId="4345882D"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D</w:t>
      </w:r>
      <w:r w:rsidRPr="0059779F">
        <w:rPr>
          <w:rFonts w:cs="Arial"/>
          <w:color w:val="000000"/>
          <w:sz w:val="24"/>
          <w:szCs w:val="24"/>
        </w:rPr>
        <w:t xml:space="preserve">ataQuest. Found </w:t>
      </w:r>
      <w:r>
        <w:rPr>
          <w:rFonts w:cs="Arial"/>
          <w:color w:val="000000"/>
          <w:sz w:val="24"/>
          <w:szCs w:val="24"/>
        </w:rPr>
        <w:t xml:space="preserve">at </w:t>
      </w:r>
      <w:hyperlink r:id="rId9" w:tooltip="This is a link to the DataQuest web page." w:history="1">
        <w:r w:rsidRPr="00254FFC">
          <w:rPr>
            <w:rStyle w:val="Hyperlink"/>
            <w:rFonts w:cs="Arial"/>
            <w:sz w:val="24"/>
            <w:szCs w:val="24"/>
          </w:rPr>
          <w:t>http://dq.cde.ca.gov/dataquest/</w:t>
        </w:r>
      </w:hyperlink>
    </w:p>
  </w:footnote>
  <w:footnote w:id="12">
    <w:p w14:paraId="56AB2EE7" w14:textId="14C1A878"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Hernandez, Donald J., “Double Jeopardy: How Third Grade Reading Skills and Poverty Influence High School Graduation”, 2012, The Annie E. Casey Foundation, Baltimore, Maryland, found</w:t>
      </w:r>
      <w:r>
        <w:rPr>
          <w:rFonts w:cs="Arial"/>
          <w:sz w:val="24"/>
          <w:szCs w:val="24"/>
        </w:rPr>
        <w:t xml:space="preserve"> at</w:t>
      </w:r>
      <w:r w:rsidRPr="0059779F">
        <w:rPr>
          <w:rFonts w:cs="Arial"/>
          <w:sz w:val="24"/>
          <w:szCs w:val="24"/>
        </w:rPr>
        <w:t xml:space="preserve"> </w:t>
      </w:r>
      <w:hyperlink r:id="rId10" w:tooltip="This is a link to &quot;Double Jeopardy: How Third Grade Reading Skills and Poverty Influence High School Graduation.&quot;" w:history="1">
        <w:r w:rsidRPr="0059779F">
          <w:rPr>
            <w:rStyle w:val="Hyperlink"/>
            <w:rFonts w:cs="Arial"/>
            <w:sz w:val="24"/>
            <w:szCs w:val="24"/>
          </w:rPr>
          <w:t>http://www.aecf.org/m/resourcedoc/AECF-DoubleJeopardy-2012-Full.pdf</w:t>
        </w:r>
      </w:hyperlink>
    </w:p>
  </w:footnote>
  <w:footnote w:id="13">
    <w:p w14:paraId="5896D959" w14:textId="7BFD3A27"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p>
  </w:footnote>
  <w:footnote w:id="14">
    <w:p w14:paraId="200A54CD" w14:textId="0F457017"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D</w:t>
      </w:r>
      <w:r w:rsidRPr="0059779F">
        <w:rPr>
          <w:rFonts w:cs="Arial"/>
          <w:color w:val="000000"/>
          <w:sz w:val="24"/>
          <w:szCs w:val="24"/>
        </w:rPr>
        <w:t>ataQuest. Found</w:t>
      </w:r>
      <w:r>
        <w:rPr>
          <w:rFonts w:cs="Arial"/>
          <w:color w:val="000000"/>
          <w:sz w:val="24"/>
          <w:szCs w:val="24"/>
        </w:rPr>
        <w:t xml:space="preserve"> at</w:t>
      </w:r>
      <w:r w:rsidRPr="0059779F">
        <w:rPr>
          <w:rFonts w:cs="Arial"/>
          <w:color w:val="000000"/>
          <w:sz w:val="24"/>
          <w:szCs w:val="24"/>
        </w:rPr>
        <w:t xml:space="preserve"> </w:t>
      </w:r>
      <w:hyperlink r:id="rId11" w:tooltip="This is a link to the DataQuest home page." w:history="1">
        <w:r w:rsidRPr="0059779F">
          <w:rPr>
            <w:rStyle w:val="Hyperlink"/>
            <w:rFonts w:cs="Arial"/>
            <w:sz w:val="24"/>
            <w:szCs w:val="24"/>
          </w:rPr>
          <w:t>http://dq.cde.ca.gov/dataquest/</w:t>
        </w:r>
      </w:hyperlink>
    </w:p>
  </w:footnote>
  <w:footnote w:id="15">
    <w:p w14:paraId="275B8F58" w14:textId="602D0E66" w:rsidR="00691133" w:rsidRPr="00A1799B" w:rsidRDefault="00691133">
      <w:pPr>
        <w:pStyle w:val="FootnoteText"/>
        <w:rPr>
          <w:sz w:val="24"/>
          <w:szCs w:val="24"/>
        </w:rPr>
      </w:pPr>
      <w:r w:rsidRPr="00A1799B">
        <w:rPr>
          <w:rStyle w:val="FootnoteReference"/>
          <w:sz w:val="24"/>
          <w:szCs w:val="24"/>
        </w:rPr>
        <w:footnoteRef/>
      </w:r>
      <w:r w:rsidRPr="00A1799B">
        <w:rPr>
          <w:sz w:val="24"/>
          <w:szCs w:val="24"/>
        </w:rPr>
        <w:t xml:space="preserve"> </w:t>
      </w:r>
      <w:r w:rsidRPr="00A1799B">
        <w:rPr>
          <w:rFonts w:cs="Arial"/>
          <w:sz w:val="24"/>
          <w:szCs w:val="24"/>
        </w:rPr>
        <w:t>California Assessment of Student Performance and Progress (CA</w:t>
      </w:r>
      <w:r>
        <w:rPr>
          <w:rFonts w:cs="Arial"/>
          <w:sz w:val="24"/>
          <w:szCs w:val="24"/>
        </w:rPr>
        <w:t>A</w:t>
      </w:r>
      <w:r w:rsidRPr="00A1799B">
        <w:rPr>
          <w:rFonts w:cs="Arial"/>
          <w:sz w:val="24"/>
          <w:szCs w:val="24"/>
        </w:rPr>
        <w:t>SPP)</w:t>
      </w:r>
      <w:r w:rsidRPr="00A1799B">
        <w:rPr>
          <w:rFonts w:cs="Arial"/>
          <w:color w:val="000000"/>
          <w:sz w:val="24"/>
          <w:szCs w:val="24"/>
        </w:rPr>
        <w:t>.</w:t>
      </w:r>
      <w:r>
        <w:rPr>
          <w:rFonts w:cs="Arial"/>
          <w:color w:val="000000"/>
          <w:sz w:val="24"/>
          <w:szCs w:val="24"/>
        </w:rPr>
        <w:t xml:space="preserve"> </w:t>
      </w:r>
      <w:hyperlink r:id="rId12" w:tooltip="Smarter Balanced Detailed Test Results – California Assessment of Student Performance and Progress (CAASPP) Reporting" w:history="1">
        <w:r w:rsidRPr="00E21DDD">
          <w:rPr>
            <w:rStyle w:val="Hyperlink"/>
            <w:rFonts w:cs="Arial"/>
            <w:sz w:val="24"/>
            <w:szCs w:val="24"/>
          </w:rPr>
          <w:t>https://caaspp-elpac.cde.ca.gov/caaspp/ViewReportSB?ps=true&amp;lstTestYear=2016&amp;lstTestType=B&amp;lstGroup=5&amp;lstGrade=13&amp;lstSchoolType=A&amp;lstCounty=00&amp;lstDistrict=00000&amp;lstSchool=0000000&amp;lstSubject=e&amp;lstFocus=a</w:t>
        </w:r>
      </w:hyperlink>
    </w:p>
  </w:footnote>
  <w:footnote w:id="16">
    <w:p w14:paraId="72CB0C20" w14:textId="2DBFE2AE" w:rsidR="00691133" w:rsidRPr="00A1799B" w:rsidRDefault="00691133">
      <w:pPr>
        <w:pStyle w:val="FootnoteText"/>
        <w:rPr>
          <w:sz w:val="24"/>
          <w:szCs w:val="24"/>
        </w:rPr>
      </w:pPr>
      <w:r w:rsidRPr="00A1799B">
        <w:rPr>
          <w:rStyle w:val="FootnoteReference"/>
          <w:sz w:val="24"/>
          <w:szCs w:val="24"/>
        </w:rPr>
        <w:footnoteRef/>
      </w:r>
      <w:r w:rsidRPr="00A1799B">
        <w:rPr>
          <w:sz w:val="24"/>
          <w:szCs w:val="24"/>
        </w:rPr>
        <w:t xml:space="preserve"> </w:t>
      </w:r>
      <w:r w:rsidRPr="00A1799B">
        <w:rPr>
          <w:rFonts w:cs="Arial"/>
          <w:sz w:val="24"/>
          <w:szCs w:val="24"/>
        </w:rPr>
        <w:t>Ibid</w:t>
      </w:r>
      <w:r>
        <w:rPr>
          <w:rFonts w:cs="Arial"/>
          <w:sz w:val="24"/>
          <w:szCs w:val="24"/>
        </w:rPr>
        <w:t>.</w:t>
      </w:r>
    </w:p>
  </w:footnote>
  <w:footnote w:id="17">
    <w:p w14:paraId="37B42E3C" w14:textId="6DCD784B" w:rsidR="00691133" w:rsidRPr="00A1799B" w:rsidRDefault="00691133">
      <w:pPr>
        <w:pStyle w:val="FootnoteText"/>
        <w:rPr>
          <w:sz w:val="24"/>
          <w:szCs w:val="24"/>
        </w:rPr>
      </w:pPr>
      <w:r w:rsidRPr="00A1799B">
        <w:rPr>
          <w:rStyle w:val="FootnoteReference"/>
          <w:sz w:val="24"/>
          <w:szCs w:val="24"/>
        </w:rPr>
        <w:footnoteRef/>
      </w:r>
      <w:r w:rsidRPr="00A1799B">
        <w:rPr>
          <w:sz w:val="24"/>
          <w:szCs w:val="24"/>
        </w:rPr>
        <w:t xml:space="preserve"> </w:t>
      </w:r>
      <w:r w:rsidRPr="00A1799B">
        <w:rPr>
          <w:rFonts w:cs="Arial"/>
          <w:sz w:val="24"/>
          <w:szCs w:val="24"/>
        </w:rPr>
        <w:t>CA</w:t>
      </w:r>
      <w:r>
        <w:rPr>
          <w:rFonts w:cs="Arial"/>
          <w:sz w:val="24"/>
          <w:szCs w:val="24"/>
        </w:rPr>
        <w:t>A</w:t>
      </w:r>
      <w:r w:rsidRPr="00A1799B">
        <w:rPr>
          <w:rFonts w:cs="Arial"/>
          <w:sz w:val="24"/>
          <w:szCs w:val="24"/>
        </w:rPr>
        <w:t>SPP</w:t>
      </w:r>
      <w:r w:rsidRPr="00A1799B">
        <w:rPr>
          <w:rFonts w:cs="Arial"/>
          <w:color w:val="000000"/>
          <w:sz w:val="24"/>
          <w:szCs w:val="24"/>
        </w:rPr>
        <w:t>.</w:t>
      </w:r>
      <w:r>
        <w:rPr>
          <w:rFonts w:cs="Arial"/>
          <w:color w:val="000000"/>
          <w:sz w:val="24"/>
          <w:szCs w:val="24"/>
        </w:rPr>
        <w:t xml:space="preserve"> </w:t>
      </w:r>
      <w:hyperlink r:id="rId13" w:tooltip="2016–17 Smarter Balanced Detailed Test Results" w:history="1">
        <w:r w:rsidRPr="00E21DDD">
          <w:rPr>
            <w:rStyle w:val="Hyperlink"/>
            <w:rFonts w:cs="Arial"/>
            <w:sz w:val="24"/>
            <w:szCs w:val="24"/>
          </w:rPr>
          <w:t>https://caaspp-elpac.cde.ca.gov/caaspp/ViewReportSB?ps=true&amp;lstTestYear=2017&amp;lstTestType=B&amp;lstGroup=5&amp;lstGrade=13&amp;lstSchoolType=A&amp;lstCounty=00&amp;lstDistrict=00000&amp;lstSchool=0000000&amp;lstSubject=e&amp;lstFocus=a</w:t>
        </w:r>
      </w:hyperlink>
    </w:p>
  </w:footnote>
  <w:footnote w:id="18">
    <w:p w14:paraId="646AFDD9" w14:textId="3567F239" w:rsidR="00691133" w:rsidRPr="00A1799B" w:rsidRDefault="00691133">
      <w:pPr>
        <w:pStyle w:val="FootnoteText"/>
        <w:rPr>
          <w:sz w:val="24"/>
          <w:szCs w:val="24"/>
        </w:rPr>
      </w:pPr>
      <w:r w:rsidRPr="00A1799B">
        <w:rPr>
          <w:rStyle w:val="FootnoteReference"/>
          <w:sz w:val="24"/>
          <w:szCs w:val="24"/>
        </w:rPr>
        <w:footnoteRef/>
      </w:r>
      <w:r w:rsidRPr="00A1799B">
        <w:rPr>
          <w:sz w:val="24"/>
          <w:szCs w:val="24"/>
        </w:rPr>
        <w:t xml:space="preserve"> </w:t>
      </w:r>
      <w:r w:rsidRPr="00A1799B">
        <w:rPr>
          <w:rFonts w:cs="Arial"/>
          <w:sz w:val="24"/>
          <w:szCs w:val="24"/>
        </w:rPr>
        <w:t>Ibid</w:t>
      </w:r>
      <w:r>
        <w:rPr>
          <w:rFonts w:cs="Arial"/>
          <w:sz w:val="24"/>
          <w:szCs w:val="24"/>
        </w:rPr>
        <w:t>.</w:t>
      </w:r>
    </w:p>
  </w:footnote>
  <w:footnote w:id="19">
    <w:p w14:paraId="6F390F7D" w14:textId="550DCA2E" w:rsidR="00691133" w:rsidRPr="00A1799B" w:rsidRDefault="00691133">
      <w:pPr>
        <w:pStyle w:val="FootnoteText"/>
        <w:rPr>
          <w:sz w:val="24"/>
          <w:szCs w:val="24"/>
        </w:rPr>
      </w:pPr>
      <w:r w:rsidRPr="00A1799B">
        <w:rPr>
          <w:rStyle w:val="FootnoteReference"/>
          <w:sz w:val="24"/>
          <w:szCs w:val="24"/>
        </w:rPr>
        <w:footnoteRef/>
      </w:r>
      <w:r w:rsidRPr="00A1799B">
        <w:rPr>
          <w:sz w:val="24"/>
          <w:szCs w:val="24"/>
        </w:rPr>
        <w:t xml:space="preserve"> </w:t>
      </w:r>
      <w:r w:rsidRPr="00A1799B">
        <w:rPr>
          <w:rFonts w:cs="Arial"/>
          <w:sz w:val="24"/>
          <w:szCs w:val="24"/>
        </w:rPr>
        <w:t>CA</w:t>
      </w:r>
      <w:r>
        <w:rPr>
          <w:rFonts w:cs="Arial"/>
          <w:sz w:val="24"/>
          <w:szCs w:val="24"/>
        </w:rPr>
        <w:t>A</w:t>
      </w:r>
      <w:r w:rsidRPr="00A1799B">
        <w:rPr>
          <w:rFonts w:cs="Arial"/>
          <w:sz w:val="24"/>
          <w:szCs w:val="24"/>
        </w:rPr>
        <w:t>SPP</w:t>
      </w:r>
      <w:r w:rsidRPr="00A1799B">
        <w:rPr>
          <w:rFonts w:cs="Arial"/>
          <w:color w:val="000000"/>
          <w:sz w:val="24"/>
          <w:szCs w:val="24"/>
        </w:rPr>
        <w:t>.</w:t>
      </w:r>
      <w:r>
        <w:rPr>
          <w:rFonts w:cs="Arial"/>
          <w:color w:val="000000"/>
          <w:sz w:val="24"/>
          <w:szCs w:val="24"/>
        </w:rPr>
        <w:t xml:space="preserve"> </w:t>
      </w:r>
      <w:hyperlink r:id="rId14" w:tooltip="2017–18 Smarter Balanced Detailed Test Results" w:history="1">
        <w:r w:rsidRPr="00E21DDD">
          <w:rPr>
            <w:rStyle w:val="Hyperlink"/>
            <w:rFonts w:cs="Arial"/>
            <w:sz w:val="24"/>
            <w:szCs w:val="24"/>
          </w:rPr>
          <w:t>https://caaspp-elpac.cde.ca.gov/caaspp/ViewReportSB?ps=true&amp;lstTestYear=2018&amp;lstTestType=B&amp;lstGroup=5&amp;lstGrade=13&amp;lstSchoolType=A&amp;lstCounty=00&amp;lstDistrict=00000&amp;lstSchool=0000000&amp;lstSubject=e&amp;lstFocus=a</w:t>
        </w:r>
      </w:hyperlink>
    </w:p>
  </w:footnote>
  <w:footnote w:id="20">
    <w:p w14:paraId="47E0E0DC" w14:textId="1AE7CA18" w:rsidR="00691133" w:rsidRPr="00A1799B" w:rsidRDefault="00691133">
      <w:pPr>
        <w:pStyle w:val="FootnoteText"/>
        <w:rPr>
          <w:sz w:val="24"/>
          <w:szCs w:val="24"/>
        </w:rPr>
      </w:pPr>
      <w:r w:rsidRPr="00A1799B">
        <w:rPr>
          <w:rStyle w:val="FootnoteReference"/>
          <w:sz w:val="24"/>
          <w:szCs w:val="24"/>
        </w:rPr>
        <w:footnoteRef/>
      </w:r>
      <w:r w:rsidRPr="00A1799B">
        <w:rPr>
          <w:sz w:val="24"/>
          <w:szCs w:val="24"/>
        </w:rPr>
        <w:t xml:space="preserve"> </w:t>
      </w:r>
      <w:r w:rsidRPr="00A1799B">
        <w:rPr>
          <w:rFonts w:cs="Arial"/>
          <w:sz w:val="24"/>
          <w:szCs w:val="24"/>
        </w:rPr>
        <w:t>Ibid</w:t>
      </w:r>
      <w:r>
        <w:rPr>
          <w:rFonts w:cs="Arial"/>
          <w:sz w:val="24"/>
          <w:szCs w:val="24"/>
        </w:rPr>
        <w:t>.</w:t>
      </w:r>
    </w:p>
  </w:footnote>
  <w:footnote w:id="21">
    <w:p w14:paraId="281E68CC" w14:textId="3415AFCE"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CA</w:t>
      </w:r>
      <w:r>
        <w:rPr>
          <w:rFonts w:cs="Arial"/>
          <w:sz w:val="24"/>
          <w:szCs w:val="24"/>
        </w:rPr>
        <w:t>A</w:t>
      </w:r>
      <w:r w:rsidRPr="0059779F">
        <w:rPr>
          <w:rFonts w:cs="Arial"/>
          <w:sz w:val="24"/>
          <w:szCs w:val="24"/>
        </w:rPr>
        <w:t>SPP</w:t>
      </w:r>
      <w:r w:rsidRPr="0059779F">
        <w:rPr>
          <w:rFonts w:cs="Arial"/>
          <w:color w:val="000000"/>
          <w:sz w:val="24"/>
          <w:szCs w:val="24"/>
        </w:rPr>
        <w:t>.</w:t>
      </w:r>
      <w:r>
        <w:rPr>
          <w:rFonts w:cs="Arial"/>
          <w:color w:val="000000"/>
          <w:sz w:val="24"/>
          <w:szCs w:val="24"/>
        </w:rPr>
        <w:t xml:space="preserve"> </w:t>
      </w:r>
      <w:hyperlink r:id="rId15" w:tooltip="2018–19 Smarter Balanced Detailed Test Results" w:history="1">
        <w:r w:rsidRPr="00E21DDD">
          <w:rPr>
            <w:rStyle w:val="Hyperlink"/>
            <w:rFonts w:cs="Arial"/>
            <w:sz w:val="24"/>
            <w:szCs w:val="24"/>
          </w:rPr>
          <w:t>https://caaspp-elpac.cde.ca.gov/caaspp/ViewReportSB?ps=true&amp;lstTestYear=2019&amp;lstTestType=B&amp;lstGroup=5&amp;lstGrade=13&amp;lstSchoolType=A&amp;lstCounty=00&amp;lstDistrict=00000&amp;lstSchool=0000000&amp;lstSubject=e&amp;lstFocus=a</w:t>
        </w:r>
      </w:hyperlink>
    </w:p>
  </w:footnote>
  <w:footnote w:id="22">
    <w:p w14:paraId="32ED00B6" w14:textId="4940AD86"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Ibid</w:t>
      </w:r>
      <w:r>
        <w:rPr>
          <w:rFonts w:cs="Arial"/>
          <w:sz w:val="24"/>
          <w:szCs w:val="24"/>
        </w:rPr>
        <w:t>.</w:t>
      </w:r>
    </w:p>
  </w:footnote>
  <w:footnote w:id="23">
    <w:p w14:paraId="19F49D53" w14:textId="22F9898B"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CA</w:t>
      </w:r>
      <w:r>
        <w:rPr>
          <w:rFonts w:cs="Arial"/>
          <w:sz w:val="24"/>
          <w:szCs w:val="24"/>
        </w:rPr>
        <w:t>A</w:t>
      </w:r>
      <w:r w:rsidRPr="0059779F">
        <w:rPr>
          <w:rFonts w:cs="Arial"/>
          <w:sz w:val="24"/>
          <w:szCs w:val="24"/>
        </w:rPr>
        <w:t>SPP</w:t>
      </w:r>
      <w:r w:rsidRPr="0059779F">
        <w:rPr>
          <w:rFonts w:cs="Arial"/>
          <w:color w:val="000000"/>
          <w:sz w:val="24"/>
          <w:szCs w:val="24"/>
        </w:rPr>
        <w:t>.</w:t>
      </w:r>
      <w:r>
        <w:rPr>
          <w:rFonts w:cs="Arial"/>
          <w:color w:val="000000"/>
          <w:sz w:val="24"/>
          <w:szCs w:val="24"/>
        </w:rPr>
        <w:t xml:space="preserve"> </w:t>
      </w:r>
      <w:hyperlink r:id="rId16" w:tooltip="2019–20 Smarter Balanced Detailed Test Results" w:history="1">
        <w:r w:rsidRPr="00E21DDD">
          <w:rPr>
            <w:rStyle w:val="Hyperlink"/>
            <w:rFonts w:cs="Arial"/>
            <w:sz w:val="24"/>
            <w:szCs w:val="24"/>
          </w:rPr>
          <w:t>https://caaspp-elpac.cde.ca.gov/caaspp/ViewReportSB?ps=true&amp;lstTestYear=2020&amp;lstTestType=B&amp;lstGroup=5&amp;lstGrade=13&amp;lstSchoolType=A&amp;lstCounty=00&amp;lstDistrict=00000&amp;lstSchool=0000000&amp;lstSubject=e&amp;lstFocus=a</w:t>
        </w:r>
      </w:hyperlink>
    </w:p>
  </w:footnote>
  <w:footnote w:id="24">
    <w:p w14:paraId="0AA480BD" w14:textId="514DBE01"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Ibid</w:t>
      </w:r>
      <w:r>
        <w:rPr>
          <w:rFonts w:cs="Arial"/>
          <w:sz w:val="24"/>
          <w:szCs w:val="24"/>
        </w:rPr>
        <w:t>.</w:t>
      </w:r>
    </w:p>
  </w:footnote>
  <w:footnote w:id="25">
    <w:p w14:paraId="2F27F975" w14:textId="135916F2"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sidRPr="0059779F">
        <w:rPr>
          <w:rFonts w:cs="Arial"/>
          <w:sz w:val="24"/>
          <w:szCs w:val="24"/>
        </w:rPr>
        <w:t>National Center for Education Statistics</w:t>
      </w:r>
      <w:r>
        <w:rPr>
          <w:rFonts w:cs="Arial"/>
          <w:sz w:val="24"/>
          <w:szCs w:val="24"/>
        </w:rPr>
        <w:t xml:space="preserve"> Public High School Graduation Rates web page at</w:t>
      </w:r>
      <w:r w:rsidRPr="0059779F">
        <w:rPr>
          <w:sz w:val="24"/>
          <w:szCs w:val="24"/>
        </w:rPr>
        <w:t xml:space="preserve"> </w:t>
      </w:r>
      <w:hyperlink r:id="rId17" w:tooltip="This is a link to the National Center for Education Statistics (NCES) Indicator web page." w:history="1">
        <w:r w:rsidRPr="0059779F">
          <w:rPr>
            <w:rStyle w:val="Hyperlink"/>
            <w:rFonts w:cs="Arial"/>
            <w:sz w:val="24"/>
            <w:szCs w:val="24"/>
          </w:rPr>
          <w:t>https://nces.ed.gov/programs/coe/indicator/coi</w:t>
        </w:r>
      </w:hyperlink>
      <w:r w:rsidRPr="0059779F">
        <w:rPr>
          <w:rFonts w:cs="Arial"/>
          <w:sz w:val="24"/>
          <w:szCs w:val="24"/>
        </w:rPr>
        <w:t xml:space="preserve"> </w:t>
      </w:r>
    </w:p>
  </w:footnote>
  <w:footnote w:id="26">
    <w:p w14:paraId="1224E702" w14:textId="2E7EFB6A"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r>
        <w:rPr>
          <w:sz w:val="24"/>
          <w:szCs w:val="24"/>
        </w:rPr>
        <w:t>.</w:t>
      </w:r>
    </w:p>
  </w:footnote>
  <w:footnote w:id="27">
    <w:p w14:paraId="5AE5F2E5" w14:textId="587FDD2F"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r>
        <w:rPr>
          <w:sz w:val="24"/>
          <w:szCs w:val="24"/>
        </w:rPr>
        <w:t>.</w:t>
      </w:r>
    </w:p>
  </w:footnote>
  <w:footnote w:id="28">
    <w:p w14:paraId="56E26650" w14:textId="461DB596"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D</w:t>
      </w:r>
      <w:r w:rsidRPr="0059779F">
        <w:rPr>
          <w:color w:val="000000"/>
          <w:sz w:val="24"/>
          <w:szCs w:val="24"/>
        </w:rPr>
        <w:t>ataQuest</w:t>
      </w:r>
      <w:r>
        <w:rPr>
          <w:color w:val="000000"/>
          <w:sz w:val="24"/>
          <w:szCs w:val="24"/>
        </w:rPr>
        <w:t xml:space="preserve">, at </w:t>
      </w:r>
      <w:hyperlink r:id="rId18" w:tooltip="This is a link to the Four-Year Adjusted Cohort Graduation Rate - Statewide DataQuest report." w:history="1">
        <w:r w:rsidRPr="00E21DDD">
          <w:rPr>
            <w:rStyle w:val="Hyperlink"/>
            <w:sz w:val="24"/>
            <w:szCs w:val="24"/>
          </w:rPr>
          <w:t>https://dq.cde.ca.gov/dataquest/dqcensus/CohRate.aspx?cds=00&amp;agglevel=state&amp;year=2019-20</w:t>
        </w:r>
      </w:hyperlink>
    </w:p>
  </w:footnote>
  <w:footnote w:id="29">
    <w:p w14:paraId="21AFD7B0" w14:textId="3C553F72"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r>
        <w:rPr>
          <w:sz w:val="24"/>
          <w:szCs w:val="24"/>
        </w:rPr>
        <w:t>.</w:t>
      </w:r>
    </w:p>
  </w:footnote>
  <w:footnote w:id="30">
    <w:p w14:paraId="3580B654" w14:textId="2F76B6BA"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Self-reported by</w:t>
      </w:r>
      <w:r>
        <w:rPr>
          <w:sz w:val="24"/>
          <w:szCs w:val="24"/>
        </w:rPr>
        <w:t xml:space="preserve"> the</w:t>
      </w:r>
      <w:r w:rsidRPr="0059779F">
        <w:rPr>
          <w:sz w:val="24"/>
          <w:szCs w:val="24"/>
        </w:rPr>
        <w:t xml:space="preserve"> American Indian Education Center’s End of Year Reports for</w:t>
      </w:r>
      <w:r>
        <w:rPr>
          <w:sz w:val="24"/>
          <w:szCs w:val="24"/>
        </w:rPr>
        <w:t xml:space="preserve"> the</w:t>
      </w:r>
      <w:r w:rsidRPr="0059779F">
        <w:rPr>
          <w:sz w:val="24"/>
          <w:szCs w:val="24"/>
        </w:rPr>
        <w:t xml:space="preserve"> years 2015-16, 2016-17, 2017-18, 2018-19, and 2019-20 submitted to </w:t>
      </w:r>
      <w:r>
        <w:rPr>
          <w:sz w:val="24"/>
          <w:szCs w:val="24"/>
        </w:rPr>
        <w:t>the CDE</w:t>
      </w:r>
      <w:r w:rsidRPr="0059779F">
        <w:rPr>
          <w:sz w:val="24"/>
          <w:szCs w:val="24"/>
        </w:rPr>
        <w:t>. Not available online.</w:t>
      </w:r>
    </w:p>
  </w:footnote>
  <w:footnote w:id="31">
    <w:p w14:paraId="5F39A8A3" w14:textId="127476BF"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r>
        <w:rPr>
          <w:sz w:val="24"/>
          <w:szCs w:val="24"/>
        </w:rPr>
        <w:t>.</w:t>
      </w:r>
    </w:p>
  </w:footnote>
  <w:footnote w:id="32">
    <w:p w14:paraId="7D20A085" w14:textId="18FC483E"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r>
        <w:rPr>
          <w:sz w:val="24"/>
          <w:szCs w:val="24"/>
        </w:rPr>
        <w:t>.</w:t>
      </w:r>
    </w:p>
  </w:footnote>
  <w:footnote w:id="33">
    <w:p w14:paraId="7512112F" w14:textId="0A06EEC2"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Ibid</w:t>
      </w:r>
      <w:r>
        <w:rPr>
          <w:sz w:val="24"/>
          <w:szCs w:val="24"/>
        </w:rPr>
        <w:t>.</w:t>
      </w:r>
    </w:p>
  </w:footnote>
  <w:footnote w:id="34">
    <w:p w14:paraId="7EA779FA" w14:textId="7DC41335" w:rsidR="00691133" w:rsidRPr="0059779F" w:rsidRDefault="00691133">
      <w:pPr>
        <w:pStyle w:val="FootnoteText"/>
        <w:rPr>
          <w:sz w:val="24"/>
          <w:szCs w:val="24"/>
        </w:rPr>
      </w:pPr>
      <w:r w:rsidRPr="0059779F">
        <w:rPr>
          <w:rStyle w:val="FootnoteReference"/>
          <w:sz w:val="24"/>
          <w:szCs w:val="24"/>
        </w:rPr>
        <w:footnoteRef/>
      </w:r>
      <w:r w:rsidRPr="0059779F">
        <w:rPr>
          <w:sz w:val="24"/>
          <w:szCs w:val="24"/>
        </w:rPr>
        <w:t xml:space="preserve"> </w:t>
      </w:r>
      <w:r>
        <w:rPr>
          <w:rFonts w:cs="Arial"/>
          <w:sz w:val="24"/>
          <w:szCs w:val="24"/>
        </w:rPr>
        <w:t>Due to the</w:t>
      </w:r>
      <w:r w:rsidRPr="0059779F">
        <w:rPr>
          <w:rFonts w:cs="Arial"/>
          <w:sz w:val="24"/>
          <w:szCs w:val="24"/>
        </w:rPr>
        <w:t xml:space="preserve"> COVID-19 pandemic and subsequent stay-at-home order</w:t>
      </w:r>
      <w:r>
        <w:rPr>
          <w:rFonts w:cs="Arial"/>
          <w:sz w:val="24"/>
          <w:szCs w:val="24"/>
        </w:rPr>
        <w:t>s</w:t>
      </w:r>
      <w:r w:rsidRPr="0059779F">
        <w:rPr>
          <w:rFonts w:cs="Arial"/>
          <w:sz w:val="24"/>
          <w:szCs w:val="24"/>
        </w:rPr>
        <w:t xml:space="preserve">, including Governor </w:t>
      </w:r>
      <w:r w:rsidRPr="00B914F9">
        <w:rPr>
          <w:rFonts w:cs="Arial"/>
          <w:sz w:val="24"/>
          <w:szCs w:val="24"/>
        </w:rPr>
        <w:t>Newsom’s</w:t>
      </w:r>
      <w:r w:rsidRPr="0059779F">
        <w:rPr>
          <w:rFonts w:cs="Arial"/>
          <w:sz w:val="24"/>
          <w:szCs w:val="24"/>
        </w:rPr>
        <w:t xml:space="preserve"> Executive Order N-26-20</w:t>
      </w:r>
      <w:r>
        <w:rPr>
          <w:rFonts w:cs="Arial"/>
          <w:sz w:val="24"/>
          <w:szCs w:val="24"/>
        </w:rPr>
        <w:t>,</w:t>
      </w:r>
      <w:r w:rsidRPr="0059779F">
        <w:rPr>
          <w:rFonts w:cs="Arial"/>
          <w:sz w:val="24"/>
          <w:szCs w:val="24"/>
        </w:rPr>
        <w:t xml:space="preserve"> which closed schools in California, the 2019–20 AIEC data collection was suspended.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9DF7" w14:textId="77777777" w:rsidR="004437B1" w:rsidRDefault="00443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E50" w14:textId="77777777" w:rsidR="00691133" w:rsidRPr="009B0E00" w:rsidRDefault="00691133" w:rsidP="009B0E00">
    <w:pP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DEE" w14:textId="77777777" w:rsidR="004437B1" w:rsidRDefault="004437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B37F" w14:textId="02287BC6" w:rsidR="00691133" w:rsidRPr="00C122BA" w:rsidRDefault="00691133" w:rsidP="00C122BA">
    <w:pPr>
      <w:spacing w:before="240"/>
      <w:jc w:val="center"/>
      <w:rPr>
        <w:rFonts w:cs="Arial"/>
        <w:b/>
        <w:szCs w:val="24"/>
      </w:rPr>
    </w:pPr>
    <w:r w:rsidRPr="00C122BA">
      <w:rPr>
        <w:rFonts w:cs="Arial"/>
        <w:b/>
        <w:szCs w:val="24"/>
      </w:rPr>
      <w:t>California Department of Education</w:t>
    </w:r>
  </w:p>
  <w:p w14:paraId="154594AD" w14:textId="77777777" w:rsidR="00691133" w:rsidRDefault="00691133" w:rsidP="00C122BA">
    <w:pPr>
      <w:spacing w:before="240"/>
      <w:jc w:val="center"/>
      <w:rPr>
        <w:rFonts w:cs="Arial"/>
        <w:b/>
        <w:szCs w:val="24"/>
      </w:rPr>
    </w:pPr>
    <w:r w:rsidRPr="00C122BA">
      <w:rPr>
        <w:rFonts w:cs="Arial"/>
        <w:b/>
        <w:szCs w:val="24"/>
      </w:rPr>
      <w:t>Report to the Legislature:</w:t>
    </w:r>
  </w:p>
  <w:p w14:paraId="7D2CD11B" w14:textId="6961CFD0" w:rsidR="00691133" w:rsidRPr="00C122BA" w:rsidRDefault="00691133" w:rsidP="00C122BA">
    <w:pPr>
      <w:spacing w:before="240" w:after="360"/>
      <w:jc w:val="center"/>
      <w:rPr>
        <w:rFonts w:cs="Arial"/>
        <w:szCs w:val="24"/>
      </w:rPr>
    </w:pPr>
    <w:r w:rsidRPr="00C122BA">
      <w:rPr>
        <w:rFonts w:cs="Arial"/>
        <w:b/>
        <w:szCs w:val="24"/>
      </w:rPr>
      <w:t>California American Indian Education Centers</w:t>
    </w:r>
    <w:r>
      <w:rPr>
        <w:rFonts w:cs="Arial"/>
        <w:b/>
        <w:szCs w:val="24"/>
      </w:rPr>
      <w:t xml:space="preserve">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F8FC" w14:textId="77777777" w:rsidR="00691133" w:rsidRPr="00C122BA" w:rsidRDefault="00691133" w:rsidP="00C122BA">
    <w:pPr>
      <w:spacing w:before="240"/>
      <w:jc w:val="center"/>
      <w:rPr>
        <w:rFonts w:cs="Arial"/>
        <w:b/>
        <w:szCs w:val="24"/>
      </w:rPr>
    </w:pPr>
    <w:r w:rsidRPr="00C122BA">
      <w:rPr>
        <w:rFonts w:cs="Arial"/>
        <w:b/>
        <w:szCs w:val="24"/>
      </w:rPr>
      <w:t>California Department of Education</w:t>
    </w:r>
  </w:p>
  <w:p w14:paraId="6B38C678" w14:textId="77777777" w:rsidR="00691133" w:rsidRDefault="00691133" w:rsidP="00C122BA">
    <w:pPr>
      <w:spacing w:before="240"/>
      <w:jc w:val="center"/>
      <w:rPr>
        <w:rFonts w:cs="Arial"/>
        <w:b/>
        <w:szCs w:val="24"/>
      </w:rPr>
    </w:pPr>
    <w:r w:rsidRPr="00C122BA">
      <w:rPr>
        <w:rFonts w:cs="Arial"/>
        <w:b/>
        <w:szCs w:val="24"/>
      </w:rPr>
      <w:t>Report to the Legislature:</w:t>
    </w:r>
  </w:p>
  <w:p w14:paraId="7C22CB39" w14:textId="00A549C5" w:rsidR="00691133" w:rsidRPr="00C122BA" w:rsidRDefault="00691133" w:rsidP="00C122BA">
    <w:pPr>
      <w:spacing w:before="240" w:after="360"/>
      <w:jc w:val="center"/>
      <w:rPr>
        <w:rFonts w:cs="Arial"/>
        <w:szCs w:val="24"/>
      </w:rPr>
    </w:pPr>
    <w:r w:rsidRPr="00C122BA">
      <w:rPr>
        <w:rFonts w:cs="Arial"/>
        <w:b/>
        <w:szCs w:val="24"/>
      </w:rPr>
      <w:t>California American Indian Education Centers</w:t>
    </w:r>
    <w:r>
      <w:rPr>
        <w:rFonts w:cs="Arial"/>
        <w:b/>
        <w:szCs w:val="24"/>
      </w:rPr>
      <w:t xml:space="preserve">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B6C4" w14:textId="670DAB0D" w:rsidR="00691133" w:rsidRPr="009B0E00" w:rsidRDefault="00691133" w:rsidP="009B0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CB3"/>
    <w:multiLevelType w:val="hybridMultilevel"/>
    <w:tmpl w:val="374E0D04"/>
    <w:lvl w:ilvl="0" w:tplc="9C1A11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B19A2"/>
    <w:multiLevelType w:val="hybridMultilevel"/>
    <w:tmpl w:val="FF0C2D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43D4"/>
    <w:multiLevelType w:val="hybridMultilevel"/>
    <w:tmpl w:val="6E1452B2"/>
    <w:lvl w:ilvl="0" w:tplc="F2CAAF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C28F1"/>
    <w:multiLevelType w:val="hybridMultilevel"/>
    <w:tmpl w:val="5C186C32"/>
    <w:lvl w:ilvl="0" w:tplc="16B217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E1DC8"/>
    <w:multiLevelType w:val="hybridMultilevel"/>
    <w:tmpl w:val="6960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17C41"/>
    <w:multiLevelType w:val="hybridMultilevel"/>
    <w:tmpl w:val="50FC4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52B5C"/>
    <w:multiLevelType w:val="hybridMultilevel"/>
    <w:tmpl w:val="89A06600"/>
    <w:lvl w:ilvl="0" w:tplc="6D109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037ED"/>
    <w:multiLevelType w:val="hybridMultilevel"/>
    <w:tmpl w:val="6C9E7750"/>
    <w:lvl w:ilvl="0" w:tplc="16B217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E3E7F"/>
    <w:multiLevelType w:val="hybridMultilevel"/>
    <w:tmpl w:val="8B3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207681">
    <w:abstractNumId w:val="4"/>
  </w:num>
  <w:num w:numId="2" w16cid:durableId="45957247">
    <w:abstractNumId w:val="0"/>
  </w:num>
  <w:num w:numId="3" w16cid:durableId="1368292773">
    <w:abstractNumId w:val="8"/>
  </w:num>
  <w:num w:numId="4" w16cid:durableId="1108041455">
    <w:abstractNumId w:val="5"/>
  </w:num>
  <w:num w:numId="5" w16cid:durableId="1097217043">
    <w:abstractNumId w:val="3"/>
  </w:num>
  <w:num w:numId="6" w16cid:durableId="922299472">
    <w:abstractNumId w:val="7"/>
  </w:num>
  <w:num w:numId="7" w16cid:durableId="525870202">
    <w:abstractNumId w:val="6"/>
  </w:num>
  <w:num w:numId="8" w16cid:durableId="192765348">
    <w:abstractNumId w:val="1"/>
  </w:num>
  <w:num w:numId="9" w16cid:durableId="322050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0MANiUwtjIxNLUyUdpeDU4uLM/DyQAsNaAEm/qCEsAAAA"/>
  </w:docVars>
  <w:rsids>
    <w:rsidRoot w:val="00C9574A"/>
    <w:rsid w:val="00000F66"/>
    <w:rsid w:val="00041F31"/>
    <w:rsid w:val="0005508C"/>
    <w:rsid w:val="00060BD9"/>
    <w:rsid w:val="000649DE"/>
    <w:rsid w:val="00087BB0"/>
    <w:rsid w:val="000B2291"/>
    <w:rsid w:val="000C4AA6"/>
    <w:rsid w:val="000C52D4"/>
    <w:rsid w:val="000C621B"/>
    <w:rsid w:val="000D0966"/>
    <w:rsid w:val="000D7F03"/>
    <w:rsid w:val="000F711A"/>
    <w:rsid w:val="00110E2B"/>
    <w:rsid w:val="00112A87"/>
    <w:rsid w:val="00115B3E"/>
    <w:rsid w:val="0014460E"/>
    <w:rsid w:val="001741EA"/>
    <w:rsid w:val="001861E5"/>
    <w:rsid w:val="001A5B38"/>
    <w:rsid w:val="001A6D80"/>
    <w:rsid w:val="001C70F6"/>
    <w:rsid w:val="001E6080"/>
    <w:rsid w:val="001F09A8"/>
    <w:rsid w:val="001F6345"/>
    <w:rsid w:val="002002E3"/>
    <w:rsid w:val="00200667"/>
    <w:rsid w:val="0021441D"/>
    <w:rsid w:val="002161BD"/>
    <w:rsid w:val="002237C4"/>
    <w:rsid w:val="002251FC"/>
    <w:rsid w:val="00274023"/>
    <w:rsid w:val="0027581D"/>
    <w:rsid w:val="00284006"/>
    <w:rsid w:val="002B3700"/>
    <w:rsid w:val="002D06D3"/>
    <w:rsid w:val="002F0202"/>
    <w:rsid w:val="002F0511"/>
    <w:rsid w:val="002F313B"/>
    <w:rsid w:val="00316C50"/>
    <w:rsid w:val="003219E4"/>
    <w:rsid w:val="0033194B"/>
    <w:rsid w:val="00352CA4"/>
    <w:rsid w:val="003675CB"/>
    <w:rsid w:val="00381FE6"/>
    <w:rsid w:val="003826EB"/>
    <w:rsid w:val="00382B51"/>
    <w:rsid w:val="003842A3"/>
    <w:rsid w:val="003B751A"/>
    <w:rsid w:val="003D047C"/>
    <w:rsid w:val="003D12D0"/>
    <w:rsid w:val="003E151A"/>
    <w:rsid w:val="003F2F1C"/>
    <w:rsid w:val="003F3911"/>
    <w:rsid w:val="00402757"/>
    <w:rsid w:val="0040336F"/>
    <w:rsid w:val="0041183B"/>
    <w:rsid w:val="00412138"/>
    <w:rsid w:val="0043014C"/>
    <w:rsid w:val="00435DDC"/>
    <w:rsid w:val="004431D2"/>
    <w:rsid w:val="004437B1"/>
    <w:rsid w:val="00474F3B"/>
    <w:rsid w:val="004811CF"/>
    <w:rsid w:val="004838E6"/>
    <w:rsid w:val="0048570F"/>
    <w:rsid w:val="004B0BA0"/>
    <w:rsid w:val="004B227E"/>
    <w:rsid w:val="004B24E4"/>
    <w:rsid w:val="004B6F02"/>
    <w:rsid w:val="004F0DC3"/>
    <w:rsid w:val="004F1C55"/>
    <w:rsid w:val="004F4CA0"/>
    <w:rsid w:val="00510589"/>
    <w:rsid w:val="00515AB0"/>
    <w:rsid w:val="00524AE7"/>
    <w:rsid w:val="00524E8B"/>
    <w:rsid w:val="00532670"/>
    <w:rsid w:val="00533FBA"/>
    <w:rsid w:val="005420CD"/>
    <w:rsid w:val="00571ECC"/>
    <w:rsid w:val="0057251A"/>
    <w:rsid w:val="00582F37"/>
    <w:rsid w:val="00591176"/>
    <w:rsid w:val="00594707"/>
    <w:rsid w:val="0059779F"/>
    <w:rsid w:val="005B04E7"/>
    <w:rsid w:val="005C2430"/>
    <w:rsid w:val="005D711F"/>
    <w:rsid w:val="005F4862"/>
    <w:rsid w:val="005F5217"/>
    <w:rsid w:val="005F61CB"/>
    <w:rsid w:val="00617FBA"/>
    <w:rsid w:val="0062772B"/>
    <w:rsid w:val="00651831"/>
    <w:rsid w:val="00652E45"/>
    <w:rsid w:val="006553BB"/>
    <w:rsid w:val="00656120"/>
    <w:rsid w:val="006768CF"/>
    <w:rsid w:val="00691133"/>
    <w:rsid w:val="006915F1"/>
    <w:rsid w:val="006957AD"/>
    <w:rsid w:val="006C1E2B"/>
    <w:rsid w:val="006C5BB4"/>
    <w:rsid w:val="006D1C63"/>
    <w:rsid w:val="006D23EA"/>
    <w:rsid w:val="006D4FCA"/>
    <w:rsid w:val="00713B35"/>
    <w:rsid w:val="007314A7"/>
    <w:rsid w:val="0073228B"/>
    <w:rsid w:val="007470C3"/>
    <w:rsid w:val="007473C9"/>
    <w:rsid w:val="007578DE"/>
    <w:rsid w:val="00763B62"/>
    <w:rsid w:val="00774581"/>
    <w:rsid w:val="0078221C"/>
    <w:rsid w:val="007A32B9"/>
    <w:rsid w:val="007B1A12"/>
    <w:rsid w:val="007E53FD"/>
    <w:rsid w:val="007F6C0F"/>
    <w:rsid w:val="0080050F"/>
    <w:rsid w:val="008060C6"/>
    <w:rsid w:val="00813A23"/>
    <w:rsid w:val="0082299D"/>
    <w:rsid w:val="0082307C"/>
    <w:rsid w:val="008230A1"/>
    <w:rsid w:val="00832CC3"/>
    <w:rsid w:val="00852FE5"/>
    <w:rsid w:val="0088038D"/>
    <w:rsid w:val="00892D0C"/>
    <w:rsid w:val="008A5DD9"/>
    <w:rsid w:val="008C1AE9"/>
    <w:rsid w:val="008C37E1"/>
    <w:rsid w:val="008D200E"/>
    <w:rsid w:val="008E0291"/>
    <w:rsid w:val="008E7487"/>
    <w:rsid w:val="009114EB"/>
    <w:rsid w:val="00914682"/>
    <w:rsid w:val="009205AA"/>
    <w:rsid w:val="009206B0"/>
    <w:rsid w:val="009313D6"/>
    <w:rsid w:val="00944A80"/>
    <w:rsid w:val="009560B2"/>
    <w:rsid w:val="009662B0"/>
    <w:rsid w:val="00971B58"/>
    <w:rsid w:val="00980220"/>
    <w:rsid w:val="009861DC"/>
    <w:rsid w:val="009A384C"/>
    <w:rsid w:val="009B0E00"/>
    <w:rsid w:val="009C3EA4"/>
    <w:rsid w:val="009C7BED"/>
    <w:rsid w:val="009F2F9D"/>
    <w:rsid w:val="00A07877"/>
    <w:rsid w:val="00A1699C"/>
    <w:rsid w:val="00A1799B"/>
    <w:rsid w:val="00A17DBA"/>
    <w:rsid w:val="00A429BD"/>
    <w:rsid w:val="00A62703"/>
    <w:rsid w:val="00AA3AF7"/>
    <w:rsid w:val="00AA4D91"/>
    <w:rsid w:val="00AB2661"/>
    <w:rsid w:val="00AC051B"/>
    <w:rsid w:val="00AC52C7"/>
    <w:rsid w:val="00AD21B9"/>
    <w:rsid w:val="00AD23D9"/>
    <w:rsid w:val="00AD38B8"/>
    <w:rsid w:val="00AE56D7"/>
    <w:rsid w:val="00AF3E71"/>
    <w:rsid w:val="00AF5560"/>
    <w:rsid w:val="00B0375D"/>
    <w:rsid w:val="00B0440A"/>
    <w:rsid w:val="00B05A48"/>
    <w:rsid w:val="00B07537"/>
    <w:rsid w:val="00B20286"/>
    <w:rsid w:val="00B37FFA"/>
    <w:rsid w:val="00B410D3"/>
    <w:rsid w:val="00B42069"/>
    <w:rsid w:val="00B6549C"/>
    <w:rsid w:val="00B70E53"/>
    <w:rsid w:val="00B914F9"/>
    <w:rsid w:val="00B94745"/>
    <w:rsid w:val="00BA1F32"/>
    <w:rsid w:val="00BB4F3A"/>
    <w:rsid w:val="00BB7B34"/>
    <w:rsid w:val="00BC2E04"/>
    <w:rsid w:val="00BC4F9F"/>
    <w:rsid w:val="00BC72EA"/>
    <w:rsid w:val="00BF20DE"/>
    <w:rsid w:val="00C0389C"/>
    <w:rsid w:val="00C122BA"/>
    <w:rsid w:val="00C37E8B"/>
    <w:rsid w:val="00C405B7"/>
    <w:rsid w:val="00C5604B"/>
    <w:rsid w:val="00C71511"/>
    <w:rsid w:val="00C771BE"/>
    <w:rsid w:val="00C93EBC"/>
    <w:rsid w:val="00C9574A"/>
    <w:rsid w:val="00CA35F8"/>
    <w:rsid w:val="00CC34E0"/>
    <w:rsid w:val="00CC7414"/>
    <w:rsid w:val="00CE5D84"/>
    <w:rsid w:val="00D24383"/>
    <w:rsid w:val="00D24C9D"/>
    <w:rsid w:val="00D32196"/>
    <w:rsid w:val="00D42E0F"/>
    <w:rsid w:val="00D4666E"/>
    <w:rsid w:val="00D46A15"/>
    <w:rsid w:val="00D4780F"/>
    <w:rsid w:val="00D5067D"/>
    <w:rsid w:val="00D61F87"/>
    <w:rsid w:val="00D627C9"/>
    <w:rsid w:val="00D64BB7"/>
    <w:rsid w:val="00D6557B"/>
    <w:rsid w:val="00D7364B"/>
    <w:rsid w:val="00D7794F"/>
    <w:rsid w:val="00D97D65"/>
    <w:rsid w:val="00DB6F06"/>
    <w:rsid w:val="00DC7A93"/>
    <w:rsid w:val="00DE29A0"/>
    <w:rsid w:val="00DE75CE"/>
    <w:rsid w:val="00DF0C60"/>
    <w:rsid w:val="00DF2705"/>
    <w:rsid w:val="00DF5CA9"/>
    <w:rsid w:val="00E1186B"/>
    <w:rsid w:val="00E11C63"/>
    <w:rsid w:val="00E11D49"/>
    <w:rsid w:val="00E474F6"/>
    <w:rsid w:val="00E47842"/>
    <w:rsid w:val="00E50805"/>
    <w:rsid w:val="00E50818"/>
    <w:rsid w:val="00E50F00"/>
    <w:rsid w:val="00E55102"/>
    <w:rsid w:val="00E57FA1"/>
    <w:rsid w:val="00E94AB8"/>
    <w:rsid w:val="00E94C21"/>
    <w:rsid w:val="00E953D7"/>
    <w:rsid w:val="00EA1EA7"/>
    <w:rsid w:val="00EB1602"/>
    <w:rsid w:val="00EE1120"/>
    <w:rsid w:val="00EE747C"/>
    <w:rsid w:val="00EF3829"/>
    <w:rsid w:val="00F0417D"/>
    <w:rsid w:val="00F24116"/>
    <w:rsid w:val="00F241AD"/>
    <w:rsid w:val="00F336F1"/>
    <w:rsid w:val="00F372C5"/>
    <w:rsid w:val="00F47DC4"/>
    <w:rsid w:val="00F65A2D"/>
    <w:rsid w:val="00F7075F"/>
    <w:rsid w:val="00F75853"/>
    <w:rsid w:val="00FB4D6D"/>
    <w:rsid w:val="00FD505C"/>
    <w:rsid w:val="00FE029F"/>
    <w:rsid w:val="00FE054E"/>
    <w:rsid w:val="00FE274E"/>
    <w:rsid w:val="3999CCC1"/>
    <w:rsid w:val="482B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9D705"/>
  <w15:chartTrackingRefBased/>
  <w15:docId w15:val="{E724FC0F-C926-4CA5-A773-1F89DFAA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CA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9574A"/>
    <w:pPr>
      <w:keepNext/>
      <w:keepLines/>
      <w:spacing w:before="240" w:after="4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F61CB"/>
    <w:pPr>
      <w:keepNext/>
      <w:keepLines/>
      <w:spacing w:before="480"/>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336F1"/>
    <w:pPr>
      <w:keepNext/>
      <w:keepLines/>
      <w:spacing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CA4"/>
    <w:rPr>
      <w:rFonts w:eastAsiaTheme="majorEastAsia" w:cstheme="majorBidi"/>
      <w:b/>
      <w:sz w:val="32"/>
      <w:szCs w:val="32"/>
    </w:rPr>
  </w:style>
  <w:style w:type="character" w:customStyle="1" w:styleId="Heading2Char">
    <w:name w:val="Heading 2 Char"/>
    <w:basedOn w:val="DefaultParagraphFont"/>
    <w:link w:val="Heading2"/>
    <w:uiPriority w:val="9"/>
    <w:rsid w:val="00C9574A"/>
    <w:rPr>
      <w:rFonts w:eastAsiaTheme="majorEastAsia" w:cstheme="majorBidi"/>
      <w:b/>
      <w:sz w:val="28"/>
      <w:szCs w:val="26"/>
    </w:rPr>
  </w:style>
  <w:style w:type="character" w:customStyle="1" w:styleId="Heading3Char">
    <w:name w:val="Heading 3 Char"/>
    <w:basedOn w:val="DefaultParagraphFont"/>
    <w:link w:val="Heading3"/>
    <w:uiPriority w:val="9"/>
    <w:rsid w:val="005F61CB"/>
    <w:rPr>
      <w:rFonts w:eastAsiaTheme="majorEastAsia" w:cs="Arial"/>
      <w:b/>
      <w:szCs w:val="24"/>
    </w:rPr>
  </w:style>
  <w:style w:type="character" w:customStyle="1" w:styleId="Heading4Char">
    <w:name w:val="Heading 4 Char"/>
    <w:basedOn w:val="DefaultParagraphFont"/>
    <w:link w:val="Heading4"/>
    <w:uiPriority w:val="9"/>
    <w:semiHidden/>
    <w:rsid w:val="00F336F1"/>
    <w:rPr>
      <w:rFonts w:eastAsiaTheme="majorEastAsia" w:cstheme="majorBidi"/>
      <w:iCs/>
    </w:rPr>
  </w:style>
  <w:style w:type="paragraph" w:styleId="ListParagraph">
    <w:name w:val="List Paragraph"/>
    <w:basedOn w:val="Normal"/>
    <w:uiPriority w:val="34"/>
    <w:qFormat/>
    <w:rsid w:val="00C9574A"/>
    <w:pPr>
      <w:ind w:left="720"/>
      <w:contextualSpacing/>
    </w:pPr>
  </w:style>
  <w:style w:type="paragraph" w:styleId="TOCHeading">
    <w:name w:val="TOC Heading"/>
    <w:basedOn w:val="Heading1"/>
    <w:next w:val="Normal"/>
    <w:uiPriority w:val="39"/>
    <w:unhideWhenUsed/>
    <w:qFormat/>
    <w:rsid w:val="00B20286"/>
    <w:pPr>
      <w:spacing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B20286"/>
    <w:pPr>
      <w:spacing w:after="100"/>
    </w:pPr>
  </w:style>
  <w:style w:type="paragraph" w:styleId="TOC2">
    <w:name w:val="toc 2"/>
    <w:basedOn w:val="Normal"/>
    <w:next w:val="Normal"/>
    <w:autoRedefine/>
    <w:uiPriority w:val="39"/>
    <w:unhideWhenUsed/>
    <w:rsid w:val="00B20286"/>
    <w:pPr>
      <w:spacing w:after="100"/>
      <w:ind w:left="240"/>
    </w:pPr>
  </w:style>
  <w:style w:type="character" w:styleId="Hyperlink">
    <w:name w:val="Hyperlink"/>
    <w:basedOn w:val="DefaultParagraphFont"/>
    <w:uiPriority w:val="99"/>
    <w:unhideWhenUsed/>
    <w:rsid w:val="00B20286"/>
    <w:rPr>
      <w:color w:val="0563C1" w:themeColor="hyperlink"/>
      <w:u w:val="single"/>
    </w:rPr>
  </w:style>
  <w:style w:type="paragraph" w:styleId="TOC3">
    <w:name w:val="toc 3"/>
    <w:basedOn w:val="Normal"/>
    <w:next w:val="Normal"/>
    <w:autoRedefine/>
    <w:uiPriority w:val="39"/>
    <w:unhideWhenUsed/>
    <w:rsid w:val="00AF3E71"/>
    <w:pPr>
      <w:spacing w:after="100"/>
      <w:ind w:left="480"/>
    </w:pPr>
  </w:style>
  <w:style w:type="character" w:styleId="CommentReference">
    <w:name w:val="annotation reference"/>
    <w:basedOn w:val="DefaultParagraphFont"/>
    <w:uiPriority w:val="99"/>
    <w:semiHidden/>
    <w:unhideWhenUsed/>
    <w:rsid w:val="003E151A"/>
    <w:rPr>
      <w:sz w:val="16"/>
      <w:szCs w:val="16"/>
    </w:rPr>
  </w:style>
  <w:style w:type="paragraph" w:styleId="CommentText">
    <w:name w:val="annotation text"/>
    <w:basedOn w:val="Normal"/>
    <w:link w:val="CommentTextChar"/>
    <w:uiPriority w:val="99"/>
    <w:semiHidden/>
    <w:unhideWhenUsed/>
    <w:rsid w:val="003E151A"/>
    <w:rPr>
      <w:sz w:val="20"/>
      <w:szCs w:val="20"/>
    </w:rPr>
  </w:style>
  <w:style w:type="character" w:customStyle="1" w:styleId="CommentTextChar">
    <w:name w:val="Comment Text Char"/>
    <w:basedOn w:val="DefaultParagraphFont"/>
    <w:link w:val="CommentText"/>
    <w:uiPriority w:val="99"/>
    <w:semiHidden/>
    <w:rsid w:val="003E151A"/>
    <w:rPr>
      <w:sz w:val="20"/>
      <w:szCs w:val="20"/>
    </w:rPr>
  </w:style>
  <w:style w:type="paragraph" w:styleId="CommentSubject">
    <w:name w:val="annotation subject"/>
    <w:basedOn w:val="CommentText"/>
    <w:next w:val="CommentText"/>
    <w:link w:val="CommentSubjectChar"/>
    <w:uiPriority w:val="99"/>
    <w:semiHidden/>
    <w:unhideWhenUsed/>
    <w:rsid w:val="003E151A"/>
    <w:rPr>
      <w:b/>
      <w:bCs/>
    </w:rPr>
  </w:style>
  <w:style w:type="character" w:customStyle="1" w:styleId="CommentSubjectChar">
    <w:name w:val="Comment Subject Char"/>
    <w:basedOn w:val="CommentTextChar"/>
    <w:link w:val="CommentSubject"/>
    <w:uiPriority w:val="99"/>
    <w:semiHidden/>
    <w:rsid w:val="003E151A"/>
    <w:rPr>
      <w:b/>
      <w:bCs/>
      <w:sz w:val="20"/>
      <w:szCs w:val="20"/>
    </w:rPr>
  </w:style>
  <w:style w:type="paragraph" w:styleId="BalloonText">
    <w:name w:val="Balloon Text"/>
    <w:basedOn w:val="Normal"/>
    <w:link w:val="BalloonTextChar"/>
    <w:uiPriority w:val="99"/>
    <w:semiHidden/>
    <w:unhideWhenUsed/>
    <w:rsid w:val="003E15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1A"/>
    <w:rPr>
      <w:rFonts w:ascii="Segoe UI" w:hAnsi="Segoe UI" w:cs="Segoe UI"/>
      <w:sz w:val="18"/>
      <w:szCs w:val="18"/>
    </w:rPr>
  </w:style>
  <w:style w:type="table" w:styleId="TableGrid">
    <w:name w:val="Table Grid"/>
    <w:basedOn w:val="TableNormal"/>
    <w:uiPriority w:val="39"/>
    <w:rsid w:val="00617F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72C5"/>
    <w:rPr>
      <w:b/>
      <w:bCs/>
    </w:rPr>
  </w:style>
  <w:style w:type="paragraph" w:styleId="FootnoteText">
    <w:name w:val="footnote text"/>
    <w:basedOn w:val="Normal"/>
    <w:link w:val="FootnoteTextChar"/>
    <w:uiPriority w:val="99"/>
    <w:semiHidden/>
    <w:unhideWhenUsed/>
    <w:rsid w:val="00B0375D"/>
    <w:pPr>
      <w:spacing w:after="0"/>
    </w:pPr>
    <w:rPr>
      <w:sz w:val="20"/>
      <w:szCs w:val="20"/>
    </w:rPr>
  </w:style>
  <w:style w:type="character" w:customStyle="1" w:styleId="FootnoteTextChar">
    <w:name w:val="Footnote Text Char"/>
    <w:basedOn w:val="DefaultParagraphFont"/>
    <w:link w:val="FootnoteText"/>
    <w:uiPriority w:val="99"/>
    <w:semiHidden/>
    <w:rsid w:val="00B0375D"/>
    <w:rPr>
      <w:sz w:val="20"/>
      <w:szCs w:val="20"/>
    </w:rPr>
  </w:style>
  <w:style w:type="character" w:styleId="FootnoteReference">
    <w:name w:val="footnote reference"/>
    <w:basedOn w:val="DefaultParagraphFont"/>
    <w:uiPriority w:val="99"/>
    <w:semiHidden/>
    <w:unhideWhenUsed/>
    <w:rsid w:val="00B0375D"/>
    <w:rPr>
      <w:vertAlign w:val="superscript"/>
    </w:rPr>
  </w:style>
  <w:style w:type="character" w:styleId="UnresolvedMention">
    <w:name w:val="Unresolved Mention"/>
    <w:basedOn w:val="DefaultParagraphFont"/>
    <w:uiPriority w:val="99"/>
    <w:semiHidden/>
    <w:unhideWhenUsed/>
    <w:rsid w:val="00B0375D"/>
    <w:rPr>
      <w:color w:val="605E5C"/>
      <w:shd w:val="clear" w:color="auto" w:fill="E1DFDD"/>
    </w:rPr>
  </w:style>
  <w:style w:type="paragraph" w:styleId="Header">
    <w:name w:val="header"/>
    <w:basedOn w:val="Normal"/>
    <w:link w:val="HeaderChar"/>
    <w:unhideWhenUsed/>
    <w:rsid w:val="00971B58"/>
    <w:pPr>
      <w:tabs>
        <w:tab w:val="center" w:pos="4680"/>
        <w:tab w:val="right" w:pos="9360"/>
      </w:tabs>
      <w:spacing w:after="0"/>
    </w:pPr>
  </w:style>
  <w:style w:type="character" w:customStyle="1" w:styleId="HeaderChar">
    <w:name w:val="Header Char"/>
    <w:basedOn w:val="DefaultParagraphFont"/>
    <w:link w:val="Header"/>
    <w:uiPriority w:val="99"/>
    <w:rsid w:val="00971B58"/>
  </w:style>
  <w:style w:type="paragraph" w:styleId="Footer">
    <w:name w:val="footer"/>
    <w:basedOn w:val="Normal"/>
    <w:link w:val="FooterChar"/>
    <w:uiPriority w:val="99"/>
    <w:unhideWhenUsed/>
    <w:rsid w:val="00971B58"/>
    <w:pPr>
      <w:tabs>
        <w:tab w:val="center" w:pos="4680"/>
        <w:tab w:val="right" w:pos="9360"/>
      </w:tabs>
      <w:spacing w:after="0"/>
    </w:pPr>
  </w:style>
  <w:style w:type="character" w:customStyle="1" w:styleId="FooterChar">
    <w:name w:val="Footer Char"/>
    <w:basedOn w:val="DefaultParagraphFont"/>
    <w:link w:val="Footer"/>
    <w:uiPriority w:val="99"/>
    <w:rsid w:val="00971B58"/>
  </w:style>
  <w:style w:type="character" w:styleId="FollowedHyperlink">
    <w:name w:val="FollowedHyperlink"/>
    <w:basedOn w:val="DefaultParagraphFont"/>
    <w:uiPriority w:val="99"/>
    <w:semiHidden/>
    <w:unhideWhenUsed/>
    <w:rsid w:val="00971B58"/>
    <w:rPr>
      <w:color w:val="954F72" w:themeColor="followedHyperlink"/>
      <w:u w:val="single"/>
    </w:rPr>
  </w:style>
  <w:style w:type="paragraph" w:styleId="Revision">
    <w:name w:val="Revision"/>
    <w:hidden/>
    <w:uiPriority w:val="99"/>
    <w:semiHidden/>
    <w:rsid w:val="009B0E00"/>
    <w:pPr>
      <w:spacing w:after="0"/>
    </w:pPr>
  </w:style>
  <w:style w:type="paragraph" w:styleId="EndnoteText">
    <w:name w:val="endnote text"/>
    <w:basedOn w:val="Normal"/>
    <w:link w:val="EndnoteTextChar"/>
    <w:uiPriority w:val="99"/>
    <w:semiHidden/>
    <w:unhideWhenUsed/>
    <w:rsid w:val="00E47842"/>
    <w:pPr>
      <w:spacing w:after="0"/>
    </w:pPr>
    <w:rPr>
      <w:sz w:val="20"/>
      <w:szCs w:val="20"/>
    </w:rPr>
  </w:style>
  <w:style w:type="character" w:customStyle="1" w:styleId="EndnoteTextChar">
    <w:name w:val="Endnote Text Char"/>
    <w:basedOn w:val="DefaultParagraphFont"/>
    <w:link w:val="EndnoteText"/>
    <w:uiPriority w:val="99"/>
    <w:semiHidden/>
    <w:rsid w:val="00E47842"/>
    <w:rPr>
      <w:sz w:val="20"/>
      <w:szCs w:val="20"/>
    </w:rPr>
  </w:style>
  <w:style w:type="character" w:styleId="EndnoteReference">
    <w:name w:val="endnote reference"/>
    <w:basedOn w:val="DefaultParagraphFont"/>
    <w:uiPriority w:val="99"/>
    <w:semiHidden/>
    <w:unhideWhenUsed/>
    <w:rsid w:val="00E47842"/>
    <w:rPr>
      <w:vertAlign w:val="superscript"/>
    </w:rPr>
  </w:style>
  <w:style w:type="paragraph" w:styleId="NormalWeb">
    <w:name w:val="Normal (Web)"/>
    <w:basedOn w:val="Normal"/>
    <w:uiPriority w:val="99"/>
    <w:unhideWhenUsed/>
    <w:rsid w:val="00EA1EA7"/>
    <w:pPr>
      <w:spacing w:before="100" w:beforeAutospacing="1" w:after="100" w:afterAutospacing="1"/>
    </w:pPr>
    <w:rPr>
      <w:rFonts w:ascii="Times New Roman" w:eastAsia="Times New Roman" w:hAnsi="Times New Roman" w:cs="Times New Roman"/>
      <w:szCs w:val="24"/>
    </w:rPr>
  </w:style>
  <w:style w:type="character" w:customStyle="1" w:styleId="added-material">
    <w:name w:val="added-material"/>
    <w:basedOn w:val="DefaultParagraphFont"/>
    <w:rsid w:val="00EA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982">
      <w:bodyDiv w:val="1"/>
      <w:marLeft w:val="0"/>
      <w:marRight w:val="0"/>
      <w:marTop w:val="0"/>
      <w:marBottom w:val="0"/>
      <w:divBdr>
        <w:top w:val="none" w:sz="0" w:space="0" w:color="auto"/>
        <w:left w:val="none" w:sz="0" w:space="0" w:color="auto"/>
        <w:bottom w:val="none" w:sz="0" w:space="0" w:color="auto"/>
        <w:right w:val="none" w:sz="0" w:space="0" w:color="auto"/>
      </w:divBdr>
      <w:divsChild>
        <w:div w:id="2003385943">
          <w:marLeft w:val="150"/>
          <w:marRight w:val="150"/>
          <w:marTop w:val="150"/>
          <w:marBottom w:val="150"/>
          <w:divBdr>
            <w:top w:val="none" w:sz="0" w:space="0" w:color="auto"/>
            <w:left w:val="none" w:sz="0" w:space="0" w:color="auto"/>
            <w:bottom w:val="none" w:sz="0" w:space="0" w:color="auto"/>
            <w:right w:val="none" w:sz="0" w:space="0" w:color="auto"/>
          </w:divBdr>
        </w:div>
        <w:div w:id="987124584">
          <w:marLeft w:val="150"/>
          <w:marRight w:val="150"/>
          <w:marTop w:val="150"/>
          <w:marBottom w:val="150"/>
          <w:divBdr>
            <w:top w:val="none" w:sz="0" w:space="0" w:color="auto"/>
            <w:left w:val="none" w:sz="0" w:space="0" w:color="auto"/>
            <w:bottom w:val="none" w:sz="0" w:space="0" w:color="auto"/>
            <w:right w:val="none" w:sz="0" w:space="0" w:color="auto"/>
          </w:divBdr>
        </w:div>
        <w:div w:id="1867938715">
          <w:marLeft w:val="150"/>
          <w:marRight w:val="150"/>
          <w:marTop w:val="150"/>
          <w:marBottom w:val="150"/>
          <w:divBdr>
            <w:top w:val="none" w:sz="0" w:space="0" w:color="auto"/>
            <w:left w:val="none" w:sz="0" w:space="0" w:color="auto"/>
            <w:bottom w:val="none" w:sz="0" w:space="0" w:color="auto"/>
            <w:right w:val="none" w:sz="0" w:space="0" w:color="auto"/>
          </w:divBdr>
        </w:div>
      </w:divsChild>
    </w:div>
    <w:div w:id="2102293742">
      <w:bodyDiv w:val="1"/>
      <w:marLeft w:val="0"/>
      <w:marRight w:val="0"/>
      <w:marTop w:val="0"/>
      <w:marBottom w:val="0"/>
      <w:divBdr>
        <w:top w:val="none" w:sz="0" w:space="0" w:color="auto"/>
        <w:left w:val="none" w:sz="0" w:space="0" w:color="auto"/>
        <w:bottom w:val="none" w:sz="0" w:space="0" w:color="auto"/>
        <w:right w:val="none" w:sz="0" w:space="0" w:color="auto"/>
      </w:divBdr>
      <w:divsChild>
        <w:div w:id="423040690">
          <w:marLeft w:val="150"/>
          <w:marRight w:val="150"/>
          <w:marTop w:val="150"/>
          <w:marBottom w:val="150"/>
          <w:divBdr>
            <w:top w:val="none" w:sz="0" w:space="0" w:color="auto"/>
            <w:left w:val="none" w:sz="0" w:space="0" w:color="auto"/>
            <w:bottom w:val="none" w:sz="0" w:space="0" w:color="auto"/>
            <w:right w:val="none" w:sz="0" w:space="0" w:color="auto"/>
          </w:divBdr>
        </w:div>
        <w:div w:id="1157724687">
          <w:marLeft w:val="150"/>
          <w:marRight w:val="150"/>
          <w:marTop w:val="150"/>
          <w:marBottom w:val="150"/>
          <w:divBdr>
            <w:top w:val="none" w:sz="0" w:space="0" w:color="auto"/>
            <w:left w:val="none" w:sz="0" w:space="0" w:color="auto"/>
            <w:bottom w:val="none" w:sz="0" w:space="0" w:color="auto"/>
            <w:right w:val="none" w:sz="0" w:space="0" w:color="auto"/>
          </w:divBdr>
        </w:div>
        <w:div w:id="112323337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de.ca.gov/sp/ai/re/lraiec21.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uDelgado@cde.c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dtrust.org/resource/degree-attainment-for-native-american-adults/" TargetMode="External"/><Relationship Id="rId13" Type="http://schemas.openxmlformats.org/officeDocument/2006/relationships/hyperlink" Target="https://caaspp-elpac.cde.ca.gov/caaspp/ViewReportSB?ps=true&amp;lstTestYear=2017&amp;lstTestType=B&amp;lstGroup=5&amp;lstGrade=13&amp;lstSchoolType=A&amp;lstCounty=00&amp;lstDistrict=00000&amp;lstSchool=0000000&amp;lstSubject=e&amp;lstFocus=a" TargetMode="External"/><Relationship Id="rId18" Type="http://schemas.openxmlformats.org/officeDocument/2006/relationships/hyperlink" Target="https://dq.cde.ca.gov/dataquest/dqcensus/CohRate.aspx?cds=00&amp;agglevel=state&amp;year=2019-20" TargetMode="External"/><Relationship Id="rId3" Type="http://schemas.openxmlformats.org/officeDocument/2006/relationships/hyperlink" Target="http://nces.ed.gov/programs/digest/d14/tables/dt14_203.20.asp" TargetMode="External"/><Relationship Id="rId7" Type="http://schemas.openxmlformats.org/officeDocument/2006/relationships/hyperlink" Target="https://edtrust.org/resource/degree-attainment-for-native-american-adults/" TargetMode="External"/><Relationship Id="rId12" Type="http://schemas.openxmlformats.org/officeDocument/2006/relationships/hyperlink" Target="https://caaspp-elpac.cde.ca.gov/caaspp/ViewReportSB?ps=true&amp;lstTestYear=2016&amp;lstTestType=B&amp;lstGroup=5&amp;lstGrade=13&amp;lstSchoolType=A&amp;lstCounty=00&amp;lstDistrict=00000&amp;lstSchool=0000000&amp;lstSubject=e&amp;lstFocus=a" TargetMode="External"/><Relationship Id="rId17" Type="http://schemas.openxmlformats.org/officeDocument/2006/relationships/hyperlink" Target="https://nces.ed.gov/programs/coe/indicator/coi" TargetMode="External"/><Relationship Id="rId2" Type="http://schemas.openxmlformats.org/officeDocument/2006/relationships/hyperlink" Target="https://www.census.gov/search-results.html?q=median+income+by+ethnicity&amp;page=1&amp;stateGeo=none&amp;searchtype=web&amp;cssp=SERP&amp;_charset_=UTF-8" TargetMode="External"/><Relationship Id="rId16" Type="http://schemas.openxmlformats.org/officeDocument/2006/relationships/hyperlink" Target="https://caaspp-elpac.cde.ca.gov/caaspp/ViewReportSB?ps=true&amp;lstTestYear=2020&amp;lstTestType=B&amp;lstGroup=5&amp;lstGrade=13&amp;lstSchoolType=A&amp;lstCounty=00&amp;lstDistrict=00000&amp;lstSchool=0000000&amp;lstSubject=e&amp;lstFocus=a" TargetMode="External"/><Relationship Id="rId1" Type="http://schemas.openxmlformats.org/officeDocument/2006/relationships/hyperlink" Target="https://www.childfund.org/Poverty-and-Education-in-the-US/" TargetMode="External"/><Relationship Id="rId6" Type="http://schemas.openxmlformats.org/officeDocument/2006/relationships/hyperlink" Target="https://dq.cde.ca.gov/dataquest/dqcensus/EnrEthYears.aspx?cds=00&amp;agglevel=state&amp;year=2015-16" TargetMode="External"/><Relationship Id="rId11" Type="http://schemas.openxmlformats.org/officeDocument/2006/relationships/hyperlink" Target="http://dq.cde.ca.gov/dataquest/" TargetMode="External"/><Relationship Id="rId5" Type="http://schemas.openxmlformats.org/officeDocument/2006/relationships/hyperlink" Target="https://dq.cde.ca.gov/dataquest/dqcensus/EnrEthYears.aspx?cds=00&amp;agglevel=state&amp;year=2015-16" TargetMode="External"/><Relationship Id="rId15" Type="http://schemas.openxmlformats.org/officeDocument/2006/relationships/hyperlink" Target="https://caaspp-elpac.cde.ca.gov/caaspp/ViewReportSB?ps=true&amp;lstTestYear=2019&amp;lstTestType=B&amp;lstGroup=5&amp;lstGrade=13&amp;lstSchoolType=A&amp;lstCounty=00&amp;lstDistrict=00000&amp;lstSchool=0000000&amp;lstSubject=e&amp;lstFocus=a" TargetMode="External"/><Relationship Id="rId10" Type="http://schemas.openxmlformats.org/officeDocument/2006/relationships/hyperlink" Target="http://www.aecf.org/m/resourcedoc/AECF-DoubleJeopardy-2012-Full.pdf" TargetMode="External"/><Relationship Id="rId4" Type="http://schemas.openxmlformats.org/officeDocument/2006/relationships/hyperlink" Target="http://dq.cde.ca.gov/dataquest/" TargetMode="External"/><Relationship Id="rId9" Type="http://schemas.openxmlformats.org/officeDocument/2006/relationships/hyperlink" Target="http://dq.cde.ca.gov/dataquest/" TargetMode="External"/><Relationship Id="rId14" Type="http://schemas.openxmlformats.org/officeDocument/2006/relationships/hyperlink" Target="https://caaspp-elpac.cde.ca.gov/caaspp/ViewReportSB?ps=true&amp;lstTestYear=2018&amp;lstTestType=B&amp;lstGroup=5&amp;lstGrade=13&amp;lstSchoolType=A&amp;lstCounty=00&amp;lstDistrict=00000&amp;lstSchool=0000000&amp;lstSubject=e&amp;lstFoc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b5772c6bac9985c57d6ad34fae9ceb3e">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727b98d8d6a4fa78cd35f53bdbdcf7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21465-1BE7-4142-928C-670D8AB301A8}">
  <ds:schemaRefs>
    <ds:schemaRef ds:uri="http://schemas.openxmlformats.org/officeDocument/2006/bibliography"/>
  </ds:schemaRefs>
</ds:datastoreItem>
</file>

<file path=customXml/itemProps2.xml><?xml version="1.0" encoding="utf-8"?>
<ds:datastoreItem xmlns:ds="http://schemas.openxmlformats.org/officeDocument/2006/customXml" ds:itemID="{9DC7BAE9-5457-4208-ABA2-E559031136DB}">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A60571CC-0672-45A2-B472-DB8E17905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805EF-99B6-4D4C-BC71-77E0F8AF7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3958</Words>
  <Characters>21894</Characters>
  <Application>Microsoft Office Word</Application>
  <DocSecurity>0</DocSecurity>
  <Lines>875</Lines>
  <Paragraphs>662</Paragraphs>
  <ScaleCrop>false</ScaleCrop>
  <HeadingPairs>
    <vt:vector size="2" baseType="variant">
      <vt:variant>
        <vt:lpstr>Title</vt:lpstr>
      </vt:variant>
      <vt:variant>
        <vt:i4>1</vt:i4>
      </vt:variant>
    </vt:vector>
  </HeadingPairs>
  <TitlesOfParts>
    <vt:vector size="1" baseType="lpstr">
      <vt:lpstr>AIEC Legislative Report 21 - American Indian (CA Dept of Education)</vt:lpstr>
    </vt:vector>
  </TitlesOfParts>
  <Company>California Department of Education</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AIEC Legislative Report 21 - American Indian (CA Dept of Education)</dc:title>
  <dc:subject>The American Indian Education Center (AIEC) Legislative Report for 2021 contains data, observations, and recommendations for future legislation regarding AIECs, based on previous accomplishments.</dc:subject>
  <dc:creator>John Cooper</dc:creator>
  <cp:keywords>AIEC, American Indian, Legislative Report</cp:keywords>
  <dc:description/>
  <cp:lastModifiedBy>Christopher Aban</cp:lastModifiedBy>
  <cp:revision>20</cp:revision>
  <dcterms:created xsi:type="dcterms:W3CDTF">2022-07-18T20:51:00Z</dcterms:created>
  <dcterms:modified xsi:type="dcterms:W3CDTF">2023-07-18T20:46:00Z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1554900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5670ff931a3b4a353b05d1aeefe924946f28b604e54e8a5bd9493d98fa0db8ad</vt:lpwstr>
  </property>
</Properties>
</file>