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8E818" w14:textId="214ACB21" w:rsidR="0010357D" w:rsidRPr="001710B2" w:rsidRDefault="0016389A" w:rsidP="00C651C3">
      <w:pPr>
        <w:pStyle w:val="Heading1"/>
        <w:spacing w:before="0" w:after="100" w:afterAutospacing="1"/>
        <w:jc w:val="center"/>
        <w:rPr>
          <w:rFonts w:ascii="Arial" w:hAnsi="Arial" w:cs="Arial"/>
          <w:b/>
          <w:bCs/>
          <w:color w:val="auto"/>
          <w:sz w:val="36"/>
        </w:rPr>
      </w:pPr>
      <w:r w:rsidRPr="001710B2">
        <w:rPr>
          <w:rFonts w:ascii="Arial" w:hAnsi="Arial" w:cs="Arial"/>
          <w:b/>
          <w:color w:val="auto"/>
          <w:sz w:val="36"/>
        </w:rPr>
        <w:t xml:space="preserve">Attachment 2: </w:t>
      </w:r>
      <w:r w:rsidR="002933A0" w:rsidRPr="001710B2">
        <w:rPr>
          <w:rFonts w:ascii="Arial" w:hAnsi="Arial" w:cs="Arial"/>
          <w:b/>
          <w:bCs/>
          <w:color w:val="auto"/>
          <w:sz w:val="36"/>
        </w:rPr>
        <w:t xml:space="preserve">Summary of </w:t>
      </w:r>
      <w:r w:rsidR="00920D78">
        <w:rPr>
          <w:rFonts w:ascii="Arial" w:hAnsi="Arial" w:cs="Arial"/>
          <w:b/>
          <w:bCs/>
          <w:color w:val="auto"/>
          <w:sz w:val="36"/>
        </w:rPr>
        <w:t xml:space="preserve">Proposed Revisions to the </w:t>
      </w:r>
      <w:r w:rsidR="00920D78" w:rsidRPr="001710B2">
        <w:rPr>
          <w:rFonts w:ascii="Arial" w:hAnsi="Arial" w:cs="Arial"/>
          <w:b/>
          <w:color w:val="auto"/>
          <w:sz w:val="36"/>
        </w:rPr>
        <w:t xml:space="preserve">Every Student Succeeds Act </w:t>
      </w:r>
      <w:r w:rsidR="00920D78">
        <w:rPr>
          <w:rFonts w:ascii="Arial" w:hAnsi="Arial" w:cs="Arial"/>
          <w:b/>
          <w:color w:val="auto"/>
          <w:sz w:val="36"/>
        </w:rPr>
        <w:t xml:space="preserve">State Plan and </w:t>
      </w:r>
      <w:r w:rsidR="002933A0" w:rsidRPr="001710B2">
        <w:rPr>
          <w:rFonts w:ascii="Arial" w:hAnsi="Arial" w:cs="Arial"/>
          <w:b/>
          <w:bCs/>
          <w:color w:val="auto"/>
          <w:sz w:val="36"/>
        </w:rPr>
        <w:t xml:space="preserve">Impact on </w:t>
      </w:r>
      <w:r w:rsidR="00721525">
        <w:rPr>
          <w:rFonts w:ascii="Arial" w:hAnsi="Arial" w:cs="Arial"/>
          <w:b/>
          <w:color w:val="auto"/>
          <w:sz w:val="36"/>
        </w:rPr>
        <w:t xml:space="preserve">California’s </w:t>
      </w:r>
      <w:r w:rsidR="00337FEA" w:rsidRPr="001710B2">
        <w:rPr>
          <w:rFonts w:ascii="Arial" w:hAnsi="Arial" w:cs="Arial"/>
          <w:b/>
          <w:bCs/>
          <w:color w:val="auto"/>
          <w:sz w:val="36"/>
        </w:rPr>
        <w:t>Existing</w:t>
      </w:r>
      <w:r w:rsidR="00647323" w:rsidRPr="001710B2">
        <w:rPr>
          <w:rFonts w:ascii="Arial" w:hAnsi="Arial" w:cs="Arial"/>
          <w:b/>
          <w:bCs/>
          <w:color w:val="auto"/>
          <w:sz w:val="36"/>
        </w:rPr>
        <w:t xml:space="preserve"> </w:t>
      </w:r>
      <w:r w:rsidR="00337FEA" w:rsidRPr="001710B2">
        <w:rPr>
          <w:rFonts w:ascii="Arial" w:hAnsi="Arial" w:cs="Arial"/>
          <w:b/>
          <w:bCs/>
          <w:color w:val="auto"/>
          <w:sz w:val="36"/>
        </w:rPr>
        <w:t>S</w:t>
      </w:r>
      <w:r w:rsidR="00067714" w:rsidRPr="001710B2">
        <w:rPr>
          <w:rFonts w:ascii="Arial" w:hAnsi="Arial" w:cs="Arial"/>
          <w:b/>
          <w:bCs/>
          <w:color w:val="auto"/>
          <w:sz w:val="36"/>
        </w:rPr>
        <w:t>tate</w:t>
      </w:r>
      <w:r w:rsidR="00337FEA" w:rsidRPr="001710B2">
        <w:rPr>
          <w:rFonts w:ascii="Arial" w:hAnsi="Arial" w:cs="Arial"/>
          <w:b/>
          <w:bCs/>
          <w:color w:val="auto"/>
          <w:sz w:val="36"/>
        </w:rPr>
        <w:t xml:space="preserve"> </w:t>
      </w:r>
      <w:r w:rsidR="00647323" w:rsidRPr="001710B2">
        <w:rPr>
          <w:rFonts w:ascii="Arial" w:hAnsi="Arial" w:cs="Arial"/>
          <w:b/>
          <w:bCs/>
          <w:color w:val="auto"/>
          <w:sz w:val="36"/>
        </w:rPr>
        <w:t>Accountability System</w:t>
      </w:r>
    </w:p>
    <w:p w14:paraId="769D81EC" w14:textId="02EA4767" w:rsidR="00721525" w:rsidRPr="00721525" w:rsidRDefault="00721525" w:rsidP="00721525">
      <w:pPr>
        <w:spacing w:after="100" w:afterAutospacing="1"/>
        <w:rPr>
          <w:rFonts w:ascii="Arial" w:hAnsi="Arial" w:cs="Arial"/>
          <w:sz w:val="24"/>
          <w:szCs w:val="24"/>
        </w:rPr>
      </w:pPr>
      <w:r w:rsidRPr="00721525">
        <w:rPr>
          <w:rFonts w:ascii="Arial" w:hAnsi="Arial" w:cs="Arial"/>
          <w:sz w:val="24"/>
          <w:szCs w:val="24"/>
        </w:rPr>
        <w:t xml:space="preserve">The </w:t>
      </w:r>
      <w:r w:rsidRPr="0006771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very </w:t>
      </w:r>
      <w:r w:rsidRPr="0006771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tudent </w:t>
      </w:r>
      <w:r w:rsidRPr="0006771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ucceeds </w:t>
      </w:r>
      <w:r w:rsidRPr="0006771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 (ESSA)</w:t>
      </w:r>
      <w:r w:rsidRPr="000677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State Plan </w:t>
      </w:r>
      <w:r w:rsidRPr="00721525">
        <w:rPr>
          <w:rFonts w:ascii="Arial" w:hAnsi="Arial" w:cs="Arial"/>
          <w:sz w:val="24"/>
          <w:szCs w:val="24"/>
        </w:rPr>
        <w:t>revisions negotiated with the U.S. Department of Education</w:t>
      </w:r>
      <w:r>
        <w:rPr>
          <w:rFonts w:ascii="Arial" w:hAnsi="Arial" w:cs="Arial"/>
          <w:sz w:val="24"/>
          <w:szCs w:val="24"/>
        </w:rPr>
        <w:t xml:space="preserve"> (ED)</w:t>
      </w:r>
      <w:r w:rsidRPr="00721525">
        <w:rPr>
          <w:rFonts w:ascii="Arial" w:hAnsi="Arial" w:cs="Arial"/>
          <w:sz w:val="24"/>
          <w:szCs w:val="24"/>
        </w:rPr>
        <w:t xml:space="preserve"> do not fundamentally change California’s accountability system developed under the Local Control Funding Formula</w:t>
      </w:r>
      <w:r>
        <w:rPr>
          <w:rFonts w:ascii="Arial" w:hAnsi="Arial" w:cs="Arial"/>
          <w:sz w:val="24"/>
          <w:szCs w:val="24"/>
        </w:rPr>
        <w:t xml:space="preserve"> (LCFF)</w:t>
      </w:r>
      <w:r w:rsidRPr="00721525">
        <w:rPr>
          <w:rFonts w:ascii="Arial" w:hAnsi="Arial" w:cs="Arial"/>
          <w:sz w:val="24"/>
          <w:szCs w:val="24"/>
        </w:rPr>
        <w:t>. Elements that remain intact include:</w:t>
      </w:r>
    </w:p>
    <w:p w14:paraId="00F05DA9" w14:textId="39EF203A" w:rsidR="00721525" w:rsidRPr="00721525" w:rsidRDefault="00721525" w:rsidP="007B5477">
      <w:pPr>
        <w:pStyle w:val="ListParagraph"/>
        <w:numPr>
          <w:ilvl w:val="0"/>
          <w:numId w:val="7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721525">
        <w:rPr>
          <w:rFonts w:ascii="Arial" w:hAnsi="Arial" w:cs="Arial"/>
          <w:sz w:val="24"/>
          <w:szCs w:val="24"/>
        </w:rPr>
        <w:t xml:space="preserve">California will continue to use the California School Dashboard </w:t>
      </w:r>
      <w:r w:rsidR="007B5477">
        <w:rPr>
          <w:rFonts w:ascii="Arial" w:hAnsi="Arial" w:cs="Arial"/>
          <w:sz w:val="24"/>
          <w:szCs w:val="24"/>
        </w:rPr>
        <w:t xml:space="preserve">(Dashboard) </w:t>
      </w:r>
      <w:r w:rsidRPr="00721525">
        <w:rPr>
          <w:rFonts w:ascii="Arial" w:hAnsi="Arial" w:cs="Arial"/>
          <w:sz w:val="24"/>
          <w:szCs w:val="24"/>
        </w:rPr>
        <w:t xml:space="preserve">for state, local – and now federal </w:t>
      </w:r>
      <w:r w:rsidR="00920D78">
        <w:rPr>
          <w:rFonts w:ascii="Arial" w:hAnsi="Arial" w:cs="Arial"/>
          <w:sz w:val="24"/>
          <w:szCs w:val="24"/>
        </w:rPr>
        <w:t>–</w:t>
      </w:r>
      <w:r w:rsidRPr="00721525">
        <w:rPr>
          <w:rFonts w:ascii="Arial" w:hAnsi="Arial" w:cs="Arial"/>
          <w:sz w:val="24"/>
          <w:szCs w:val="24"/>
        </w:rPr>
        <w:t xml:space="preserve"> accountability purposes, accomplishing the goal of creating one integrated system.</w:t>
      </w:r>
    </w:p>
    <w:p w14:paraId="52A8B8A9" w14:textId="146EFD19" w:rsidR="00721525" w:rsidRPr="00721525" w:rsidRDefault="00721525" w:rsidP="007B5477">
      <w:pPr>
        <w:pStyle w:val="ListParagraph"/>
        <w:numPr>
          <w:ilvl w:val="0"/>
          <w:numId w:val="7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721525">
        <w:rPr>
          <w:rFonts w:ascii="Arial" w:hAnsi="Arial" w:cs="Arial"/>
          <w:sz w:val="24"/>
          <w:szCs w:val="24"/>
        </w:rPr>
        <w:t>The Dashboard will continue to include multiple measures of school and district performance, moving beyond just test scores.</w:t>
      </w:r>
    </w:p>
    <w:p w14:paraId="2DC10B74" w14:textId="60E8C8D0" w:rsidR="00721525" w:rsidRPr="00721525" w:rsidRDefault="00721525" w:rsidP="007B5477">
      <w:pPr>
        <w:pStyle w:val="ListParagraph"/>
        <w:numPr>
          <w:ilvl w:val="0"/>
          <w:numId w:val="7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721525">
        <w:rPr>
          <w:rFonts w:ascii="Arial" w:hAnsi="Arial" w:cs="Arial"/>
          <w:sz w:val="24"/>
          <w:szCs w:val="24"/>
        </w:rPr>
        <w:t>California will continue to calculate the Dashboard indicators using both status and change.</w:t>
      </w:r>
    </w:p>
    <w:p w14:paraId="61E135BC" w14:textId="2F89BFF8" w:rsidR="00721525" w:rsidRPr="00721525" w:rsidRDefault="00721525" w:rsidP="007B5477">
      <w:pPr>
        <w:pStyle w:val="ListParagraph"/>
        <w:numPr>
          <w:ilvl w:val="0"/>
          <w:numId w:val="7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721525">
        <w:rPr>
          <w:rFonts w:ascii="Arial" w:hAnsi="Arial" w:cs="Arial"/>
          <w:sz w:val="24"/>
          <w:szCs w:val="24"/>
        </w:rPr>
        <w:t xml:space="preserve">California will continue to use the Dashboard to identify districts for targeted assistance through the Statewide of System of Support. </w:t>
      </w:r>
    </w:p>
    <w:p w14:paraId="17D749E9" w14:textId="6AE15F92" w:rsidR="00721525" w:rsidRPr="00721525" w:rsidRDefault="00721525" w:rsidP="007B5477">
      <w:pPr>
        <w:pStyle w:val="ListParagraph"/>
        <w:numPr>
          <w:ilvl w:val="0"/>
          <w:numId w:val="7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721525">
        <w:rPr>
          <w:rFonts w:ascii="Arial" w:hAnsi="Arial" w:cs="Arial"/>
          <w:sz w:val="24"/>
          <w:szCs w:val="24"/>
        </w:rPr>
        <w:t>California will use the color-coded performance levels that schools receive on the Dashboard indicators to identify the lowest performing Title I schools for additional support.</w:t>
      </w:r>
    </w:p>
    <w:p w14:paraId="393B369A" w14:textId="0D322F0F" w:rsidR="00721525" w:rsidRPr="00721525" w:rsidRDefault="00721525" w:rsidP="00721525">
      <w:pPr>
        <w:spacing w:after="100" w:afterAutospacing="1"/>
        <w:rPr>
          <w:rFonts w:ascii="Arial" w:hAnsi="Arial" w:cs="Arial"/>
          <w:sz w:val="24"/>
          <w:szCs w:val="24"/>
        </w:rPr>
      </w:pPr>
      <w:r w:rsidRPr="00721525">
        <w:rPr>
          <w:rFonts w:ascii="Arial" w:hAnsi="Arial" w:cs="Arial"/>
          <w:sz w:val="24"/>
          <w:szCs w:val="24"/>
        </w:rPr>
        <w:t xml:space="preserve">While California worked hard to ensure the primacy of the state system, some changes are necessary to gain ED approval. Without approval, California risks losing about </w:t>
      </w:r>
      <w:r w:rsidRPr="00920D78">
        <w:rPr>
          <w:rFonts w:ascii="Arial" w:hAnsi="Arial" w:cs="Arial"/>
          <w:sz w:val="24"/>
          <w:szCs w:val="24"/>
        </w:rPr>
        <w:t xml:space="preserve">$2.4 </w:t>
      </w:r>
      <w:r w:rsidRPr="00721525">
        <w:rPr>
          <w:rFonts w:ascii="Arial" w:hAnsi="Arial" w:cs="Arial"/>
          <w:sz w:val="24"/>
          <w:szCs w:val="24"/>
        </w:rPr>
        <w:t xml:space="preserve">billion annually in </w:t>
      </w:r>
      <w:r w:rsidR="007C44DE">
        <w:rPr>
          <w:rFonts w:ascii="Arial" w:hAnsi="Arial" w:cs="Arial"/>
          <w:sz w:val="24"/>
          <w:szCs w:val="24"/>
        </w:rPr>
        <w:t>federal ESSA</w:t>
      </w:r>
      <w:r w:rsidRPr="00721525">
        <w:rPr>
          <w:rFonts w:ascii="Arial" w:hAnsi="Arial" w:cs="Arial"/>
          <w:sz w:val="24"/>
          <w:szCs w:val="24"/>
        </w:rPr>
        <w:t xml:space="preserve"> funds</w:t>
      </w:r>
      <w:r w:rsidR="007B5477">
        <w:rPr>
          <w:rFonts w:ascii="Arial" w:hAnsi="Arial" w:cs="Arial"/>
          <w:sz w:val="24"/>
          <w:szCs w:val="24"/>
        </w:rPr>
        <w:t>—</w:t>
      </w:r>
      <w:r w:rsidRPr="00721525">
        <w:rPr>
          <w:rFonts w:ascii="Arial" w:hAnsi="Arial" w:cs="Arial"/>
          <w:sz w:val="24"/>
          <w:szCs w:val="24"/>
        </w:rPr>
        <w:t>money that districts and schools use to support their neediest students. Most changes are minor and do not impact the system. Two substantive changes include:</w:t>
      </w:r>
    </w:p>
    <w:p w14:paraId="75394CF1" w14:textId="2F7FD327" w:rsidR="00AE2611" w:rsidRPr="00AE2611" w:rsidRDefault="00AE2611" w:rsidP="00B76883">
      <w:pPr>
        <w:pStyle w:val="ListParagraph"/>
        <w:numPr>
          <w:ilvl w:val="0"/>
          <w:numId w:val="8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AE2611">
        <w:rPr>
          <w:rFonts w:ascii="Arial" w:hAnsi="Arial" w:cs="Arial"/>
          <w:sz w:val="24"/>
          <w:szCs w:val="24"/>
        </w:rPr>
        <w:t>Grade 11 assessment results wi</w:t>
      </w:r>
      <w:r>
        <w:rPr>
          <w:rFonts w:ascii="Arial" w:hAnsi="Arial" w:cs="Arial"/>
          <w:sz w:val="24"/>
          <w:szCs w:val="24"/>
        </w:rPr>
        <w:t xml:space="preserve">ll be included in the academic </w:t>
      </w:r>
      <w:r w:rsidRPr="00AE2611">
        <w:rPr>
          <w:rFonts w:ascii="Arial" w:hAnsi="Arial" w:cs="Arial"/>
          <w:sz w:val="24"/>
          <w:szCs w:val="24"/>
        </w:rPr>
        <w:t xml:space="preserve">indicators for English </w:t>
      </w:r>
      <w:r w:rsidR="00F82313">
        <w:rPr>
          <w:rFonts w:ascii="Arial" w:hAnsi="Arial" w:cs="Arial"/>
          <w:sz w:val="24"/>
          <w:szCs w:val="24"/>
        </w:rPr>
        <w:t>l</w:t>
      </w:r>
      <w:r w:rsidRPr="00AE2611">
        <w:rPr>
          <w:rFonts w:ascii="Arial" w:hAnsi="Arial" w:cs="Arial"/>
          <w:sz w:val="24"/>
          <w:szCs w:val="24"/>
        </w:rPr>
        <w:t xml:space="preserve">anguage </w:t>
      </w:r>
      <w:r w:rsidR="00F82313">
        <w:rPr>
          <w:rFonts w:ascii="Arial" w:hAnsi="Arial" w:cs="Arial"/>
          <w:sz w:val="24"/>
          <w:szCs w:val="24"/>
        </w:rPr>
        <w:t>a</w:t>
      </w:r>
      <w:r w:rsidRPr="00AE2611">
        <w:rPr>
          <w:rFonts w:ascii="Arial" w:hAnsi="Arial" w:cs="Arial"/>
          <w:sz w:val="24"/>
          <w:szCs w:val="24"/>
        </w:rPr>
        <w:t xml:space="preserve">rts </w:t>
      </w:r>
      <w:r w:rsidR="00F82313">
        <w:rPr>
          <w:rFonts w:ascii="Arial" w:hAnsi="Arial" w:cs="Arial"/>
          <w:sz w:val="24"/>
          <w:szCs w:val="24"/>
        </w:rPr>
        <w:t xml:space="preserve">(ELA) </w:t>
      </w:r>
      <w:r w:rsidRPr="00AE2611">
        <w:rPr>
          <w:rFonts w:ascii="Arial" w:hAnsi="Arial" w:cs="Arial"/>
          <w:sz w:val="24"/>
          <w:szCs w:val="24"/>
        </w:rPr>
        <w:t xml:space="preserve">and </w:t>
      </w:r>
      <w:r w:rsidR="00F82313">
        <w:rPr>
          <w:rFonts w:ascii="Arial" w:hAnsi="Arial" w:cs="Arial"/>
          <w:sz w:val="24"/>
          <w:szCs w:val="24"/>
        </w:rPr>
        <w:t>m</w:t>
      </w:r>
      <w:r w:rsidRPr="00AE2611">
        <w:rPr>
          <w:rFonts w:ascii="Arial" w:hAnsi="Arial" w:cs="Arial"/>
          <w:sz w:val="24"/>
          <w:szCs w:val="24"/>
        </w:rPr>
        <w:t>ath</w:t>
      </w:r>
      <w:r w:rsidR="00F82313">
        <w:rPr>
          <w:rFonts w:ascii="Arial" w:hAnsi="Arial" w:cs="Arial"/>
          <w:sz w:val="24"/>
          <w:szCs w:val="24"/>
        </w:rPr>
        <w:t>ematics</w:t>
      </w:r>
      <w:r w:rsidRPr="00AE2611">
        <w:rPr>
          <w:rFonts w:ascii="Arial" w:hAnsi="Arial" w:cs="Arial"/>
          <w:sz w:val="24"/>
          <w:szCs w:val="24"/>
        </w:rPr>
        <w:t xml:space="preserve"> for federal purposes, including school identification under ESSA. If the </w:t>
      </w:r>
      <w:r w:rsidR="00F82313">
        <w:rPr>
          <w:rFonts w:ascii="Arial" w:hAnsi="Arial" w:cs="Arial"/>
          <w:sz w:val="24"/>
          <w:szCs w:val="24"/>
        </w:rPr>
        <w:t>State Board of Education (</w:t>
      </w:r>
      <w:r w:rsidRPr="00AE2611">
        <w:rPr>
          <w:rFonts w:ascii="Arial" w:hAnsi="Arial" w:cs="Arial"/>
          <w:sz w:val="24"/>
          <w:szCs w:val="24"/>
        </w:rPr>
        <w:t>SBE</w:t>
      </w:r>
      <w:r w:rsidR="00F82313">
        <w:rPr>
          <w:rFonts w:ascii="Arial" w:hAnsi="Arial" w:cs="Arial"/>
          <w:sz w:val="24"/>
          <w:szCs w:val="24"/>
        </w:rPr>
        <w:t>)</w:t>
      </w:r>
      <w:r w:rsidRPr="00AE2611">
        <w:rPr>
          <w:rFonts w:ascii="Arial" w:hAnsi="Arial" w:cs="Arial"/>
          <w:sz w:val="24"/>
          <w:szCs w:val="24"/>
        </w:rPr>
        <w:t xml:space="preserve"> elects to incorporate these changes into the 2018 Dashboard, the A</w:t>
      </w:r>
      <w:r>
        <w:rPr>
          <w:rFonts w:ascii="Arial" w:hAnsi="Arial" w:cs="Arial"/>
          <w:sz w:val="24"/>
          <w:szCs w:val="24"/>
        </w:rPr>
        <w:t xml:space="preserve">cademic Indicators for </w:t>
      </w:r>
      <w:r w:rsidR="00F82313">
        <w:rPr>
          <w:rFonts w:ascii="Arial" w:hAnsi="Arial" w:cs="Arial"/>
          <w:sz w:val="24"/>
          <w:szCs w:val="24"/>
        </w:rPr>
        <w:t>ELA</w:t>
      </w:r>
      <w:r w:rsidRPr="00AE2611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m</w:t>
      </w:r>
      <w:r w:rsidRPr="00AE2611">
        <w:rPr>
          <w:rFonts w:ascii="Arial" w:hAnsi="Arial" w:cs="Arial"/>
          <w:sz w:val="24"/>
          <w:szCs w:val="24"/>
        </w:rPr>
        <w:t>ath</w:t>
      </w:r>
      <w:r>
        <w:rPr>
          <w:rFonts w:ascii="Arial" w:hAnsi="Arial" w:cs="Arial"/>
          <w:sz w:val="24"/>
          <w:szCs w:val="24"/>
        </w:rPr>
        <w:t>ematics</w:t>
      </w:r>
      <w:r w:rsidRPr="00AE2611">
        <w:rPr>
          <w:rFonts w:ascii="Arial" w:hAnsi="Arial" w:cs="Arial"/>
          <w:sz w:val="24"/>
          <w:szCs w:val="24"/>
        </w:rPr>
        <w:t xml:space="preserve"> for unified school districts and K-12 schools would include Grade 11 </w:t>
      </w:r>
      <w:r w:rsidR="002D0237">
        <w:rPr>
          <w:rFonts w:ascii="Arial" w:hAnsi="Arial" w:cs="Arial"/>
          <w:sz w:val="24"/>
          <w:szCs w:val="24"/>
        </w:rPr>
        <w:t xml:space="preserve">assessment </w:t>
      </w:r>
      <w:r w:rsidRPr="00AE2611">
        <w:rPr>
          <w:rFonts w:ascii="Arial" w:hAnsi="Arial" w:cs="Arial"/>
          <w:sz w:val="24"/>
          <w:szCs w:val="24"/>
        </w:rPr>
        <w:t xml:space="preserve">results in addition to </w:t>
      </w:r>
      <w:r w:rsidRPr="00AE2611">
        <w:rPr>
          <w:rFonts w:ascii="Arial" w:hAnsi="Arial" w:cs="Arial"/>
          <w:sz w:val="24"/>
          <w:szCs w:val="24"/>
        </w:rPr>
        <w:lastRenderedPageBreak/>
        <w:t xml:space="preserve">grades 3-8, and high school districts and high schools will receive two additional color-coded ratings for Grade 11 </w:t>
      </w:r>
      <w:r w:rsidR="002D0237">
        <w:rPr>
          <w:rFonts w:ascii="Arial" w:hAnsi="Arial" w:cs="Arial"/>
          <w:sz w:val="24"/>
          <w:szCs w:val="24"/>
        </w:rPr>
        <w:t xml:space="preserve">assessment </w:t>
      </w:r>
      <w:r w:rsidRPr="00AE2611">
        <w:rPr>
          <w:rFonts w:ascii="Arial" w:hAnsi="Arial" w:cs="Arial"/>
          <w:sz w:val="24"/>
          <w:szCs w:val="24"/>
        </w:rPr>
        <w:t>results. The Grade 11 assessment results are also included in the College/Career Indicator, which CDE expects to implement in the fall.</w:t>
      </w:r>
    </w:p>
    <w:p w14:paraId="3CD58EC9" w14:textId="6C8ECE6F" w:rsidR="00721525" w:rsidRPr="00AE2611" w:rsidRDefault="00AE2611" w:rsidP="00AE2611">
      <w:pPr>
        <w:pStyle w:val="ListParagraph"/>
        <w:numPr>
          <w:ilvl w:val="0"/>
          <w:numId w:val="8"/>
        </w:numPr>
        <w:spacing w:after="100" w:afterAutospacing="1"/>
        <w:contextualSpacing w:val="0"/>
        <w:rPr>
          <w:rFonts w:ascii="Arial" w:hAnsi="Arial" w:cs="Arial"/>
          <w:sz w:val="24"/>
          <w:szCs w:val="24"/>
        </w:rPr>
      </w:pPr>
      <w:r w:rsidRPr="00AE2611">
        <w:rPr>
          <w:rFonts w:ascii="Arial" w:hAnsi="Arial" w:cs="Arial"/>
          <w:sz w:val="24"/>
          <w:szCs w:val="24"/>
        </w:rPr>
        <w:t xml:space="preserve">The English learner proficiency indicator will not include data on students reclassified the prior year or an additional weighting factor for progress made by long-term English learners for federal purposes, including school identification under ESSA. Unless California receives a waiver on this issue and/or the SBE elects not to incorporate this change for state accountability purposes, the English </w:t>
      </w:r>
      <w:r w:rsidR="00B277D2">
        <w:rPr>
          <w:rFonts w:ascii="Arial" w:hAnsi="Arial" w:cs="Arial"/>
          <w:sz w:val="24"/>
          <w:szCs w:val="24"/>
        </w:rPr>
        <w:t>L</w:t>
      </w:r>
      <w:r w:rsidRPr="00AE2611">
        <w:rPr>
          <w:rFonts w:ascii="Arial" w:hAnsi="Arial" w:cs="Arial"/>
          <w:sz w:val="24"/>
          <w:szCs w:val="24"/>
        </w:rPr>
        <w:t>ea</w:t>
      </w:r>
      <w:r w:rsidR="00B277D2">
        <w:rPr>
          <w:rFonts w:ascii="Arial" w:hAnsi="Arial" w:cs="Arial"/>
          <w:sz w:val="24"/>
          <w:szCs w:val="24"/>
        </w:rPr>
        <w:t>r</w:t>
      </w:r>
      <w:r w:rsidRPr="00AE2611">
        <w:rPr>
          <w:rFonts w:ascii="Arial" w:hAnsi="Arial" w:cs="Arial"/>
          <w:sz w:val="24"/>
          <w:szCs w:val="24"/>
        </w:rPr>
        <w:t xml:space="preserve">ner Progress Indicator on the Dashboard would </w:t>
      </w:r>
      <w:r w:rsidR="00B277D2">
        <w:rPr>
          <w:rFonts w:ascii="Arial" w:hAnsi="Arial" w:cs="Arial"/>
          <w:sz w:val="24"/>
          <w:szCs w:val="24"/>
        </w:rPr>
        <w:t xml:space="preserve">have to </w:t>
      </w:r>
      <w:r w:rsidRPr="00AE2611">
        <w:rPr>
          <w:rFonts w:ascii="Arial" w:hAnsi="Arial" w:cs="Arial"/>
          <w:sz w:val="24"/>
          <w:szCs w:val="24"/>
        </w:rPr>
        <w:t xml:space="preserve">be modified </w:t>
      </w:r>
      <w:r w:rsidR="00B277D2">
        <w:rPr>
          <w:rFonts w:ascii="Arial" w:hAnsi="Arial" w:cs="Arial"/>
          <w:sz w:val="24"/>
          <w:szCs w:val="24"/>
        </w:rPr>
        <w:t>for</w:t>
      </w:r>
      <w:r w:rsidRPr="00AE2611">
        <w:rPr>
          <w:rFonts w:ascii="Arial" w:hAnsi="Arial" w:cs="Arial"/>
          <w:sz w:val="24"/>
          <w:szCs w:val="24"/>
        </w:rPr>
        <w:t xml:space="preserve"> future Dashboard releases.</w:t>
      </w:r>
    </w:p>
    <w:p w14:paraId="67D397EC" w14:textId="38E65D5D" w:rsidR="00721525" w:rsidRPr="00721525" w:rsidRDefault="00721525" w:rsidP="00721525">
      <w:pPr>
        <w:spacing w:after="100" w:afterAutospacing="1"/>
        <w:rPr>
          <w:rFonts w:ascii="Arial" w:hAnsi="Arial" w:cs="Arial"/>
          <w:sz w:val="24"/>
          <w:szCs w:val="24"/>
        </w:rPr>
      </w:pPr>
      <w:r w:rsidRPr="00721525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Attachment </w:t>
      </w:r>
      <w:r w:rsidRPr="00721525">
        <w:rPr>
          <w:rFonts w:ascii="Arial" w:hAnsi="Arial" w:cs="Arial"/>
          <w:sz w:val="24"/>
          <w:szCs w:val="24"/>
        </w:rPr>
        <w:t xml:space="preserve">is aimed at building understanding of the </w:t>
      </w:r>
      <w:r w:rsidR="00F557C5">
        <w:rPr>
          <w:rFonts w:ascii="Arial" w:hAnsi="Arial" w:cs="Arial"/>
          <w:sz w:val="24"/>
          <w:szCs w:val="24"/>
        </w:rPr>
        <w:t>proposed revisions to the State P</w:t>
      </w:r>
      <w:r w:rsidRPr="00721525">
        <w:rPr>
          <w:rFonts w:ascii="Arial" w:hAnsi="Arial" w:cs="Arial"/>
          <w:sz w:val="24"/>
          <w:szCs w:val="24"/>
        </w:rPr>
        <w:t>lan. It includes:</w:t>
      </w:r>
    </w:p>
    <w:p w14:paraId="3B782FF2" w14:textId="6E6A7CA6" w:rsidR="00721525" w:rsidRPr="00721525" w:rsidRDefault="00721525" w:rsidP="007B5477">
      <w:pPr>
        <w:pStyle w:val="ListParagraph"/>
        <w:numPr>
          <w:ilvl w:val="0"/>
          <w:numId w:val="8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721525">
        <w:rPr>
          <w:rFonts w:ascii="Arial" w:hAnsi="Arial" w:cs="Arial"/>
          <w:b/>
          <w:sz w:val="24"/>
          <w:szCs w:val="24"/>
        </w:rPr>
        <w:t>Page</w:t>
      </w:r>
      <w:r>
        <w:rPr>
          <w:rFonts w:ascii="Arial" w:hAnsi="Arial" w:cs="Arial"/>
          <w:b/>
          <w:sz w:val="24"/>
          <w:szCs w:val="24"/>
        </w:rPr>
        <w:t>s</w:t>
      </w:r>
      <w:r w:rsidRPr="0072152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</w:t>
      </w:r>
      <w:r w:rsidRPr="00721525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4</w:t>
      </w:r>
      <w:r w:rsidRPr="00721525">
        <w:rPr>
          <w:rFonts w:ascii="Arial" w:hAnsi="Arial" w:cs="Arial"/>
          <w:b/>
          <w:sz w:val="24"/>
          <w:szCs w:val="24"/>
        </w:rPr>
        <w:t>:</w:t>
      </w:r>
      <w:r w:rsidRPr="00721525">
        <w:rPr>
          <w:rFonts w:ascii="Arial" w:hAnsi="Arial" w:cs="Arial"/>
          <w:sz w:val="24"/>
          <w:szCs w:val="24"/>
        </w:rPr>
        <w:t xml:space="preserve"> </w:t>
      </w:r>
      <w:r w:rsidRPr="002E406B">
        <w:rPr>
          <w:rFonts w:ascii="Arial" w:hAnsi="Arial" w:cs="Arial"/>
          <w:b/>
          <w:sz w:val="24"/>
          <w:szCs w:val="24"/>
        </w:rPr>
        <w:t xml:space="preserve">Summary by Issue Area and Impact on State Accountability System </w:t>
      </w:r>
      <w:r w:rsidRPr="00721525">
        <w:rPr>
          <w:rFonts w:ascii="Arial" w:hAnsi="Arial" w:cs="Arial"/>
          <w:sz w:val="24"/>
          <w:szCs w:val="24"/>
        </w:rPr>
        <w:t>– Easy-to-read chart summarizing of the proposed revisions to the ESSA Title I accountability sections and their impact on the Dashboard and our overall approach to accountability under LCFF.</w:t>
      </w:r>
    </w:p>
    <w:p w14:paraId="0CD43062" w14:textId="533582FB" w:rsidR="00721525" w:rsidRPr="00721525" w:rsidRDefault="00721525" w:rsidP="007B5477">
      <w:pPr>
        <w:pStyle w:val="ListParagraph"/>
        <w:numPr>
          <w:ilvl w:val="0"/>
          <w:numId w:val="8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721525">
        <w:rPr>
          <w:rFonts w:ascii="Arial" w:hAnsi="Arial" w:cs="Arial"/>
          <w:b/>
          <w:sz w:val="24"/>
          <w:szCs w:val="24"/>
        </w:rPr>
        <w:t xml:space="preserve">Page </w:t>
      </w:r>
      <w:r w:rsidR="00F557C5">
        <w:rPr>
          <w:rFonts w:ascii="Arial" w:hAnsi="Arial" w:cs="Arial"/>
          <w:b/>
          <w:sz w:val="24"/>
          <w:szCs w:val="24"/>
        </w:rPr>
        <w:t>5-6</w:t>
      </w:r>
      <w:r w:rsidRPr="00721525">
        <w:rPr>
          <w:rFonts w:ascii="Arial" w:hAnsi="Arial" w:cs="Arial"/>
          <w:b/>
          <w:sz w:val="24"/>
          <w:szCs w:val="24"/>
        </w:rPr>
        <w:t>: Status and Change (Long-Term Goals and Indicators)</w:t>
      </w:r>
      <w:r w:rsidRPr="00721525">
        <w:rPr>
          <w:rFonts w:ascii="Arial" w:hAnsi="Arial" w:cs="Arial"/>
          <w:sz w:val="24"/>
          <w:szCs w:val="24"/>
        </w:rPr>
        <w:t xml:space="preserve"> </w:t>
      </w:r>
      <w:r w:rsidR="00920D78">
        <w:rPr>
          <w:rFonts w:ascii="Arial" w:hAnsi="Arial" w:cs="Arial"/>
          <w:sz w:val="24"/>
          <w:szCs w:val="24"/>
        </w:rPr>
        <w:t xml:space="preserve">– </w:t>
      </w:r>
      <w:r w:rsidRPr="00721525">
        <w:rPr>
          <w:rFonts w:ascii="Arial" w:hAnsi="Arial" w:cs="Arial"/>
          <w:sz w:val="24"/>
          <w:szCs w:val="24"/>
        </w:rPr>
        <w:t>Example of how the use of status and change to create the 5x5 grids that are the basis for performance reporting are unchanged.</w:t>
      </w:r>
    </w:p>
    <w:p w14:paraId="4350CE6F" w14:textId="682AC7CF" w:rsidR="00721525" w:rsidRPr="00721525" w:rsidRDefault="00721525" w:rsidP="007B5477">
      <w:pPr>
        <w:pStyle w:val="ListParagraph"/>
        <w:numPr>
          <w:ilvl w:val="0"/>
          <w:numId w:val="8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721525">
        <w:rPr>
          <w:rFonts w:ascii="Arial" w:hAnsi="Arial" w:cs="Arial"/>
          <w:b/>
          <w:sz w:val="24"/>
          <w:szCs w:val="24"/>
        </w:rPr>
        <w:t xml:space="preserve">Page </w:t>
      </w:r>
      <w:r w:rsidR="00F557C5">
        <w:rPr>
          <w:rFonts w:ascii="Arial" w:hAnsi="Arial" w:cs="Arial"/>
          <w:b/>
          <w:sz w:val="24"/>
          <w:szCs w:val="24"/>
        </w:rPr>
        <w:t>7-8</w:t>
      </w:r>
      <w:r w:rsidRPr="00721525">
        <w:rPr>
          <w:rFonts w:ascii="Arial" w:hAnsi="Arial" w:cs="Arial"/>
          <w:b/>
          <w:sz w:val="24"/>
          <w:szCs w:val="24"/>
        </w:rPr>
        <w:t>: School Identification</w:t>
      </w:r>
      <w:r w:rsidRPr="00721525">
        <w:rPr>
          <w:rFonts w:ascii="Arial" w:hAnsi="Arial" w:cs="Arial"/>
          <w:sz w:val="24"/>
          <w:szCs w:val="24"/>
        </w:rPr>
        <w:t xml:space="preserve"> – Breakdown of how California is proposing to use the Dashboard to identify low-performing schools for extra support and federal funding.</w:t>
      </w:r>
    </w:p>
    <w:p w14:paraId="6151F372" w14:textId="5C6225BB" w:rsidR="00721525" w:rsidRPr="00721525" w:rsidRDefault="00721525" w:rsidP="007B5477">
      <w:pPr>
        <w:pStyle w:val="ListParagraph"/>
        <w:numPr>
          <w:ilvl w:val="0"/>
          <w:numId w:val="8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721525">
        <w:rPr>
          <w:rFonts w:ascii="Arial" w:hAnsi="Arial" w:cs="Arial"/>
          <w:b/>
          <w:sz w:val="24"/>
          <w:szCs w:val="24"/>
        </w:rPr>
        <w:t xml:space="preserve">Page </w:t>
      </w:r>
      <w:r w:rsidR="00F557C5">
        <w:rPr>
          <w:rFonts w:ascii="Arial" w:hAnsi="Arial" w:cs="Arial"/>
          <w:b/>
          <w:sz w:val="24"/>
          <w:szCs w:val="24"/>
        </w:rPr>
        <w:t>9-10</w:t>
      </w:r>
      <w:r w:rsidRPr="00721525">
        <w:rPr>
          <w:rFonts w:ascii="Arial" w:hAnsi="Arial" w:cs="Arial"/>
          <w:b/>
          <w:sz w:val="24"/>
          <w:szCs w:val="24"/>
        </w:rPr>
        <w:t>: Measurements of Interim Progress</w:t>
      </w:r>
      <w:r w:rsidRPr="00721525">
        <w:rPr>
          <w:rFonts w:ascii="Arial" w:hAnsi="Arial" w:cs="Arial"/>
          <w:sz w:val="24"/>
          <w:szCs w:val="24"/>
        </w:rPr>
        <w:t xml:space="preserve"> – Example of calculations based on existing data that will be reported to the federal government.</w:t>
      </w:r>
    </w:p>
    <w:p w14:paraId="770FAF26" w14:textId="77777777" w:rsidR="00721525" w:rsidRDefault="00721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6F087A7" w14:textId="4DA260F2" w:rsidR="00067714" w:rsidRDefault="00067714" w:rsidP="004E2907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</w:t>
      </w:r>
      <w:r w:rsidR="0016389A">
        <w:rPr>
          <w:rFonts w:ascii="Arial" w:hAnsi="Arial" w:cs="Arial"/>
          <w:sz w:val="24"/>
          <w:szCs w:val="24"/>
        </w:rPr>
        <w:t>h</w:t>
      </w:r>
      <w:r w:rsidR="00721525">
        <w:rPr>
          <w:rFonts w:ascii="Arial" w:hAnsi="Arial" w:cs="Arial"/>
          <w:sz w:val="24"/>
          <w:szCs w:val="24"/>
        </w:rPr>
        <w:t xml:space="preserve">e table below </w:t>
      </w:r>
      <w:r w:rsidR="00AC3731" w:rsidRPr="00067714">
        <w:rPr>
          <w:rFonts w:ascii="Arial" w:hAnsi="Arial" w:cs="Arial"/>
          <w:sz w:val="24"/>
          <w:szCs w:val="24"/>
        </w:rPr>
        <w:t>summar</w:t>
      </w:r>
      <w:r w:rsidR="00721525">
        <w:rPr>
          <w:rFonts w:ascii="Arial" w:hAnsi="Arial" w:cs="Arial"/>
          <w:sz w:val="24"/>
          <w:szCs w:val="24"/>
        </w:rPr>
        <w:t xml:space="preserve">izes </w:t>
      </w:r>
      <w:r w:rsidR="0016389A">
        <w:rPr>
          <w:rFonts w:ascii="Arial" w:hAnsi="Arial" w:cs="Arial"/>
          <w:sz w:val="24"/>
          <w:szCs w:val="24"/>
        </w:rPr>
        <w:t xml:space="preserve">the </w:t>
      </w:r>
      <w:r w:rsidR="00337FEA" w:rsidRPr="00067714">
        <w:rPr>
          <w:rFonts w:ascii="Arial" w:hAnsi="Arial" w:cs="Arial"/>
          <w:sz w:val="24"/>
          <w:szCs w:val="24"/>
        </w:rPr>
        <w:t>impact</w:t>
      </w:r>
      <w:r w:rsidR="00721525">
        <w:rPr>
          <w:rFonts w:ascii="Arial" w:hAnsi="Arial" w:cs="Arial"/>
          <w:sz w:val="24"/>
          <w:szCs w:val="24"/>
        </w:rPr>
        <w:t xml:space="preserve"> that</w:t>
      </w:r>
      <w:r w:rsidR="00337FEA" w:rsidRPr="00067714">
        <w:rPr>
          <w:rFonts w:ascii="Arial" w:hAnsi="Arial" w:cs="Arial"/>
          <w:sz w:val="24"/>
          <w:szCs w:val="24"/>
        </w:rPr>
        <w:t xml:space="preserve"> the</w:t>
      </w:r>
      <w:r w:rsidR="00AC3731" w:rsidRPr="00067714">
        <w:rPr>
          <w:rFonts w:ascii="Arial" w:hAnsi="Arial" w:cs="Arial"/>
          <w:sz w:val="24"/>
          <w:szCs w:val="24"/>
        </w:rPr>
        <w:t xml:space="preserve"> proposed revisions to the Title I accountability sections</w:t>
      </w:r>
      <w:r w:rsidR="00721525">
        <w:rPr>
          <w:rFonts w:ascii="Arial" w:hAnsi="Arial" w:cs="Arial"/>
          <w:sz w:val="24"/>
          <w:szCs w:val="24"/>
        </w:rPr>
        <w:t xml:space="preserve"> of the ESSA State Plan</w:t>
      </w:r>
      <w:r w:rsidR="00AC3731" w:rsidRPr="00067714">
        <w:rPr>
          <w:rFonts w:ascii="Arial" w:hAnsi="Arial" w:cs="Arial"/>
          <w:sz w:val="24"/>
          <w:szCs w:val="24"/>
        </w:rPr>
        <w:t xml:space="preserve"> </w:t>
      </w:r>
      <w:r w:rsidR="00721525">
        <w:rPr>
          <w:rFonts w:ascii="Arial" w:hAnsi="Arial" w:cs="Arial"/>
          <w:sz w:val="24"/>
          <w:szCs w:val="24"/>
        </w:rPr>
        <w:t xml:space="preserve">will have </w:t>
      </w:r>
      <w:r w:rsidR="00AC3731" w:rsidRPr="00067714">
        <w:rPr>
          <w:rFonts w:ascii="Arial" w:hAnsi="Arial" w:cs="Arial"/>
          <w:sz w:val="24"/>
          <w:szCs w:val="24"/>
        </w:rPr>
        <w:t xml:space="preserve">on </w:t>
      </w:r>
      <w:r w:rsidR="00337FEA" w:rsidRPr="00067714">
        <w:rPr>
          <w:rFonts w:ascii="Arial" w:hAnsi="Arial" w:cs="Arial"/>
          <w:sz w:val="24"/>
          <w:szCs w:val="24"/>
        </w:rPr>
        <w:t xml:space="preserve">the existing </w:t>
      </w:r>
      <w:r w:rsidR="00575542" w:rsidRPr="00067714">
        <w:rPr>
          <w:rFonts w:ascii="Arial" w:hAnsi="Arial" w:cs="Arial"/>
          <w:sz w:val="24"/>
          <w:szCs w:val="24"/>
        </w:rPr>
        <w:t xml:space="preserve">approach to </w:t>
      </w:r>
      <w:r w:rsidR="00647323" w:rsidRPr="00067714">
        <w:rPr>
          <w:rFonts w:ascii="Arial" w:hAnsi="Arial" w:cs="Arial"/>
          <w:sz w:val="24"/>
          <w:szCs w:val="24"/>
        </w:rPr>
        <w:t xml:space="preserve">school </w:t>
      </w:r>
      <w:r w:rsidR="00AC3731" w:rsidRPr="00067714">
        <w:rPr>
          <w:rFonts w:ascii="Arial" w:hAnsi="Arial" w:cs="Arial"/>
          <w:sz w:val="24"/>
          <w:szCs w:val="24"/>
        </w:rPr>
        <w:t xml:space="preserve">accountability </w:t>
      </w:r>
      <w:r w:rsidR="00337FEA" w:rsidRPr="00067714">
        <w:rPr>
          <w:rFonts w:ascii="Arial" w:hAnsi="Arial" w:cs="Arial"/>
          <w:sz w:val="24"/>
          <w:szCs w:val="24"/>
        </w:rPr>
        <w:t xml:space="preserve">approved by the </w:t>
      </w:r>
      <w:r>
        <w:rPr>
          <w:rFonts w:ascii="Arial" w:hAnsi="Arial" w:cs="Arial"/>
          <w:sz w:val="24"/>
          <w:szCs w:val="24"/>
        </w:rPr>
        <w:t xml:space="preserve">SBE </w:t>
      </w:r>
      <w:r w:rsidR="00575542" w:rsidRPr="00067714">
        <w:rPr>
          <w:rFonts w:ascii="Arial" w:hAnsi="Arial" w:cs="Arial"/>
          <w:sz w:val="24"/>
          <w:szCs w:val="24"/>
        </w:rPr>
        <w:t xml:space="preserve">under </w:t>
      </w:r>
      <w:r>
        <w:rPr>
          <w:rFonts w:ascii="Arial" w:hAnsi="Arial" w:cs="Arial"/>
          <w:sz w:val="24"/>
          <w:szCs w:val="24"/>
        </w:rPr>
        <w:t>the LCFF</w:t>
      </w:r>
      <w:r w:rsidR="00AC3731" w:rsidRPr="00067714">
        <w:rPr>
          <w:rFonts w:ascii="Arial" w:hAnsi="Arial" w:cs="Arial"/>
          <w:sz w:val="24"/>
          <w:szCs w:val="24"/>
        </w:rPr>
        <w:t>.</w:t>
      </w:r>
    </w:p>
    <w:p w14:paraId="201833D4" w14:textId="1272B379" w:rsidR="0010357D" w:rsidRPr="002E406B" w:rsidRDefault="00067714" w:rsidP="002E406B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2E406B">
        <w:rPr>
          <w:rFonts w:ascii="Arial" w:hAnsi="Arial" w:cs="Arial"/>
          <w:b/>
          <w:color w:val="auto"/>
          <w:sz w:val="24"/>
          <w:szCs w:val="24"/>
        </w:rPr>
        <w:t xml:space="preserve">Table 1: Summary by Issue Area and Impact on State Accountability System </w:t>
      </w:r>
    </w:p>
    <w:tbl>
      <w:tblPr>
        <w:tblStyle w:val="TableGrid"/>
        <w:tblW w:w="12960" w:type="dxa"/>
        <w:tblInd w:w="-5" w:type="dxa"/>
        <w:tblLook w:val="04A0" w:firstRow="1" w:lastRow="0" w:firstColumn="1" w:lastColumn="0" w:noHBand="0" w:noVBand="1"/>
        <w:tblDescription w:val="Table indicating the summary by issue and the impact of the Accountability System."/>
      </w:tblPr>
      <w:tblGrid>
        <w:gridCol w:w="8854"/>
        <w:gridCol w:w="4106"/>
      </w:tblGrid>
      <w:tr w:rsidR="0010357D" w:rsidRPr="00067714" w14:paraId="7D1F3034" w14:textId="77777777" w:rsidTr="00054200">
        <w:trPr>
          <w:tblHeader/>
        </w:trPr>
        <w:tc>
          <w:tcPr>
            <w:tcW w:w="8854" w:type="dxa"/>
          </w:tcPr>
          <w:p w14:paraId="5B8919F1" w14:textId="182D9AF7" w:rsidR="0010357D" w:rsidRPr="00067714" w:rsidRDefault="0010357D" w:rsidP="004E2907">
            <w:pPr>
              <w:tabs>
                <w:tab w:val="left" w:pos="478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67714">
              <w:rPr>
                <w:rFonts w:ascii="Arial" w:hAnsi="Arial" w:cs="Arial"/>
                <w:b/>
                <w:sz w:val="24"/>
                <w:szCs w:val="24"/>
              </w:rPr>
              <w:t>Issue</w:t>
            </w:r>
          </w:p>
        </w:tc>
        <w:tc>
          <w:tcPr>
            <w:tcW w:w="4106" w:type="dxa"/>
          </w:tcPr>
          <w:p w14:paraId="35B508CB" w14:textId="192A8E18" w:rsidR="0010357D" w:rsidRPr="00067714" w:rsidRDefault="001035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714">
              <w:rPr>
                <w:rFonts w:ascii="Arial" w:hAnsi="Arial" w:cs="Arial"/>
                <w:b/>
                <w:sz w:val="24"/>
                <w:szCs w:val="24"/>
              </w:rPr>
              <w:t xml:space="preserve">Impact on </w:t>
            </w:r>
            <w:r w:rsidR="00647323" w:rsidRPr="00067714">
              <w:rPr>
                <w:rFonts w:ascii="Arial" w:hAnsi="Arial" w:cs="Arial"/>
                <w:b/>
                <w:sz w:val="24"/>
                <w:szCs w:val="24"/>
              </w:rPr>
              <w:t>Accountability System</w:t>
            </w:r>
          </w:p>
        </w:tc>
      </w:tr>
      <w:tr w:rsidR="0010357D" w:rsidRPr="00067714" w14:paraId="3623BBF7" w14:textId="77777777" w:rsidTr="00210F92">
        <w:tc>
          <w:tcPr>
            <w:tcW w:w="8854" w:type="dxa"/>
          </w:tcPr>
          <w:p w14:paraId="308940A4" w14:textId="3C7B04C0" w:rsidR="0010357D" w:rsidRPr="00067714" w:rsidRDefault="0010357D" w:rsidP="0010357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771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Status and Change (Long-Term Goals </w:t>
            </w:r>
            <w:r w:rsidR="00067714">
              <w:rPr>
                <w:rFonts w:ascii="Arial" w:hAnsi="Arial" w:cs="Arial"/>
                <w:b/>
                <w:i/>
                <w:sz w:val="24"/>
                <w:szCs w:val="24"/>
              </w:rPr>
              <w:t>and</w:t>
            </w:r>
            <w:r w:rsidRPr="0006771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Indicators)</w:t>
            </w:r>
            <w:r w:rsidR="008E7FEC" w:rsidRPr="0006771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– See p</w:t>
            </w:r>
            <w:r w:rsidR="00067714">
              <w:rPr>
                <w:rFonts w:ascii="Arial" w:hAnsi="Arial" w:cs="Arial"/>
                <w:b/>
                <w:i/>
                <w:sz w:val="24"/>
                <w:szCs w:val="24"/>
              </w:rPr>
              <w:t>age</w:t>
            </w:r>
            <w:r w:rsidR="0010071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5</w:t>
            </w:r>
            <w:r w:rsidR="00337FEA" w:rsidRPr="0006771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for additional information</w:t>
            </w:r>
          </w:p>
          <w:p w14:paraId="1C818FE6" w14:textId="7549B4D9" w:rsidR="0010357D" w:rsidRPr="00067714" w:rsidRDefault="000A4EEF" w:rsidP="000A4EEF">
            <w:pPr>
              <w:rPr>
                <w:rFonts w:ascii="Arial" w:hAnsi="Arial" w:cs="Arial"/>
                <w:sz w:val="24"/>
                <w:szCs w:val="24"/>
              </w:rPr>
            </w:pPr>
            <w:r w:rsidRPr="00067714">
              <w:rPr>
                <w:rFonts w:ascii="Arial" w:hAnsi="Arial" w:cs="Arial"/>
                <w:sz w:val="24"/>
                <w:szCs w:val="24"/>
              </w:rPr>
              <w:t>For the Academic Achievement, Graduation Rate, and English Learner Progress indicators</w:t>
            </w:r>
            <w:r w:rsidR="00571864" w:rsidRPr="00067714">
              <w:rPr>
                <w:rFonts w:ascii="Arial" w:hAnsi="Arial" w:cs="Arial"/>
                <w:sz w:val="24"/>
                <w:szCs w:val="24"/>
              </w:rPr>
              <w:t>,</w:t>
            </w:r>
            <w:r w:rsidRPr="00067714">
              <w:rPr>
                <w:rFonts w:ascii="Arial" w:hAnsi="Arial" w:cs="Arial"/>
                <w:sz w:val="24"/>
                <w:szCs w:val="24"/>
              </w:rPr>
              <w:t xml:space="preserve"> report</w:t>
            </w:r>
            <w:r w:rsidR="008E7FEC" w:rsidRPr="00067714">
              <w:rPr>
                <w:rFonts w:ascii="Arial" w:hAnsi="Arial" w:cs="Arial"/>
                <w:sz w:val="24"/>
                <w:szCs w:val="24"/>
              </w:rPr>
              <w:t xml:space="preserve"> Status and Change as </w:t>
            </w:r>
            <w:r w:rsidRPr="00067714">
              <w:rPr>
                <w:rFonts w:ascii="Arial" w:hAnsi="Arial" w:cs="Arial"/>
                <w:sz w:val="24"/>
                <w:szCs w:val="24"/>
              </w:rPr>
              <w:t>distinct</w:t>
            </w:r>
            <w:r w:rsidR="008E7FEC" w:rsidRPr="00067714">
              <w:rPr>
                <w:rFonts w:ascii="Arial" w:hAnsi="Arial" w:cs="Arial"/>
                <w:sz w:val="24"/>
                <w:szCs w:val="24"/>
              </w:rPr>
              <w:t xml:space="preserve"> indicators and set the long-term goals </w:t>
            </w:r>
            <w:r w:rsidRPr="00067714">
              <w:rPr>
                <w:rFonts w:ascii="Arial" w:hAnsi="Arial" w:cs="Arial"/>
                <w:sz w:val="24"/>
                <w:szCs w:val="24"/>
              </w:rPr>
              <w:t>based on Status</w:t>
            </w:r>
            <w:r w:rsidR="006C7752" w:rsidRPr="00067714">
              <w:rPr>
                <w:rFonts w:ascii="Arial" w:hAnsi="Arial" w:cs="Arial"/>
                <w:sz w:val="24"/>
                <w:szCs w:val="24"/>
              </w:rPr>
              <w:t xml:space="preserve"> for federal reporting purposes</w:t>
            </w:r>
            <w:r w:rsidRPr="0006771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106" w:type="dxa"/>
          </w:tcPr>
          <w:p w14:paraId="317A2680" w14:textId="77777777" w:rsidR="0010357D" w:rsidRPr="00067714" w:rsidRDefault="0010357D">
            <w:pPr>
              <w:rPr>
                <w:rFonts w:ascii="Arial" w:hAnsi="Arial" w:cs="Arial"/>
                <w:sz w:val="24"/>
                <w:szCs w:val="24"/>
              </w:rPr>
            </w:pPr>
            <w:r w:rsidRPr="00067714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10357D" w:rsidRPr="00067714" w14:paraId="400B2AD7" w14:textId="77777777" w:rsidTr="00210F92">
        <w:tc>
          <w:tcPr>
            <w:tcW w:w="8854" w:type="dxa"/>
          </w:tcPr>
          <w:p w14:paraId="13EEC6CE" w14:textId="1574D245" w:rsidR="003D4756" w:rsidRPr="00067714" w:rsidRDefault="0016389A" w:rsidP="003D475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Grade 11 Assessments and</w:t>
            </w:r>
            <w:r w:rsidR="00647323" w:rsidRPr="0006771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3D4756" w:rsidRPr="00067714">
              <w:rPr>
                <w:rFonts w:ascii="Arial" w:hAnsi="Arial" w:cs="Arial"/>
                <w:b/>
                <w:i/>
                <w:sz w:val="24"/>
                <w:szCs w:val="24"/>
              </w:rPr>
              <w:t>College/Career Indicator</w:t>
            </w:r>
          </w:p>
          <w:p w14:paraId="4A4D78AB" w14:textId="2C58644F" w:rsidR="0010357D" w:rsidRPr="00067714" w:rsidRDefault="003D4756" w:rsidP="008C1CBF">
            <w:pPr>
              <w:rPr>
                <w:rFonts w:ascii="Arial" w:hAnsi="Arial" w:cs="Arial"/>
                <w:sz w:val="24"/>
                <w:szCs w:val="24"/>
              </w:rPr>
            </w:pPr>
            <w:r w:rsidRPr="00067714">
              <w:rPr>
                <w:rFonts w:ascii="Arial" w:hAnsi="Arial" w:cs="Arial"/>
                <w:sz w:val="24"/>
                <w:szCs w:val="24"/>
              </w:rPr>
              <w:t>In</w:t>
            </w:r>
            <w:r w:rsidR="00647323" w:rsidRPr="00067714">
              <w:rPr>
                <w:rFonts w:ascii="Arial" w:hAnsi="Arial" w:cs="Arial"/>
                <w:sz w:val="24"/>
                <w:szCs w:val="24"/>
              </w:rPr>
              <w:t>clude</w:t>
            </w:r>
            <w:r w:rsidRPr="00067714">
              <w:rPr>
                <w:rFonts w:ascii="Arial" w:hAnsi="Arial" w:cs="Arial"/>
                <w:sz w:val="24"/>
                <w:szCs w:val="24"/>
              </w:rPr>
              <w:t xml:space="preserve"> Grade 11 S</w:t>
            </w:r>
            <w:r w:rsidR="0016389A">
              <w:rPr>
                <w:rFonts w:ascii="Arial" w:hAnsi="Arial" w:cs="Arial"/>
                <w:sz w:val="24"/>
                <w:szCs w:val="24"/>
              </w:rPr>
              <w:t xml:space="preserve">marter </w:t>
            </w:r>
            <w:r w:rsidRPr="00067714">
              <w:rPr>
                <w:rFonts w:ascii="Arial" w:hAnsi="Arial" w:cs="Arial"/>
                <w:sz w:val="24"/>
                <w:szCs w:val="24"/>
              </w:rPr>
              <w:t>B</w:t>
            </w:r>
            <w:r w:rsidR="0016389A">
              <w:rPr>
                <w:rFonts w:ascii="Arial" w:hAnsi="Arial" w:cs="Arial"/>
                <w:sz w:val="24"/>
                <w:szCs w:val="24"/>
              </w:rPr>
              <w:t xml:space="preserve">alanced </w:t>
            </w:r>
            <w:r w:rsidRPr="00067714">
              <w:rPr>
                <w:rFonts w:ascii="Arial" w:hAnsi="Arial" w:cs="Arial"/>
                <w:sz w:val="24"/>
                <w:szCs w:val="24"/>
              </w:rPr>
              <w:t>A</w:t>
            </w:r>
            <w:r w:rsidR="0016389A">
              <w:rPr>
                <w:rFonts w:ascii="Arial" w:hAnsi="Arial" w:cs="Arial"/>
                <w:sz w:val="24"/>
                <w:szCs w:val="24"/>
              </w:rPr>
              <w:t xml:space="preserve">ssessment </w:t>
            </w:r>
            <w:r w:rsidRPr="00067714">
              <w:rPr>
                <w:rFonts w:ascii="Arial" w:hAnsi="Arial" w:cs="Arial"/>
                <w:sz w:val="24"/>
                <w:szCs w:val="24"/>
              </w:rPr>
              <w:t>C</w:t>
            </w:r>
            <w:r w:rsidR="0016389A">
              <w:rPr>
                <w:rFonts w:ascii="Arial" w:hAnsi="Arial" w:cs="Arial"/>
                <w:sz w:val="24"/>
                <w:szCs w:val="24"/>
              </w:rPr>
              <w:t>onsortium (SBAC)</w:t>
            </w:r>
            <w:r w:rsidRPr="00067714">
              <w:rPr>
                <w:rFonts w:ascii="Arial" w:hAnsi="Arial" w:cs="Arial"/>
                <w:sz w:val="24"/>
                <w:szCs w:val="24"/>
              </w:rPr>
              <w:t xml:space="preserve"> results in the Academic Achievement indicator for E</w:t>
            </w:r>
            <w:r w:rsidR="0016389A">
              <w:rPr>
                <w:rFonts w:ascii="Arial" w:hAnsi="Arial" w:cs="Arial"/>
                <w:sz w:val="24"/>
                <w:szCs w:val="24"/>
              </w:rPr>
              <w:t>nglish language art</w:t>
            </w:r>
            <w:r w:rsidR="00194818">
              <w:rPr>
                <w:rFonts w:ascii="Arial" w:hAnsi="Arial" w:cs="Arial"/>
                <w:sz w:val="24"/>
                <w:szCs w:val="24"/>
              </w:rPr>
              <w:t>s</w:t>
            </w:r>
            <w:r w:rsidR="0016389A">
              <w:rPr>
                <w:rFonts w:ascii="Arial" w:hAnsi="Arial" w:cs="Arial"/>
                <w:sz w:val="24"/>
                <w:szCs w:val="24"/>
              </w:rPr>
              <w:t xml:space="preserve"> (ELA)</w:t>
            </w:r>
            <w:r w:rsidRPr="00067714">
              <w:rPr>
                <w:rFonts w:ascii="Arial" w:hAnsi="Arial" w:cs="Arial"/>
                <w:sz w:val="24"/>
                <w:szCs w:val="24"/>
              </w:rPr>
              <w:t xml:space="preserve"> and math</w:t>
            </w:r>
            <w:r w:rsidR="0016389A">
              <w:rPr>
                <w:rFonts w:ascii="Arial" w:hAnsi="Arial" w:cs="Arial"/>
                <w:sz w:val="24"/>
                <w:szCs w:val="24"/>
              </w:rPr>
              <w:t>ematics</w:t>
            </w:r>
            <w:r w:rsidR="00647323" w:rsidRPr="00067714">
              <w:rPr>
                <w:rFonts w:ascii="Arial" w:hAnsi="Arial" w:cs="Arial"/>
                <w:sz w:val="24"/>
                <w:szCs w:val="24"/>
              </w:rPr>
              <w:t xml:space="preserve"> (which currently includes only grades 3</w:t>
            </w:r>
            <w:r w:rsidR="0016389A">
              <w:rPr>
                <w:rFonts w:ascii="Arial" w:hAnsi="Arial" w:cs="Arial"/>
                <w:sz w:val="24"/>
                <w:szCs w:val="24"/>
              </w:rPr>
              <w:t>–</w:t>
            </w:r>
            <w:r w:rsidR="00647323" w:rsidRPr="00067714">
              <w:rPr>
                <w:rFonts w:ascii="Arial" w:hAnsi="Arial" w:cs="Arial"/>
                <w:sz w:val="24"/>
                <w:szCs w:val="24"/>
              </w:rPr>
              <w:t>8). R</w:t>
            </w:r>
            <w:r w:rsidR="00EE10D4" w:rsidRPr="00067714">
              <w:rPr>
                <w:rFonts w:ascii="Arial" w:hAnsi="Arial" w:cs="Arial"/>
                <w:sz w:val="24"/>
                <w:szCs w:val="24"/>
              </w:rPr>
              <w:t xml:space="preserve">etain </w:t>
            </w:r>
            <w:r w:rsidR="008C1CBF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067714">
              <w:rPr>
                <w:rFonts w:ascii="Arial" w:hAnsi="Arial" w:cs="Arial"/>
                <w:sz w:val="24"/>
                <w:szCs w:val="24"/>
              </w:rPr>
              <w:t>C</w:t>
            </w:r>
            <w:r w:rsidR="008C1CBF">
              <w:rPr>
                <w:rFonts w:ascii="Arial" w:hAnsi="Arial" w:cs="Arial"/>
                <w:sz w:val="24"/>
                <w:szCs w:val="24"/>
              </w:rPr>
              <w:t xml:space="preserve">ollege/Career </w:t>
            </w:r>
            <w:r w:rsidRPr="00067714">
              <w:rPr>
                <w:rFonts w:ascii="Arial" w:hAnsi="Arial" w:cs="Arial"/>
                <w:sz w:val="24"/>
                <w:szCs w:val="24"/>
              </w:rPr>
              <w:t>I</w:t>
            </w:r>
            <w:r w:rsidR="008C1CBF">
              <w:rPr>
                <w:rFonts w:ascii="Arial" w:hAnsi="Arial" w:cs="Arial"/>
                <w:sz w:val="24"/>
                <w:szCs w:val="24"/>
              </w:rPr>
              <w:t>ndicator (CCI)</w:t>
            </w:r>
            <w:r w:rsidR="00647323" w:rsidRPr="00067714">
              <w:rPr>
                <w:rFonts w:ascii="Arial" w:hAnsi="Arial" w:cs="Arial"/>
                <w:sz w:val="24"/>
                <w:szCs w:val="24"/>
              </w:rPr>
              <w:t xml:space="preserve">, which includes Grade 11 SBAC results, as an additional </w:t>
            </w:r>
            <w:r w:rsidRPr="00067714">
              <w:rPr>
                <w:rFonts w:ascii="Arial" w:hAnsi="Arial" w:cs="Arial"/>
                <w:sz w:val="24"/>
                <w:szCs w:val="24"/>
              </w:rPr>
              <w:t>indicator.</w:t>
            </w:r>
          </w:p>
        </w:tc>
        <w:tc>
          <w:tcPr>
            <w:tcW w:w="4106" w:type="dxa"/>
          </w:tcPr>
          <w:p w14:paraId="191B1BEE" w14:textId="6D4E5C2F" w:rsidR="0010357D" w:rsidRPr="00067714" w:rsidRDefault="00216091" w:rsidP="00664DDB">
            <w:pPr>
              <w:rPr>
                <w:rFonts w:ascii="Arial" w:hAnsi="Arial" w:cs="Arial"/>
                <w:sz w:val="24"/>
                <w:szCs w:val="24"/>
              </w:rPr>
            </w:pPr>
            <w:r w:rsidRPr="00067714">
              <w:rPr>
                <w:rFonts w:ascii="Arial" w:hAnsi="Arial" w:cs="Arial"/>
                <w:sz w:val="24"/>
                <w:szCs w:val="24"/>
              </w:rPr>
              <w:t xml:space="preserve">Grade 11 </w:t>
            </w:r>
            <w:r w:rsidR="00377A9A" w:rsidRPr="00067714">
              <w:rPr>
                <w:rFonts w:ascii="Arial" w:hAnsi="Arial" w:cs="Arial"/>
                <w:sz w:val="24"/>
                <w:szCs w:val="24"/>
              </w:rPr>
              <w:t>SBAC</w:t>
            </w:r>
            <w:r w:rsidR="00647323" w:rsidRPr="00067714">
              <w:rPr>
                <w:rFonts w:ascii="Arial" w:hAnsi="Arial" w:cs="Arial"/>
                <w:sz w:val="24"/>
                <w:szCs w:val="24"/>
              </w:rPr>
              <w:t xml:space="preserve"> results</w:t>
            </w:r>
            <w:r w:rsidR="00256845" w:rsidRPr="00067714">
              <w:rPr>
                <w:rFonts w:ascii="Arial" w:hAnsi="Arial" w:cs="Arial"/>
                <w:sz w:val="24"/>
                <w:szCs w:val="24"/>
              </w:rPr>
              <w:t xml:space="preserve"> would be included</w:t>
            </w:r>
            <w:r w:rsidR="00647323" w:rsidRPr="00067714">
              <w:rPr>
                <w:rFonts w:ascii="Arial" w:hAnsi="Arial" w:cs="Arial"/>
                <w:sz w:val="24"/>
                <w:szCs w:val="24"/>
              </w:rPr>
              <w:t xml:space="preserve"> in the Academic indicator for ELA and math</w:t>
            </w:r>
            <w:r w:rsidR="008C1CBF">
              <w:rPr>
                <w:rFonts w:ascii="Arial" w:hAnsi="Arial" w:cs="Arial"/>
                <w:sz w:val="24"/>
                <w:szCs w:val="24"/>
              </w:rPr>
              <w:t>ematics</w:t>
            </w:r>
            <w:r w:rsidR="00377A9A" w:rsidRPr="000677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7714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256845" w:rsidRPr="00067714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067714">
              <w:rPr>
                <w:rFonts w:ascii="Arial" w:hAnsi="Arial" w:cs="Arial"/>
                <w:sz w:val="24"/>
                <w:szCs w:val="24"/>
              </w:rPr>
              <w:t xml:space="preserve">2018 </w:t>
            </w:r>
            <w:r w:rsidR="008C1CBF">
              <w:rPr>
                <w:rFonts w:ascii="Arial" w:hAnsi="Arial" w:cs="Arial"/>
                <w:sz w:val="24"/>
                <w:szCs w:val="24"/>
              </w:rPr>
              <w:t xml:space="preserve">California School </w:t>
            </w:r>
            <w:r w:rsidRPr="00067714">
              <w:rPr>
                <w:rFonts w:ascii="Arial" w:hAnsi="Arial" w:cs="Arial"/>
                <w:sz w:val="24"/>
                <w:szCs w:val="24"/>
              </w:rPr>
              <w:t>Dashboard</w:t>
            </w:r>
            <w:r w:rsidR="008C1CBF">
              <w:rPr>
                <w:rFonts w:ascii="Arial" w:hAnsi="Arial" w:cs="Arial"/>
                <w:sz w:val="24"/>
                <w:szCs w:val="24"/>
              </w:rPr>
              <w:t xml:space="preserve"> (Dashboard)</w:t>
            </w:r>
            <w:r w:rsidR="00256845" w:rsidRPr="00067714">
              <w:rPr>
                <w:rFonts w:ascii="Arial" w:hAnsi="Arial" w:cs="Arial"/>
                <w:sz w:val="24"/>
                <w:szCs w:val="24"/>
              </w:rPr>
              <w:t>, unless the SBE elects to use this indicator only for school identification under ESSA</w:t>
            </w:r>
            <w:r w:rsidR="008C1C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0357D" w:rsidRPr="00067714" w14:paraId="44F1004E" w14:textId="77777777" w:rsidTr="00210F92">
        <w:tc>
          <w:tcPr>
            <w:tcW w:w="8854" w:type="dxa"/>
          </w:tcPr>
          <w:p w14:paraId="0777487C" w14:textId="77777777" w:rsidR="003D4756" w:rsidRPr="00067714" w:rsidRDefault="003D4756" w:rsidP="003D475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7714">
              <w:rPr>
                <w:rFonts w:ascii="Arial" w:hAnsi="Arial" w:cs="Arial"/>
                <w:b/>
                <w:i/>
                <w:sz w:val="24"/>
                <w:szCs w:val="24"/>
              </w:rPr>
              <w:t>English Language Proficiency Indicator</w:t>
            </w:r>
          </w:p>
          <w:p w14:paraId="06247060" w14:textId="2D21BC66" w:rsidR="0010357D" w:rsidRPr="00067714" w:rsidRDefault="003D4756" w:rsidP="008C1CBF">
            <w:pPr>
              <w:rPr>
                <w:rFonts w:ascii="Arial" w:hAnsi="Arial" w:cs="Arial"/>
                <w:sz w:val="24"/>
                <w:szCs w:val="24"/>
              </w:rPr>
            </w:pPr>
            <w:r w:rsidRPr="00067714">
              <w:rPr>
                <w:rFonts w:ascii="Arial" w:hAnsi="Arial" w:cs="Arial"/>
                <w:sz w:val="24"/>
                <w:szCs w:val="24"/>
              </w:rPr>
              <w:t xml:space="preserve">Modify </w:t>
            </w:r>
            <w:r w:rsidR="00647323" w:rsidRPr="00067714">
              <w:rPr>
                <w:rFonts w:ascii="Arial" w:hAnsi="Arial" w:cs="Arial"/>
                <w:sz w:val="24"/>
                <w:szCs w:val="24"/>
              </w:rPr>
              <w:t xml:space="preserve">how </w:t>
            </w:r>
            <w:r w:rsidR="008C1CBF">
              <w:rPr>
                <w:rFonts w:ascii="Arial" w:hAnsi="Arial" w:cs="Arial"/>
                <w:sz w:val="24"/>
                <w:szCs w:val="24"/>
              </w:rPr>
              <w:t>the English L</w:t>
            </w:r>
            <w:r w:rsidRPr="00067714">
              <w:rPr>
                <w:rFonts w:ascii="Arial" w:hAnsi="Arial" w:cs="Arial"/>
                <w:sz w:val="24"/>
                <w:szCs w:val="24"/>
              </w:rPr>
              <w:t xml:space="preserve">anguage </w:t>
            </w:r>
            <w:r w:rsidR="008C1CBF">
              <w:rPr>
                <w:rFonts w:ascii="Arial" w:hAnsi="Arial" w:cs="Arial"/>
                <w:sz w:val="24"/>
                <w:szCs w:val="24"/>
              </w:rPr>
              <w:t>Progress I</w:t>
            </w:r>
            <w:r w:rsidRPr="00067714">
              <w:rPr>
                <w:rFonts w:ascii="Arial" w:hAnsi="Arial" w:cs="Arial"/>
                <w:sz w:val="24"/>
                <w:szCs w:val="24"/>
              </w:rPr>
              <w:t xml:space="preserve">ndicator </w:t>
            </w:r>
            <w:r w:rsidR="008C1CBF">
              <w:rPr>
                <w:rFonts w:ascii="Arial" w:hAnsi="Arial" w:cs="Arial"/>
                <w:sz w:val="24"/>
                <w:szCs w:val="24"/>
              </w:rPr>
              <w:t xml:space="preserve">(ELPI) </w:t>
            </w:r>
            <w:r w:rsidR="00647323" w:rsidRPr="00067714">
              <w:rPr>
                <w:rFonts w:ascii="Arial" w:hAnsi="Arial" w:cs="Arial"/>
                <w:sz w:val="24"/>
                <w:szCs w:val="24"/>
              </w:rPr>
              <w:t xml:space="preserve">is calculated so it is </w:t>
            </w:r>
            <w:r w:rsidRPr="00067714">
              <w:rPr>
                <w:rFonts w:ascii="Arial" w:hAnsi="Arial" w:cs="Arial"/>
                <w:sz w:val="24"/>
                <w:szCs w:val="24"/>
              </w:rPr>
              <w:t xml:space="preserve">based solely on progress on the annual assessments (i.e., remove reclassified students and weighting factor for </w:t>
            </w:r>
            <w:r w:rsidR="008C1CBF">
              <w:rPr>
                <w:rFonts w:ascii="Arial" w:hAnsi="Arial" w:cs="Arial"/>
                <w:sz w:val="24"/>
                <w:szCs w:val="24"/>
              </w:rPr>
              <w:t>long-term English learners [</w:t>
            </w:r>
            <w:r w:rsidRPr="00067714">
              <w:rPr>
                <w:rFonts w:ascii="Arial" w:hAnsi="Arial" w:cs="Arial"/>
                <w:sz w:val="24"/>
                <w:szCs w:val="24"/>
              </w:rPr>
              <w:t>LTELs</w:t>
            </w:r>
            <w:r w:rsidR="008C1CBF">
              <w:rPr>
                <w:rFonts w:ascii="Arial" w:hAnsi="Arial" w:cs="Arial"/>
                <w:sz w:val="24"/>
                <w:szCs w:val="24"/>
              </w:rPr>
              <w:t>]</w:t>
            </w:r>
            <w:r w:rsidR="00647323" w:rsidRPr="00067714">
              <w:rPr>
                <w:rFonts w:ascii="Arial" w:hAnsi="Arial" w:cs="Arial"/>
                <w:sz w:val="24"/>
                <w:szCs w:val="24"/>
              </w:rPr>
              <w:t xml:space="preserve"> from the calculation</w:t>
            </w:r>
            <w:r w:rsidRPr="00067714">
              <w:rPr>
                <w:rFonts w:ascii="Arial" w:hAnsi="Arial" w:cs="Arial"/>
                <w:sz w:val="24"/>
                <w:szCs w:val="24"/>
              </w:rPr>
              <w:t>)</w:t>
            </w:r>
            <w:r w:rsidR="00575542" w:rsidRPr="000677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06" w:type="dxa"/>
          </w:tcPr>
          <w:p w14:paraId="3EF7D69C" w14:textId="7233691D" w:rsidR="0010357D" w:rsidRPr="00067714" w:rsidRDefault="00256845" w:rsidP="00664DDB">
            <w:pPr>
              <w:rPr>
                <w:rFonts w:ascii="Arial" w:hAnsi="Arial" w:cs="Arial"/>
                <w:sz w:val="24"/>
                <w:szCs w:val="24"/>
              </w:rPr>
            </w:pPr>
            <w:r w:rsidRPr="00067714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664DDB" w:rsidRPr="00067714">
              <w:rPr>
                <w:rFonts w:ascii="Arial" w:hAnsi="Arial" w:cs="Arial"/>
                <w:sz w:val="24"/>
                <w:szCs w:val="24"/>
              </w:rPr>
              <w:t xml:space="preserve">California </w:t>
            </w:r>
            <w:r w:rsidRPr="00067714">
              <w:rPr>
                <w:rFonts w:ascii="Arial" w:hAnsi="Arial" w:cs="Arial"/>
                <w:sz w:val="24"/>
                <w:szCs w:val="24"/>
              </w:rPr>
              <w:t>does not obtain a waiver</w:t>
            </w:r>
            <w:r w:rsidR="00664DDB" w:rsidRPr="00067714">
              <w:rPr>
                <w:rFonts w:ascii="Arial" w:hAnsi="Arial" w:cs="Arial"/>
                <w:sz w:val="24"/>
                <w:szCs w:val="24"/>
              </w:rPr>
              <w:t xml:space="preserve"> on this issue</w:t>
            </w:r>
            <w:r w:rsidRPr="00067714">
              <w:rPr>
                <w:rFonts w:ascii="Arial" w:hAnsi="Arial" w:cs="Arial"/>
                <w:sz w:val="24"/>
                <w:szCs w:val="24"/>
              </w:rPr>
              <w:t xml:space="preserve">, the ELPI would be calculated differently </w:t>
            </w:r>
            <w:r w:rsidR="00664DDB" w:rsidRPr="00067714">
              <w:rPr>
                <w:rFonts w:ascii="Arial" w:hAnsi="Arial" w:cs="Arial"/>
                <w:sz w:val="24"/>
                <w:szCs w:val="24"/>
              </w:rPr>
              <w:t>in the Dashboard</w:t>
            </w:r>
            <w:r w:rsidRPr="00067714">
              <w:rPr>
                <w:rFonts w:ascii="Arial" w:hAnsi="Arial" w:cs="Arial"/>
                <w:sz w:val="24"/>
                <w:szCs w:val="24"/>
              </w:rPr>
              <w:t xml:space="preserve">, unless </w:t>
            </w:r>
            <w:r w:rsidR="00664DDB" w:rsidRPr="00067714">
              <w:rPr>
                <w:rFonts w:ascii="Arial" w:hAnsi="Arial" w:cs="Arial"/>
                <w:sz w:val="24"/>
                <w:szCs w:val="24"/>
              </w:rPr>
              <w:t xml:space="preserve">the SBE </w:t>
            </w:r>
            <w:r w:rsidRPr="00067714">
              <w:rPr>
                <w:rFonts w:ascii="Arial" w:hAnsi="Arial" w:cs="Arial"/>
                <w:sz w:val="24"/>
                <w:szCs w:val="24"/>
              </w:rPr>
              <w:t>elects to use the modified calculation only for school identification under ESSA</w:t>
            </w:r>
            <w:r w:rsidR="008C1C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0357D" w:rsidRPr="00067714" w14:paraId="0BF434B2" w14:textId="77777777" w:rsidTr="00210F92">
        <w:tc>
          <w:tcPr>
            <w:tcW w:w="8854" w:type="dxa"/>
          </w:tcPr>
          <w:p w14:paraId="2ACDD272" w14:textId="18EFDF1A" w:rsidR="003D4756" w:rsidRPr="00067714" w:rsidRDefault="003D4756" w:rsidP="003D475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7714">
              <w:rPr>
                <w:rFonts w:ascii="Arial" w:hAnsi="Arial" w:cs="Arial"/>
                <w:b/>
                <w:i/>
                <w:sz w:val="24"/>
                <w:szCs w:val="24"/>
              </w:rPr>
              <w:t>Weighting of indicators</w:t>
            </w:r>
          </w:p>
          <w:p w14:paraId="350F1D4E" w14:textId="61E48A73" w:rsidR="0010357D" w:rsidRPr="00067714" w:rsidRDefault="008E7FEC" w:rsidP="008C1CBF">
            <w:pPr>
              <w:rPr>
                <w:rFonts w:ascii="Arial" w:hAnsi="Arial" w:cs="Arial"/>
                <w:sz w:val="24"/>
                <w:szCs w:val="24"/>
              </w:rPr>
            </w:pPr>
            <w:r w:rsidRPr="00067714">
              <w:rPr>
                <w:rFonts w:ascii="Arial" w:hAnsi="Arial" w:cs="Arial"/>
                <w:sz w:val="24"/>
                <w:szCs w:val="24"/>
              </w:rPr>
              <w:t>For federal</w:t>
            </w:r>
            <w:r w:rsidR="00DD0B9C" w:rsidRPr="00067714">
              <w:rPr>
                <w:rFonts w:ascii="Arial" w:hAnsi="Arial" w:cs="Arial"/>
                <w:sz w:val="24"/>
                <w:szCs w:val="24"/>
              </w:rPr>
              <w:t xml:space="preserve"> reporting purposes</w:t>
            </w:r>
            <w:r w:rsidRPr="00067714">
              <w:rPr>
                <w:rFonts w:ascii="Arial" w:hAnsi="Arial" w:cs="Arial"/>
                <w:sz w:val="24"/>
                <w:szCs w:val="24"/>
              </w:rPr>
              <w:t>, u</w:t>
            </w:r>
            <w:r w:rsidR="002933A0" w:rsidRPr="00067714">
              <w:rPr>
                <w:rFonts w:ascii="Arial" w:hAnsi="Arial" w:cs="Arial"/>
                <w:sz w:val="24"/>
                <w:szCs w:val="24"/>
              </w:rPr>
              <w:t>pda</w:t>
            </w:r>
            <w:r w:rsidR="000A4EEF" w:rsidRPr="00067714">
              <w:rPr>
                <w:rFonts w:ascii="Arial" w:hAnsi="Arial" w:cs="Arial"/>
                <w:sz w:val="24"/>
                <w:szCs w:val="24"/>
              </w:rPr>
              <w:t>te language to reflect reporting</w:t>
            </w:r>
            <w:r w:rsidR="002933A0" w:rsidRPr="00067714">
              <w:rPr>
                <w:rFonts w:ascii="Arial" w:hAnsi="Arial" w:cs="Arial"/>
                <w:sz w:val="24"/>
                <w:szCs w:val="24"/>
              </w:rPr>
              <w:t xml:space="preserve"> of Status and Change as distinct indicators and inclusion of Grade 11 </w:t>
            </w:r>
            <w:r w:rsidR="008C1CBF">
              <w:rPr>
                <w:rFonts w:ascii="Arial" w:hAnsi="Arial" w:cs="Arial"/>
                <w:sz w:val="24"/>
                <w:szCs w:val="24"/>
              </w:rPr>
              <w:t>SBAC</w:t>
            </w:r>
            <w:r w:rsidR="00045856" w:rsidRPr="00067714">
              <w:rPr>
                <w:rFonts w:ascii="Arial" w:hAnsi="Arial" w:cs="Arial"/>
                <w:sz w:val="24"/>
                <w:szCs w:val="24"/>
              </w:rPr>
              <w:t xml:space="preserve"> results</w:t>
            </w:r>
            <w:r w:rsidR="002933A0" w:rsidRPr="000677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06" w:type="dxa"/>
          </w:tcPr>
          <w:p w14:paraId="1FE41487" w14:textId="77777777" w:rsidR="0010357D" w:rsidRPr="00067714" w:rsidRDefault="003D4756">
            <w:pPr>
              <w:rPr>
                <w:rFonts w:ascii="Arial" w:hAnsi="Arial" w:cs="Arial"/>
                <w:sz w:val="24"/>
                <w:szCs w:val="24"/>
              </w:rPr>
            </w:pPr>
            <w:r w:rsidRPr="00067714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</w:tbl>
    <w:p w14:paraId="0C92719F" w14:textId="77777777" w:rsidR="00721525" w:rsidRDefault="00721525">
      <w:r>
        <w:br w:type="page"/>
      </w:r>
    </w:p>
    <w:tbl>
      <w:tblPr>
        <w:tblStyle w:val="TableGrid"/>
        <w:tblW w:w="12960" w:type="dxa"/>
        <w:tblInd w:w="-5" w:type="dxa"/>
        <w:tblLook w:val="04A0" w:firstRow="1" w:lastRow="0" w:firstColumn="1" w:lastColumn="0" w:noHBand="0" w:noVBand="1"/>
        <w:tblDescription w:val="Table indicating the summary by issue and the impact of the Accountability System."/>
      </w:tblPr>
      <w:tblGrid>
        <w:gridCol w:w="8854"/>
        <w:gridCol w:w="4106"/>
      </w:tblGrid>
      <w:tr w:rsidR="00721525" w:rsidRPr="00067714" w14:paraId="0EB58EB6" w14:textId="77777777" w:rsidTr="00841FCF">
        <w:trPr>
          <w:tblHeader/>
        </w:trPr>
        <w:tc>
          <w:tcPr>
            <w:tcW w:w="8854" w:type="dxa"/>
          </w:tcPr>
          <w:p w14:paraId="691D9655" w14:textId="77777777" w:rsidR="00721525" w:rsidRPr="00067714" w:rsidRDefault="00721525" w:rsidP="00841FCF">
            <w:pPr>
              <w:tabs>
                <w:tab w:val="left" w:pos="478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67714">
              <w:rPr>
                <w:rFonts w:ascii="Arial" w:hAnsi="Arial" w:cs="Arial"/>
                <w:b/>
                <w:sz w:val="24"/>
                <w:szCs w:val="24"/>
              </w:rPr>
              <w:lastRenderedPageBreak/>
              <w:t>Issue</w:t>
            </w:r>
          </w:p>
        </w:tc>
        <w:tc>
          <w:tcPr>
            <w:tcW w:w="4106" w:type="dxa"/>
          </w:tcPr>
          <w:p w14:paraId="2F1D3636" w14:textId="77777777" w:rsidR="00721525" w:rsidRPr="00067714" w:rsidRDefault="00721525" w:rsidP="00841F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7714">
              <w:rPr>
                <w:rFonts w:ascii="Arial" w:hAnsi="Arial" w:cs="Arial"/>
                <w:b/>
                <w:sz w:val="24"/>
                <w:szCs w:val="24"/>
              </w:rPr>
              <w:t>Impact on Accountability System</w:t>
            </w:r>
          </w:p>
        </w:tc>
      </w:tr>
      <w:tr w:rsidR="0010357D" w:rsidRPr="00067714" w14:paraId="6C2ACBC9" w14:textId="77777777" w:rsidTr="00210F92">
        <w:tc>
          <w:tcPr>
            <w:tcW w:w="8854" w:type="dxa"/>
          </w:tcPr>
          <w:p w14:paraId="3296463D" w14:textId="23C4929D" w:rsidR="0010357D" w:rsidRPr="00067714" w:rsidRDefault="003D475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7714">
              <w:rPr>
                <w:rFonts w:ascii="Arial" w:hAnsi="Arial" w:cs="Arial"/>
                <w:b/>
                <w:i/>
                <w:sz w:val="24"/>
                <w:szCs w:val="24"/>
              </w:rPr>
              <w:t>School identification</w:t>
            </w:r>
            <w:r w:rsidR="008C1CB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–See page</w:t>
            </w:r>
            <w:r w:rsidR="008E7FEC" w:rsidRPr="0006771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10071E">
              <w:rPr>
                <w:rFonts w:ascii="Arial" w:hAnsi="Arial" w:cs="Arial"/>
                <w:b/>
                <w:i/>
                <w:sz w:val="24"/>
                <w:szCs w:val="24"/>
              </w:rPr>
              <w:t>7</w:t>
            </w:r>
            <w:r w:rsidR="00337FEA" w:rsidRPr="0006771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for additional information</w:t>
            </w:r>
          </w:p>
          <w:p w14:paraId="4A116721" w14:textId="1E88A583" w:rsidR="003D4756" w:rsidRPr="00067714" w:rsidRDefault="003D4756" w:rsidP="007B5477">
            <w:pPr>
              <w:pStyle w:val="ListParagraph"/>
              <w:numPr>
                <w:ilvl w:val="0"/>
                <w:numId w:val="1"/>
              </w:numPr>
              <w:spacing w:after="240"/>
              <w:ind w:left="43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067714">
              <w:rPr>
                <w:rFonts w:ascii="Arial" w:hAnsi="Arial" w:cs="Arial"/>
                <w:sz w:val="24"/>
                <w:szCs w:val="24"/>
              </w:rPr>
              <w:t xml:space="preserve">Establish performance criteria based </w:t>
            </w:r>
            <w:r w:rsidR="008E7FEC" w:rsidRPr="00067714">
              <w:rPr>
                <w:rFonts w:ascii="Arial" w:hAnsi="Arial" w:cs="Arial"/>
                <w:sz w:val="24"/>
                <w:szCs w:val="24"/>
              </w:rPr>
              <w:t xml:space="preserve">on Dashboard colors using both Status and Change </w:t>
            </w:r>
            <w:r w:rsidRPr="00067714">
              <w:rPr>
                <w:rFonts w:ascii="Arial" w:hAnsi="Arial" w:cs="Arial"/>
                <w:sz w:val="24"/>
                <w:szCs w:val="24"/>
              </w:rPr>
              <w:t xml:space="preserve">to identify </w:t>
            </w:r>
            <w:r w:rsidR="00896269" w:rsidRPr="00067714">
              <w:rPr>
                <w:rFonts w:ascii="Arial" w:hAnsi="Arial" w:cs="Arial"/>
                <w:sz w:val="24"/>
                <w:szCs w:val="24"/>
              </w:rPr>
              <w:t>at least</w:t>
            </w:r>
            <w:r w:rsidR="008E7FEC" w:rsidRPr="000677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7714">
              <w:rPr>
                <w:rFonts w:ascii="Arial" w:hAnsi="Arial" w:cs="Arial"/>
                <w:sz w:val="24"/>
                <w:szCs w:val="24"/>
              </w:rPr>
              <w:t>the lowest</w:t>
            </w:r>
            <w:r w:rsidR="008E7FEC" w:rsidRPr="000677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1CBF" w:rsidRPr="00067714">
              <w:rPr>
                <w:rFonts w:ascii="Arial" w:hAnsi="Arial" w:cs="Arial"/>
                <w:sz w:val="24"/>
                <w:szCs w:val="24"/>
              </w:rPr>
              <w:t xml:space="preserve">performing </w:t>
            </w:r>
            <w:r w:rsidR="008E7FEC" w:rsidRPr="00067714">
              <w:rPr>
                <w:rFonts w:ascii="Arial" w:hAnsi="Arial" w:cs="Arial"/>
                <w:sz w:val="24"/>
                <w:szCs w:val="24"/>
              </w:rPr>
              <w:t>5</w:t>
            </w:r>
            <w:r w:rsidR="008C1CBF">
              <w:rPr>
                <w:rFonts w:ascii="Arial" w:hAnsi="Arial" w:cs="Arial"/>
                <w:sz w:val="24"/>
                <w:szCs w:val="24"/>
              </w:rPr>
              <w:t xml:space="preserve"> percent</w:t>
            </w:r>
            <w:r w:rsidRPr="000677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1CBF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067714">
              <w:rPr>
                <w:rFonts w:ascii="Arial" w:hAnsi="Arial" w:cs="Arial"/>
                <w:sz w:val="24"/>
                <w:szCs w:val="24"/>
              </w:rPr>
              <w:t>Title I</w:t>
            </w:r>
            <w:r w:rsidR="008E7FEC" w:rsidRPr="00067714">
              <w:rPr>
                <w:rFonts w:ascii="Arial" w:hAnsi="Arial" w:cs="Arial"/>
                <w:sz w:val="24"/>
                <w:szCs w:val="24"/>
              </w:rPr>
              <w:t xml:space="preserve"> schools </w:t>
            </w:r>
            <w:r w:rsidRPr="00067714">
              <w:rPr>
                <w:rFonts w:ascii="Arial" w:hAnsi="Arial" w:cs="Arial"/>
                <w:sz w:val="24"/>
                <w:szCs w:val="24"/>
              </w:rPr>
              <w:t>for comprehensive support.</w:t>
            </w:r>
          </w:p>
          <w:p w14:paraId="18AE3615" w14:textId="387B4C5E" w:rsidR="003D4756" w:rsidRPr="00067714" w:rsidRDefault="003D4756" w:rsidP="007B5477">
            <w:pPr>
              <w:pStyle w:val="ListParagraph"/>
              <w:numPr>
                <w:ilvl w:val="0"/>
                <w:numId w:val="1"/>
              </w:numPr>
              <w:spacing w:after="240"/>
              <w:ind w:left="43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067714">
              <w:rPr>
                <w:rFonts w:ascii="Arial" w:hAnsi="Arial" w:cs="Arial"/>
                <w:sz w:val="24"/>
                <w:szCs w:val="24"/>
              </w:rPr>
              <w:t>Identify high schools with an average graduation rate below 67</w:t>
            </w:r>
            <w:r w:rsidR="008C1CBF">
              <w:rPr>
                <w:rFonts w:ascii="Arial" w:hAnsi="Arial" w:cs="Arial"/>
                <w:sz w:val="24"/>
                <w:szCs w:val="24"/>
              </w:rPr>
              <w:t xml:space="preserve"> percent</w:t>
            </w:r>
            <w:r w:rsidRPr="00067714">
              <w:rPr>
                <w:rFonts w:ascii="Arial" w:hAnsi="Arial" w:cs="Arial"/>
                <w:sz w:val="24"/>
                <w:szCs w:val="24"/>
              </w:rPr>
              <w:t xml:space="preserve"> over three years for comprehensive support.</w:t>
            </w:r>
          </w:p>
          <w:p w14:paraId="6E5D75FA" w14:textId="77777777" w:rsidR="003D4756" w:rsidRPr="00067714" w:rsidRDefault="003D4756" w:rsidP="007B5477">
            <w:pPr>
              <w:pStyle w:val="ListParagraph"/>
              <w:numPr>
                <w:ilvl w:val="0"/>
                <w:numId w:val="1"/>
              </w:numPr>
              <w:spacing w:after="240"/>
              <w:ind w:left="43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067714">
              <w:rPr>
                <w:rFonts w:ascii="Arial" w:hAnsi="Arial" w:cs="Arial"/>
                <w:sz w:val="24"/>
                <w:szCs w:val="24"/>
              </w:rPr>
              <w:t xml:space="preserve">Identify schools for targeted support if they have a student group that meets criteria for </w:t>
            </w:r>
            <w:r w:rsidR="002933A0" w:rsidRPr="00067714">
              <w:rPr>
                <w:rFonts w:ascii="Arial" w:hAnsi="Arial" w:cs="Arial"/>
                <w:sz w:val="24"/>
                <w:szCs w:val="24"/>
              </w:rPr>
              <w:t xml:space="preserve">lowest performing Title I schools for </w:t>
            </w:r>
            <w:r w:rsidR="002933A0" w:rsidRPr="00067714">
              <w:rPr>
                <w:rFonts w:ascii="Arial" w:hAnsi="Arial" w:cs="Arial"/>
                <w:i/>
                <w:sz w:val="24"/>
                <w:szCs w:val="24"/>
              </w:rPr>
              <w:t>three out of four</w:t>
            </w:r>
            <w:r w:rsidR="002933A0" w:rsidRPr="00067714">
              <w:rPr>
                <w:rFonts w:ascii="Arial" w:hAnsi="Arial" w:cs="Arial"/>
                <w:sz w:val="24"/>
                <w:szCs w:val="24"/>
              </w:rPr>
              <w:t xml:space="preserve"> consecutive years. </w:t>
            </w:r>
          </w:p>
        </w:tc>
        <w:tc>
          <w:tcPr>
            <w:tcW w:w="4106" w:type="dxa"/>
          </w:tcPr>
          <w:p w14:paraId="1283FA6C" w14:textId="77777777" w:rsidR="0010357D" w:rsidRPr="00067714" w:rsidRDefault="002933A0">
            <w:pPr>
              <w:rPr>
                <w:rFonts w:ascii="Arial" w:hAnsi="Arial" w:cs="Arial"/>
                <w:sz w:val="24"/>
                <w:szCs w:val="24"/>
              </w:rPr>
            </w:pPr>
            <w:r w:rsidRPr="00067714">
              <w:rPr>
                <w:rFonts w:ascii="Arial" w:hAnsi="Arial" w:cs="Arial"/>
                <w:sz w:val="24"/>
                <w:szCs w:val="24"/>
              </w:rPr>
              <w:t xml:space="preserve">None </w:t>
            </w:r>
          </w:p>
        </w:tc>
      </w:tr>
      <w:tr w:rsidR="0010357D" w:rsidRPr="00067714" w14:paraId="75B702B6" w14:textId="77777777" w:rsidTr="00210F92">
        <w:tc>
          <w:tcPr>
            <w:tcW w:w="8854" w:type="dxa"/>
          </w:tcPr>
          <w:p w14:paraId="40D8D3F5" w14:textId="0D6B3C84" w:rsidR="003D4756" w:rsidRPr="00067714" w:rsidRDefault="003D4756" w:rsidP="003D475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7714">
              <w:rPr>
                <w:rFonts w:ascii="Arial" w:hAnsi="Arial" w:cs="Arial"/>
                <w:b/>
                <w:i/>
                <w:sz w:val="24"/>
                <w:szCs w:val="24"/>
              </w:rPr>
              <w:t>Exit Criteria</w:t>
            </w:r>
          </w:p>
          <w:p w14:paraId="5948343F" w14:textId="574ECE4D" w:rsidR="0010357D" w:rsidRPr="00067714" w:rsidRDefault="003D4756" w:rsidP="00CF0F0B">
            <w:pPr>
              <w:rPr>
                <w:rFonts w:ascii="Arial" w:hAnsi="Arial" w:cs="Arial"/>
                <w:sz w:val="24"/>
                <w:szCs w:val="24"/>
              </w:rPr>
            </w:pPr>
            <w:r w:rsidRPr="00067714">
              <w:rPr>
                <w:rFonts w:ascii="Arial" w:hAnsi="Arial" w:cs="Arial"/>
                <w:sz w:val="24"/>
                <w:szCs w:val="24"/>
              </w:rPr>
              <w:t>Clarify that schools meet the exit criteria</w:t>
            </w:r>
            <w:r w:rsidR="008E7FEC" w:rsidRPr="00067714">
              <w:rPr>
                <w:rFonts w:ascii="Arial" w:hAnsi="Arial" w:cs="Arial"/>
                <w:sz w:val="24"/>
                <w:szCs w:val="24"/>
              </w:rPr>
              <w:t xml:space="preserve"> from federal identification</w:t>
            </w:r>
            <w:r w:rsidRPr="00067714">
              <w:rPr>
                <w:rFonts w:ascii="Arial" w:hAnsi="Arial" w:cs="Arial"/>
                <w:sz w:val="24"/>
                <w:szCs w:val="24"/>
              </w:rPr>
              <w:t xml:space="preserve"> only if their Status has </w:t>
            </w:r>
            <w:r w:rsidR="00CF0F0B" w:rsidRPr="00067714">
              <w:rPr>
                <w:rFonts w:ascii="Arial" w:hAnsi="Arial" w:cs="Arial"/>
                <w:sz w:val="24"/>
                <w:szCs w:val="24"/>
              </w:rPr>
              <w:t xml:space="preserve">improved </w:t>
            </w:r>
            <w:r w:rsidRPr="00067714">
              <w:rPr>
                <w:rFonts w:ascii="Arial" w:hAnsi="Arial" w:cs="Arial"/>
                <w:sz w:val="24"/>
                <w:szCs w:val="24"/>
              </w:rPr>
              <w:t>on the relevant indicators.</w:t>
            </w:r>
          </w:p>
        </w:tc>
        <w:tc>
          <w:tcPr>
            <w:tcW w:w="4106" w:type="dxa"/>
          </w:tcPr>
          <w:p w14:paraId="42093159" w14:textId="77777777" w:rsidR="0010357D" w:rsidRPr="00067714" w:rsidRDefault="003D4756">
            <w:pPr>
              <w:rPr>
                <w:rFonts w:ascii="Arial" w:hAnsi="Arial" w:cs="Arial"/>
                <w:sz w:val="24"/>
                <w:szCs w:val="24"/>
              </w:rPr>
            </w:pPr>
            <w:r w:rsidRPr="00067714">
              <w:rPr>
                <w:rFonts w:ascii="Arial" w:hAnsi="Arial" w:cs="Arial"/>
                <w:sz w:val="24"/>
                <w:szCs w:val="24"/>
              </w:rPr>
              <w:t xml:space="preserve">None </w:t>
            </w:r>
          </w:p>
        </w:tc>
      </w:tr>
      <w:tr w:rsidR="00377A9A" w:rsidRPr="00067714" w14:paraId="2569C403" w14:textId="77777777" w:rsidTr="00210F92">
        <w:tc>
          <w:tcPr>
            <w:tcW w:w="8854" w:type="dxa"/>
          </w:tcPr>
          <w:p w14:paraId="523A3872" w14:textId="52B5CC88" w:rsidR="00216091" w:rsidRPr="00067714" w:rsidRDefault="00216091" w:rsidP="000D6C7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7714">
              <w:rPr>
                <w:rFonts w:ascii="Arial" w:hAnsi="Arial" w:cs="Arial"/>
                <w:b/>
                <w:i/>
                <w:sz w:val="24"/>
                <w:szCs w:val="24"/>
              </w:rPr>
              <w:t>Measurements of interim progress</w:t>
            </w:r>
            <w:r w:rsidR="008E7FEC" w:rsidRPr="0006771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– See p</w:t>
            </w:r>
            <w:r w:rsidR="008C1CBF">
              <w:rPr>
                <w:rFonts w:ascii="Arial" w:hAnsi="Arial" w:cs="Arial"/>
                <w:b/>
                <w:i/>
                <w:sz w:val="24"/>
                <w:szCs w:val="24"/>
              </w:rPr>
              <w:t>age</w:t>
            </w:r>
            <w:r w:rsidR="008E7FEC" w:rsidRPr="0006771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10071E">
              <w:rPr>
                <w:rFonts w:ascii="Arial" w:hAnsi="Arial" w:cs="Arial"/>
                <w:b/>
                <w:i/>
                <w:sz w:val="24"/>
                <w:szCs w:val="24"/>
              </w:rPr>
              <w:t>9</w:t>
            </w:r>
            <w:r w:rsidR="00337FEA" w:rsidRPr="0006771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for additional information</w:t>
            </w:r>
          </w:p>
          <w:p w14:paraId="1E9454E4" w14:textId="12A1CF3C" w:rsidR="00216091" w:rsidRPr="00067714" w:rsidRDefault="00216091" w:rsidP="008C1CBF">
            <w:pPr>
              <w:rPr>
                <w:rFonts w:ascii="Arial" w:hAnsi="Arial" w:cs="Arial"/>
                <w:sz w:val="24"/>
                <w:szCs w:val="24"/>
              </w:rPr>
            </w:pPr>
            <w:r w:rsidRPr="00067714">
              <w:rPr>
                <w:rFonts w:ascii="Arial" w:hAnsi="Arial" w:cs="Arial"/>
                <w:sz w:val="24"/>
                <w:szCs w:val="24"/>
              </w:rPr>
              <w:t>For Academic Achievement, Graduation Rate, and E</w:t>
            </w:r>
            <w:r w:rsidR="008C1CBF">
              <w:rPr>
                <w:rFonts w:ascii="Arial" w:hAnsi="Arial" w:cs="Arial"/>
                <w:sz w:val="24"/>
                <w:szCs w:val="24"/>
              </w:rPr>
              <w:t>LPI</w:t>
            </w:r>
            <w:r w:rsidRPr="00067714">
              <w:rPr>
                <w:rFonts w:ascii="Arial" w:hAnsi="Arial" w:cs="Arial"/>
                <w:sz w:val="24"/>
                <w:szCs w:val="24"/>
              </w:rPr>
              <w:t>, report for all students and student groups the average annual progress needed to meet the long-term goal and approximate Status on the indicator at the mid-point if on track to meet the goal.</w:t>
            </w:r>
          </w:p>
        </w:tc>
        <w:tc>
          <w:tcPr>
            <w:tcW w:w="4106" w:type="dxa"/>
          </w:tcPr>
          <w:p w14:paraId="3B8982C0" w14:textId="77777777" w:rsidR="00216091" w:rsidRPr="00067714" w:rsidRDefault="00216091" w:rsidP="000D6C7C">
            <w:pPr>
              <w:rPr>
                <w:rFonts w:ascii="Arial" w:hAnsi="Arial" w:cs="Arial"/>
                <w:sz w:val="24"/>
                <w:szCs w:val="24"/>
              </w:rPr>
            </w:pPr>
            <w:r w:rsidRPr="00067714"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10357D" w:rsidRPr="00067714" w14:paraId="672DBD8E" w14:textId="77777777" w:rsidTr="00210F92">
        <w:tc>
          <w:tcPr>
            <w:tcW w:w="8854" w:type="dxa"/>
          </w:tcPr>
          <w:p w14:paraId="08F00917" w14:textId="77777777" w:rsidR="003D4756" w:rsidRPr="00067714" w:rsidRDefault="003D4756" w:rsidP="003D475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67714">
              <w:rPr>
                <w:rFonts w:ascii="Arial" w:hAnsi="Arial" w:cs="Arial"/>
                <w:b/>
                <w:i/>
                <w:sz w:val="24"/>
                <w:szCs w:val="24"/>
              </w:rPr>
              <w:t>N-size</w:t>
            </w:r>
          </w:p>
          <w:p w14:paraId="7B996C54" w14:textId="75F64FE6" w:rsidR="003D4756" w:rsidRDefault="003D4756" w:rsidP="00B76883">
            <w:pPr>
              <w:pStyle w:val="ListParagraph"/>
              <w:numPr>
                <w:ilvl w:val="0"/>
                <w:numId w:val="2"/>
              </w:numPr>
              <w:spacing w:after="240"/>
              <w:ind w:left="43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067714">
              <w:rPr>
                <w:rFonts w:ascii="Arial" w:hAnsi="Arial" w:cs="Arial"/>
                <w:sz w:val="24"/>
                <w:szCs w:val="24"/>
              </w:rPr>
              <w:t xml:space="preserve">Describe the support and programmatic oversight </w:t>
            </w:r>
            <w:r w:rsidR="006051DF">
              <w:rPr>
                <w:rFonts w:ascii="Arial" w:hAnsi="Arial" w:cs="Arial"/>
                <w:sz w:val="24"/>
                <w:szCs w:val="24"/>
              </w:rPr>
              <w:t xml:space="preserve">that the CDE will </w:t>
            </w:r>
            <w:r w:rsidRPr="00067714">
              <w:rPr>
                <w:rFonts w:ascii="Arial" w:hAnsi="Arial" w:cs="Arial"/>
                <w:sz w:val="24"/>
                <w:szCs w:val="24"/>
              </w:rPr>
              <w:t xml:space="preserve">provide to small schools </w:t>
            </w:r>
            <w:r w:rsidR="00CF0F0B" w:rsidRPr="00067714">
              <w:rPr>
                <w:rFonts w:ascii="Arial" w:hAnsi="Arial" w:cs="Arial"/>
                <w:sz w:val="24"/>
                <w:szCs w:val="24"/>
              </w:rPr>
              <w:t>with student populations too small to calculate a color-coded performance levels for any indicators on the Dashboard</w:t>
            </w:r>
            <w:r w:rsidRPr="0006771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7DDBC77" w14:textId="77777777" w:rsidR="0010357D" w:rsidRPr="00067714" w:rsidRDefault="003D4756" w:rsidP="00B76883">
            <w:pPr>
              <w:pStyle w:val="ListParagraph"/>
              <w:numPr>
                <w:ilvl w:val="0"/>
                <w:numId w:val="2"/>
              </w:numPr>
              <w:spacing w:after="240"/>
              <w:ind w:left="43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067714">
              <w:rPr>
                <w:rFonts w:ascii="Arial" w:hAnsi="Arial" w:cs="Arial"/>
                <w:sz w:val="24"/>
                <w:szCs w:val="24"/>
              </w:rPr>
              <w:t xml:space="preserve">Remove reference to the alternative school model, which is under development and subject to final SBE action. </w:t>
            </w:r>
          </w:p>
        </w:tc>
        <w:tc>
          <w:tcPr>
            <w:tcW w:w="4106" w:type="dxa"/>
          </w:tcPr>
          <w:p w14:paraId="2093F514" w14:textId="77777777" w:rsidR="0010357D" w:rsidRPr="00067714" w:rsidRDefault="003D4756">
            <w:pPr>
              <w:rPr>
                <w:rFonts w:ascii="Arial" w:hAnsi="Arial" w:cs="Arial"/>
                <w:sz w:val="24"/>
                <w:szCs w:val="24"/>
              </w:rPr>
            </w:pPr>
            <w:r w:rsidRPr="00067714">
              <w:rPr>
                <w:rFonts w:ascii="Arial" w:hAnsi="Arial" w:cs="Arial"/>
                <w:sz w:val="24"/>
                <w:szCs w:val="24"/>
              </w:rPr>
              <w:t xml:space="preserve">None </w:t>
            </w:r>
          </w:p>
        </w:tc>
      </w:tr>
    </w:tbl>
    <w:p w14:paraId="6B8C37D8" w14:textId="11F66601" w:rsidR="00506D08" w:rsidRPr="00067714" w:rsidRDefault="00506D08" w:rsidP="00575542">
      <w:pPr>
        <w:rPr>
          <w:rFonts w:ascii="Arial" w:hAnsi="Arial" w:cs="Arial"/>
          <w:sz w:val="24"/>
          <w:szCs w:val="24"/>
        </w:rPr>
      </w:pPr>
    </w:p>
    <w:p w14:paraId="34B3DF60" w14:textId="77777777" w:rsidR="00506D08" w:rsidRPr="00067714" w:rsidRDefault="00506D08" w:rsidP="00575542">
      <w:pPr>
        <w:rPr>
          <w:rFonts w:ascii="Arial" w:hAnsi="Arial" w:cs="Arial"/>
          <w:sz w:val="24"/>
          <w:szCs w:val="24"/>
        </w:rPr>
        <w:sectPr w:rsidR="00506D08" w:rsidRPr="00067714" w:rsidSect="00AF77E3">
          <w:headerReference w:type="default" r:id="rId8"/>
          <w:pgSz w:w="15840" w:h="12240" w:orient="landscape"/>
          <w:pgMar w:top="1152" w:right="1440" w:bottom="1152" w:left="1440" w:header="720" w:footer="720" w:gutter="0"/>
          <w:cols w:space="720"/>
          <w:docGrid w:linePitch="360"/>
        </w:sectPr>
      </w:pPr>
    </w:p>
    <w:p w14:paraId="4C2538E0" w14:textId="606B4A6E" w:rsidR="00575542" w:rsidRPr="00067714" w:rsidRDefault="006376FA" w:rsidP="004E2907">
      <w:pPr>
        <w:spacing w:after="100" w:afterAutospacing="1"/>
        <w:rPr>
          <w:rFonts w:ascii="Arial" w:hAnsi="Arial" w:cs="Arial"/>
          <w:sz w:val="24"/>
          <w:szCs w:val="24"/>
        </w:rPr>
      </w:pPr>
      <w:r w:rsidRPr="00067714">
        <w:rPr>
          <w:rFonts w:ascii="Arial" w:hAnsi="Arial" w:cs="Arial"/>
          <w:b/>
          <w:i/>
          <w:sz w:val="24"/>
          <w:szCs w:val="24"/>
        </w:rPr>
        <w:lastRenderedPageBreak/>
        <w:t xml:space="preserve">Status and </w:t>
      </w:r>
      <w:r w:rsidR="00E5112A">
        <w:rPr>
          <w:rFonts w:ascii="Arial" w:hAnsi="Arial" w:cs="Arial"/>
          <w:b/>
          <w:i/>
          <w:sz w:val="24"/>
          <w:szCs w:val="24"/>
        </w:rPr>
        <w:t>Change (Long-Term Goals and</w:t>
      </w:r>
      <w:r w:rsidRPr="00067714">
        <w:rPr>
          <w:rFonts w:ascii="Arial" w:hAnsi="Arial" w:cs="Arial"/>
          <w:b/>
          <w:i/>
          <w:sz w:val="24"/>
          <w:szCs w:val="24"/>
        </w:rPr>
        <w:t xml:space="preserve"> Indicators).</w:t>
      </w:r>
      <w:r w:rsidRPr="00067714">
        <w:rPr>
          <w:rFonts w:ascii="Arial" w:hAnsi="Arial" w:cs="Arial"/>
          <w:sz w:val="24"/>
          <w:szCs w:val="24"/>
        </w:rPr>
        <w:t xml:space="preserve"> T</w:t>
      </w:r>
      <w:r w:rsidR="001A55D5">
        <w:rPr>
          <w:rFonts w:ascii="Arial" w:hAnsi="Arial" w:cs="Arial"/>
          <w:sz w:val="24"/>
          <w:szCs w:val="24"/>
        </w:rPr>
        <w:t xml:space="preserve">able 2 </w:t>
      </w:r>
      <w:r w:rsidR="00E5112A">
        <w:rPr>
          <w:rFonts w:ascii="Arial" w:hAnsi="Arial" w:cs="Arial"/>
          <w:sz w:val="24"/>
          <w:szCs w:val="24"/>
        </w:rPr>
        <w:t xml:space="preserve">shows the five-by-five </w:t>
      </w:r>
      <w:r w:rsidR="00194818">
        <w:rPr>
          <w:rFonts w:ascii="Arial" w:hAnsi="Arial" w:cs="Arial"/>
          <w:sz w:val="24"/>
          <w:szCs w:val="24"/>
        </w:rPr>
        <w:t xml:space="preserve">placement </w:t>
      </w:r>
      <w:r w:rsidR="00E5112A">
        <w:rPr>
          <w:rFonts w:ascii="Arial" w:hAnsi="Arial" w:cs="Arial"/>
          <w:sz w:val="24"/>
          <w:szCs w:val="24"/>
        </w:rPr>
        <w:t xml:space="preserve">grid for </w:t>
      </w:r>
      <w:r w:rsidR="002933A0" w:rsidRPr="00067714">
        <w:rPr>
          <w:rFonts w:ascii="Arial" w:hAnsi="Arial" w:cs="Arial"/>
          <w:sz w:val="24"/>
          <w:szCs w:val="24"/>
        </w:rPr>
        <w:t>Graduation Rate</w:t>
      </w:r>
      <w:r w:rsidR="00E5112A">
        <w:rPr>
          <w:rFonts w:ascii="Arial" w:hAnsi="Arial" w:cs="Arial"/>
          <w:sz w:val="24"/>
          <w:szCs w:val="24"/>
        </w:rPr>
        <w:t xml:space="preserve"> to </w:t>
      </w:r>
      <w:r w:rsidR="002933A0" w:rsidRPr="00067714">
        <w:rPr>
          <w:rFonts w:ascii="Arial" w:hAnsi="Arial" w:cs="Arial"/>
          <w:sz w:val="24"/>
          <w:szCs w:val="24"/>
        </w:rPr>
        <w:t xml:space="preserve">illustrate why </w:t>
      </w:r>
      <w:r w:rsidRPr="00067714">
        <w:rPr>
          <w:rFonts w:ascii="Arial" w:hAnsi="Arial" w:cs="Arial"/>
          <w:sz w:val="24"/>
          <w:szCs w:val="24"/>
        </w:rPr>
        <w:t xml:space="preserve">the proposed revisions to these sections of the State Plan </w:t>
      </w:r>
      <w:r w:rsidR="002933A0" w:rsidRPr="00067714">
        <w:rPr>
          <w:rFonts w:ascii="Arial" w:hAnsi="Arial" w:cs="Arial"/>
          <w:sz w:val="24"/>
          <w:szCs w:val="24"/>
        </w:rPr>
        <w:t xml:space="preserve">do not materially impact our accountability system or require any </w:t>
      </w:r>
      <w:r w:rsidRPr="00067714">
        <w:rPr>
          <w:rFonts w:ascii="Arial" w:hAnsi="Arial" w:cs="Arial"/>
          <w:sz w:val="24"/>
          <w:szCs w:val="24"/>
        </w:rPr>
        <w:t xml:space="preserve">modifications </w:t>
      </w:r>
      <w:r w:rsidR="002933A0" w:rsidRPr="00067714">
        <w:rPr>
          <w:rFonts w:ascii="Arial" w:hAnsi="Arial" w:cs="Arial"/>
          <w:sz w:val="24"/>
          <w:szCs w:val="24"/>
        </w:rPr>
        <w:t>to the Dashboard.</w:t>
      </w:r>
      <w:r w:rsidR="00575542" w:rsidRPr="00067714">
        <w:rPr>
          <w:rFonts w:ascii="Arial" w:hAnsi="Arial" w:cs="Arial"/>
          <w:sz w:val="24"/>
          <w:szCs w:val="24"/>
        </w:rPr>
        <w:t xml:space="preserve"> </w:t>
      </w:r>
    </w:p>
    <w:p w14:paraId="26A84A09" w14:textId="1035C6AD" w:rsidR="002933A0" w:rsidRPr="002E406B" w:rsidRDefault="002933A0" w:rsidP="002E406B">
      <w:pPr>
        <w:pStyle w:val="Heading2"/>
        <w:rPr>
          <w:rFonts w:ascii="Arial" w:eastAsia="Calibri" w:hAnsi="Arial" w:cs="Arial"/>
          <w:b/>
          <w:color w:val="auto"/>
          <w:sz w:val="24"/>
        </w:rPr>
      </w:pPr>
      <w:r w:rsidRPr="002E406B">
        <w:rPr>
          <w:rFonts w:ascii="Arial" w:eastAsia="Calibri" w:hAnsi="Arial" w:cs="Arial"/>
          <w:b/>
          <w:color w:val="auto"/>
          <w:sz w:val="24"/>
        </w:rPr>
        <w:t>Table</w:t>
      </w:r>
      <w:r w:rsidR="001A55D5" w:rsidRPr="002E406B">
        <w:rPr>
          <w:rFonts w:ascii="Arial" w:eastAsia="Calibri" w:hAnsi="Arial" w:cs="Arial"/>
          <w:b/>
          <w:color w:val="auto"/>
          <w:sz w:val="24"/>
        </w:rPr>
        <w:t xml:space="preserve"> 2:</w:t>
      </w:r>
      <w:r w:rsidRPr="002E406B">
        <w:rPr>
          <w:rFonts w:ascii="Arial" w:eastAsia="Calibri" w:hAnsi="Arial" w:cs="Arial"/>
          <w:b/>
          <w:color w:val="auto"/>
          <w:sz w:val="24"/>
        </w:rPr>
        <w:t xml:space="preserve"> High School Graduation Rate Indicator</w:t>
      </w:r>
    </w:p>
    <w:tbl>
      <w:tblPr>
        <w:tblStyle w:val="TableGrid2"/>
        <w:tblW w:w="0" w:type="auto"/>
        <w:tblLook w:val="04A0" w:firstRow="1" w:lastRow="0" w:firstColumn="1" w:lastColumn="0" w:noHBand="0" w:noVBand="1"/>
        <w:tblDescription w:val="A Five-byFive table showing the Graduation Rate Indicator for the Status and change."/>
      </w:tblPr>
      <w:tblGrid>
        <w:gridCol w:w="1558"/>
        <w:gridCol w:w="1558"/>
        <w:gridCol w:w="1558"/>
        <w:gridCol w:w="1558"/>
        <w:gridCol w:w="1559"/>
        <w:gridCol w:w="1559"/>
      </w:tblGrid>
      <w:tr w:rsidR="003C54E0" w:rsidRPr="003C54E0" w14:paraId="256A8C25" w14:textId="77777777" w:rsidTr="004E2907">
        <w:trPr>
          <w:trHeight w:val="2240"/>
          <w:tblHeader/>
        </w:trPr>
        <w:tc>
          <w:tcPr>
            <w:tcW w:w="1558" w:type="dxa"/>
            <w:vAlign w:val="center"/>
          </w:tcPr>
          <w:p w14:paraId="301B82DA" w14:textId="09354F6C" w:rsidR="003C54E0" w:rsidRPr="003C54E0" w:rsidRDefault="003C54E0" w:rsidP="004E2907">
            <w:pPr>
              <w:jc w:val="center"/>
              <w:rPr>
                <w:rFonts w:ascii="Arial" w:hAnsi="Arial"/>
                <w:sz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Levels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A77AA95" w14:textId="6046F0B1" w:rsidR="003C54E0" w:rsidRPr="003C54E0" w:rsidRDefault="003C54E0" w:rsidP="004E2907">
            <w:pPr>
              <w:spacing w:before="120"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Change</w:t>
            </w:r>
            <w:r w:rsidRPr="003C54E0">
              <w:rPr>
                <w:rFonts w:ascii="Arial" w:eastAsia="Calibri" w:hAnsi="Arial" w:cs="Arial"/>
                <w:sz w:val="24"/>
                <w:szCs w:val="24"/>
              </w:rPr>
              <w:br/>
              <w:t>Declined Significantly</w:t>
            </w:r>
          </w:p>
          <w:p w14:paraId="318343CA" w14:textId="77777777" w:rsidR="003C54E0" w:rsidRPr="003C54E0" w:rsidRDefault="003C54E0" w:rsidP="004E290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Declined by greater than 5%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3CC776C" w14:textId="77777777" w:rsidR="003C54E0" w:rsidRPr="003C54E0" w:rsidRDefault="003C54E0" w:rsidP="004E2907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Change</w:t>
            </w:r>
            <w:r w:rsidRPr="003C54E0">
              <w:rPr>
                <w:rFonts w:ascii="Arial" w:eastAsia="Calibri" w:hAnsi="Arial" w:cs="Arial"/>
                <w:sz w:val="24"/>
                <w:szCs w:val="24"/>
              </w:rPr>
              <w:br/>
              <w:t>Declined</w:t>
            </w:r>
          </w:p>
          <w:p w14:paraId="0A9312E2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Declined by 1% to 5%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74815F5" w14:textId="6940C362" w:rsidR="003C54E0" w:rsidRPr="003C54E0" w:rsidRDefault="003C54E0" w:rsidP="004E2907">
            <w:pPr>
              <w:spacing w:before="240"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Change</w:t>
            </w:r>
            <w:r w:rsidRPr="003C54E0">
              <w:rPr>
                <w:rFonts w:ascii="Arial" w:eastAsia="Calibri" w:hAnsi="Arial" w:cs="Arial"/>
                <w:sz w:val="24"/>
                <w:szCs w:val="24"/>
              </w:rPr>
              <w:br/>
              <w:t>Maintained</w:t>
            </w:r>
          </w:p>
          <w:p w14:paraId="32997247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Declined or increased by less than 1%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C1E649" w14:textId="77777777" w:rsidR="003C54E0" w:rsidRPr="003C54E0" w:rsidRDefault="003C54E0" w:rsidP="004E2907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Change</w:t>
            </w:r>
            <w:r w:rsidRPr="003C54E0">
              <w:rPr>
                <w:rFonts w:ascii="Arial" w:eastAsia="Calibri" w:hAnsi="Arial" w:cs="Arial"/>
                <w:sz w:val="24"/>
                <w:szCs w:val="24"/>
              </w:rPr>
              <w:br/>
              <w:t>Increased</w:t>
            </w:r>
          </w:p>
          <w:p w14:paraId="6C009309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 xml:space="preserve">Increased by 1% </w:t>
            </w:r>
          </w:p>
          <w:p w14:paraId="6D15AE1D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to 5%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C57EDA" w14:textId="34D609C4" w:rsidR="003C54E0" w:rsidRPr="003C54E0" w:rsidRDefault="003C54E0" w:rsidP="004E2907">
            <w:pPr>
              <w:spacing w:before="240"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Change</w:t>
            </w:r>
            <w:r w:rsidRPr="003C54E0">
              <w:rPr>
                <w:rFonts w:ascii="Arial" w:eastAsia="Calibri" w:hAnsi="Arial" w:cs="Arial"/>
                <w:sz w:val="24"/>
                <w:szCs w:val="24"/>
              </w:rPr>
              <w:br/>
              <w:t>Increased Significantly</w:t>
            </w:r>
          </w:p>
          <w:p w14:paraId="74095764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Increased by 5% or greater</w:t>
            </w:r>
          </w:p>
        </w:tc>
      </w:tr>
      <w:tr w:rsidR="003C54E0" w:rsidRPr="003C54E0" w14:paraId="0CB622A1" w14:textId="77777777" w:rsidTr="00FF1D11">
        <w:trPr>
          <w:trHeight w:val="1619"/>
        </w:trPr>
        <w:tc>
          <w:tcPr>
            <w:tcW w:w="1558" w:type="dxa"/>
            <w:shd w:val="clear" w:color="auto" w:fill="auto"/>
            <w:vAlign w:val="center"/>
          </w:tcPr>
          <w:p w14:paraId="038F21D1" w14:textId="77777777" w:rsidR="003C54E0" w:rsidRPr="003C54E0" w:rsidRDefault="003C54E0" w:rsidP="002A1802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Status</w:t>
            </w:r>
            <w:r w:rsidRPr="003C54E0">
              <w:rPr>
                <w:rFonts w:ascii="Arial" w:eastAsia="Calibri" w:hAnsi="Arial" w:cs="Arial"/>
                <w:sz w:val="24"/>
                <w:szCs w:val="24"/>
              </w:rPr>
              <w:br/>
              <w:t>Very High</w:t>
            </w:r>
          </w:p>
          <w:p w14:paraId="15B33C54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95% or more</w:t>
            </w:r>
          </w:p>
        </w:tc>
        <w:tc>
          <w:tcPr>
            <w:tcW w:w="1558" w:type="dxa"/>
            <w:shd w:val="clear" w:color="auto" w:fill="BFBFBF"/>
            <w:vAlign w:val="center"/>
          </w:tcPr>
          <w:p w14:paraId="181E2CD9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N/A</w:t>
            </w:r>
          </w:p>
        </w:tc>
        <w:tc>
          <w:tcPr>
            <w:tcW w:w="1558" w:type="dxa"/>
            <w:shd w:val="clear" w:color="auto" w:fill="0000FF"/>
            <w:vAlign w:val="center"/>
          </w:tcPr>
          <w:p w14:paraId="58AB3B80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color w:val="FFFFFF"/>
                <w:sz w:val="24"/>
                <w:szCs w:val="24"/>
              </w:rPr>
              <w:t>39</w:t>
            </w:r>
          </w:p>
          <w:p w14:paraId="3C167FF5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color w:val="FFFFFF"/>
                <w:sz w:val="24"/>
                <w:szCs w:val="24"/>
              </w:rPr>
              <w:t>(2.9%)</w:t>
            </w:r>
          </w:p>
          <w:p w14:paraId="4637A768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color w:val="FFFFFF"/>
                <w:sz w:val="24"/>
                <w:szCs w:val="24"/>
              </w:rPr>
              <w:t>Blue</w:t>
            </w:r>
          </w:p>
        </w:tc>
        <w:tc>
          <w:tcPr>
            <w:tcW w:w="1558" w:type="dxa"/>
            <w:shd w:val="clear" w:color="auto" w:fill="0000FF"/>
            <w:vAlign w:val="center"/>
          </w:tcPr>
          <w:p w14:paraId="601E0C9B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color w:val="FFFFFF"/>
                <w:sz w:val="24"/>
                <w:szCs w:val="24"/>
              </w:rPr>
              <w:t>203</w:t>
            </w:r>
          </w:p>
          <w:p w14:paraId="7BD68F9D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color w:val="FFFFFF"/>
                <w:sz w:val="24"/>
                <w:szCs w:val="24"/>
              </w:rPr>
              <w:t>(14.9%)</w:t>
            </w:r>
          </w:p>
          <w:p w14:paraId="71507D28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color w:val="FFFFFF"/>
                <w:sz w:val="24"/>
                <w:szCs w:val="24"/>
              </w:rPr>
              <w:t>Blue</w:t>
            </w:r>
          </w:p>
        </w:tc>
        <w:tc>
          <w:tcPr>
            <w:tcW w:w="1559" w:type="dxa"/>
            <w:shd w:val="clear" w:color="auto" w:fill="0000FF"/>
            <w:vAlign w:val="center"/>
          </w:tcPr>
          <w:p w14:paraId="37DE62F0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color w:val="FFFFFF"/>
                <w:sz w:val="24"/>
                <w:szCs w:val="24"/>
              </w:rPr>
              <w:t>224</w:t>
            </w:r>
          </w:p>
          <w:p w14:paraId="69867151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color w:val="FFFFFF"/>
                <w:sz w:val="24"/>
                <w:szCs w:val="24"/>
              </w:rPr>
              <w:t>(16.4%)</w:t>
            </w:r>
          </w:p>
          <w:p w14:paraId="65B63259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color w:val="FFFFFF"/>
                <w:sz w:val="24"/>
                <w:szCs w:val="24"/>
              </w:rPr>
              <w:t>Blue</w:t>
            </w:r>
          </w:p>
        </w:tc>
        <w:tc>
          <w:tcPr>
            <w:tcW w:w="1559" w:type="dxa"/>
            <w:shd w:val="clear" w:color="auto" w:fill="0000FF"/>
            <w:vAlign w:val="center"/>
          </w:tcPr>
          <w:p w14:paraId="19B67F30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color w:val="FFFFFF"/>
                <w:sz w:val="24"/>
                <w:szCs w:val="24"/>
              </w:rPr>
              <w:t>54</w:t>
            </w:r>
          </w:p>
          <w:p w14:paraId="093A1BC6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color w:val="FFFFFF"/>
                <w:sz w:val="24"/>
                <w:szCs w:val="24"/>
              </w:rPr>
              <w:t>(4.0%)</w:t>
            </w:r>
          </w:p>
          <w:p w14:paraId="15482B69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color w:val="FFFFFF"/>
                <w:sz w:val="24"/>
                <w:szCs w:val="24"/>
              </w:rPr>
              <w:t>Blue</w:t>
            </w:r>
          </w:p>
        </w:tc>
      </w:tr>
      <w:tr w:rsidR="003C54E0" w:rsidRPr="003C54E0" w14:paraId="69A9C205" w14:textId="77777777" w:rsidTr="00FF1D11">
        <w:trPr>
          <w:trHeight w:val="1682"/>
        </w:trPr>
        <w:tc>
          <w:tcPr>
            <w:tcW w:w="1558" w:type="dxa"/>
            <w:shd w:val="clear" w:color="auto" w:fill="auto"/>
            <w:vAlign w:val="center"/>
          </w:tcPr>
          <w:p w14:paraId="425B38E7" w14:textId="77777777" w:rsidR="003C54E0" w:rsidRPr="003C54E0" w:rsidRDefault="003C54E0" w:rsidP="002A1802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Status</w:t>
            </w:r>
            <w:r w:rsidRPr="003C54E0">
              <w:rPr>
                <w:rFonts w:ascii="Arial" w:eastAsia="Calibri" w:hAnsi="Arial" w:cs="Arial"/>
                <w:sz w:val="24"/>
                <w:szCs w:val="24"/>
              </w:rPr>
              <w:br/>
              <w:t>High</w:t>
            </w:r>
          </w:p>
          <w:p w14:paraId="42CC62D8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90% to less than 95%</w:t>
            </w:r>
          </w:p>
        </w:tc>
        <w:tc>
          <w:tcPr>
            <w:tcW w:w="1558" w:type="dxa"/>
            <w:shd w:val="clear" w:color="auto" w:fill="FFA500"/>
            <w:vAlign w:val="center"/>
          </w:tcPr>
          <w:p w14:paraId="35F8D707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14:paraId="265E0A3A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(0.4%)</w:t>
            </w:r>
          </w:p>
          <w:p w14:paraId="00BB0F04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Orange</w:t>
            </w:r>
          </w:p>
        </w:tc>
        <w:tc>
          <w:tcPr>
            <w:tcW w:w="1558" w:type="dxa"/>
            <w:shd w:val="clear" w:color="auto" w:fill="FFFF00"/>
            <w:vAlign w:val="center"/>
          </w:tcPr>
          <w:p w14:paraId="233BCBEB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65</w:t>
            </w:r>
          </w:p>
          <w:p w14:paraId="480ACA71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(4.8%)</w:t>
            </w:r>
          </w:p>
          <w:p w14:paraId="61052EBF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Yellow</w:t>
            </w:r>
          </w:p>
        </w:tc>
        <w:tc>
          <w:tcPr>
            <w:tcW w:w="1558" w:type="dxa"/>
            <w:shd w:val="clear" w:color="auto" w:fill="006500"/>
            <w:vAlign w:val="center"/>
          </w:tcPr>
          <w:p w14:paraId="1EDF47E1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color w:val="FFFFFF"/>
                <w:sz w:val="24"/>
                <w:szCs w:val="24"/>
              </w:rPr>
              <w:t>71</w:t>
            </w:r>
            <w:r w:rsidRPr="003C54E0">
              <w:rPr>
                <w:rFonts w:ascii="Arial" w:eastAsia="Calibri" w:hAnsi="Arial" w:cs="Arial"/>
                <w:color w:val="FFFFFF"/>
                <w:sz w:val="24"/>
                <w:szCs w:val="24"/>
              </w:rPr>
              <w:br/>
              <w:t>(5.2%)</w:t>
            </w:r>
            <w:r w:rsidRPr="003C54E0">
              <w:rPr>
                <w:rFonts w:ascii="Arial" w:eastAsia="Calibri" w:hAnsi="Arial" w:cs="Arial"/>
                <w:color w:val="FFFFFF"/>
                <w:sz w:val="24"/>
                <w:szCs w:val="24"/>
              </w:rPr>
              <w:br/>
              <w:t>Green</w:t>
            </w:r>
          </w:p>
        </w:tc>
        <w:tc>
          <w:tcPr>
            <w:tcW w:w="1559" w:type="dxa"/>
            <w:shd w:val="clear" w:color="auto" w:fill="006500"/>
            <w:vAlign w:val="center"/>
          </w:tcPr>
          <w:p w14:paraId="76D54B31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color w:val="FFFFFF"/>
                <w:sz w:val="24"/>
                <w:szCs w:val="24"/>
              </w:rPr>
              <w:t>142</w:t>
            </w:r>
          </w:p>
          <w:p w14:paraId="6FB28970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color w:val="FFFFFF"/>
                <w:sz w:val="24"/>
                <w:szCs w:val="24"/>
              </w:rPr>
              <w:t>(10.4%)</w:t>
            </w:r>
          </w:p>
          <w:p w14:paraId="2F4F8A98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color w:val="FFFFFF"/>
                <w:sz w:val="24"/>
                <w:szCs w:val="24"/>
              </w:rPr>
              <w:t>Green</w:t>
            </w:r>
          </w:p>
        </w:tc>
        <w:tc>
          <w:tcPr>
            <w:tcW w:w="1559" w:type="dxa"/>
            <w:shd w:val="clear" w:color="auto" w:fill="0000FF"/>
            <w:vAlign w:val="center"/>
          </w:tcPr>
          <w:p w14:paraId="1984BB45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color w:val="FFFFFF"/>
                <w:sz w:val="24"/>
                <w:szCs w:val="24"/>
              </w:rPr>
              <w:t>71</w:t>
            </w:r>
          </w:p>
          <w:p w14:paraId="1410F593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color w:val="FFFFFF"/>
                <w:sz w:val="24"/>
                <w:szCs w:val="24"/>
              </w:rPr>
              <w:t>(5.2%)</w:t>
            </w:r>
            <w:r w:rsidRPr="003C54E0">
              <w:rPr>
                <w:rFonts w:ascii="Arial" w:eastAsia="Calibri" w:hAnsi="Arial" w:cs="Arial"/>
                <w:color w:val="FFFFFF"/>
                <w:sz w:val="24"/>
                <w:szCs w:val="24"/>
              </w:rPr>
              <w:br/>
              <w:t>Blue</w:t>
            </w:r>
          </w:p>
        </w:tc>
      </w:tr>
      <w:tr w:rsidR="003C54E0" w:rsidRPr="003C54E0" w14:paraId="6E4F2D74" w14:textId="77777777" w:rsidTr="00FF1D11">
        <w:trPr>
          <w:trHeight w:val="1520"/>
        </w:trPr>
        <w:tc>
          <w:tcPr>
            <w:tcW w:w="1558" w:type="dxa"/>
            <w:shd w:val="clear" w:color="auto" w:fill="auto"/>
            <w:vAlign w:val="center"/>
          </w:tcPr>
          <w:p w14:paraId="30852DCF" w14:textId="77777777" w:rsidR="003C54E0" w:rsidRPr="003C54E0" w:rsidRDefault="003C54E0" w:rsidP="002A1802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Status</w:t>
            </w:r>
            <w:r w:rsidRPr="003C54E0">
              <w:rPr>
                <w:rFonts w:ascii="Arial" w:eastAsia="Calibri" w:hAnsi="Arial" w:cs="Arial"/>
                <w:sz w:val="24"/>
                <w:szCs w:val="24"/>
              </w:rPr>
              <w:br/>
              <w:t>Medium</w:t>
            </w:r>
          </w:p>
          <w:p w14:paraId="762A5F9E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85% to less than 90%</w:t>
            </w:r>
          </w:p>
        </w:tc>
        <w:tc>
          <w:tcPr>
            <w:tcW w:w="1558" w:type="dxa"/>
            <w:shd w:val="clear" w:color="auto" w:fill="FFA500"/>
            <w:vAlign w:val="center"/>
          </w:tcPr>
          <w:p w14:paraId="52A334A6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  <w:p w14:paraId="5A279D18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(0.4%)</w:t>
            </w:r>
            <w:r w:rsidRPr="003C54E0">
              <w:rPr>
                <w:rFonts w:ascii="Arial" w:eastAsia="Calibri" w:hAnsi="Arial" w:cs="Arial"/>
                <w:sz w:val="24"/>
                <w:szCs w:val="24"/>
              </w:rPr>
              <w:br/>
              <w:t>Orange</w:t>
            </w:r>
          </w:p>
        </w:tc>
        <w:tc>
          <w:tcPr>
            <w:tcW w:w="1558" w:type="dxa"/>
            <w:shd w:val="clear" w:color="auto" w:fill="FFA500"/>
            <w:vAlign w:val="center"/>
          </w:tcPr>
          <w:p w14:paraId="3CC284ED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29</w:t>
            </w:r>
          </w:p>
          <w:p w14:paraId="0D723E75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(2.1%)</w:t>
            </w:r>
            <w:r w:rsidRPr="003C54E0">
              <w:rPr>
                <w:rFonts w:ascii="Arial" w:eastAsia="Calibri" w:hAnsi="Arial" w:cs="Arial"/>
                <w:sz w:val="24"/>
                <w:szCs w:val="24"/>
              </w:rPr>
              <w:br/>
              <w:t>Orange</w:t>
            </w:r>
          </w:p>
        </w:tc>
        <w:tc>
          <w:tcPr>
            <w:tcW w:w="1558" w:type="dxa"/>
            <w:shd w:val="clear" w:color="auto" w:fill="FFFF00"/>
            <w:vAlign w:val="center"/>
          </w:tcPr>
          <w:p w14:paraId="72D2D77B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28</w:t>
            </w:r>
          </w:p>
          <w:p w14:paraId="1DA186BE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(2.1%)</w:t>
            </w:r>
            <w:r w:rsidRPr="003C54E0">
              <w:rPr>
                <w:rFonts w:ascii="Arial" w:eastAsia="Calibri" w:hAnsi="Arial" w:cs="Arial"/>
                <w:sz w:val="24"/>
                <w:szCs w:val="24"/>
              </w:rPr>
              <w:br/>
              <w:t>Yellow</w:t>
            </w:r>
          </w:p>
        </w:tc>
        <w:tc>
          <w:tcPr>
            <w:tcW w:w="1559" w:type="dxa"/>
            <w:shd w:val="clear" w:color="auto" w:fill="006500"/>
            <w:vAlign w:val="center"/>
          </w:tcPr>
          <w:p w14:paraId="58BAE0A4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color w:val="FFFFFF"/>
                <w:sz w:val="24"/>
                <w:szCs w:val="24"/>
              </w:rPr>
              <w:t>55</w:t>
            </w:r>
          </w:p>
          <w:p w14:paraId="1448E792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color w:val="FFFFFF"/>
                <w:sz w:val="24"/>
                <w:szCs w:val="24"/>
              </w:rPr>
              <w:t>(4.0%)</w:t>
            </w:r>
            <w:r w:rsidRPr="003C54E0">
              <w:rPr>
                <w:rFonts w:ascii="Arial" w:eastAsia="Calibri" w:hAnsi="Arial" w:cs="Arial"/>
                <w:color w:val="FFFFFF"/>
                <w:sz w:val="24"/>
                <w:szCs w:val="24"/>
              </w:rPr>
              <w:br/>
              <w:t>Green</w:t>
            </w:r>
          </w:p>
        </w:tc>
        <w:tc>
          <w:tcPr>
            <w:tcW w:w="1559" w:type="dxa"/>
            <w:shd w:val="clear" w:color="auto" w:fill="006500"/>
            <w:vAlign w:val="center"/>
          </w:tcPr>
          <w:p w14:paraId="4BE88668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color w:val="FFFFFF"/>
                <w:sz w:val="24"/>
                <w:szCs w:val="24"/>
              </w:rPr>
              <w:t>46</w:t>
            </w:r>
          </w:p>
          <w:p w14:paraId="327930BA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color w:val="FFFFFF"/>
                <w:sz w:val="24"/>
                <w:szCs w:val="24"/>
              </w:rPr>
              <w:t>(3.4%)</w:t>
            </w:r>
            <w:r w:rsidRPr="003C54E0">
              <w:rPr>
                <w:rFonts w:ascii="Arial" w:eastAsia="Calibri" w:hAnsi="Arial" w:cs="Arial"/>
                <w:color w:val="FFFFFF"/>
                <w:sz w:val="24"/>
                <w:szCs w:val="24"/>
              </w:rPr>
              <w:br/>
              <w:t>Green</w:t>
            </w:r>
          </w:p>
        </w:tc>
      </w:tr>
      <w:tr w:rsidR="003C54E0" w:rsidRPr="003C54E0" w14:paraId="470BEE2A" w14:textId="77777777" w:rsidTr="00FF1D11">
        <w:trPr>
          <w:trHeight w:val="1619"/>
        </w:trPr>
        <w:tc>
          <w:tcPr>
            <w:tcW w:w="1558" w:type="dxa"/>
            <w:shd w:val="clear" w:color="auto" w:fill="auto"/>
            <w:vAlign w:val="center"/>
          </w:tcPr>
          <w:p w14:paraId="6E8FABD5" w14:textId="77777777" w:rsidR="003C54E0" w:rsidRPr="003C54E0" w:rsidRDefault="003C54E0" w:rsidP="002A1802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Status</w:t>
            </w:r>
            <w:r w:rsidRPr="003C54E0">
              <w:rPr>
                <w:rFonts w:ascii="Arial" w:eastAsia="Calibri" w:hAnsi="Arial" w:cs="Arial"/>
                <w:sz w:val="24"/>
                <w:szCs w:val="24"/>
              </w:rPr>
              <w:br/>
              <w:t>Low</w:t>
            </w:r>
          </w:p>
          <w:p w14:paraId="15B6FDAE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67% to less than 85%</w:t>
            </w:r>
          </w:p>
        </w:tc>
        <w:tc>
          <w:tcPr>
            <w:tcW w:w="1558" w:type="dxa"/>
            <w:shd w:val="clear" w:color="auto" w:fill="A20000"/>
            <w:vAlign w:val="center"/>
          </w:tcPr>
          <w:p w14:paraId="282EAA38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28</w:t>
            </w:r>
          </w:p>
          <w:p w14:paraId="2144EE0D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(2.1%)</w:t>
            </w:r>
          </w:p>
          <w:p w14:paraId="6C6D3C0A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Red</w:t>
            </w:r>
          </w:p>
        </w:tc>
        <w:tc>
          <w:tcPr>
            <w:tcW w:w="1558" w:type="dxa"/>
            <w:shd w:val="clear" w:color="auto" w:fill="FFA500"/>
            <w:vAlign w:val="center"/>
          </w:tcPr>
          <w:p w14:paraId="35A54B3D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33</w:t>
            </w:r>
          </w:p>
          <w:p w14:paraId="21442387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(2.4%)</w:t>
            </w:r>
          </w:p>
          <w:p w14:paraId="4E13A6A4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Orange</w:t>
            </w:r>
          </w:p>
        </w:tc>
        <w:tc>
          <w:tcPr>
            <w:tcW w:w="1558" w:type="dxa"/>
            <w:shd w:val="clear" w:color="auto" w:fill="FFA500"/>
            <w:vAlign w:val="center"/>
          </w:tcPr>
          <w:p w14:paraId="62ECCF0C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21</w:t>
            </w:r>
          </w:p>
          <w:p w14:paraId="31CFE7A9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(1.5%)</w:t>
            </w:r>
            <w:r w:rsidRPr="003C54E0">
              <w:rPr>
                <w:rFonts w:ascii="Arial" w:eastAsia="Calibri" w:hAnsi="Arial" w:cs="Arial"/>
                <w:sz w:val="24"/>
                <w:szCs w:val="24"/>
              </w:rPr>
              <w:br/>
              <w:t>Orange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0FF7123E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52</w:t>
            </w:r>
          </w:p>
          <w:p w14:paraId="148391D1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(3.8%)</w:t>
            </w:r>
            <w:r w:rsidRPr="003C54E0">
              <w:rPr>
                <w:rFonts w:ascii="Arial" w:eastAsia="Calibri" w:hAnsi="Arial" w:cs="Arial"/>
                <w:sz w:val="24"/>
                <w:szCs w:val="24"/>
              </w:rPr>
              <w:br/>
              <w:t>Yellow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167DC8BC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70</w:t>
            </w:r>
          </w:p>
          <w:p w14:paraId="728A848C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(5.1%)</w:t>
            </w:r>
            <w:r w:rsidRPr="003C54E0">
              <w:rPr>
                <w:rFonts w:ascii="Arial" w:eastAsia="Calibri" w:hAnsi="Arial" w:cs="Arial"/>
                <w:sz w:val="24"/>
                <w:szCs w:val="24"/>
              </w:rPr>
              <w:br/>
              <w:t>Yellow</w:t>
            </w:r>
          </w:p>
        </w:tc>
      </w:tr>
      <w:tr w:rsidR="003C54E0" w:rsidRPr="003C54E0" w14:paraId="51114F36" w14:textId="77777777" w:rsidTr="00FF1D11">
        <w:trPr>
          <w:trHeight w:val="1709"/>
        </w:trPr>
        <w:tc>
          <w:tcPr>
            <w:tcW w:w="1558" w:type="dxa"/>
            <w:shd w:val="clear" w:color="auto" w:fill="auto"/>
            <w:vAlign w:val="center"/>
          </w:tcPr>
          <w:p w14:paraId="2FBC8C1D" w14:textId="77777777" w:rsidR="003C54E0" w:rsidRPr="003C54E0" w:rsidRDefault="003C54E0" w:rsidP="002A1802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Status</w:t>
            </w:r>
            <w:r w:rsidRPr="003C54E0">
              <w:rPr>
                <w:rFonts w:ascii="Arial" w:eastAsia="Calibri" w:hAnsi="Arial" w:cs="Arial"/>
                <w:sz w:val="24"/>
                <w:szCs w:val="24"/>
              </w:rPr>
              <w:br/>
              <w:t>Very Low</w:t>
            </w:r>
          </w:p>
          <w:p w14:paraId="1D100E5F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Less than 67%</w:t>
            </w:r>
          </w:p>
        </w:tc>
        <w:tc>
          <w:tcPr>
            <w:tcW w:w="1558" w:type="dxa"/>
            <w:shd w:val="clear" w:color="auto" w:fill="A20000"/>
            <w:vAlign w:val="center"/>
          </w:tcPr>
          <w:p w14:paraId="0C04229D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34</w:t>
            </w:r>
          </w:p>
          <w:p w14:paraId="15B09B2F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(2.5%)</w:t>
            </w:r>
            <w:r w:rsidRPr="003C54E0">
              <w:rPr>
                <w:rFonts w:ascii="Arial" w:eastAsia="Calibri" w:hAnsi="Arial" w:cs="Arial"/>
                <w:sz w:val="24"/>
                <w:szCs w:val="24"/>
              </w:rPr>
              <w:br/>
              <w:t>Red</w:t>
            </w:r>
          </w:p>
        </w:tc>
        <w:tc>
          <w:tcPr>
            <w:tcW w:w="1558" w:type="dxa"/>
            <w:shd w:val="clear" w:color="auto" w:fill="A20000"/>
            <w:vAlign w:val="center"/>
          </w:tcPr>
          <w:p w14:paraId="333E0BC1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  <w:p w14:paraId="6E55AEFF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(1.8%)</w:t>
            </w:r>
            <w:r w:rsidRPr="003C54E0">
              <w:rPr>
                <w:rFonts w:ascii="Arial" w:eastAsia="Calibri" w:hAnsi="Arial" w:cs="Arial"/>
                <w:sz w:val="24"/>
                <w:szCs w:val="24"/>
              </w:rPr>
              <w:br/>
              <w:t>Red</w:t>
            </w:r>
          </w:p>
        </w:tc>
        <w:tc>
          <w:tcPr>
            <w:tcW w:w="1558" w:type="dxa"/>
            <w:shd w:val="clear" w:color="auto" w:fill="A20000"/>
            <w:vAlign w:val="center"/>
          </w:tcPr>
          <w:p w14:paraId="68275C34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  <w:p w14:paraId="49092290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(0.7%)</w:t>
            </w:r>
          </w:p>
          <w:p w14:paraId="7E7FC8D3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Red</w:t>
            </w:r>
          </w:p>
        </w:tc>
        <w:tc>
          <w:tcPr>
            <w:tcW w:w="1559" w:type="dxa"/>
            <w:shd w:val="clear" w:color="auto" w:fill="A20000"/>
            <w:vAlign w:val="center"/>
          </w:tcPr>
          <w:p w14:paraId="074830AE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  <w:p w14:paraId="77803795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(1.5%)</w:t>
            </w:r>
            <w:r w:rsidRPr="003C54E0">
              <w:rPr>
                <w:rFonts w:ascii="Arial" w:eastAsia="Calibri" w:hAnsi="Arial" w:cs="Arial"/>
                <w:sz w:val="24"/>
                <w:szCs w:val="24"/>
              </w:rPr>
              <w:br/>
              <w:t>Red</w:t>
            </w:r>
          </w:p>
        </w:tc>
        <w:tc>
          <w:tcPr>
            <w:tcW w:w="1559" w:type="dxa"/>
            <w:shd w:val="clear" w:color="auto" w:fill="A20000"/>
            <w:vAlign w:val="center"/>
          </w:tcPr>
          <w:p w14:paraId="0CE14E10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34</w:t>
            </w:r>
          </w:p>
          <w:p w14:paraId="3A7C63E6" w14:textId="77777777" w:rsidR="003C54E0" w:rsidRPr="003C54E0" w:rsidRDefault="003C54E0" w:rsidP="003C54E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C54E0">
              <w:rPr>
                <w:rFonts w:ascii="Arial" w:eastAsia="Calibri" w:hAnsi="Arial" w:cs="Arial"/>
                <w:sz w:val="24"/>
                <w:szCs w:val="24"/>
              </w:rPr>
              <w:t>(2.5%)</w:t>
            </w:r>
            <w:r w:rsidRPr="003C54E0">
              <w:rPr>
                <w:rFonts w:ascii="Arial" w:eastAsia="Calibri" w:hAnsi="Arial" w:cs="Arial"/>
                <w:sz w:val="24"/>
                <w:szCs w:val="24"/>
              </w:rPr>
              <w:br/>
              <w:t>Red</w:t>
            </w:r>
          </w:p>
        </w:tc>
      </w:tr>
    </w:tbl>
    <w:p w14:paraId="65BE45F5" w14:textId="77777777" w:rsidR="002933A0" w:rsidRPr="00067714" w:rsidRDefault="002933A0" w:rsidP="002933A0">
      <w:pPr>
        <w:rPr>
          <w:rFonts w:ascii="Arial" w:eastAsia="Calibri" w:hAnsi="Arial" w:cs="Arial"/>
          <w:sz w:val="24"/>
          <w:szCs w:val="24"/>
        </w:rPr>
      </w:pPr>
    </w:p>
    <w:p w14:paraId="4F8EB2C7" w14:textId="2019C63B" w:rsidR="00575542" w:rsidRPr="00067714" w:rsidRDefault="00E5112A" w:rsidP="002A1802">
      <w:pPr>
        <w:spacing w:after="2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The five-by-five placement </w:t>
      </w:r>
      <w:r w:rsidR="00575542" w:rsidRPr="00067714">
        <w:rPr>
          <w:rFonts w:ascii="Arial" w:eastAsia="Calibri" w:hAnsi="Arial" w:cs="Arial"/>
          <w:sz w:val="24"/>
          <w:szCs w:val="24"/>
        </w:rPr>
        <w:t xml:space="preserve">grid has identical cut-scores for Status and Change and </w:t>
      </w:r>
      <w:r w:rsidR="008E7FEC" w:rsidRPr="00067714">
        <w:rPr>
          <w:rFonts w:ascii="Arial" w:eastAsia="Calibri" w:hAnsi="Arial" w:cs="Arial"/>
          <w:sz w:val="24"/>
          <w:szCs w:val="24"/>
        </w:rPr>
        <w:t xml:space="preserve">identical </w:t>
      </w:r>
      <w:r>
        <w:rPr>
          <w:rFonts w:ascii="Arial" w:eastAsia="Calibri" w:hAnsi="Arial" w:cs="Arial"/>
          <w:sz w:val="24"/>
          <w:szCs w:val="24"/>
        </w:rPr>
        <w:t>colors for the cells as the five-by-five placement grid</w:t>
      </w:r>
      <w:r w:rsidR="00575542" w:rsidRPr="00067714">
        <w:rPr>
          <w:rFonts w:ascii="Arial" w:eastAsia="Calibri" w:hAnsi="Arial" w:cs="Arial"/>
          <w:sz w:val="24"/>
          <w:szCs w:val="24"/>
        </w:rPr>
        <w:t xml:space="preserve"> approved by the SBE as part of the Dashboard. </w:t>
      </w:r>
      <w:r w:rsidR="00045856" w:rsidRPr="00067714">
        <w:rPr>
          <w:rFonts w:ascii="Arial" w:eastAsia="Calibri" w:hAnsi="Arial" w:cs="Arial"/>
          <w:sz w:val="24"/>
          <w:szCs w:val="24"/>
        </w:rPr>
        <w:t>Th</w:t>
      </w:r>
      <w:r>
        <w:rPr>
          <w:rFonts w:ascii="Arial" w:eastAsia="Calibri" w:hAnsi="Arial" w:cs="Arial"/>
          <w:sz w:val="24"/>
          <w:szCs w:val="24"/>
        </w:rPr>
        <w:t>e five-by-five placement grid</w:t>
      </w:r>
      <w:r w:rsidR="00045856" w:rsidRPr="00067714">
        <w:rPr>
          <w:rFonts w:ascii="Arial" w:eastAsia="Calibri" w:hAnsi="Arial" w:cs="Arial"/>
          <w:sz w:val="24"/>
          <w:szCs w:val="24"/>
        </w:rPr>
        <w:t xml:space="preserve"> is still the basis for reporting school performance under the proposed revisions to the ESSA plan:</w:t>
      </w:r>
    </w:p>
    <w:p w14:paraId="306D4FEA" w14:textId="00D79968" w:rsidR="00575542" w:rsidRDefault="00575542" w:rsidP="002A1802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067714">
        <w:rPr>
          <w:rFonts w:ascii="Arial" w:hAnsi="Arial" w:cs="Arial"/>
          <w:sz w:val="24"/>
          <w:szCs w:val="24"/>
        </w:rPr>
        <w:t>Under the proposed revisions to the ESSA plan, the Status axis (vertical axis) is the required graduation rate indicator</w:t>
      </w:r>
      <w:r w:rsidR="008E7FEC" w:rsidRPr="00067714">
        <w:rPr>
          <w:rFonts w:ascii="Arial" w:hAnsi="Arial" w:cs="Arial"/>
          <w:sz w:val="24"/>
          <w:szCs w:val="24"/>
        </w:rPr>
        <w:t xml:space="preserve"> for federal reporting purposes</w:t>
      </w:r>
      <w:r w:rsidRPr="00067714">
        <w:rPr>
          <w:rFonts w:ascii="Arial" w:hAnsi="Arial" w:cs="Arial"/>
          <w:sz w:val="24"/>
          <w:szCs w:val="24"/>
        </w:rPr>
        <w:t xml:space="preserve">. </w:t>
      </w:r>
    </w:p>
    <w:p w14:paraId="6C9F92C1" w14:textId="0F134B96" w:rsidR="00575542" w:rsidRDefault="00575542" w:rsidP="002A1802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067714">
        <w:rPr>
          <w:rFonts w:ascii="Arial" w:hAnsi="Arial" w:cs="Arial"/>
          <w:sz w:val="24"/>
          <w:szCs w:val="24"/>
        </w:rPr>
        <w:t>The Change axis (horizontal a</w:t>
      </w:r>
      <w:r w:rsidR="008E7FEC" w:rsidRPr="00067714">
        <w:rPr>
          <w:rFonts w:ascii="Arial" w:hAnsi="Arial" w:cs="Arial"/>
          <w:sz w:val="24"/>
          <w:szCs w:val="24"/>
        </w:rPr>
        <w:t>xis) is an additional indicator</w:t>
      </w:r>
      <w:r w:rsidR="006051DF">
        <w:rPr>
          <w:rFonts w:ascii="Arial" w:hAnsi="Arial" w:cs="Arial"/>
          <w:sz w:val="24"/>
          <w:szCs w:val="24"/>
        </w:rPr>
        <w:t>,</w:t>
      </w:r>
      <w:r w:rsidRPr="00067714">
        <w:rPr>
          <w:rFonts w:ascii="Arial" w:hAnsi="Arial" w:cs="Arial"/>
          <w:sz w:val="24"/>
          <w:szCs w:val="24"/>
        </w:rPr>
        <w:t xml:space="preserve"> in this example a measure of student success. </w:t>
      </w:r>
    </w:p>
    <w:p w14:paraId="40CDF2A5" w14:textId="77777777" w:rsidR="00575542" w:rsidRDefault="00575542" w:rsidP="002A1802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067714">
        <w:rPr>
          <w:rFonts w:ascii="Arial" w:hAnsi="Arial" w:cs="Arial"/>
          <w:sz w:val="24"/>
          <w:szCs w:val="24"/>
        </w:rPr>
        <w:t xml:space="preserve">The cut scores for Status and Change are unaltered. </w:t>
      </w:r>
    </w:p>
    <w:p w14:paraId="37E27996" w14:textId="407C8921" w:rsidR="00575542" w:rsidRDefault="00575542" w:rsidP="002A1802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067714">
        <w:rPr>
          <w:rFonts w:ascii="Arial" w:hAnsi="Arial" w:cs="Arial"/>
          <w:sz w:val="24"/>
          <w:szCs w:val="24"/>
        </w:rPr>
        <w:t xml:space="preserve">The two “indicators” combine to yield a color-coded performance level within the </w:t>
      </w:r>
      <w:r w:rsidR="00E5112A">
        <w:rPr>
          <w:rFonts w:ascii="Arial" w:eastAsia="Calibri" w:hAnsi="Arial" w:cs="Arial"/>
          <w:sz w:val="24"/>
          <w:szCs w:val="24"/>
        </w:rPr>
        <w:t>five-by-five placement grid</w:t>
      </w:r>
      <w:r w:rsidRPr="00067714">
        <w:rPr>
          <w:rFonts w:ascii="Arial" w:hAnsi="Arial" w:cs="Arial"/>
          <w:sz w:val="24"/>
          <w:szCs w:val="24"/>
        </w:rPr>
        <w:t xml:space="preserve">, which is reported on the Dashboard along with the specific data for Status and Change. </w:t>
      </w:r>
    </w:p>
    <w:p w14:paraId="2B940F10" w14:textId="77777777" w:rsidR="00216091" w:rsidRDefault="00575542" w:rsidP="002A1802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067714">
        <w:rPr>
          <w:rFonts w:ascii="Arial" w:hAnsi="Arial" w:cs="Arial"/>
          <w:sz w:val="24"/>
          <w:szCs w:val="24"/>
        </w:rPr>
        <w:t xml:space="preserve">The color-coded performance level produced by combining Status and Change is used to differentiate performance in the school identification process. </w:t>
      </w:r>
    </w:p>
    <w:p w14:paraId="065F3A93" w14:textId="7D16FFD8" w:rsidR="00575542" w:rsidRDefault="00575542" w:rsidP="002A1802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067714">
        <w:rPr>
          <w:rFonts w:ascii="Arial" w:hAnsi="Arial" w:cs="Arial"/>
          <w:sz w:val="24"/>
          <w:szCs w:val="24"/>
        </w:rPr>
        <w:t xml:space="preserve">Identification of schools is </w:t>
      </w:r>
      <w:r w:rsidR="00E5112A">
        <w:rPr>
          <w:rFonts w:ascii="Arial" w:hAnsi="Arial" w:cs="Arial"/>
          <w:b/>
          <w:sz w:val="24"/>
          <w:szCs w:val="24"/>
        </w:rPr>
        <w:t xml:space="preserve">not </w:t>
      </w:r>
      <w:r w:rsidRPr="00067714">
        <w:rPr>
          <w:rFonts w:ascii="Arial" w:hAnsi="Arial" w:cs="Arial"/>
          <w:sz w:val="24"/>
          <w:szCs w:val="24"/>
        </w:rPr>
        <w:t>based on Status only.</w:t>
      </w:r>
    </w:p>
    <w:p w14:paraId="3FE4F6BC" w14:textId="1B1561FB" w:rsidR="00216091" w:rsidRPr="00067714" w:rsidRDefault="00575542" w:rsidP="002A1802">
      <w:pPr>
        <w:pStyle w:val="ListParagraph"/>
        <w:numPr>
          <w:ilvl w:val="0"/>
          <w:numId w:val="3"/>
        </w:numPr>
        <w:spacing w:after="240"/>
        <w:contextualSpacing w:val="0"/>
        <w:rPr>
          <w:rFonts w:ascii="Arial" w:hAnsi="Arial" w:cs="Arial"/>
          <w:b/>
          <w:i/>
          <w:sz w:val="24"/>
          <w:szCs w:val="24"/>
        </w:rPr>
      </w:pPr>
      <w:r w:rsidRPr="00067714">
        <w:rPr>
          <w:rFonts w:ascii="Arial" w:hAnsi="Arial" w:cs="Arial"/>
          <w:sz w:val="24"/>
          <w:szCs w:val="24"/>
        </w:rPr>
        <w:t>Under the prior versio</w:t>
      </w:r>
      <w:r w:rsidR="00C23C44" w:rsidRPr="00067714">
        <w:rPr>
          <w:rFonts w:ascii="Arial" w:hAnsi="Arial" w:cs="Arial"/>
          <w:sz w:val="24"/>
          <w:szCs w:val="24"/>
        </w:rPr>
        <w:t>n</w:t>
      </w:r>
      <w:r w:rsidR="000E62BA" w:rsidRPr="00067714">
        <w:rPr>
          <w:rFonts w:ascii="Arial" w:hAnsi="Arial" w:cs="Arial"/>
          <w:sz w:val="24"/>
          <w:szCs w:val="24"/>
        </w:rPr>
        <w:t>s of the State Plan</w:t>
      </w:r>
      <w:r w:rsidRPr="00067714">
        <w:rPr>
          <w:rFonts w:ascii="Arial" w:hAnsi="Arial" w:cs="Arial"/>
          <w:sz w:val="24"/>
          <w:szCs w:val="24"/>
        </w:rPr>
        <w:t>, the goal was to reach the cell for High (Status)/Maintained</w:t>
      </w:r>
      <w:r w:rsidR="00045856" w:rsidRPr="00067714">
        <w:rPr>
          <w:rFonts w:ascii="Arial" w:hAnsi="Arial" w:cs="Arial"/>
          <w:sz w:val="24"/>
          <w:szCs w:val="24"/>
        </w:rPr>
        <w:t xml:space="preserve"> </w:t>
      </w:r>
      <w:r w:rsidRPr="00067714">
        <w:rPr>
          <w:rFonts w:ascii="Arial" w:hAnsi="Arial" w:cs="Arial"/>
          <w:sz w:val="24"/>
          <w:szCs w:val="24"/>
        </w:rPr>
        <w:t xml:space="preserve">(Change). </w:t>
      </w:r>
      <w:r w:rsidR="000E62BA" w:rsidRPr="00067714">
        <w:rPr>
          <w:rFonts w:ascii="Arial" w:hAnsi="Arial" w:cs="Arial"/>
          <w:sz w:val="24"/>
          <w:szCs w:val="24"/>
        </w:rPr>
        <w:t xml:space="preserve">To meet </w:t>
      </w:r>
      <w:r w:rsidR="00E5112A">
        <w:rPr>
          <w:rFonts w:ascii="Arial" w:hAnsi="Arial" w:cs="Arial"/>
          <w:sz w:val="24"/>
          <w:szCs w:val="24"/>
        </w:rPr>
        <w:t>ED</w:t>
      </w:r>
      <w:r w:rsidR="006051DF">
        <w:rPr>
          <w:rFonts w:ascii="Arial" w:hAnsi="Arial" w:cs="Arial"/>
          <w:sz w:val="24"/>
          <w:szCs w:val="24"/>
        </w:rPr>
        <w:t>’s</w:t>
      </w:r>
      <w:r w:rsidR="00E5112A">
        <w:rPr>
          <w:rFonts w:ascii="Arial" w:hAnsi="Arial" w:cs="Arial"/>
          <w:sz w:val="24"/>
          <w:szCs w:val="24"/>
        </w:rPr>
        <w:t xml:space="preserve"> </w:t>
      </w:r>
      <w:r w:rsidR="000E62BA" w:rsidRPr="00067714">
        <w:rPr>
          <w:rFonts w:ascii="Arial" w:hAnsi="Arial" w:cs="Arial"/>
          <w:sz w:val="24"/>
          <w:szCs w:val="24"/>
        </w:rPr>
        <w:t>reading of the statu</w:t>
      </w:r>
      <w:r w:rsidR="00210F92" w:rsidRPr="00067714">
        <w:rPr>
          <w:rFonts w:ascii="Arial" w:hAnsi="Arial" w:cs="Arial"/>
          <w:sz w:val="24"/>
          <w:szCs w:val="24"/>
        </w:rPr>
        <w:t>t</w:t>
      </w:r>
      <w:r w:rsidR="000E62BA" w:rsidRPr="00067714">
        <w:rPr>
          <w:rFonts w:ascii="Arial" w:hAnsi="Arial" w:cs="Arial"/>
          <w:sz w:val="24"/>
          <w:szCs w:val="24"/>
        </w:rPr>
        <w:t>e, the long</w:t>
      </w:r>
      <w:r w:rsidR="00210F92" w:rsidRPr="00067714">
        <w:rPr>
          <w:rFonts w:ascii="Arial" w:hAnsi="Arial" w:cs="Arial"/>
          <w:sz w:val="24"/>
          <w:szCs w:val="24"/>
        </w:rPr>
        <w:t>-</w:t>
      </w:r>
      <w:r w:rsidR="000E62BA" w:rsidRPr="00067714">
        <w:rPr>
          <w:rFonts w:ascii="Arial" w:hAnsi="Arial" w:cs="Arial"/>
          <w:sz w:val="24"/>
          <w:szCs w:val="24"/>
        </w:rPr>
        <w:t xml:space="preserve">term goal must be set based on status only. In practice, the goal </w:t>
      </w:r>
      <w:r w:rsidR="006051DF">
        <w:rPr>
          <w:rFonts w:ascii="Arial" w:hAnsi="Arial" w:cs="Arial"/>
          <w:sz w:val="24"/>
          <w:szCs w:val="24"/>
        </w:rPr>
        <w:t xml:space="preserve">is </w:t>
      </w:r>
      <w:r w:rsidR="000E62BA" w:rsidRPr="00067714">
        <w:rPr>
          <w:rFonts w:ascii="Arial" w:hAnsi="Arial" w:cs="Arial"/>
          <w:sz w:val="24"/>
          <w:szCs w:val="24"/>
        </w:rPr>
        <w:t xml:space="preserve">to reach the </w:t>
      </w:r>
      <w:r w:rsidR="000D75E7">
        <w:rPr>
          <w:rFonts w:ascii="Arial" w:hAnsi="Arial" w:cs="Arial"/>
          <w:sz w:val="24"/>
          <w:szCs w:val="24"/>
        </w:rPr>
        <w:t>H</w:t>
      </w:r>
      <w:r w:rsidR="000E62BA" w:rsidRPr="00067714">
        <w:rPr>
          <w:rFonts w:ascii="Arial" w:hAnsi="Arial" w:cs="Arial"/>
          <w:sz w:val="24"/>
          <w:szCs w:val="24"/>
        </w:rPr>
        <w:t>igh status level or a</w:t>
      </w:r>
      <w:r w:rsidR="00E5112A">
        <w:rPr>
          <w:rFonts w:ascii="Arial" w:hAnsi="Arial" w:cs="Arial"/>
          <w:sz w:val="24"/>
          <w:szCs w:val="24"/>
        </w:rPr>
        <w:t xml:space="preserve"> graduation rate of at least 90 percent</w:t>
      </w:r>
      <w:r w:rsidR="000E62BA" w:rsidRPr="00067714">
        <w:rPr>
          <w:rFonts w:ascii="Arial" w:hAnsi="Arial" w:cs="Arial"/>
          <w:sz w:val="24"/>
          <w:szCs w:val="24"/>
        </w:rPr>
        <w:t xml:space="preserve">. </w:t>
      </w:r>
      <w:r w:rsidR="006051DF">
        <w:rPr>
          <w:rFonts w:ascii="Arial" w:hAnsi="Arial" w:cs="Arial"/>
          <w:sz w:val="24"/>
          <w:szCs w:val="24"/>
        </w:rPr>
        <w:t xml:space="preserve">Under prior versions of the State Plan, it was not possible to </w:t>
      </w:r>
      <w:r w:rsidR="00920D78">
        <w:rPr>
          <w:rFonts w:ascii="Arial" w:hAnsi="Arial" w:cs="Arial"/>
          <w:sz w:val="24"/>
          <w:szCs w:val="24"/>
        </w:rPr>
        <w:t xml:space="preserve">reach </w:t>
      </w:r>
      <w:r w:rsidR="006051DF">
        <w:rPr>
          <w:rFonts w:ascii="Arial" w:hAnsi="Arial" w:cs="Arial"/>
          <w:sz w:val="24"/>
          <w:szCs w:val="24"/>
        </w:rPr>
        <w:t xml:space="preserve">the goal of High (Status)/Maintained (Change) without being in the High </w:t>
      </w:r>
      <w:r w:rsidR="000D75E7">
        <w:rPr>
          <w:rFonts w:ascii="Arial" w:hAnsi="Arial" w:cs="Arial"/>
          <w:sz w:val="24"/>
          <w:szCs w:val="24"/>
        </w:rPr>
        <w:t xml:space="preserve">or Very High </w:t>
      </w:r>
      <w:r w:rsidR="006051DF">
        <w:rPr>
          <w:rFonts w:ascii="Arial" w:hAnsi="Arial" w:cs="Arial"/>
          <w:sz w:val="24"/>
          <w:szCs w:val="24"/>
        </w:rPr>
        <w:t>status</w:t>
      </w:r>
      <w:r w:rsidR="000D75E7">
        <w:rPr>
          <w:rFonts w:ascii="Arial" w:hAnsi="Arial" w:cs="Arial"/>
          <w:sz w:val="24"/>
          <w:szCs w:val="24"/>
        </w:rPr>
        <w:t xml:space="preserve"> levels</w:t>
      </w:r>
      <w:r w:rsidR="006051DF">
        <w:rPr>
          <w:rFonts w:ascii="Arial" w:hAnsi="Arial" w:cs="Arial"/>
          <w:sz w:val="24"/>
          <w:szCs w:val="24"/>
        </w:rPr>
        <w:t>.</w:t>
      </w:r>
    </w:p>
    <w:p w14:paraId="4AFEC9E4" w14:textId="77777777" w:rsidR="00216091" w:rsidRPr="00067714" w:rsidRDefault="00216091">
      <w:pPr>
        <w:rPr>
          <w:rFonts w:ascii="Arial" w:hAnsi="Arial" w:cs="Arial"/>
          <w:b/>
          <w:i/>
          <w:sz w:val="24"/>
          <w:szCs w:val="24"/>
        </w:rPr>
      </w:pPr>
      <w:r w:rsidRPr="00067714">
        <w:rPr>
          <w:rFonts w:ascii="Arial" w:hAnsi="Arial" w:cs="Arial"/>
          <w:b/>
          <w:i/>
          <w:sz w:val="24"/>
          <w:szCs w:val="24"/>
        </w:rPr>
        <w:br w:type="page"/>
      </w:r>
    </w:p>
    <w:p w14:paraId="1ACED37A" w14:textId="6359AB09" w:rsidR="001C4015" w:rsidRPr="00067714" w:rsidRDefault="00305442" w:rsidP="002A1802">
      <w:pPr>
        <w:spacing w:after="240"/>
        <w:rPr>
          <w:rFonts w:ascii="Arial" w:hAnsi="Arial" w:cs="Arial"/>
          <w:sz w:val="24"/>
          <w:szCs w:val="24"/>
        </w:rPr>
      </w:pPr>
      <w:r w:rsidRPr="00067714">
        <w:rPr>
          <w:rFonts w:ascii="Arial" w:hAnsi="Arial" w:cs="Arial"/>
          <w:b/>
          <w:i/>
          <w:sz w:val="24"/>
          <w:szCs w:val="24"/>
        </w:rPr>
        <w:lastRenderedPageBreak/>
        <w:t>School identification.</w:t>
      </w:r>
      <w:r w:rsidRPr="00067714">
        <w:rPr>
          <w:rFonts w:ascii="Arial" w:hAnsi="Arial" w:cs="Arial"/>
          <w:sz w:val="24"/>
          <w:szCs w:val="24"/>
        </w:rPr>
        <w:t xml:space="preserve"> </w:t>
      </w:r>
      <w:r w:rsidR="00AF4C8B">
        <w:rPr>
          <w:rFonts w:ascii="Arial" w:hAnsi="Arial" w:cs="Arial"/>
          <w:sz w:val="24"/>
          <w:szCs w:val="24"/>
        </w:rPr>
        <w:t xml:space="preserve">Under the proposed revisions, </w:t>
      </w:r>
      <w:r w:rsidR="001C4015" w:rsidRPr="00067714">
        <w:rPr>
          <w:rFonts w:ascii="Arial" w:hAnsi="Arial" w:cs="Arial"/>
          <w:sz w:val="24"/>
          <w:szCs w:val="24"/>
        </w:rPr>
        <w:t>California will use performance on the Dashboard (</w:t>
      </w:r>
      <w:r w:rsidR="00AF4C8B">
        <w:rPr>
          <w:rFonts w:ascii="Arial" w:hAnsi="Arial" w:cs="Arial"/>
          <w:sz w:val="24"/>
          <w:szCs w:val="24"/>
        </w:rPr>
        <w:t>i.e.,</w:t>
      </w:r>
      <w:r w:rsidR="00AF4C8B" w:rsidRPr="00067714">
        <w:rPr>
          <w:rFonts w:ascii="Arial" w:hAnsi="Arial" w:cs="Arial"/>
          <w:sz w:val="24"/>
          <w:szCs w:val="24"/>
        </w:rPr>
        <w:t xml:space="preserve"> </w:t>
      </w:r>
      <w:r w:rsidR="001C4015" w:rsidRPr="00067714">
        <w:rPr>
          <w:rFonts w:ascii="Arial" w:hAnsi="Arial" w:cs="Arial"/>
          <w:sz w:val="24"/>
          <w:szCs w:val="24"/>
        </w:rPr>
        <w:t xml:space="preserve">the color-coded performance levels on Dashboard indicators that include Status and Change) to determine which schools receive additional support. </w:t>
      </w:r>
    </w:p>
    <w:p w14:paraId="517F967C" w14:textId="237A0039" w:rsidR="001C4015" w:rsidRDefault="001C4015" w:rsidP="002A1802">
      <w:pPr>
        <w:pStyle w:val="ListParagraph"/>
        <w:numPr>
          <w:ilvl w:val="0"/>
          <w:numId w:val="6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A06F89">
        <w:rPr>
          <w:rFonts w:ascii="Arial" w:hAnsi="Arial" w:cs="Arial"/>
          <w:b/>
          <w:sz w:val="24"/>
          <w:szCs w:val="24"/>
        </w:rPr>
        <w:t>Comprehensive Support.</w:t>
      </w:r>
      <w:r w:rsidRPr="00067714">
        <w:rPr>
          <w:rFonts w:ascii="Arial" w:hAnsi="Arial" w:cs="Arial"/>
          <w:sz w:val="24"/>
          <w:szCs w:val="24"/>
        </w:rPr>
        <w:t xml:space="preserve"> Prior SBE discussions centered on how to align school-level identification under </w:t>
      </w:r>
      <w:r w:rsidR="00920D78">
        <w:rPr>
          <w:rFonts w:ascii="Arial" w:hAnsi="Arial" w:cs="Arial"/>
          <w:sz w:val="24"/>
          <w:szCs w:val="24"/>
        </w:rPr>
        <w:t xml:space="preserve">the </w:t>
      </w:r>
      <w:r w:rsidRPr="00067714">
        <w:rPr>
          <w:rFonts w:ascii="Arial" w:hAnsi="Arial" w:cs="Arial"/>
          <w:sz w:val="24"/>
          <w:szCs w:val="24"/>
        </w:rPr>
        <w:t xml:space="preserve">ESSA with </w:t>
      </w:r>
      <w:r w:rsidR="00A06F89">
        <w:rPr>
          <w:rFonts w:ascii="Arial" w:hAnsi="Arial" w:cs="Arial"/>
          <w:sz w:val="24"/>
          <w:szCs w:val="24"/>
        </w:rPr>
        <w:t>local educational agency (</w:t>
      </w:r>
      <w:r w:rsidRPr="00067714">
        <w:rPr>
          <w:rFonts w:ascii="Arial" w:hAnsi="Arial" w:cs="Arial"/>
          <w:sz w:val="24"/>
          <w:szCs w:val="24"/>
        </w:rPr>
        <w:t>LEA</w:t>
      </w:r>
      <w:r w:rsidR="00A06F89">
        <w:rPr>
          <w:rFonts w:ascii="Arial" w:hAnsi="Arial" w:cs="Arial"/>
          <w:sz w:val="24"/>
          <w:szCs w:val="24"/>
        </w:rPr>
        <w:t>)</w:t>
      </w:r>
      <w:r w:rsidRPr="00067714">
        <w:rPr>
          <w:rFonts w:ascii="Arial" w:hAnsi="Arial" w:cs="Arial"/>
          <w:sz w:val="24"/>
          <w:szCs w:val="24"/>
        </w:rPr>
        <w:t xml:space="preserve"> assistance under the LCFF. </w:t>
      </w:r>
    </w:p>
    <w:p w14:paraId="0B93B814" w14:textId="02037255" w:rsidR="001C4015" w:rsidRPr="00067714" w:rsidRDefault="001C4015" w:rsidP="002A1802">
      <w:pPr>
        <w:pStyle w:val="ListParagraph"/>
        <w:numPr>
          <w:ilvl w:val="1"/>
          <w:numId w:val="6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067714">
        <w:rPr>
          <w:rFonts w:ascii="Arial" w:hAnsi="Arial" w:cs="Arial"/>
          <w:sz w:val="24"/>
          <w:szCs w:val="24"/>
        </w:rPr>
        <w:t>Some SBE members had argued that our LEA identificati</w:t>
      </w:r>
      <w:r w:rsidR="00F674E3">
        <w:rPr>
          <w:rFonts w:ascii="Arial" w:hAnsi="Arial" w:cs="Arial"/>
          <w:sz w:val="24"/>
          <w:szCs w:val="24"/>
        </w:rPr>
        <w:t>on, which encompasses nearly 50 percent</w:t>
      </w:r>
      <w:r w:rsidRPr="00067714">
        <w:rPr>
          <w:rFonts w:ascii="Arial" w:hAnsi="Arial" w:cs="Arial"/>
          <w:sz w:val="24"/>
          <w:szCs w:val="24"/>
        </w:rPr>
        <w:t xml:space="preserve"> of Title I school statewide, meets </w:t>
      </w:r>
      <w:r w:rsidR="00AF4C8B">
        <w:rPr>
          <w:rFonts w:ascii="Arial" w:hAnsi="Arial" w:cs="Arial"/>
          <w:sz w:val="24"/>
          <w:szCs w:val="24"/>
        </w:rPr>
        <w:t xml:space="preserve">the </w:t>
      </w:r>
      <w:r w:rsidRPr="00067714">
        <w:rPr>
          <w:rFonts w:ascii="Arial" w:hAnsi="Arial" w:cs="Arial"/>
          <w:sz w:val="24"/>
          <w:szCs w:val="24"/>
        </w:rPr>
        <w:t xml:space="preserve">ESSA’s school identification requirements. </w:t>
      </w:r>
    </w:p>
    <w:p w14:paraId="28431667" w14:textId="05E6A50D" w:rsidR="001C4015" w:rsidRDefault="001C4015" w:rsidP="002A1802">
      <w:pPr>
        <w:pStyle w:val="ListParagraph"/>
        <w:numPr>
          <w:ilvl w:val="0"/>
          <w:numId w:val="6"/>
        </w:numPr>
        <w:spacing w:after="240" w:line="259" w:lineRule="auto"/>
        <w:contextualSpacing w:val="0"/>
        <w:rPr>
          <w:rFonts w:ascii="Arial" w:hAnsi="Arial" w:cs="Arial"/>
          <w:sz w:val="24"/>
          <w:szCs w:val="24"/>
        </w:rPr>
      </w:pPr>
      <w:r w:rsidRPr="00067714">
        <w:rPr>
          <w:rFonts w:ascii="Arial" w:hAnsi="Arial" w:cs="Arial"/>
          <w:sz w:val="24"/>
          <w:szCs w:val="24"/>
        </w:rPr>
        <w:t>ED</w:t>
      </w:r>
      <w:r w:rsidR="002D421C" w:rsidRPr="00067714">
        <w:rPr>
          <w:rFonts w:ascii="Arial" w:hAnsi="Arial" w:cs="Arial"/>
          <w:sz w:val="24"/>
          <w:szCs w:val="24"/>
        </w:rPr>
        <w:t>, however,</w:t>
      </w:r>
      <w:r w:rsidRPr="00067714">
        <w:rPr>
          <w:rFonts w:ascii="Arial" w:hAnsi="Arial" w:cs="Arial"/>
          <w:sz w:val="24"/>
          <w:szCs w:val="24"/>
        </w:rPr>
        <w:t xml:space="preserve"> interpreted the relevant statutory provision to require states to identify individual schools based on specific performance criteria. </w:t>
      </w:r>
    </w:p>
    <w:p w14:paraId="3D09990E" w14:textId="30BF4323" w:rsidR="001C4015" w:rsidRPr="00067714" w:rsidRDefault="001C4015" w:rsidP="002A1802">
      <w:pPr>
        <w:pStyle w:val="ListParagraph"/>
        <w:numPr>
          <w:ilvl w:val="1"/>
          <w:numId w:val="6"/>
        </w:numPr>
        <w:spacing w:after="240" w:line="259" w:lineRule="auto"/>
        <w:contextualSpacing w:val="0"/>
        <w:rPr>
          <w:rFonts w:ascii="Arial" w:hAnsi="Arial" w:cs="Arial"/>
          <w:sz w:val="24"/>
          <w:szCs w:val="24"/>
        </w:rPr>
      </w:pPr>
      <w:r w:rsidRPr="00067714">
        <w:rPr>
          <w:rFonts w:ascii="Arial" w:hAnsi="Arial" w:cs="Arial"/>
          <w:sz w:val="24"/>
          <w:szCs w:val="24"/>
        </w:rPr>
        <w:t xml:space="preserve">As a result, identification of LEAs for support cannot itself address these requirements. </w:t>
      </w:r>
    </w:p>
    <w:p w14:paraId="344173FF" w14:textId="34806127" w:rsidR="001C4015" w:rsidRPr="00067714" w:rsidRDefault="001C4015" w:rsidP="002A1802">
      <w:pPr>
        <w:pStyle w:val="ListParagraph"/>
        <w:numPr>
          <w:ilvl w:val="0"/>
          <w:numId w:val="6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067714">
        <w:rPr>
          <w:rFonts w:ascii="Arial" w:hAnsi="Arial" w:cs="Arial"/>
          <w:sz w:val="24"/>
          <w:szCs w:val="24"/>
        </w:rPr>
        <w:t xml:space="preserve">To meet ED’s interpretation of the provisions, the revised State Plan proposes to use the color-coded performance levels on Dashboard indicators to identify at least the lowest performing 5 percent of Title I schools statewide. </w:t>
      </w:r>
    </w:p>
    <w:p w14:paraId="42D9CBEB" w14:textId="006A8BEE" w:rsidR="00A06F89" w:rsidRDefault="001C4015" w:rsidP="002A1802">
      <w:pPr>
        <w:pStyle w:val="ListParagraph"/>
        <w:numPr>
          <w:ilvl w:val="0"/>
          <w:numId w:val="6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A06F89">
        <w:rPr>
          <w:rFonts w:ascii="Arial" w:hAnsi="Arial" w:cs="Arial"/>
          <w:sz w:val="24"/>
          <w:szCs w:val="24"/>
        </w:rPr>
        <w:t>The proposed selection process is a criterion-based approach (specified performance levels lead to selection).</w:t>
      </w:r>
    </w:p>
    <w:p w14:paraId="623E2514" w14:textId="77777777" w:rsidR="00A06F89" w:rsidRDefault="001C4015" w:rsidP="002A1802">
      <w:pPr>
        <w:pStyle w:val="ListParagraph"/>
        <w:numPr>
          <w:ilvl w:val="1"/>
          <w:numId w:val="6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067714">
        <w:rPr>
          <w:rFonts w:ascii="Arial" w:hAnsi="Arial" w:cs="Arial"/>
          <w:sz w:val="24"/>
          <w:szCs w:val="24"/>
        </w:rPr>
        <w:t>This criterion-based approach is similar to the approach under LCFF, where LEAs are identified for assistance if they meet SBE-adopted criteria based on Dashboard indicators.</w:t>
      </w:r>
    </w:p>
    <w:p w14:paraId="2B482E19" w14:textId="64355820" w:rsidR="001C4015" w:rsidRPr="00067714" w:rsidRDefault="001C4015" w:rsidP="002A1802">
      <w:pPr>
        <w:pStyle w:val="ListParagraph"/>
        <w:numPr>
          <w:ilvl w:val="1"/>
          <w:numId w:val="6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067714">
        <w:rPr>
          <w:rFonts w:ascii="Arial" w:hAnsi="Arial" w:cs="Arial"/>
          <w:sz w:val="24"/>
          <w:szCs w:val="24"/>
        </w:rPr>
        <w:t xml:space="preserve">One critique of these ESSA </w:t>
      </w:r>
      <w:r w:rsidR="00A06F89">
        <w:rPr>
          <w:rFonts w:ascii="Arial" w:hAnsi="Arial" w:cs="Arial"/>
          <w:sz w:val="24"/>
          <w:szCs w:val="24"/>
        </w:rPr>
        <w:t>provisions is the “arbitrary” 5 percent</w:t>
      </w:r>
      <w:r w:rsidRPr="00067714">
        <w:rPr>
          <w:rFonts w:ascii="Arial" w:hAnsi="Arial" w:cs="Arial"/>
          <w:sz w:val="24"/>
          <w:szCs w:val="24"/>
        </w:rPr>
        <w:t xml:space="preserve"> number. The proposed criteria will likely lead to slight over-selection (data simulations show roughly 6.2</w:t>
      </w:r>
      <w:r w:rsidR="00A06F89">
        <w:rPr>
          <w:rFonts w:ascii="Arial" w:hAnsi="Arial" w:cs="Arial"/>
          <w:sz w:val="24"/>
          <w:szCs w:val="24"/>
        </w:rPr>
        <w:t xml:space="preserve"> percent</w:t>
      </w:r>
      <w:r w:rsidRPr="00067714">
        <w:rPr>
          <w:rFonts w:ascii="Arial" w:hAnsi="Arial" w:cs="Arial"/>
          <w:sz w:val="24"/>
          <w:szCs w:val="24"/>
        </w:rPr>
        <w:t xml:space="preserve"> of Title I schools would be selected). </w:t>
      </w:r>
    </w:p>
    <w:p w14:paraId="6D82B883" w14:textId="6EC7DBF2" w:rsidR="00A06F89" w:rsidRDefault="001C4015" w:rsidP="002A1802">
      <w:pPr>
        <w:pStyle w:val="ListParagraph"/>
        <w:numPr>
          <w:ilvl w:val="0"/>
          <w:numId w:val="6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067714">
        <w:rPr>
          <w:rFonts w:ascii="Arial" w:hAnsi="Arial" w:cs="Arial"/>
          <w:sz w:val="24"/>
          <w:szCs w:val="24"/>
        </w:rPr>
        <w:t xml:space="preserve">This can be implemented in a meaningful manner within the existing </w:t>
      </w:r>
      <w:r w:rsidR="00A06F89">
        <w:rPr>
          <w:rFonts w:ascii="Arial" w:hAnsi="Arial" w:cs="Arial"/>
          <w:sz w:val="24"/>
          <w:szCs w:val="24"/>
        </w:rPr>
        <w:t>Local Control and Accountability Plan (</w:t>
      </w:r>
      <w:r w:rsidRPr="00067714">
        <w:rPr>
          <w:rFonts w:ascii="Arial" w:hAnsi="Arial" w:cs="Arial"/>
          <w:sz w:val="24"/>
          <w:szCs w:val="24"/>
        </w:rPr>
        <w:t>LCAP</w:t>
      </w:r>
      <w:r w:rsidR="00A06F89">
        <w:rPr>
          <w:rFonts w:ascii="Arial" w:hAnsi="Arial" w:cs="Arial"/>
          <w:sz w:val="24"/>
          <w:szCs w:val="24"/>
        </w:rPr>
        <w:t>)</w:t>
      </w:r>
      <w:r w:rsidRPr="00067714">
        <w:rPr>
          <w:rFonts w:ascii="Arial" w:hAnsi="Arial" w:cs="Arial"/>
          <w:sz w:val="24"/>
          <w:szCs w:val="24"/>
        </w:rPr>
        <w:t xml:space="preserve"> process by pointing LEAs to schools that require extra support </w:t>
      </w:r>
      <w:r w:rsidRPr="00067714">
        <w:rPr>
          <w:rFonts w:ascii="Arial" w:hAnsi="Arial" w:cs="Arial"/>
          <w:i/>
          <w:sz w:val="24"/>
          <w:szCs w:val="24"/>
        </w:rPr>
        <w:t>from the LEA</w:t>
      </w:r>
      <w:r w:rsidRPr="00067714">
        <w:rPr>
          <w:rFonts w:ascii="Arial" w:hAnsi="Arial" w:cs="Arial"/>
          <w:sz w:val="24"/>
          <w:szCs w:val="24"/>
        </w:rPr>
        <w:t xml:space="preserve"> based on objective performance criteria, rather than some arbitrary ranking of performance. </w:t>
      </w:r>
    </w:p>
    <w:p w14:paraId="759224F4" w14:textId="5945D63B" w:rsidR="001C4015" w:rsidRPr="00067714" w:rsidRDefault="001C4015" w:rsidP="002A1802">
      <w:pPr>
        <w:pStyle w:val="ListParagraph"/>
        <w:numPr>
          <w:ilvl w:val="1"/>
          <w:numId w:val="6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067714">
        <w:rPr>
          <w:rFonts w:ascii="Arial" w:hAnsi="Arial" w:cs="Arial"/>
          <w:sz w:val="24"/>
          <w:szCs w:val="24"/>
        </w:rPr>
        <w:t>It will allow California to maintain the LEA as the locus of responsibility for improvement in implement</w:t>
      </w:r>
      <w:r w:rsidR="006051DF">
        <w:rPr>
          <w:rFonts w:ascii="Arial" w:hAnsi="Arial" w:cs="Arial"/>
          <w:sz w:val="24"/>
          <w:szCs w:val="24"/>
        </w:rPr>
        <w:t>ing</w:t>
      </w:r>
      <w:r w:rsidRPr="00067714">
        <w:rPr>
          <w:rFonts w:ascii="Arial" w:hAnsi="Arial" w:cs="Arial"/>
          <w:sz w:val="24"/>
          <w:szCs w:val="24"/>
        </w:rPr>
        <w:t xml:space="preserve"> </w:t>
      </w:r>
      <w:r w:rsidR="00920D78">
        <w:rPr>
          <w:rFonts w:ascii="Arial" w:hAnsi="Arial" w:cs="Arial"/>
          <w:sz w:val="24"/>
          <w:szCs w:val="24"/>
        </w:rPr>
        <w:t xml:space="preserve">the </w:t>
      </w:r>
      <w:r w:rsidRPr="00067714">
        <w:rPr>
          <w:rFonts w:ascii="Arial" w:hAnsi="Arial" w:cs="Arial"/>
          <w:sz w:val="24"/>
          <w:szCs w:val="24"/>
        </w:rPr>
        <w:t>ESSA’s school improvement provisions.</w:t>
      </w:r>
    </w:p>
    <w:p w14:paraId="1FEAA2BB" w14:textId="6F58142C" w:rsidR="001C4015" w:rsidRPr="00067714" w:rsidRDefault="001C4015" w:rsidP="002A1802">
      <w:pPr>
        <w:pStyle w:val="ListParagraph"/>
        <w:numPr>
          <w:ilvl w:val="1"/>
          <w:numId w:val="6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067714">
        <w:rPr>
          <w:rFonts w:ascii="Arial" w:hAnsi="Arial" w:cs="Arial"/>
          <w:sz w:val="24"/>
          <w:szCs w:val="24"/>
        </w:rPr>
        <w:t>It will also ensure that the school planning process is not a burdensome compliance exercise; LEAs should already be considering the needs of very low performing schools within the LCAP process.</w:t>
      </w:r>
    </w:p>
    <w:p w14:paraId="0C52378C" w14:textId="0F7887EB" w:rsidR="001C4015" w:rsidRDefault="001C4015" w:rsidP="001C4015">
      <w:pPr>
        <w:pStyle w:val="ListParagraph"/>
        <w:numPr>
          <w:ilvl w:val="0"/>
          <w:numId w:val="6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A06F89">
        <w:rPr>
          <w:rFonts w:ascii="Arial" w:hAnsi="Arial" w:cs="Arial"/>
          <w:b/>
          <w:sz w:val="24"/>
          <w:szCs w:val="24"/>
        </w:rPr>
        <w:lastRenderedPageBreak/>
        <w:t>Targeted Support.</w:t>
      </w:r>
      <w:r w:rsidRPr="00A06F89">
        <w:rPr>
          <w:rFonts w:ascii="Arial" w:hAnsi="Arial" w:cs="Arial"/>
          <w:sz w:val="24"/>
          <w:szCs w:val="24"/>
        </w:rPr>
        <w:t xml:space="preserve"> </w:t>
      </w:r>
      <w:r w:rsidRPr="00067714">
        <w:rPr>
          <w:rFonts w:ascii="Arial" w:hAnsi="Arial" w:cs="Arial"/>
          <w:sz w:val="24"/>
          <w:szCs w:val="24"/>
        </w:rPr>
        <w:t>The proposed revisions also include modifying the criteria for targeted support (student group</w:t>
      </w:r>
      <w:r w:rsidR="00194818">
        <w:rPr>
          <w:rFonts w:ascii="Arial" w:hAnsi="Arial" w:cs="Arial"/>
          <w:sz w:val="24"/>
          <w:szCs w:val="24"/>
        </w:rPr>
        <w:t>s</w:t>
      </w:r>
      <w:r w:rsidRPr="00067714">
        <w:rPr>
          <w:rFonts w:ascii="Arial" w:hAnsi="Arial" w:cs="Arial"/>
          <w:sz w:val="24"/>
          <w:szCs w:val="24"/>
        </w:rPr>
        <w:t xml:space="preserve">) so that a school is not identified unless the student group meets the specified criteria in three out of four consecutive years. </w:t>
      </w:r>
    </w:p>
    <w:p w14:paraId="5DD95F58" w14:textId="67388DD8" w:rsidR="001C4015" w:rsidRDefault="001C4015" w:rsidP="001C4015">
      <w:pPr>
        <w:pStyle w:val="ListParagraph"/>
        <w:numPr>
          <w:ilvl w:val="1"/>
          <w:numId w:val="6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067714">
        <w:rPr>
          <w:rFonts w:ascii="Arial" w:hAnsi="Arial" w:cs="Arial"/>
          <w:sz w:val="24"/>
          <w:szCs w:val="24"/>
        </w:rPr>
        <w:t xml:space="preserve">At the January 2018 meeting, SBE members were concerned about data simulations showing more than 3000 schools would meet the criteria that were initially proposed. </w:t>
      </w:r>
    </w:p>
    <w:p w14:paraId="77EFC2BC" w14:textId="03431A08" w:rsidR="00A06F89" w:rsidRPr="00A06F89" w:rsidRDefault="001C4015" w:rsidP="00A06F89">
      <w:pPr>
        <w:pStyle w:val="ListParagraph"/>
        <w:numPr>
          <w:ilvl w:val="1"/>
          <w:numId w:val="6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067714">
        <w:rPr>
          <w:rFonts w:ascii="Arial" w:hAnsi="Arial" w:cs="Arial"/>
          <w:sz w:val="24"/>
          <w:szCs w:val="24"/>
        </w:rPr>
        <w:t xml:space="preserve">The revisions will help focus this identification only on schools with persistent student group performance challenges. </w:t>
      </w:r>
    </w:p>
    <w:p w14:paraId="5FA591C3" w14:textId="7FA68456" w:rsidR="001C4015" w:rsidRPr="00067714" w:rsidRDefault="001C4015" w:rsidP="001C4015">
      <w:pPr>
        <w:pStyle w:val="ListParagraph"/>
        <w:numPr>
          <w:ilvl w:val="1"/>
          <w:numId w:val="6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067714">
        <w:rPr>
          <w:rFonts w:ascii="Arial" w:hAnsi="Arial" w:cs="Arial"/>
          <w:sz w:val="24"/>
          <w:szCs w:val="24"/>
        </w:rPr>
        <w:t>The three-out-of-four-year timeline aligns with existing timeline</w:t>
      </w:r>
      <w:r w:rsidR="00AF4C8B">
        <w:rPr>
          <w:rFonts w:ascii="Arial" w:hAnsi="Arial" w:cs="Arial"/>
          <w:sz w:val="24"/>
          <w:szCs w:val="24"/>
        </w:rPr>
        <w:t>s</w:t>
      </w:r>
      <w:r w:rsidRPr="00067714">
        <w:rPr>
          <w:rFonts w:ascii="Arial" w:hAnsi="Arial" w:cs="Arial"/>
          <w:sz w:val="24"/>
          <w:szCs w:val="24"/>
        </w:rPr>
        <w:t xml:space="preserve"> under LCFF for LEA assistance and/or intervention.</w:t>
      </w:r>
    </w:p>
    <w:p w14:paraId="0A7F71CE" w14:textId="2DF40491" w:rsidR="00216091" w:rsidRPr="00067714" w:rsidRDefault="00216091">
      <w:pPr>
        <w:rPr>
          <w:rFonts w:ascii="Arial" w:hAnsi="Arial" w:cs="Arial"/>
          <w:sz w:val="24"/>
          <w:szCs w:val="24"/>
        </w:rPr>
      </w:pPr>
      <w:r w:rsidRPr="00067714">
        <w:rPr>
          <w:rFonts w:ascii="Arial" w:hAnsi="Arial" w:cs="Arial"/>
          <w:sz w:val="24"/>
          <w:szCs w:val="24"/>
        </w:rPr>
        <w:br w:type="page"/>
      </w:r>
    </w:p>
    <w:p w14:paraId="4F30CD44" w14:textId="54375E7E" w:rsidR="00216091" w:rsidRPr="00067714" w:rsidRDefault="00216091" w:rsidP="002A1802">
      <w:pPr>
        <w:spacing w:after="100" w:afterAutospacing="1"/>
        <w:contextualSpacing/>
        <w:rPr>
          <w:rFonts w:ascii="Arial" w:hAnsi="Arial" w:cs="Arial"/>
          <w:sz w:val="24"/>
          <w:szCs w:val="24"/>
        </w:rPr>
      </w:pPr>
      <w:r w:rsidRPr="00067714">
        <w:rPr>
          <w:rFonts w:ascii="Arial" w:hAnsi="Arial" w:cs="Arial"/>
          <w:b/>
          <w:i/>
          <w:sz w:val="24"/>
          <w:szCs w:val="24"/>
        </w:rPr>
        <w:lastRenderedPageBreak/>
        <w:t>Measurements of interim progress.</w:t>
      </w:r>
      <w:r w:rsidR="00A06F89">
        <w:rPr>
          <w:rFonts w:ascii="Arial" w:hAnsi="Arial" w:cs="Arial"/>
          <w:sz w:val="24"/>
          <w:szCs w:val="24"/>
        </w:rPr>
        <w:t xml:space="preserve"> T</w:t>
      </w:r>
      <w:r w:rsidRPr="00067714">
        <w:rPr>
          <w:rFonts w:ascii="Arial" w:hAnsi="Arial" w:cs="Arial"/>
          <w:sz w:val="24"/>
          <w:szCs w:val="24"/>
        </w:rPr>
        <w:t xml:space="preserve">able </w:t>
      </w:r>
      <w:r w:rsidR="00A06F89">
        <w:rPr>
          <w:rFonts w:ascii="Arial" w:hAnsi="Arial" w:cs="Arial"/>
          <w:sz w:val="24"/>
          <w:szCs w:val="24"/>
        </w:rPr>
        <w:t xml:space="preserve">3 uses the </w:t>
      </w:r>
      <w:r w:rsidR="00571864" w:rsidRPr="00067714">
        <w:rPr>
          <w:rFonts w:ascii="Arial" w:hAnsi="Arial" w:cs="Arial"/>
          <w:sz w:val="24"/>
          <w:szCs w:val="24"/>
        </w:rPr>
        <w:t>Graduation Rate</w:t>
      </w:r>
      <w:r w:rsidR="00A06F89">
        <w:rPr>
          <w:rFonts w:ascii="Arial" w:hAnsi="Arial" w:cs="Arial"/>
          <w:sz w:val="24"/>
          <w:szCs w:val="24"/>
        </w:rPr>
        <w:t xml:space="preserve"> Indicator to </w:t>
      </w:r>
      <w:r w:rsidRPr="00067714">
        <w:rPr>
          <w:rFonts w:ascii="Arial" w:hAnsi="Arial" w:cs="Arial"/>
          <w:sz w:val="24"/>
          <w:szCs w:val="24"/>
        </w:rPr>
        <w:t xml:space="preserve">illustrate </w:t>
      </w:r>
      <w:r w:rsidR="009C2235">
        <w:rPr>
          <w:rFonts w:ascii="Arial" w:hAnsi="Arial" w:cs="Arial"/>
          <w:sz w:val="24"/>
          <w:szCs w:val="24"/>
        </w:rPr>
        <w:t>how</w:t>
      </w:r>
      <w:r w:rsidRPr="00067714">
        <w:rPr>
          <w:rFonts w:ascii="Arial" w:hAnsi="Arial" w:cs="Arial"/>
          <w:sz w:val="24"/>
          <w:szCs w:val="24"/>
        </w:rPr>
        <w:t xml:space="preserve"> the proposed revisions to these sections of the State Plan do not materially impact </w:t>
      </w:r>
      <w:r w:rsidR="00A06F89">
        <w:rPr>
          <w:rFonts w:ascii="Arial" w:hAnsi="Arial" w:cs="Arial"/>
          <w:sz w:val="24"/>
          <w:szCs w:val="24"/>
        </w:rPr>
        <w:t>California’s state</w:t>
      </w:r>
      <w:r w:rsidRPr="00067714">
        <w:rPr>
          <w:rFonts w:ascii="Arial" w:hAnsi="Arial" w:cs="Arial"/>
          <w:sz w:val="24"/>
          <w:szCs w:val="24"/>
        </w:rPr>
        <w:t xml:space="preserve"> accountability system or require any modifications to the Dashboard. </w:t>
      </w:r>
      <w:r w:rsidR="00AF4C8B">
        <w:rPr>
          <w:rFonts w:ascii="Arial" w:hAnsi="Arial" w:cs="Arial"/>
          <w:sz w:val="24"/>
          <w:szCs w:val="24"/>
        </w:rPr>
        <w:t xml:space="preserve">It includes </w:t>
      </w:r>
      <w:r w:rsidRPr="00067714">
        <w:rPr>
          <w:rFonts w:ascii="Arial" w:eastAsia="Times New Roman" w:hAnsi="Arial" w:cs="Arial"/>
          <w:sz w:val="24"/>
          <w:szCs w:val="24"/>
        </w:rPr>
        <w:t xml:space="preserve">the </w:t>
      </w:r>
      <w:r w:rsidR="00AF4C8B">
        <w:rPr>
          <w:rFonts w:ascii="Arial" w:eastAsia="Times New Roman" w:hAnsi="Arial" w:cs="Arial"/>
          <w:sz w:val="24"/>
          <w:szCs w:val="24"/>
        </w:rPr>
        <w:t xml:space="preserve">same information as the </w:t>
      </w:r>
      <w:r w:rsidRPr="00067714">
        <w:rPr>
          <w:rFonts w:ascii="Arial" w:eastAsia="Times New Roman" w:hAnsi="Arial" w:cs="Arial"/>
          <w:sz w:val="24"/>
          <w:szCs w:val="24"/>
        </w:rPr>
        <w:t xml:space="preserve">table included in Attachment 2 of </w:t>
      </w:r>
      <w:r w:rsidRPr="00067714">
        <w:rPr>
          <w:rFonts w:ascii="Arial" w:hAnsi="Arial" w:cs="Arial"/>
          <w:sz w:val="24"/>
          <w:szCs w:val="24"/>
        </w:rPr>
        <w:t>the March 2018 ESSA item on pages 40-41 (</w:t>
      </w:r>
      <w:hyperlink r:id="rId9" w:tooltip="Every Student Suceeds Act State Board of Education March 2018 Item 4" w:history="1">
        <w:r w:rsidRPr="00067714">
          <w:rPr>
            <w:rStyle w:val="Hyperlink"/>
            <w:rFonts w:ascii="Arial" w:hAnsi="Arial" w:cs="Arial"/>
            <w:sz w:val="24"/>
            <w:szCs w:val="24"/>
          </w:rPr>
          <w:t>https://www.cde.ca.gov/be/ag/ag/yr18/documents/mar18item04a2.docx</w:t>
        </w:r>
      </w:hyperlink>
      <w:r w:rsidRPr="00067714">
        <w:rPr>
          <w:rFonts w:ascii="Arial" w:hAnsi="Arial" w:cs="Arial"/>
          <w:sz w:val="24"/>
          <w:szCs w:val="24"/>
        </w:rPr>
        <w:t xml:space="preserve">), </w:t>
      </w:r>
      <w:r w:rsidR="00AF4C8B">
        <w:rPr>
          <w:rFonts w:ascii="Arial" w:hAnsi="Arial" w:cs="Arial"/>
          <w:sz w:val="24"/>
          <w:szCs w:val="24"/>
        </w:rPr>
        <w:t>plus t</w:t>
      </w:r>
      <w:r w:rsidR="006051DF">
        <w:rPr>
          <w:rFonts w:ascii="Arial" w:hAnsi="Arial" w:cs="Arial"/>
          <w:sz w:val="24"/>
          <w:szCs w:val="24"/>
        </w:rPr>
        <w:t xml:space="preserve">he two new columns </w:t>
      </w:r>
      <w:r w:rsidR="00AF4C8B">
        <w:rPr>
          <w:rFonts w:ascii="Arial" w:hAnsi="Arial" w:cs="Arial"/>
          <w:sz w:val="24"/>
          <w:szCs w:val="24"/>
        </w:rPr>
        <w:t xml:space="preserve">added by </w:t>
      </w:r>
      <w:r w:rsidR="006051DF">
        <w:rPr>
          <w:rFonts w:ascii="Arial" w:hAnsi="Arial" w:cs="Arial"/>
          <w:sz w:val="24"/>
          <w:szCs w:val="24"/>
        </w:rPr>
        <w:t>the proposed revisions</w:t>
      </w:r>
      <w:r w:rsidRPr="00067714">
        <w:rPr>
          <w:rFonts w:ascii="Arial" w:hAnsi="Arial" w:cs="Arial"/>
          <w:sz w:val="24"/>
          <w:szCs w:val="24"/>
        </w:rPr>
        <w:t xml:space="preserve">. </w:t>
      </w:r>
    </w:p>
    <w:p w14:paraId="051CA742" w14:textId="7FA1E5FD" w:rsidR="00216091" w:rsidRPr="002E406B" w:rsidRDefault="00216091" w:rsidP="002E406B">
      <w:pPr>
        <w:pStyle w:val="Heading2"/>
        <w:rPr>
          <w:rFonts w:ascii="Arial" w:eastAsia="Times New Roman" w:hAnsi="Arial" w:cs="Arial"/>
          <w:b/>
          <w:color w:val="auto"/>
          <w:sz w:val="24"/>
        </w:rPr>
      </w:pPr>
      <w:r w:rsidRPr="002E406B">
        <w:rPr>
          <w:rFonts w:ascii="Arial" w:eastAsia="Times New Roman" w:hAnsi="Arial" w:cs="Arial"/>
          <w:b/>
          <w:color w:val="auto"/>
          <w:sz w:val="24"/>
        </w:rPr>
        <w:t>Table</w:t>
      </w:r>
      <w:r w:rsidR="00A06F89" w:rsidRPr="002E406B">
        <w:rPr>
          <w:rFonts w:ascii="Arial" w:eastAsia="Times New Roman" w:hAnsi="Arial" w:cs="Arial"/>
          <w:b/>
          <w:color w:val="auto"/>
          <w:sz w:val="24"/>
        </w:rPr>
        <w:t xml:space="preserve"> 3:</w:t>
      </w:r>
      <w:r w:rsidRPr="002E406B">
        <w:rPr>
          <w:rFonts w:ascii="Arial" w:eastAsia="Times New Roman" w:hAnsi="Arial" w:cs="Arial"/>
          <w:b/>
          <w:color w:val="auto"/>
          <w:sz w:val="24"/>
        </w:rPr>
        <w:t xml:space="preserve"> State Level Graduation Rate by Student Group</w:t>
      </w:r>
    </w:p>
    <w:tbl>
      <w:tblPr>
        <w:tblStyle w:val="TableGrid1"/>
        <w:tblW w:w="5000" w:type="pct"/>
        <w:tblLook w:val="04A0" w:firstRow="1" w:lastRow="0" w:firstColumn="1" w:lastColumn="0" w:noHBand="0" w:noVBand="1"/>
        <w:tblDescription w:val="State Level Graduation Rate table illustrated by student groups, highlighting the Average Annual Improvement to Meet Goal and the Approximate Status After Year 3."/>
      </w:tblPr>
      <w:tblGrid>
        <w:gridCol w:w="2567"/>
        <w:gridCol w:w="1368"/>
        <w:gridCol w:w="1148"/>
        <w:gridCol w:w="1400"/>
        <w:gridCol w:w="1782"/>
        <w:gridCol w:w="1805"/>
      </w:tblGrid>
      <w:tr w:rsidR="00054200" w:rsidRPr="00054200" w14:paraId="1B73C580" w14:textId="77777777" w:rsidTr="00FF1D11">
        <w:trPr>
          <w:tblHeader/>
        </w:trPr>
        <w:tc>
          <w:tcPr>
            <w:tcW w:w="1275" w:type="pct"/>
            <w:shd w:val="clear" w:color="auto" w:fill="auto"/>
            <w:vAlign w:val="center"/>
          </w:tcPr>
          <w:p w14:paraId="0C1196AC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Student Group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19CE042D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Grade Rate (Status)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0F82F4F6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Change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DFC4734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Color</w:t>
            </w:r>
          </w:p>
        </w:tc>
        <w:tc>
          <w:tcPr>
            <w:tcW w:w="885" w:type="pct"/>
          </w:tcPr>
          <w:p w14:paraId="42445475" w14:textId="485315E0" w:rsidR="00054200" w:rsidRPr="009C2235" w:rsidRDefault="009C2235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C2235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New Column: </w:t>
            </w:r>
            <w:r w:rsidR="00054200" w:rsidRPr="009C2235">
              <w:rPr>
                <w:rFonts w:ascii="Arial" w:eastAsia="Times New Roman" w:hAnsi="Arial" w:cs="Arial"/>
                <w:sz w:val="24"/>
                <w:szCs w:val="24"/>
              </w:rPr>
              <w:t>Average Annual Improvement to Meet Goal</w:t>
            </w:r>
          </w:p>
        </w:tc>
        <w:tc>
          <w:tcPr>
            <w:tcW w:w="900" w:type="pct"/>
          </w:tcPr>
          <w:p w14:paraId="5268D9AE" w14:textId="24047F50" w:rsidR="00054200" w:rsidRPr="009C2235" w:rsidRDefault="009C2235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C2235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New Column: </w:t>
            </w:r>
            <w:r w:rsidR="00054200" w:rsidRPr="009C2235">
              <w:rPr>
                <w:rFonts w:ascii="Arial" w:eastAsia="Times New Roman" w:hAnsi="Arial" w:cs="Arial"/>
                <w:sz w:val="24"/>
                <w:szCs w:val="24"/>
              </w:rPr>
              <w:t>Approximate Status After Year 3</w:t>
            </w:r>
          </w:p>
        </w:tc>
      </w:tr>
      <w:tr w:rsidR="00054200" w:rsidRPr="00054200" w14:paraId="59E897D3" w14:textId="77777777" w:rsidTr="00FF1D11">
        <w:tc>
          <w:tcPr>
            <w:tcW w:w="1275" w:type="pct"/>
            <w:shd w:val="clear" w:color="auto" w:fill="auto"/>
            <w:vAlign w:val="bottom"/>
          </w:tcPr>
          <w:p w14:paraId="436C7872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All Students</w:t>
            </w:r>
          </w:p>
        </w:tc>
        <w:tc>
          <w:tcPr>
            <w:tcW w:w="679" w:type="pct"/>
            <w:shd w:val="clear" w:color="auto" w:fill="auto"/>
            <w:vAlign w:val="bottom"/>
          </w:tcPr>
          <w:p w14:paraId="3355890D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88.4</w:t>
            </w:r>
          </w:p>
        </w:tc>
        <w:tc>
          <w:tcPr>
            <w:tcW w:w="570" w:type="pct"/>
            <w:shd w:val="clear" w:color="auto" w:fill="auto"/>
            <w:vAlign w:val="bottom"/>
          </w:tcPr>
          <w:p w14:paraId="7377972E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1.7</w:t>
            </w:r>
          </w:p>
        </w:tc>
        <w:tc>
          <w:tcPr>
            <w:tcW w:w="695" w:type="pct"/>
            <w:shd w:val="clear" w:color="auto" w:fill="auto"/>
          </w:tcPr>
          <w:p w14:paraId="4DEFA949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Green</w:t>
            </w:r>
          </w:p>
        </w:tc>
        <w:tc>
          <w:tcPr>
            <w:tcW w:w="885" w:type="pct"/>
          </w:tcPr>
          <w:p w14:paraId="7E3E2CCF" w14:textId="77777777" w:rsidR="00054200" w:rsidRPr="009C2235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C2235">
              <w:rPr>
                <w:rFonts w:ascii="Arial" w:eastAsia="Times New Roman" w:hAnsi="Arial" w:cs="Arial"/>
                <w:sz w:val="24"/>
                <w:szCs w:val="24"/>
              </w:rPr>
              <w:t>0.2%</w:t>
            </w:r>
          </w:p>
        </w:tc>
        <w:tc>
          <w:tcPr>
            <w:tcW w:w="900" w:type="pct"/>
          </w:tcPr>
          <w:p w14:paraId="3249F27E" w14:textId="77777777" w:rsidR="00054200" w:rsidRPr="009C2235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C2235">
              <w:rPr>
                <w:rFonts w:ascii="Arial" w:eastAsia="Times New Roman" w:hAnsi="Arial" w:cs="Arial"/>
                <w:sz w:val="24"/>
                <w:szCs w:val="24"/>
              </w:rPr>
              <w:t>89.0</w:t>
            </w:r>
          </w:p>
        </w:tc>
      </w:tr>
      <w:tr w:rsidR="00054200" w:rsidRPr="00054200" w14:paraId="055CEC70" w14:textId="77777777" w:rsidTr="00FF1D11">
        <w:tc>
          <w:tcPr>
            <w:tcW w:w="1275" w:type="pct"/>
            <w:shd w:val="clear" w:color="auto" w:fill="auto"/>
            <w:vAlign w:val="bottom"/>
          </w:tcPr>
          <w:p w14:paraId="4B156181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American Indian</w:t>
            </w:r>
          </w:p>
        </w:tc>
        <w:tc>
          <w:tcPr>
            <w:tcW w:w="679" w:type="pct"/>
            <w:shd w:val="clear" w:color="auto" w:fill="auto"/>
            <w:vAlign w:val="bottom"/>
          </w:tcPr>
          <w:p w14:paraId="0E4A6244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82.9</w:t>
            </w:r>
          </w:p>
        </w:tc>
        <w:tc>
          <w:tcPr>
            <w:tcW w:w="570" w:type="pct"/>
            <w:shd w:val="clear" w:color="auto" w:fill="auto"/>
            <w:vAlign w:val="bottom"/>
          </w:tcPr>
          <w:p w14:paraId="56A87A5B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0.6</w:t>
            </w:r>
          </w:p>
        </w:tc>
        <w:tc>
          <w:tcPr>
            <w:tcW w:w="695" w:type="pct"/>
            <w:shd w:val="clear" w:color="auto" w:fill="auto"/>
          </w:tcPr>
          <w:p w14:paraId="186AE2FB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Orange</w:t>
            </w:r>
          </w:p>
        </w:tc>
        <w:tc>
          <w:tcPr>
            <w:tcW w:w="885" w:type="pct"/>
          </w:tcPr>
          <w:p w14:paraId="57927C91" w14:textId="77777777" w:rsidR="00054200" w:rsidRPr="009C2235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C2235">
              <w:rPr>
                <w:rFonts w:ascii="Arial" w:eastAsia="Times New Roman" w:hAnsi="Arial" w:cs="Arial"/>
                <w:sz w:val="24"/>
                <w:szCs w:val="24"/>
              </w:rPr>
              <w:t>1.0%</w:t>
            </w:r>
          </w:p>
        </w:tc>
        <w:tc>
          <w:tcPr>
            <w:tcW w:w="900" w:type="pct"/>
          </w:tcPr>
          <w:p w14:paraId="29C1A829" w14:textId="77777777" w:rsidR="00054200" w:rsidRPr="009C2235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C2235">
              <w:rPr>
                <w:rFonts w:ascii="Arial" w:eastAsia="Times New Roman" w:hAnsi="Arial" w:cs="Arial"/>
                <w:sz w:val="24"/>
                <w:szCs w:val="24"/>
              </w:rPr>
              <w:t>85.9</w:t>
            </w:r>
          </w:p>
        </w:tc>
      </w:tr>
      <w:tr w:rsidR="00054200" w:rsidRPr="00054200" w14:paraId="0F27A6D2" w14:textId="77777777" w:rsidTr="00FF1D11">
        <w:tc>
          <w:tcPr>
            <w:tcW w:w="1275" w:type="pct"/>
            <w:shd w:val="clear" w:color="auto" w:fill="auto"/>
            <w:vAlign w:val="bottom"/>
          </w:tcPr>
          <w:p w14:paraId="58E7395C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Asian</w:t>
            </w:r>
          </w:p>
        </w:tc>
        <w:tc>
          <w:tcPr>
            <w:tcW w:w="679" w:type="pct"/>
            <w:shd w:val="clear" w:color="auto" w:fill="auto"/>
            <w:vAlign w:val="bottom"/>
          </w:tcPr>
          <w:p w14:paraId="399072DC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94.1</w:t>
            </w:r>
          </w:p>
        </w:tc>
        <w:tc>
          <w:tcPr>
            <w:tcW w:w="570" w:type="pct"/>
            <w:shd w:val="clear" w:color="auto" w:fill="auto"/>
            <w:vAlign w:val="bottom"/>
          </w:tcPr>
          <w:p w14:paraId="75934619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0.6</w:t>
            </w:r>
          </w:p>
        </w:tc>
        <w:tc>
          <w:tcPr>
            <w:tcW w:w="695" w:type="pct"/>
            <w:shd w:val="clear" w:color="auto" w:fill="auto"/>
          </w:tcPr>
          <w:p w14:paraId="2DF527AB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Green</w:t>
            </w:r>
          </w:p>
        </w:tc>
        <w:tc>
          <w:tcPr>
            <w:tcW w:w="885" w:type="pct"/>
          </w:tcPr>
          <w:p w14:paraId="30FF84E4" w14:textId="77777777" w:rsidR="00054200" w:rsidRPr="009C2235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C2235">
              <w:rPr>
                <w:rFonts w:ascii="Arial" w:eastAsia="Times New Roman" w:hAnsi="Arial" w:cs="Arial"/>
                <w:sz w:val="24"/>
                <w:szCs w:val="24"/>
              </w:rPr>
              <w:t>Increased from Baseline</w:t>
            </w:r>
          </w:p>
        </w:tc>
        <w:tc>
          <w:tcPr>
            <w:tcW w:w="900" w:type="pct"/>
          </w:tcPr>
          <w:p w14:paraId="5599FA64" w14:textId="77777777" w:rsidR="00054200" w:rsidRPr="009C2235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C2235">
              <w:rPr>
                <w:rFonts w:ascii="Arial" w:eastAsia="Times New Roman" w:hAnsi="Arial" w:cs="Arial"/>
                <w:sz w:val="24"/>
                <w:szCs w:val="24"/>
              </w:rPr>
              <w:t>94.2</w:t>
            </w:r>
          </w:p>
        </w:tc>
      </w:tr>
      <w:tr w:rsidR="00054200" w:rsidRPr="00054200" w14:paraId="0ED628D7" w14:textId="77777777" w:rsidTr="00FF1D11">
        <w:tc>
          <w:tcPr>
            <w:tcW w:w="1275" w:type="pct"/>
            <w:shd w:val="clear" w:color="auto" w:fill="auto"/>
            <w:vAlign w:val="bottom"/>
          </w:tcPr>
          <w:p w14:paraId="7F378D9E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Black or African American</w:t>
            </w:r>
          </w:p>
        </w:tc>
        <w:tc>
          <w:tcPr>
            <w:tcW w:w="679" w:type="pct"/>
            <w:shd w:val="clear" w:color="auto" w:fill="auto"/>
            <w:vAlign w:val="bottom"/>
          </w:tcPr>
          <w:p w14:paraId="1140E39B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81.5</w:t>
            </w:r>
          </w:p>
        </w:tc>
        <w:tc>
          <w:tcPr>
            <w:tcW w:w="570" w:type="pct"/>
            <w:shd w:val="clear" w:color="auto" w:fill="auto"/>
            <w:vAlign w:val="bottom"/>
          </w:tcPr>
          <w:p w14:paraId="016878DF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</w:p>
        </w:tc>
        <w:tc>
          <w:tcPr>
            <w:tcW w:w="695" w:type="pct"/>
            <w:shd w:val="clear" w:color="auto" w:fill="auto"/>
          </w:tcPr>
          <w:p w14:paraId="1FF1A209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885" w:type="pct"/>
          </w:tcPr>
          <w:p w14:paraId="13E1EE64" w14:textId="77777777" w:rsidR="00054200" w:rsidRPr="009C2235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C2235">
              <w:rPr>
                <w:rFonts w:ascii="Arial" w:eastAsia="Times New Roman" w:hAnsi="Arial" w:cs="Arial"/>
                <w:sz w:val="24"/>
                <w:szCs w:val="24"/>
              </w:rPr>
              <w:t>1.2%</w:t>
            </w:r>
          </w:p>
        </w:tc>
        <w:tc>
          <w:tcPr>
            <w:tcW w:w="900" w:type="pct"/>
          </w:tcPr>
          <w:p w14:paraId="5D833D5E" w14:textId="77777777" w:rsidR="00054200" w:rsidRPr="009C2235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C2235">
              <w:rPr>
                <w:rFonts w:ascii="Arial" w:eastAsia="Times New Roman" w:hAnsi="Arial" w:cs="Arial"/>
                <w:sz w:val="24"/>
                <w:szCs w:val="24"/>
              </w:rPr>
              <w:t>85.1</w:t>
            </w:r>
          </w:p>
        </w:tc>
      </w:tr>
      <w:tr w:rsidR="00054200" w:rsidRPr="00054200" w14:paraId="27B40A7A" w14:textId="77777777" w:rsidTr="00FF1D11">
        <w:tc>
          <w:tcPr>
            <w:tcW w:w="1275" w:type="pct"/>
            <w:shd w:val="clear" w:color="auto" w:fill="auto"/>
            <w:vAlign w:val="bottom"/>
          </w:tcPr>
          <w:p w14:paraId="48E96844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Filipino</w:t>
            </w:r>
          </w:p>
        </w:tc>
        <w:tc>
          <w:tcPr>
            <w:tcW w:w="679" w:type="pct"/>
            <w:shd w:val="clear" w:color="auto" w:fill="auto"/>
            <w:vAlign w:val="bottom"/>
          </w:tcPr>
          <w:p w14:paraId="3D51E054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94.7</w:t>
            </w:r>
          </w:p>
        </w:tc>
        <w:tc>
          <w:tcPr>
            <w:tcW w:w="570" w:type="pct"/>
            <w:shd w:val="clear" w:color="auto" w:fill="auto"/>
            <w:vAlign w:val="bottom"/>
          </w:tcPr>
          <w:p w14:paraId="0917D860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695" w:type="pct"/>
            <w:shd w:val="clear" w:color="auto" w:fill="auto"/>
          </w:tcPr>
          <w:p w14:paraId="72D496E4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Green</w:t>
            </w:r>
          </w:p>
        </w:tc>
        <w:tc>
          <w:tcPr>
            <w:tcW w:w="885" w:type="pct"/>
          </w:tcPr>
          <w:p w14:paraId="60AD959F" w14:textId="77777777" w:rsidR="00054200" w:rsidRPr="009C2235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C2235">
              <w:rPr>
                <w:rFonts w:ascii="Arial" w:eastAsia="Times New Roman" w:hAnsi="Arial" w:cs="Arial"/>
                <w:sz w:val="24"/>
                <w:szCs w:val="24"/>
              </w:rPr>
              <w:t>Increased from Baseline</w:t>
            </w:r>
          </w:p>
        </w:tc>
        <w:tc>
          <w:tcPr>
            <w:tcW w:w="900" w:type="pct"/>
          </w:tcPr>
          <w:p w14:paraId="7E51EB12" w14:textId="77777777" w:rsidR="00054200" w:rsidRPr="009C2235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C2235">
              <w:rPr>
                <w:rFonts w:ascii="Arial" w:eastAsia="Times New Roman" w:hAnsi="Arial" w:cs="Arial"/>
                <w:sz w:val="24"/>
                <w:szCs w:val="24"/>
              </w:rPr>
              <w:t>94.8</w:t>
            </w:r>
          </w:p>
        </w:tc>
      </w:tr>
      <w:tr w:rsidR="00054200" w:rsidRPr="00054200" w14:paraId="7F683EC2" w14:textId="77777777" w:rsidTr="00FF1D11">
        <w:tc>
          <w:tcPr>
            <w:tcW w:w="1275" w:type="pct"/>
            <w:shd w:val="clear" w:color="auto" w:fill="auto"/>
            <w:vAlign w:val="bottom"/>
          </w:tcPr>
          <w:p w14:paraId="4102A464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Hispanic or Latino</w:t>
            </w:r>
          </w:p>
        </w:tc>
        <w:tc>
          <w:tcPr>
            <w:tcW w:w="679" w:type="pct"/>
            <w:shd w:val="clear" w:color="auto" w:fill="auto"/>
            <w:vAlign w:val="bottom"/>
          </w:tcPr>
          <w:p w14:paraId="1D696167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86.3</w:t>
            </w:r>
          </w:p>
        </w:tc>
        <w:tc>
          <w:tcPr>
            <w:tcW w:w="570" w:type="pct"/>
            <w:shd w:val="clear" w:color="auto" w:fill="auto"/>
            <w:vAlign w:val="bottom"/>
          </w:tcPr>
          <w:p w14:paraId="6ECA746C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2.6</w:t>
            </w:r>
          </w:p>
        </w:tc>
        <w:tc>
          <w:tcPr>
            <w:tcW w:w="695" w:type="pct"/>
            <w:shd w:val="clear" w:color="auto" w:fill="auto"/>
          </w:tcPr>
          <w:p w14:paraId="67E1426D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Green</w:t>
            </w:r>
          </w:p>
        </w:tc>
        <w:tc>
          <w:tcPr>
            <w:tcW w:w="885" w:type="pct"/>
          </w:tcPr>
          <w:p w14:paraId="47BE3EB7" w14:textId="77777777" w:rsidR="00054200" w:rsidRPr="009C2235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C2235">
              <w:rPr>
                <w:rFonts w:ascii="Arial" w:eastAsia="Times New Roman" w:hAnsi="Arial" w:cs="Arial"/>
                <w:sz w:val="24"/>
                <w:szCs w:val="24"/>
              </w:rPr>
              <w:t>0.5%</w:t>
            </w:r>
          </w:p>
        </w:tc>
        <w:tc>
          <w:tcPr>
            <w:tcW w:w="900" w:type="pct"/>
          </w:tcPr>
          <w:p w14:paraId="6878DAA1" w14:textId="77777777" w:rsidR="00054200" w:rsidRPr="009C2235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C2235">
              <w:rPr>
                <w:rFonts w:ascii="Arial" w:eastAsia="Times New Roman" w:hAnsi="Arial" w:cs="Arial"/>
                <w:sz w:val="24"/>
                <w:szCs w:val="24"/>
              </w:rPr>
              <w:t>87.8</w:t>
            </w:r>
          </w:p>
        </w:tc>
      </w:tr>
      <w:tr w:rsidR="00054200" w:rsidRPr="00054200" w14:paraId="38D29340" w14:textId="77777777" w:rsidTr="00FF1D11">
        <w:tc>
          <w:tcPr>
            <w:tcW w:w="1275" w:type="pct"/>
            <w:shd w:val="clear" w:color="auto" w:fill="auto"/>
            <w:vAlign w:val="bottom"/>
          </w:tcPr>
          <w:p w14:paraId="5D3C845F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Pacific Islander</w:t>
            </w:r>
          </w:p>
        </w:tc>
        <w:tc>
          <w:tcPr>
            <w:tcW w:w="679" w:type="pct"/>
            <w:shd w:val="clear" w:color="auto" w:fill="auto"/>
            <w:vAlign w:val="bottom"/>
          </w:tcPr>
          <w:p w14:paraId="75AF1FED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88.8</w:t>
            </w:r>
          </w:p>
        </w:tc>
        <w:tc>
          <w:tcPr>
            <w:tcW w:w="570" w:type="pct"/>
            <w:shd w:val="clear" w:color="auto" w:fill="auto"/>
            <w:vAlign w:val="bottom"/>
          </w:tcPr>
          <w:p w14:paraId="5A68CB1F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2.9</w:t>
            </w:r>
          </w:p>
        </w:tc>
        <w:tc>
          <w:tcPr>
            <w:tcW w:w="695" w:type="pct"/>
            <w:shd w:val="clear" w:color="auto" w:fill="auto"/>
          </w:tcPr>
          <w:p w14:paraId="01454034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Green</w:t>
            </w:r>
          </w:p>
        </w:tc>
        <w:tc>
          <w:tcPr>
            <w:tcW w:w="885" w:type="pct"/>
          </w:tcPr>
          <w:p w14:paraId="58BCB97F" w14:textId="77777777" w:rsidR="00054200" w:rsidRPr="009C2235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C2235">
              <w:rPr>
                <w:rFonts w:ascii="Arial" w:eastAsia="Times New Roman" w:hAnsi="Arial" w:cs="Arial"/>
                <w:sz w:val="24"/>
                <w:szCs w:val="24"/>
              </w:rPr>
              <w:t>0.2%</w:t>
            </w:r>
          </w:p>
        </w:tc>
        <w:tc>
          <w:tcPr>
            <w:tcW w:w="900" w:type="pct"/>
          </w:tcPr>
          <w:p w14:paraId="5B25163A" w14:textId="77777777" w:rsidR="00054200" w:rsidRPr="009C2235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C2235">
              <w:rPr>
                <w:rFonts w:ascii="Arial" w:eastAsia="Times New Roman" w:hAnsi="Arial" w:cs="Arial"/>
                <w:sz w:val="24"/>
                <w:szCs w:val="24"/>
              </w:rPr>
              <w:t>89.4</w:t>
            </w:r>
          </w:p>
        </w:tc>
      </w:tr>
      <w:tr w:rsidR="00054200" w:rsidRPr="00054200" w14:paraId="17143CDF" w14:textId="77777777" w:rsidTr="00FF1D11">
        <w:tc>
          <w:tcPr>
            <w:tcW w:w="1275" w:type="pct"/>
            <w:shd w:val="clear" w:color="auto" w:fill="auto"/>
            <w:vAlign w:val="bottom"/>
          </w:tcPr>
          <w:p w14:paraId="0167D279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Two or More Races</w:t>
            </w:r>
          </w:p>
        </w:tc>
        <w:tc>
          <w:tcPr>
            <w:tcW w:w="679" w:type="pct"/>
            <w:shd w:val="clear" w:color="auto" w:fill="auto"/>
            <w:vAlign w:val="bottom"/>
          </w:tcPr>
          <w:p w14:paraId="070225BB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90.6</w:t>
            </w:r>
          </w:p>
        </w:tc>
        <w:tc>
          <w:tcPr>
            <w:tcW w:w="570" w:type="pct"/>
            <w:shd w:val="clear" w:color="auto" w:fill="auto"/>
            <w:vAlign w:val="bottom"/>
          </w:tcPr>
          <w:p w14:paraId="786E2C21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0.6</w:t>
            </w:r>
          </w:p>
        </w:tc>
        <w:tc>
          <w:tcPr>
            <w:tcW w:w="695" w:type="pct"/>
            <w:shd w:val="clear" w:color="auto" w:fill="auto"/>
          </w:tcPr>
          <w:p w14:paraId="359FF858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Green</w:t>
            </w:r>
          </w:p>
        </w:tc>
        <w:tc>
          <w:tcPr>
            <w:tcW w:w="885" w:type="pct"/>
          </w:tcPr>
          <w:p w14:paraId="55071E0F" w14:textId="77777777" w:rsidR="00054200" w:rsidRPr="009C2235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C2235">
              <w:rPr>
                <w:rFonts w:ascii="Arial" w:eastAsia="Times New Roman" w:hAnsi="Arial" w:cs="Arial"/>
                <w:sz w:val="24"/>
                <w:szCs w:val="24"/>
              </w:rPr>
              <w:t>Increased from Baseline</w:t>
            </w:r>
          </w:p>
        </w:tc>
        <w:tc>
          <w:tcPr>
            <w:tcW w:w="900" w:type="pct"/>
          </w:tcPr>
          <w:p w14:paraId="0D191A57" w14:textId="77777777" w:rsidR="00054200" w:rsidRPr="009C2235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C2235">
              <w:rPr>
                <w:rFonts w:ascii="Arial" w:eastAsia="Times New Roman" w:hAnsi="Arial" w:cs="Arial"/>
                <w:sz w:val="24"/>
                <w:szCs w:val="24"/>
              </w:rPr>
              <w:t>90.7</w:t>
            </w:r>
          </w:p>
        </w:tc>
      </w:tr>
      <w:tr w:rsidR="00054200" w:rsidRPr="00054200" w14:paraId="5A84A659" w14:textId="77777777" w:rsidTr="00FF1D11">
        <w:tc>
          <w:tcPr>
            <w:tcW w:w="1275" w:type="pct"/>
            <w:shd w:val="clear" w:color="auto" w:fill="auto"/>
            <w:vAlign w:val="bottom"/>
          </w:tcPr>
          <w:p w14:paraId="7E6FF280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White</w:t>
            </w:r>
          </w:p>
        </w:tc>
        <w:tc>
          <w:tcPr>
            <w:tcW w:w="679" w:type="pct"/>
            <w:shd w:val="clear" w:color="auto" w:fill="auto"/>
            <w:vAlign w:val="bottom"/>
          </w:tcPr>
          <w:p w14:paraId="27B7213F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92.0</w:t>
            </w:r>
          </w:p>
        </w:tc>
        <w:tc>
          <w:tcPr>
            <w:tcW w:w="570" w:type="pct"/>
            <w:shd w:val="clear" w:color="auto" w:fill="auto"/>
            <w:vAlign w:val="bottom"/>
          </w:tcPr>
          <w:p w14:paraId="37833465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0.5</w:t>
            </w:r>
          </w:p>
        </w:tc>
        <w:tc>
          <w:tcPr>
            <w:tcW w:w="695" w:type="pct"/>
            <w:shd w:val="clear" w:color="auto" w:fill="auto"/>
          </w:tcPr>
          <w:p w14:paraId="3F7DDD9C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Green</w:t>
            </w:r>
          </w:p>
        </w:tc>
        <w:tc>
          <w:tcPr>
            <w:tcW w:w="885" w:type="pct"/>
          </w:tcPr>
          <w:p w14:paraId="5AAB781F" w14:textId="77777777" w:rsidR="00054200" w:rsidRPr="009C2235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C2235">
              <w:rPr>
                <w:rFonts w:ascii="Arial" w:eastAsia="Times New Roman" w:hAnsi="Arial" w:cs="Arial"/>
                <w:sz w:val="24"/>
                <w:szCs w:val="24"/>
              </w:rPr>
              <w:t>Increased from Baseline</w:t>
            </w:r>
          </w:p>
        </w:tc>
        <w:tc>
          <w:tcPr>
            <w:tcW w:w="900" w:type="pct"/>
          </w:tcPr>
          <w:p w14:paraId="7F2C1DEA" w14:textId="77777777" w:rsidR="00054200" w:rsidRPr="009C2235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C2235">
              <w:rPr>
                <w:rFonts w:ascii="Arial" w:eastAsia="Times New Roman" w:hAnsi="Arial" w:cs="Arial"/>
                <w:sz w:val="24"/>
                <w:szCs w:val="24"/>
              </w:rPr>
              <w:t>92.1</w:t>
            </w:r>
          </w:p>
        </w:tc>
      </w:tr>
      <w:tr w:rsidR="00054200" w:rsidRPr="00054200" w14:paraId="6E67AB88" w14:textId="77777777" w:rsidTr="00FF1D11">
        <w:tc>
          <w:tcPr>
            <w:tcW w:w="1275" w:type="pct"/>
            <w:shd w:val="clear" w:color="auto" w:fill="auto"/>
            <w:vAlign w:val="bottom"/>
          </w:tcPr>
          <w:p w14:paraId="2DEE866A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English Learner</w:t>
            </w:r>
          </w:p>
        </w:tc>
        <w:tc>
          <w:tcPr>
            <w:tcW w:w="679" w:type="pct"/>
            <w:shd w:val="clear" w:color="auto" w:fill="auto"/>
            <w:vAlign w:val="bottom"/>
          </w:tcPr>
          <w:p w14:paraId="32A7616E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77.7</w:t>
            </w:r>
          </w:p>
        </w:tc>
        <w:tc>
          <w:tcPr>
            <w:tcW w:w="570" w:type="pct"/>
            <w:shd w:val="clear" w:color="auto" w:fill="auto"/>
            <w:vAlign w:val="bottom"/>
          </w:tcPr>
          <w:p w14:paraId="5A519964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5.5</w:t>
            </w:r>
          </w:p>
        </w:tc>
        <w:tc>
          <w:tcPr>
            <w:tcW w:w="695" w:type="pct"/>
            <w:shd w:val="clear" w:color="auto" w:fill="auto"/>
          </w:tcPr>
          <w:p w14:paraId="077688C5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885" w:type="pct"/>
          </w:tcPr>
          <w:p w14:paraId="69698F35" w14:textId="77777777" w:rsidR="00054200" w:rsidRPr="009C2235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C2235">
              <w:rPr>
                <w:rFonts w:ascii="Arial" w:eastAsia="Times New Roman" w:hAnsi="Arial" w:cs="Arial"/>
                <w:sz w:val="24"/>
                <w:szCs w:val="24"/>
              </w:rPr>
              <w:t>1.8%</w:t>
            </w:r>
          </w:p>
        </w:tc>
        <w:tc>
          <w:tcPr>
            <w:tcW w:w="900" w:type="pct"/>
          </w:tcPr>
          <w:p w14:paraId="11A7D373" w14:textId="77777777" w:rsidR="00054200" w:rsidRPr="009C2235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C2235">
              <w:rPr>
                <w:rFonts w:ascii="Arial" w:eastAsia="Times New Roman" w:hAnsi="Arial" w:cs="Arial"/>
                <w:sz w:val="24"/>
                <w:szCs w:val="24"/>
              </w:rPr>
              <w:t>83.1</w:t>
            </w:r>
          </w:p>
        </w:tc>
      </w:tr>
      <w:tr w:rsidR="00054200" w:rsidRPr="00054200" w14:paraId="2DC4559B" w14:textId="77777777" w:rsidTr="00FF1D11">
        <w:tc>
          <w:tcPr>
            <w:tcW w:w="1275" w:type="pct"/>
            <w:shd w:val="clear" w:color="auto" w:fill="auto"/>
            <w:vAlign w:val="bottom"/>
          </w:tcPr>
          <w:p w14:paraId="1A2C688F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Socioeconomically Disadvantaged</w:t>
            </w:r>
          </w:p>
        </w:tc>
        <w:tc>
          <w:tcPr>
            <w:tcW w:w="679" w:type="pct"/>
            <w:shd w:val="clear" w:color="auto" w:fill="auto"/>
            <w:vAlign w:val="bottom"/>
          </w:tcPr>
          <w:p w14:paraId="34B3FC02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85.3</w:t>
            </w:r>
          </w:p>
        </w:tc>
        <w:tc>
          <w:tcPr>
            <w:tcW w:w="570" w:type="pct"/>
            <w:shd w:val="clear" w:color="auto" w:fill="auto"/>
            <w:vAlign w:val="bottom"/>
          </w:tcPr>
          <w:p w14:paraId="77D7AC32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2.5</w:t>
            </w:r>
          </w:p>
        </w:tc>
        <w:tc>
          <w:tcPr>
            <w:tcW w:w="695" w:type="pct"/>
            <w:shd w:val="clear" w:color="auto" w:fill="auto"/>
          </w:tcPr>
          <w:p w14:paraId="27F5E158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Green</w:t>
            </w:r>
          </w:p>
        </w:tc>
        <w:tc>
          <w:tcPr>
            <w:tcW w:w="885" w:type="pct"/>
          </w:tcPr>
          <w:p w14:paraId="1ED2A518" w14:textId="77777777" w:rsidR="00054200" w:rsidRPr="009C2235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C2235">
              <w:rPr>
                <w:rFonts w:ascii="Arial" w:eastAsia="Times New Roman" w:hAnsi="Arial" w:cs="Arial"/>
                <w:sz w:val="24"/>
                <w:szCs w:val="24"/>
              </w:rPr>
              <w:t>0.7%</w:t>
            </w:r>
          </w:p>
        </w:tc>
        <w:tc>
          <w:tcPr>
            <w:tcW w:w="900" w:type="pct"/>
          </w:tcPr>
          <w:p w14:paraId="12143F12" w14:textId="77777777" w:rsidR="00054200" w:rsidRPr="009C2235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C2235">
              <w:rPr>
                <w:rFonts w:ascii="Arial" w:eastAsia="Times New Roman" w:hAnsi="Arial" w:cs="Arial"/>
                <w:sz w:val="24"/>
                <w:szCs w:val="24"/>
              </w:rPr>
              <w:t>87.4</w:t>
            </w:r>
          </w:p>
        </w:tc>
      </w:tr>
      <w:tr w:rsidR="00054200" w:rsidRPr="00054200" w14:paraId="15DBE1D1" w14:textId="77777777" w:rsidTr="00FF1D11">
        <w:tc>
          <w:tcPr>
            <w:tcW w:w="1275" w:type="pct"/>
            <w:shd w:val="clear" w:color="auto" w:fill="auto"/>
            <w:vAlign w:val="bottom"/>
          </w:tcPr>
          <w:p w14:paraId="6014DA66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Students with Disabilities</w:t>
            </w:r>
          </w:p>
        </w:tc>
        <w:tc>
          <w:tcPr>
            <w:tcW w:w="679" w:type="pct"/>
            <w:shd w:val="clear" w:color="auto" w:fill="auto"/>
            <w:vAlign w:val="bottom"/>
          </w:tcPr>
          <w:p w14:paraId="1B0B52A6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69.0</w:t>
            </w:r>
          </w:p>
        </w:tc>
        <w:tc>
          <w:tcPr>
            <w:tcW w:w="570" w:type="pct"/>
            <w:shd w:val="clear" w:color="auto" w:fill="auto"/>
            <w:vAlign w:val="bottom"/>
          </w:tcPr>
          <w:p w14:paraId="1C6E6ABF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2.3</w:t>
            </w:r>
          </w:p>
        </w:tc>
        <w:tc>
          <w:tcPr>
            <w:tcW w:w="695" w:type="pct"/>
            <w:shd w:val="clear" w:color="auto" w:fill="auto"/>
          </w:tcPr>
          <w:p w14:paraId="5301DCF4" w14:textId="77777777" w:rsidR="00054200" w:rsidRPr="00054200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4200">
              <w:rPr>
                <w:rFonts w:ascii="Arial" w:eastAsia="Times New Roman" w:hAnsi="Arial" w:cs="Arial"/>
                <w:sz w:val="24"/>
                <w:szCs w:val="24"/>
              </w:rPr>
              <w:t>Yellow</w:t>
            </w:r>
          </w:p>
        </w:tc>
        <w:tc>
          <w:tcPr>
            <w:tcW w:w="885" w:type="pct"/>
          </w:tcPr>
          <w:p w14:paraId="098665FE" w14:textId="77777777" w:rsidR="00054200" w:rsidRPr="009C2235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C2235">
              <w:rPr>
                <w:rFonts w:ascii="Arial" w:eastAsia="Times New Roman" w:hAnsi="Arial" w:cs="Arial"/>
                <w:sz w:val="24"/>
                <w:szCs w:val="24"/>
              </w:rPr>
              <w:t>3.0%</w:t>
            </w:r>
          </w:p>
        </w:tc>
        <w:tc>
          <w:tcPr>
            <w:tcW w:w="900" w:type="pct"/>
          </w:tcPr>
          <w:p w14:paraId="04038397" w14:textId="77777777" w:rsidR="00054200" w:rsidRPr="009C2235" w:rsidRDefault="00054200" w:rsidP="000542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C2235">
              <w:rPr>
                <w:rFonts w:ascii="Arial" w:eastAsia="Times New Roman" w:hAnsi="Arial" w:cs="Arial"/>
                <w:sz w:val="24"/>
                <w:szCs w:val="24"/>
              </w:rPr>
              <w:t>78.0</w:t>
            </w:r>
          </w:p>
        </w:tc>
      </w:tr>
    </w:tbl>
    <w:p w14:paraId="6BCFFD09" w14:textId="65C84F2D" w:rsidR="00216091" w:rsidRDefault="00A06F89" w:rsidP="002A1802">
      <w:pPr>
        <w:spacing w:before="240" w:after="24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16091" w:rsidRPr="00067714">
        <w:rPr>
          <w:rFonts w:ascii="Arial" w:hAnsi="Arial" w:cs="Arial"/>
          <w:sz w:val="24"/>
          <w:szCs w:val="24"/>
        </w:rPr>
        <w:t xml:space="preserve">able </w:t>
      </w:r>
      <w:r>
        <w:rPr>
          <w:rFonts w:ascii="Arial" w:hAnsi="Arial" w:cs="Arial"/>
          <w:sz w:val="24"/>
          <w:szCs w:val="24"/>
        </w:rPr>
        <w:t xml:space="preserve">3 </w:t>
      </w:r>
      <w:r w:rsidR="00216091" w:rsidRPr="00067714">
        <w:rPr>
          <w:rFonts w:ascii="Arial" w:eastAsia="Times New Roman" w:hAnsi="Arial" w:cs="Arial"/>
          <w:sz w:val="24"/>
          <w:szCs w:val="24"/>
        </w:rPr>
        <w:t>displays statewide baseline data for all students and each student group, the approximate annual improvement necessary over the seven-year period for each student group to meet the long-term goal, and an estimated status at the mid-way point if on track to reach the goal (which is 90</w:t>
      </w:r>
      <w:r>
        <w:rPr>
          <w:rFonts w:ascii="Arial" w:eastAsia="Times New Roman" w:hAnsi="Arial" w:cs="Arial"/>
          <w:sz w:val="24"/>
          <w:szCs w:val="24"/>
        </w:rPr>
        <w:t xml:space="preserve"> percent</w:t>
      </w:r>
      <w:r w:rsidR="00216091" w:rsidRPr="00067714">
        <w:rPr>
          <w:rFonts w:ascii="Arial" w:eastAsia="Times New Roman" w:hAnsi="Arial" w:cs="Arial"/>
          <w:sz w:val="24"/>
          <w:szCs w:val="24"/>
        </w:rPr>
        <w:t xml:space="preserve"> for graduation rate).</w:t>
      </w:r>
    </w:p>
    <w:p w14:paraId="252B398F" w14:textId="6B30F6E4" w:rsidR="00216091" w:rsidRDefault="00216091" w:rsidP="002A1802">
      <w:pPr>
        <w:pStyle w:val="ListParagraph"/>
        <w:numPr>
          <w:ilvl w:val="0"/>
          <w:numId w:val="5"/>
        </w:numPr>
        <w:spacing w:after="240"/>
        <w:contextualSpacing w:val="0"/>
        <w:rPr>
          <w:rFonts w:ascii="Arial" w:eastAsia="Times New Roman" w:hAnsi="Arial" w:cs="Arial"/>
          <w:sz w:val="24"/>
          <w:szCs w:val="24"/>
        </w:rPr>
      </w:pPr>
      <w:r w:rsidRPr="00067714">
        <w:rPr>
          <w:rFonts w:ascii="Arial" w:eastAsia="Times New Roman" w:hAnsi="Arial" w:cs="Arial"/>
          <w:sz w:val="24"/>
          <w:szCs w:val="24"/>
        </w:rPr>
        <w:t>The two columns</w:t>
      </w:r>
      <w:r w:rsidR="006051DF">
        <w:rPr>
          <w:rFonts w:ascii="Arial" w:eastAsia="Times New Roman" w:hAnsi="Arial" w:cs="Arial"/>
          <w:sz w:val="24"/>
          <w:szCs w:val="24"/>
        </w:rPr>
        <w:t xml:space="preserve"> marked as “</w:t>
      </w:r>
      <w:r w:rsidR="006051DF">
        <w:rPr>
          <w:rFonts w:ascii="Arial" w:eastAsia="Times New Roman" w:hAnsi="Arial" w:cs="Arial"/>
          <w:i/>
          <w:sz w:val="24"/>
          <w:szCs w:val="24"/>
        </w:rPr>
        <w:t>New Column</w:t>
      </w:r>
      <w:r w:rsidR="006051DF">
        <w:rPr>
          <w:rFonts w:ascii="Arial" w:eastAsia="Times New Roman" w:hAnsi="Arial" w:cs="Arial"/>
          <w:sz w:val="24"/>
          <w:szCs w:val="24"/>
        </w:rPr>
        <w:t>”</w:t>
      </w:r>
      <w:r w:rsidRPr="00067714">
        <w:rPr>
          <w:rFonts w:ascii="Arial" w:eastAsia="Times New Roman" w:hAnsi="Arial" w:cs="Arial"/>
          <w:sz w:val="24"/>
          <w:szCs w:val="24"/>
        </w:rPr>
        <w:t xml:space="preserve"> are the only new information included in the proposed revisions, compared to the revised plan that the SBE approved for resubmission at its January 2018 meeting (see Attachment 3 of the January 2018 ESSA item on page 39: </w:t>
      </w:r>
      <w:hyperlink r:id="rId10" w:tooltip="January 2018 Every Student Succeeds Act State Plan Item, Attachment 3" w:history="1">
        <w:r w:rsidRPr="00067714">
          <w:rPr>
            <w:rStyle w:val="Hyperlink"/>
            <w:rFonts w:ascii="Arial" w:eastAsia="Times New Roman" w:hAnsi="Arial" w:cs="Arial"/>
            <w:sz w:val="24"/>
            <w:szCs w:val="24"/>
          </w:rPr>
          <w:t>https://www.cde.ca.gov/be/ag/ag/yr18/documents/jan18item05a3.docx</w:t>
        </w:r>
      </w:hyperlink>
      <w:r w:rsidRPr="00067714">
        <w:rPr>
          <w:rFonts w:ascii="Arial" w:eastAsia="Times New Roman" w:hAnsi="Arial" w:cs="Arial"/>
          <w:sz w:val="24"/>
          <w:szCs w:val="24"/>
        </w:rPr>
        <w:t xml:space="preserve">). </w:t>
      </w:r>
    </w:p>
    <w:p w14:paraId="064BDD06" w14:textId="4F69A4A4" w:rsidR="00216091" w:rsidRDefault="00216091" w:rsidP="002A1802">
      <w:pPr>
        <w:pStyle w:val="ListParagraph"/>
        <w:numPr>
          <w:ilvl w:val="0"/>
          <w:numId w:val="5"/>
        </w:numPr>
        <w:spacing w:after="240"/>
        <w:contextualSpacing w:val="0"/>
        <w:rPr>
          <w:rFonts w:ascii="Arial" w:eastAsia="Times New Roman" w:hAnsi="Arial" w:cs="Arial"/>
          <w:sz w:val="24"/>
          <w:szCs w:val="24"/>
        </w:rPr>
      </w:pPr>
      <w:r w:rsidRPr="00067714">
        <w:rPr>
          <w:rFonts w:ascii="Arial" w:eastAsia="Times New Roman" w:hAnsi="Arial" w:cs="Arial"/>
          <w:sz w:val="24"/>
          <w:szCs w:val="24"/>
        </w:rPr>
        <w:lastRenderedPageBreak/>
        <w:t>Tho</w:t>
      </w:r>
      <w:r w:rsidR="008E7FEC" w:rsidRPr="00067714">
        <w:rPr>
          <w:rFonts w:ascii="Arial" w:eastAsia="Times New Roman" w:hAnsi="Arial" w:cs="Arial"/>
          <w:sz w:val="24"/>
          <w:szCs w:val="24"/>
        </w:rPr>
        <w:t>se two new columns reflect</w:t>
      </w:r>
      <w:r w:rsidRPr="00067714">
        <w:rPr>
          <w:rFonts w:ascii="Arial" w:eastAsia="Times New Roman" w:hAnsi="Arial" w:cs="Arial"/>
          <w:sz w:val="24"/>
          <w:szCs w:val="24"/>
        </w:rPr>
        <w:t xml:space="preserve"> arithmetic using information already included in the State Plan: for the first, subtracting the Status column from the long-term goal (in this case 90</w:t>
      </w:r>
      <w:r w:rsidR="00A06F89">
        <w:rPr>
          <w:rFonts w:ascii="Arial" w:eastAsia="Times New Roman" w:hAnsi="Arial" w:cs="Arial"/>
          <w:sz w:val="24"/>
          <w:szCs w:val="24"/>
        </w:rPr>
        <w:t xml:space="preserve"> percent</w:t>
      </w:r>
      <w:r w:rsidRPr="00067714">
        <w:rPr>
          <w:rFonts w:ascii="Arial" w:eastAsia="Times New Roman" w:hAnsi="Arial" w:cs="Arial"/>
          <w:sz w:val="24"/>
          <w:szCs w:val="24"/>
        </w:rPr>
        <w:t xml:space="preserve"> for graduation rate) and dividing by 7; for the second, multiplying the first new column by 3 and adding it to the Status.</w:t>
      </w:r>
    </w:p>
    <w:p w14:paraId="276AD9E4" w14:textId="7C93DE46" w:rsidR="00216091" w:rsidRPr="00067714" w:rsidRDefault="00216091" w:rsidP="002A1802">
      <w:pPr>
        <w:pStyle w:val="ListParagraph"/>
        <w:numPr>
          <w:ilvl w:val="0"/>
          <w:numId w:val="5"/>
        </w:numPr>
        <w:spacing w:after="240"/>
        <w:contextualSpacing w:val="0"/>
        <w:rPr>
          <w:rFonts w:ascii="Arial" w:eastAsia="Times New Roman" w:hAnsi="Arial" w:cs="Arial"/>
          <w:sz w:val="24"/>
          <w:szCs w:val="24"/>
        </w:rPr>
      </w:pPr>
      <w:r w:rsidRPr="00067714">
        <w:rPr>
          <w:rFonts w:ascii="Arial" w:hAnsi="Arial" w:cs="Arial"/>
          <w:sz w:val="24"/>
          <w:szCs w:val="24"/>
        </w:rPr>
        <w:t xml:space="preserve">The measurements of interim progress are </w:t>
      </w:r>
      <w:r w:rsidR="00A06F89" w:rsidRPr="00A06F89">
        <w:rPr>
          <w:rFonts w:ascii="Arial" w:hAnsi="Arial" w:cs="Arial"/>
          <w:b/>
          <w:sz w:val="24"/>
          <w:szCs w:val="24"/>
        </w:rPr>
        <w:t>not</w:t>
      </w:r>
      <w:r w:rsidRPr="00067714">
        <w:rPr>
          <w:rFonts w:ascii="Arial" w:hAnsi="Arial" w:cs="Arial"/>
          <w:sz w:val="24"/>
          <w:szCs w:val="24"/>
        </w:rPr>
        <w:t xml:space="preserve"> relevant to whether a school is in the overall lowest 5 percent of performance statewide.</w:t>
      </w:r>
    </w:p>
    <w:p w14:paraId="4935C7D5" w14:textId="41C48EF6" w:rsidR="00216091" w:rsidRPr="00067714" w:rsidRDefault="00216091" w:rsidP="002A1802">
      <w:pPr>
        <w:pStyle w:val="ListParagraph"/>
        <w:numPr>
          <w:ilvl w:val="0"/>
          <w:numId w:val="5"/>
        </w:numPr>
        <w:spacing w:after="240"/>
        <w:contextualSpacing w:val="0"/>
        <w:rPr>
          <w:rFonts w:ascii="Arial" w:eastAsia="Times New Roman" w:hAnsi="Arial" w:cs="Arial"/>
          <w:sz w:val="24"/>
          <w:szCs w:val="24"/>
        </w:rPr>
      </w:pPr>
      <w:r w:rsidRPr="00067714">
        <w:rPr>
          <w:rFonts w:ascii="Arial" w:eastAsia="Times New Roman" w:hAnsi="Arial" w:cs="Arial"/>
          <w:sz w:val="24"/>
          <w:szCs w:val="24"/>
        </w:rPr>
        <w:t xml:space="preserve">Since its enactment, ESSA has required states to ensure that LEAs produce annual LEA report cards that show specified information, including the long-term goals and measurements of interim progress for all students and student groups. </w:t>
      </w:r>
      <w:r w:rsidR="00A06F89">
        <w:rPr>
          <w:rFonts w:ascii="Arial" w:eastAsia="Times New Roman" w:hAnsi="Arial" w:cs="Arial"/>
          <w:sz w:val="24"/>
          <w:szCs w:val="24"/>
        </w:rPr>
        <w:t>(</w:t>
      </w:r>
      <w:r w:rsidRPr="00067714">
        <w:rPr>
          <w:rFonts w:ascii="Arial" w:eastAsia="Times New Roman" w:hAnsi="Arial" w:cs="Arial"/>
          <w:sz w:val="24"/>
          <w:szCs w:val="24"/>
        </w:rPr>
        <w:t>ESSA, Section 1111(h)(2).</w:t>
      </w:r>
      <w:r w:rsidR="00A06F89">
        <w:rPr>
          <w:rFonts w:ascii="Arial" w:eastAsia="Times New Roman" w:hAnsi="Arial" w:cs="Arial"/>
          <w:sz w:val="24"/>
          <w:szCs w:val="24"/>
        </w:rPr>
        <w:t>)</w:t>
      </w:r>
    </w:p>
    <w:p w14:paraId="2F402593" w14:textId="64D83FA1" w:rsidR="00216091" w:rsidRDefault="00216091" w:rsidP="002A1802">
      <w:pPr>
        <w:pStyle w:val="ListParagraph"/>
        <w:numPr>
          <w:ilvl w:val="0"/>
          <w:numId w:val="5"/>
        </w:numPr>
        <w:spacing w:after="240"/>
        <w:contextualSpacing w:val="0"/>
        <w:rPr>
          <w:rFonts w:ascii="Arial" w:eastAsia="Times New Roman" w:hAnsi="Arial" w:cs="Arial"/>
          <w:sz w:val="24"/>
          <w:szCs w:val="24"/>
        </w:rPr>
      </w:pPr>
      <w:r w:rsidRPr="00067714">
        <w:rPr>
          <w:rFonts w:ascii="Arial" w:eastAsia="Times New Roman" w:hAnsi="Arial" w:cs="Arial"/>
          <w:sz w:val="24"/>
          <w:szCs w:val="24"/>
        </w:rPr>
        <w:t xml:space="preserve">The LEA report card is simply a reporting requirement: it must be posted on a </w:t>
      </w:r>
      <w:r w:rsidR="00A22191">
        <w:rPr>
          <w:rFonts w:ascii="Arial" w:eastAsia="Times New Roman" w:hAnsi="Arial" w:cs="Arial"/>
          <w:sz w:val="24"/>
          <w:szCs w:val="24"/>
        </w:rPr>
        <w:t>W</w:t>
      </w:r>
      <w:r w:rsidRPr="00067714">
        <w:rPr>
          <w:rFonts w:ascii="Arial" w:eastAsia="Times New Roman" w:hAnsi="Arial" w:cs="Arial"/>
          <w:sz w:val="24"/>
          <w:szCs w:val="24"/>
        </w:rPr>
        <w:t>eb</w:t>
      </w:r>
      <w:r w:rsidR="00A22191">
        <w:rPr>
          <w:rFonts w:ascii="Arial" w:eastAsia="Times New Roman" w:hAnsi="Arial" w:cs="Arial"/>
          <w:sz w:val="24"/>
          <w:szCs w:val="24"/>
        </w:rPr>
        <w:t xml:space="preserve"> </w:t>
      </w:r>
      <w:r w:rsidRPr="00067714">
        <w:rPr>
          <w:rFonts w:ascii="Arial" w:eastAsia="Times New Roman" w:hAnsi="Arial" w:cs="Arial"/>
          <w:sz w:val="24"/>
          <w:szCs w:val="24"/>
        </w:rPr>
        <w:t>site. The measurements of interim progress ca</w:t>
      </w:r>
      <w:r w:rsidR="008E7FEC" w:rsidRPr="00067714">
        <w:rPr>
          <w:rFonts w:ascii="Arial" w:eastAsia="Times New Roman" w:hAnsi="Arial" w:cs="Arial"/>
          <w:sz w:val="24"/>
          <w:szCs w:val="24"/>
        </w:rPr>
        <w:t xml:space="preserve">n </w:t>
      </w:r>
      <w:r w:rsidR="00210F92" w:rsidRPr="00067714">
        <w:rPr>
          <w:rFonts w:ascii="Arial" w:eastAsia="Times New Roman" w:hAnsi="Arial" w:cs="Arial"/>
          <w:sz w:val="24"/>
          <w:szCs w:val="24"/>
        </w:rPr>
        <w:t xml:space="preserve">be </w:t>
      </w:r>
      <w:r w:rsidR="008E7FEC" w:rsidRPr="00067714">
        <w:rPr>
          <w:rFonts w:ascii="Arial" w:eastAsia="Times New Roman" w:hAnsi="Arial" w:cs="Arial"/>
          <w:sz w:val="24"/>
          <w:szCs w:val="24"/>
        </w:rPr>
        <w:t xml:space="preserve">reported using the same </w:t>
      </w:r>
      <w:r w:rsidRPr="00067714">
        <w:rPr>
          <w:rFonts w:ascii="Arial" w:eastAsia="Times New Roman" w:hAnsi="Arial" w:cs="Arial"/>
          <w:sz w:val="24"/>
          <w:szCs w:val="24"/>
        </w:rPr>
        <w:t>arithmetic used to create the table above.</w:t>
      </w:r>
    </w:p>
    <w:p w14:paraId="7582BC7A" w14:textId="4EB3C776" w:rsidR="00B76883" w:rsidRPr="00B76883" w:rsidRDefault="00B76883" w:rsidP="002F7417">
      <w:pPr>
        <w:autoSpaceDE w:val="0"/>
        <w:autoSpaceDN w:val="0"/>
        <w:adjustRightInd w:val="0"/>
        <w:spacing w:before="7800"/>
        <w:ind w:left="360"/>
        <w:rPr>
          <w:rFonts w:ascii="Arial" w:hAnsi="Arial"/>
          <w:color w:val="000000"/>
          <w:sz w:val="24"/>
          <w:szCs w:val="24"/>
        </w:rPr>
      </w:pPr>
      <w:bookmarkStart w:id="0" w:name="_GoBack"/>
      <w:bookmarkEnd w:id="0"/>
      <w:r w:rsidRPr="00B76883">
        <w:rPr>
          <w:rFonts w:ascii="Arial" w:hAnsi="Arial"/>
          <w:i/>
          <w:iCs/>
          <w:color w:val="000000"/>
          <w:sz w:val="24"/>
          <w:szCs w:val="24"/>
        </w:rPr>
        <w:t>Prepared by the California Department of Education, April 2018</w:t>
      </w:r>
    </w:p>
    <w:sectPr w:rsidR="00B76883" w:rsidRPr="00B76883" w:rsidSect="00377A9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99740A" w16cid:durableId="1E6C2CB7"/>
  <w16cid:commentId w16cid:paraId="7A1064BF" w16cid:durableId="1E6C2D4F"/>
  <w16cid:commentId w16cid:paraId="5C714E86" w16cid:durableId="1E68A2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0C48A" w14:textId="77777777" w:rsidR="00B53C8F" w:rsidRDefault="00B53C8F" w:rsidP="00045856">
      <w:r>
        <w:separator/>
      </w:r>
    </w:p>
  </w:endnote>
  <w:endnote w:type="continuationSeparator" w:id="0">
    <w:p w14:paraId="6916B0DF" w14:textId="77777777" w:rsidR="00B53C8F" w:rsidRDefault="00B53C8F" w:rsidP="0004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5CBB6" w14:textId="77777777" w:rsidR="00B53C8F" w:rsidRDefault="00B53C8F" w:rsidP="00045856">
      <w:r>
        <w:separator/>
      </w:r>
    </w:p>
  </w:footnote>
  <w:footnote w:type="continuationSeparator" w:id="0">
    <w:p w14:paraId="6889D367" w14:textId="77777777" w:rsidR="00B53C8F" w:rsidRDefault="00B53C8F" w:rsidP="00045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750D5" w14:textId="39259B6F" w:rsidR="0016389A" w:rsidRPr="0016389A" w:rsidRDefault="0016389A" w:rsidP="0016389A">
    <w:pPr>
      <w:pStyle w:val="Header"/>
      <w:ind w:firstLine="2880"/>
      <w:jc w:val="right"/>
      <w:rPr>
        <w:rFonts w:ascii="Arial" w:hAnsi="Arial" w:cs="Arial"/>
        <w:sz w:val="24"/>
      </w:rPr>
    </w:pPr>
    <w:r w:rsidRPr="0016389A">
      <w:rPr>
        <w:rFonts w:ascii="Arial" w:hAnsi="Arial" w:cs="Arial"/>
        <w:sz w:val="24"/>
      </w:rPr>
      <w:t>pptb-amard-apr18item0</w:t>
    </w:r>
    <w:r w:rsidR="00301C49">
      <w:rPr>
        <w:rFonts w:ascii="Arial" w:hAnsi="Arial" w:cs="Arial"/>
        <w:sz w:val="24"/>
      </w:rPr>
      <w:t>1</w:t>
    </w:r>
  </w:p>
  <w:p w14:paraId="18256637" w14:textId="5C04B453" w:rsidR="0016389A" w:rsidRPr="0016389A" w:rsidRDefault="0016389A" w:rsidP="0016389A">
    <w:pPr>
      <w:pStyle w:val="Header"/>
      <w:jc w:val="right"/>
      <w:rPr>
        <w:rFonts w:ascii="Arial" w:hAnsi="Arial" w:cs="Arial"/>
        <w:sz w:val="24"/>
      </w:rPr>
    </w:pPr>
    <w:r w:rsidRPr="0016389A">
      <w:rPr>
        <w:rFonts w:ascii="Arial" w:hAnsi="Arial" w:cs="Arial"/>
        <w:sz w:val="24"/>
      </w:rPr>
      <w:t>Attachment 2</w:t>
    </w:r>
  </w:p>
  <w:p w14:paraId="5F68BB7C" w14:textId="7D72139D" w:rsidR="0016389A" w:rsidRDefault="0016389A" w:rsidP="004E2907">
    <w:pPr>
      <w:pStyle w:val="Header"/>
      <w:spacing w:after="480"/>
      <w:jc w:val="right"/>
      <w:rPr>
        <w:rFonts w:ascii="Arial" w:hAnsi="Arial" w:cs="Arial"/>
        <w:bCs/>
        <w:sz w:val="24"/>
      </w:rPr>
    </w:pPr>
    <w:r w:rsidRPr="0016389A">
      <w:rPr>
        <w:rFonts w:ascii="Arial" w:hAnsi="Arial" w:cs="Arial"/>
        <w:sz w:val="24"/>
      </w:rPr>
      <w:t xml:space="preserve">Page </w:t>
    </w:r>
    <w:r w:rsidRPr="0016389A">
      <w:rPr>
        <w:rFonts w:ascii="Arial" w:hAnsi="Arial" w:cs="Arial"/>
        <w:bCs/>
        <w:sz w:val="24"/>
      </w:rPr>
      <w:fldChar w:fldCharType="begin"/>
    </w:r>
    <w:r w:rsidRPr="0016389A">
      <w:rPr>
        <w:rFonts w:ascii="Arial" w:hAnsi="Arial" w:cs="Arial"/>
        <w:bCs/>
        <w:sz w:val="24"/>
      </w:rPr>
      <w:instrText xml:space="preserve"> PAGE  \* Arabic  \* MERGEFORMAT </w:instrText>
    </w:r>
    <w:r w:rsidRPr="0016389A">
      <w:rPr>
        <w:rFonts w:ascii="Arial" w:hAnsi="Arial" w:cs="Arial"/>
        <w:bCs/>
        <w:sz w:val="24"/>
      </w:rPr>
      <w:fldChar w:fldCharType="separate"/>
    </w:r>
    <w:r w:rsidR="002F7417">
      <w:rPr>
        <w:rFonts w:ascii="Arial" w:hAnsi="Arial" w:cs="Arial"/>
        <w:bCs/>
        <w:noProof/>
        <w:sz w:val="24"/>
      </w:rPr>
      <w:t>9</w:t>
    </w:r>
    <w:r w:rsidRPr="0016389A">
      <w:rPr>
        <w:rFonts w:ascii="Arial" w:hAnsi="Arial" w:cs="Arial"/>
        <w:bCs/>
        <w:sz w:val="24"/>
      </w:rPr>
      <w:fldChar w:fldCharType="end"/>
    </w:r>
    <w:r w:rsidRPr="0016389A">
      <w:rPr>
        <w:rFonts w:ascii="Arial" w:hAnsi="Arial" w:cs="Arial"/>
        <w:sz w:val="24"/>
      </w:rPr>
      <w:t xml:space="preserve"> of </w:t>
    </w:r>
    <w:r w:rsidRPr="0016389A">
      <w:rPr>
        <w:rFonts w:ascii="Arial" w:hAnsi="Arial" w:cs="Arial"/>
        <w:bCs/>
        <w:sz w:val="24"/>
      </w:rPr>
      <w:fldChar w:fldCharType="begin"/>
    </w:r>
    <w:r w:rsidRPr="0016389A">
      <w:rPr>
        <w:rFonts w:ascii="Arial" w:hAnsi="Arial" w:cs="Arial"/>
        <w:bCs/>
        <w:sz w:val="24"/>
      </w:rPr>
      <w:instrText xml:space="preserve"> NUMPAGES  \* Arabic  \* MERGEFORMAT </w:instrText>
    </w:r>
    <w:r w:rsidRPr="0016389A">
      <w:rPr>
        <w:rFonts w:ascii="Arial" w:hAnsi="Arial" w:cs="Arial"/>
        <w:bCs/>
        <w:sz w:val="24"/>
      </w:rPr>
      <w:fldChar w:fldCharType="separate"/>
    </w:r>
    <w:r w:rsidR="002F7417">
      <w:rPr>
        <w:rFonts w:ascii="Arial" w:hAnsi="Arial" w:cs="Arial"/>
        <w:bCs/>
        <w:noProof/>
        <w:sz w:val="24"/>
      </w:rPr>
      <w:t>10</w:t>
    </w:r>
    <w:r w:rsidRPr="0016389A">
      <w:rPr>
        <w:rFonts w:ascii="Arial" w:hAnsi="Arial" w:cs="Arial"/>
        <w:bCs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3682"/>
    <w:multiLevelType w:val="hybridMultilevel"/>
    <w:tmpl w:val="9C62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1743"/>
    <w:multiLevelType w:val="hybridMultilevel"/>
    <w:tmpl w:val="1350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15449"/>
    <w:multiLevelType w:val="hybridMultilevel"/>
    <w:tmpl w:val="9CAA9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806A7"/>
    <w:multiLevelType w:val="hybridMultilevel"/>
    <w:tmpl w:val="B58C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34730"/>
    <w:multiLevelType w:val="hybridMultilevel"/>
    <w:tmpl w:val="58567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41DC3"/>
    <w:multiLevelType w:val="hybridMultilevel"/>
    <w:tmpl w:val="F48EA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B4E02"/>
    <w:multiLevelType w:val="hybridMultilevel"/>
    <w:tmpl w:val="C270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8036C"/>
    <w:multiLevelType w:val="hybridMultilevel"/>
    <w:tmpl w:val="052E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7D"/>
    <w:rsid w:val="00045856"/>
    <w:rsid w:val="00054200"/>
    <w:rsid w:val="00067714"/>
    <w:rsid w:val="000A4EEF"/>
    <w:rsid w:val="000D75E7"/>
    <w:rsid w:val="000E28CE"/>
    <w:rsid w:val="000E62BA"/>
    <w:rsid w:val="000F5477"/>
    <w:rsid w:val="0010071E"/>
    <w:rsid w:val="0010357D"/>
    <w:rsid w:val="00112EA9"/>
    <w:rsid w:val="0016389A"/>
    <w:rsid w:val="001710B2"/>
    <w:rsid w:val="00175B64"/>
    <w:rsid w:val="00194818"/>
    <w:rsid w:val="001A55D5"/>
    <w:rsid w:val="001C4015"/>
    <w:rsid w:val="001F7F19"/>
    <w:rsid w:val="00210F92"/>
    <w:rsid w:val="00216091"/>
    <w:rsid w:val="002222CA"/>
    <w:rsid w:val="00233589"/>
    <w:rsid w:val="00256845"/>
    <w:rsid w:val="002933A0"/>
    <w:rsid w:val="002A1802"/>
    <w:rsid w:val="002D0237"/>
    <w:rsid w:val="002D421C"/>
    <w:rsid w:val="002E406B"/>
    <w:rsid w:val="002F7417"/>
    <w:rsid w:val="00301C49"/>
    <w:rsid w:val="00305442"/>
    <w:rsid w:val="00310F44"/>
    <w:rsid w:val="00337FEA"/>
    <w:rsid w:val="00377A9A"/>
    <w:rsid w:val="003C54E0"/>
    <w:rsid w:val="003D4756"/>
    <w:rsid w:val="004164B7"/>
    <w:rsid w:val="0044369D"/>
    <w:rsid w:val="004E2907"/>
    <w:rsid w:val="005044F9"/>
    <w:rsid w:val="00506D08"/>
    <w:rsid w:val="00517743"/>
    <w:rsid w:val="005279AB"/>
    <w:rsid w:val="00543FBA"/>
    <w:rsid w:val="00566055"/>
    <w:rsid w:val="00571864"/>
    <w:rsid w:val="00575542"/>
    <w:rsid w:val="00594FAB"/>
    <w:rsid w:val="006051DF"/>
    <w:rsid w:val="006376FA"/>
    <w:rsid w:val="00647323"/>
    <w:rsid w:val="00664DDB"/>
    <w:rsid w:val="00665B51"/>
    <w:rsid w:val="00685219"/>
    <w:rsid w:val="006C7752"/>
    <w:rsid w:val="006F09B2"/>
    <w:rsid w:val="00721525"/>
    <w:rsid w:val="007359A9"/>
    <w:rsid w:val="007B5477"/>
    <w:rsid w:val="007C44DE"/>
    <w:rsid w:val="00896269"/>
    <w:rsid w:val="008C1CBF"/>
    <w:rsid w:val="008E7FEC"/>
    <w:rsid w:val="00920D78"/>
    <w:rsid w:val="00982C89"/>
    <w:rsid w:val="009C2235"/>
    <w:rsid w:val="00A06F89"/>
    <w:rsid w:val="00A22191"/>
    <w:rsid w:val="00AC3731"/>
    <w:rsid w:val="00AE2611"/>
    <w:rsid w:val="00AF4C8B"/>
    <w:rsid w:val="00AF77E3"/>
    <w:rsid w:val="00B277D2"/>
    <w:rsid w:val="00B53C8F"/>
    <w:rsid w:val="00B76883"/>
    <w:rsid w:val="00C06E6E"/>
    <w:rsid w:val="00C17D81"/>
    <w:rsid w:val="00C23C44"/>
    <w:rsid w:val="00C54EAA"/>
    <w:rsid w:val="00C651C3"/>
    <w:rsid w:val="00CF0F0B"/>
    <w:rsid w:val="00D76451"/>
    <w:rsid w:val="00D84C53"/>
    <w:rsid w:val="00D93BAC"/>
    <w:rsid w:val="00DD0B9C"/>
    <w:rsid w:val="00E5112A"/>
    <w:rsid w:val="00EE10D4"/>
    <w:rsid w:val="00EF3EA5"/>
    <w:rsid w:val="00F557C5"/>
    <w:rsid w:val="00F674E3"/>
    <w:rsid w:val="00F82313"/>
    <w:rsid w:val="00FC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CC2BC14"/>
  <w15:chartTrackingRefBased/>
  <w15:docId w15:val="{6029CBAC-CCD0-491A-8BCA-43B9CF07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7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0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57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856"/>
  </w:style>
  <w:style w:type="paragraph" w:styleId="Footer">
    <w:name w:val="footer"/>
    <w:basedOn w:val="Normal"/>
    <w:link w:val="FooterChar"/>
    <w:uiPriority w:val="99"/>
    <w:unhideWhenUsed/>
    <w:rsid w:val="00045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856"/>
  </w:style>
  <w:style w:type="paragraph" w:styleId="BalloonText">
    <w:name w:val="Balloon Text"/>
    <w:basedOn w:val="Normal"/>
    <w:link w:val="BalloonTextChar"/>
    <w:uiPriority w:val="99"/>
    <w:semiHidden/>
    <w:unhideWhenUsed/>
    <w:rsid w:val="00566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6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0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05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73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73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7323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6D0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0677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40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054200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C54E0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1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de.ca.gov/be/ag/ag/yr18/documents/jan18item05a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e.ca.gov/be/ag/ag/yr18/documents/mar18item04a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CC8D0-3431-49F8-A064-430EF4E1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2018 Agenda Item 01 Attachment 2 - Meeting Agendas (CA State Board of Education)</vt:lpstr>
    </vt:vector>
  </TitlesOfParts>
  <Company>California State Board of Education</Company>
  <LinksUpToDate>false</LinksUpToDate>
  <CharactersWithSpaces>15661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2018 Agenda Item 01 Attachment 2 - Meeting Agendas (CA State Board of Education)</dc:title>
  <dc:subject>Every Student Succeeds Act Accountability Issues: Summary of Impact on Existing State Accountability System.</dc:subject>
  <dc:creator>David Sapp</dc:creator>
  <cp:keywords/>
  <dc:description/>
  <cp:lastModifiedBy>Malia Gonsalves</cp:lastModifiedBy>
  <cp:revision>11</cp:revision>
  <cp:lastPrinted>2018-03-30T19:19:00Z</cp:lastPrinted>
  <dcterms:created xsi:type="dcterms:W3CDTF">2018-04-02T15:55:00Z</dcterms:created>
  <dcterms:modified xsi:type="dcterms:W3CDTF">2018-04-02T21:33:00Z</dcterms:modified>
  <cp:category/>
</cp:coreProperties>
</file>